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11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1492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567"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Dayal Sujata Tyagi</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PROFESSIONAL DRIVE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3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Emergent BioSolutions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EBS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16" w:space="720"/>
            <w:col w:w="3344"/>
          </w:cols>
          <w:pgMar w:left="460" w:top="216" w:right="359" w:bottom="567"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GAITHERSBURG MD</w:t>
            </w:r>
          </w:p>
        </w:tc>
        <w:tc>
          <w:tcPr>
            <w:tcW w:w="1620" w:type="dxa"/>
            <w:vAlign w:val="bottom"/>
          </w:tcPr>
          <w:p>
            <w:pPr>
              <w:jc w:val="right"/>
              <w:ind w:right="647"/>
              <w:spacing w:after="0"/>
              <w:rPr>
                <w:sz w:val="20"/>
                <w:szCs w:val="20"/>
                <w:color w:val="auto"/>
              </w:rPr>
            </w:pPr>
            <w:r>
              <w:rPr>
                <w:rFonts w:ascii="Times New Roman" w:cs="Times New Roman" w:eastAsia="Times New Roman" w:hAnsi="Times New Roman"/>
                <w:sz w:val="17"/>
                <w:szCs w:val="17"/>
                <w:color w:val="0000FF"/>
              </w:rPr>
              <w:t>20879</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7"/>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140"/>
            <w:col w:w="7180"/>
          </w:cols>
          <w:pgMar w:left="460" w:top="216" w:right="359" w:bottom="56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04/30/2026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02"/>
              <w:spacing w:after="0"/>
              <w:rPr>
                <w:sz w:val="20"/>
                <w:szCs w:val="20"/>
                <w:color w:val="auto"/>
              </w:rPr>
            </w:pPr>
            <w:r>
              <w:rPr>
                <w:rFonts w:ascii="Times New Roman" w:cs="Times New Roman" w:eastAsia="Times New Roman" w:hAnsi="Times New Roman"/>
                <w:sz w:val="17"/>
                <w:szCs w:val="17"/>
                <w:color w:val="0000FF"/>
              </w:rPr>
              <w:t>25,344</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114,324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05/01/2026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02"/>
              <w:spacing w:after="0"/>
              <w:rPr>
                <w:sz w:val="20"/>
                <w:szCs w:val="20"/>
                <w:color w:val="auto"/>
              </w:rPr>
            </w:pPr>
            <w:r>
              <w:rPr>
                <w:rFonts w:ascii="Times New Roman" w:cs="Times New Roman" w:eastAsia="Times New Roman" w:hAnsi="Times New Roman"/>
                <w:sz w:val="17"/>
                <w:szCs w:val="17"/>
                <w:color w:val="0000FF"/>
              </w:rPr>
              <w:t>12,781</w:t>
            </w:r>
            <w:r>
              <w:rPr>
                <w:rFonts w:ascii="Times New Roman" w:cs="Times New Roman" w:eastAsia="Times New Roman" w:hAnsi="Times New Roman"/>
                <w:sz w:val="21"/>
                <w:szCs w:val="21"/>
                <w:color w:val="008000"/>
                <w:vertAlign w:val="superscript"/>
              </w:rPr>
              <w:t>(2)</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8.36</w:t>
            </w:r>
            <w:r>
              <w:rPr>
                <w:rFonts w:ascii="Times New Roman" w:cs="Times New Roman" w:eastAsia="Times New Roman" w:hAnsi="Times New Roman"/>
                <w:sz w:val="21"/>
                <w:szCs w:val="21"/>
                <w:color w:val="008000"/>
                <w:w w:val="89"/>
                <w:vertAlign w:val="superscript"/>
              </w:rPr>
              <w:t>(3)</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101,543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05/01/2026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980</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8.94</w:t>
            </w:r>
            <w:r>
              <w:rPr>
                <w:rFonts w:ascii="Times New Roman" w:cs="Times New Roman" w:eastAsia="Times New Roman" w:hAnsi="Times New Roman"/>
                <w:sz w:val="21"/>
                <w:szCs w:val="21"/>
                <w:color w:val="008000"/>
                <w:w w:val="89"/>
                <w:vertAlign w:val="superscript"/>
              </w:rPr>
              <w:t>(4)</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100,563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60" w:type="dxa"/>
            <w:vAlign w:val="bottom"/>
          </w:tcPr>
          <w:p>
            <w:pPr>
              <w:spacing w:after="0"/>
              <w:rPr>
                <w:sz w:val="11"/>
                <w:szCs w:val="11"/>
                <w:color w:val="auto"/>
              </w:rPr>
            </w:pP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11"/>
                <w:szCs w:val="11"/>
                <w:color w:val="auto"/>
              </w:rPr>
            </w:pP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jc w:val="right"/>
              <w:ind w:right="102"/>
              <w:spacing w:after="0"/>
              <w:rPr>
                <w:sz w:val="20"/>
                <w:szCs w:val="20"/>
                <w:color w:val="auto"/>
              </w:rPr>
            </w:pPr>
            <w:r>
              <w:rPr>
                <w:rFonts w:ascii="Arial" w:cs="Arial" w:eastAsia="Arial" w:hAnsi="Arial"/>
                <w:sz w:val="11"/>
                <w:szCs w:val="11"/>
                <w:b w:val="1"/>
                <w:bCs w:val="1"/>
                <w:color w:val="auto"/>
                <w:w w:val="81"/>
              </w:rPr>
              <w:t>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7.99</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11,296</w:t>
            </w:r>
          </w:p>
        </w:tc>
        <w:tc>
          <w:tcPr>
            <w:tcW w:w="340" w:type="dxa"/>
            <w:vAlign w:val="bottom"/>
          </w:tcPr>
          <w:p>
            <w:pPr>
              <w:spacing w:after="0"/>
              <w:rPr>
                <w:sz w:val="16"/>
                <w:szCs w:val="16"/>
                <w:color w:val="auto"/>
              </w:rPr>
            </w:pP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(5)</w:t>
            </w:r>
          </w:p>
        </w:tc>
        <w:tc>
          <w:tcPr>
            <w:tcW w:w="760" w:type="dxa"/>
            <w:vAlign w:val="bottom"/>
            <w:gridSpan w:val="2"/>
          </w:tcPr>
          <w:p>
            <w:pPr>
              <w:jc w:val="right"/>
              <w:ind w:right="70"/>
              <w:spacing w:after="0"/>
              <w:rPr>
                <w:sz w:val="20"/>
                <w:szCs w:val="20"/>
                <w:color w:val="auto"/>
              </w:rPr>
            </w:pPr>
            <w:r>
              <w:rPr>
                <w:rFonts w:ascii="Times New Roman" w:cs="Times New Roman" w:eastAsia="Times New Roman" w:hAnsi="Times New Roman"/>
                <w:sz w:val="13"/>
                <w:szCs w:val="13"/>
                <w:color w:val="0000FF"/>
              </w:rPr>
              <w:t>04/30/2033</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line="192" w:lineRule="exact"/>
              <w:rPr>
                <w:sz w:val="20"/>
                <w:szCs w:val="20"/>
                <w:color w:val="auto"/>
              </w:rPr>
            </w:pPr>
            <w:r>
              <w:rPr>
                <w:rFonts w:ascii="Times New Roman" w:cs="Times New Roman" w:eastAsia="Times New Roman" w:hAnsi="Times New Roman"/>
                <w:sz w:val="17"/>
                <w:szCs w:val="17"/>
                <w:color w:val="0000FF"/>
                <w:w w:val="98"/>
              </w:rPr>
              <w:t>11,296</w:t>
            </w:r>
            <w:r>
              <w:rPr>
                <w:rFonts w:ascii="Times New Roman" w:cs="Times New Roman" w:eastAsia="Times New Roman" w:hAnsi="Times New Roman"/>
                <w:sz w:val="21"/>
                <w:szCs w:val="21"/>
                <w:color w:val="008000"/>
                <w:w w:val="98"/>
                <w:vertAlign w:val="superscript"/>
              </w:rPr>
              <w:t>(6)</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11,296</w:t>
            </w:r>
          </w:p>
        </w:tc>
        <w:tc>
          <w:tcPr>
            <w:tcW w:w="28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gridSpan w:val="2"/>
          </w:tcPr>
          <w:p>
            <w:pPr>
              <w:ind w:left="10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("RSUs") granted under the Company's Stock Incentive plan, as amended and restated, for Board and Committee service. Each RSU represents a right to receive one share of Emergent BioSolutions Inc. (the "Company") common stock upon vesting. The shares underlying the RSUs will vest on the day prior to the one-year anniversary of the grant date ("Annual Grant Vesting Date"), subject to the reporting person remaining a member of the Company's board of directors through the Annual Grant Vesting Date.</w:t>
      </w:r>
    </w:p>
    <w:p>
      <w:pPr>
        <w:spacing w:after="0" w:line="27"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Shares were sold pursuant to a Rule 10b5-1 trading plan, dated August 8, 2025, for the purpose of satisfying tax obligations relating to the vesting of RSUs on April 29, 2026.</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for sales executed on the same day within a one-dollar price range. These shares were sold in multiple transactions at prices ranging from $7.70 to</w:t>
      </w:r>
    </w:p>
    <w:p>
      <w:pPr>
        <w:spacing w:after="0" w:line="5" w:lineRule="exact"/>
        <w:rPr>
          <w:sz w:val="24"/>
          <w:szCs w:val="24"/>
          <w:color w:val="auto"/>
        </w:rPr>
      </w:pPr>
    </w:p>
    <w:p>
      <w:pPr>
        <w:ind w:left="40" w:right="340"/>
        <w:spacing w:after="0" w:line="234" w:lineRule="auto"/>
        <w:rPr>
          <w:sz w:val="20"/>
          <w:szCs w:val="20"/>
          <w:color w:val="auto"/>
        </w:rPr>
      </w:pPr>
      <w:r>
        <w:rPr>
          <w:rFonts w:ascii="Times New Roman" w:cs="Times New Roman" w:eastAsia="Times New Roman" w:hAnsi="Times New Roman"/>
          <w:sz w:val="13"/>
          <w:szCs w:val="13"/>
          <w:color w:val="008000"/>
        </w:rPr>
        <w:t>$8.69,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6" w:lineRule="exact"/>
        <w:rPr>
          <w:sz w:val="24"/>
          <w:szCs w:val="24"/>
          <w:color w:val="auto"/>
        </w:rPr>
      </w:pPr>
    </w:p>
    <w:p>
      <w:pPr>
        <w:jc w:val="both"/>
        <w:ind w:left="40" w:right="340"/>
        <w:spacing w:after="0" w:line="238" w:lineRule="auto"/>
        <w:tabs>
          <w:tab w:leader="none" w:pos="16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for sales executed on the same day within a one-dollar price range. These shares were sold in multiple transactions at prices ranging from $8.70 to $8.99,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7"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stock options granted under the Company's Stock Incentive Plan, as amended and restated, for Board and Committee service. The shares underlying the options will vest on the Annual Grant Vesting Date, subject to the reporting person remaining a member of the Company's board of directors through the Annual Grant Vesting Date. Each stock option represents a right to purchase one share of the Company's common stock upon vesting at the exercise price.</w:t>
      </w:r>
    </w:p>
    <w:p>
      <w:pPr>
        <w:spacing w:after="0" w:line="27" w:lineRule="exact"/>
        <w:rPr>
          <w:rFonts w:ascii="Times New Roman" w:cs="Times New Roman" w:eastAsia="Times New Roman" w:hAnsi="Times New Roman"/>
          <w:sz w:val="13"/>
          <w:szCs w:val="13"/>
          <w:color w:val="008000"/>
        </w:rPr>
      </w:pPr>
    </w:p>
    <w:p>
      <w:pPr>
        <w:ind w:left="40" w:right="300"/>
        <w:spacing w:after="0" w:line="251" w:lineRule="auto"/>
        <w:tabs>
          <w:tab w:leader="none" w:pos="16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options granted was determined by multiplying 25% of the total non-employee director compensation value, and then dividing by the Black-Scholes value of a single option calculated as of the date of the grant.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Richard S. Lindahl,</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05/04/2026</w:t>
            </w:r>
          </w:p>
        </w:tc>
        <w:tc>
          <w:tcPr>
            <w:tcW w:w="0" w:type="dxa"/>
            <w:vAlign w:val="bottom"/>
          </w:tcPr>
          <w:p>
            <w:pPr>
              <w:spacing w:after="0"/>
              <w:rPr>
                <w:sz w:val="1"/>
                <w:szCs w:val="1"/>
                <w:color w:val="auto"/>
              </w:rPr>
            </w:pPr>
          </w:p>
        </w:tc>
      </w:tr>
      <w:tr>
        <w:trPr>
          <w:trHeight w:val="87"/>
        </w:trPr>
        <w:tc>
          <w:tcPr>
            <w:tcW w:w="10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6908"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2026-05-04T16:40:03Z</dcterms:created>
  <dcterms:modified xsi:type="dcterms:W3CDTF">2026-05-04T16:40:03Z</dcterms:modified>
</cp:coreProperties>
</file>