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White Marvin L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400 PROFESSIONAL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115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Emergent BioSolutions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EBS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05/20/2021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GAITHERSBURG MD</w:t>
            </w:r>
          </w:p>
        </w:tc>
        <w:tc>
          <w:tcPr>
            <w:tcW w:w="1580" w:type="dxa"/>
            <w:vAlign w:val="bottom"/>
          </w:tcPr>
          <w:p>
            <w:pPr>
              <w:jc w:val="right"/>
              <w:ind w:right="6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20879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8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05/20/2021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5,027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8,656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Consists of restricted stock units granted under the Company's Stock Incentive Plan, as amended and restated.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6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in three equal annual installments beginning on the earlier of: (i) the day prior to the first anniversary of the date of grant, or (ii) the day prior to annual shareholder meeting; assuming continued service with the company.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S. Scott Lieberman,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05/24/2021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4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Attorney-in-fact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93324" TargetMode="External"/><Relationship Id="rId13" Type="http://schemas.openxmlformats.org/officeDocument/2006/relationships/hyperlink" Target="http://www.sec.gov/cgi-bin/browse-edgar?action=getcompany&amp;CIK=00013676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2021-05-24T16:10:21Z</dcterms:created>
  <dcterms:modified xsi:type="dcterms:W3CDTF">2021-05-24T16:10:21Z</dcterms:modified>
</cp:coreProperties>
</file>