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June 06, 2022</w:t>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EMERGENT BIOSOLUTIONS INC.</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3" w:lineRule="exact"/>
        <w:rPr>
          <w:sz w:val="24"/>
          <w:szCs w:val="24"/>
          <w:color w:val="auto"/>
        </w:rPr>
      </w:pPr>
    </w:p>
    <w:tbl>
      <w:tblPr>
        <w:tblLayout w:type="fixed"/>
        <w:tblInd w:w="1180" w:type="dxa"/>
        <w:tblCellMar>
          <w:top w:w="0" w:type="dxa"/>
          <w:left w:w="0" w:type="dxa"/>
          <w:bottom w:w="0" w:type="dxa"/>
          <w:right w:w="0" w:type="dxa"/>
        </w:tblCellMar>
      </w:tblPr>
      <w:tr>
        <w:trPr>
          <w:trHeight w:val="233"/>
        </w:trPr>
        <w:tc>
          <w:tcPr>
            <w:tcW w:w="26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001-33137</w:t>
            </w: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14-1902018</w:t>
            </w:r>
          </w:p>
        </w:tc>
      </w:tr>
      <w:tr>
        <w:trPr>
          <w:trHeight w:val="230"/>
        </w:trPr>
        <w:tc>
          <w:tcPr>
            <w:tcW w:w="26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6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 incorporation)</w:t>
            </w:r>
          </w:p>
        </w:tc>
        <w:tc>
          <w:tcPr>
            <w:tcW w:w="368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7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400 Professional Drive, Suite 400,</w:t>
      </w:r>
    </w:p>
    <w:p>
      <w:pPr>
        <w:spacing w:after="0" w:line="3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Gaithersburg, Maryland 20879</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(240) 631-3200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3" w:lineRule="auto"/>
        <w:tabs>
          <w:tab w:leader="none" w:pos="2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270" w:type="dxa"/>
        <w:tblCellMar>
          <w:top w:w="0" w:type="dxa"/>
          <w:left w:w="0" w:type="dxa"/>
          <w:bottom w:w="0" w:type="dxa"/>
          <w:right w:w="0" w:type="dxa"/>
        </w:tblCellMar>
      </w:tblPr>
      <w:tr>
        <w:trPr>
          <w:trHeight w:val="224"/>
        </w:trPr>
        <w:tc>
          <w:tcPr>
            <w:tcW w:w="4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EBS</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9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3"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2, 2020, Emergent BioSolutions Inc., through its wholly-owned subsidiary, Emergent Manufacturing Operations Baltimore, LLC (collectively, the “Company”), entered into a manufacturing services agreement (the “Agreement”) with Janssen Pharmaceuticals, Inc., one of the Janssen Pharmaceutical Companies of Johnson &amp; Johnson (“Janssen”), for large-scale drug substance manufacturing of Johnson &amp; Johnson’s investigational SARS-CoV-2 vaccine, Ad26.COV2-S, recombinant based on the AdVac® technology (the “Product”).</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6, 2022, the Company provided to Janssen a notice (the “Notice”) of material breach of the Agreement for, among other things, (i) failure by Janssen to provide the Company the requisite forecasts of the required quantity of Product to be purchased by Janssen under the Agreement; (ii) to confirm Janssen’s intent to not purchase the requisite minimum quantity of the Product pursuant to the Agreement; and (iii) instead, wind-down the Agreement ahead of fulfilling these minimum requirements.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Agreement provides, in pertinent part, the following terms, among others, for notice, cure, and termination: Janssen has the right to terminate the Agreement by written notice to the Company (a) if thirty (30) days following receipt by the Company of written notice from Janssen of a material breach of the Agreement, the Company has failed to start and diligently pursue the cure of such breach, and (b) upon twelve (12) months’ advance written notice if Janssen decides to stop selling the Product. The Company has the right to terminate the Agreement by written notice to Janssen if thirty (30) days following receipt by Janssen of written notice from the Company of a material breach of the Agreement Janssen has failed to cure such breach. Upon notification of termination, the Company agrees to promptly cease performing services under the Agreement and to take reasonable steps to mitigate expenses incurred therewith. Termination of the Agreement will not affect the obligation of either party to make any payments for which it is liable prior to or upon such termination, including payment by Janssen for certain raw materials purchased pursuant to the Agreement prior to its termination, and payment by Janssen for all services related to the required minimum quantity.</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Under the terms of the Agreement, the Company had agreed to provide contract development and manufacturing (CDMO) services to produce drug substance at large scale for up to five years, originally valued at approximately $480 million in the first two contract years. At the time of the Notice, it is the Company’s position that the payments owed to the Company by Janssen, if the Agreement were to be terminated, would be in the estimated range of approximately $125 million to $420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Harbor Statement</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Current Report on Form 8-K (“Current Report”) includes forward-looking statements within the meaning of the Private Securities Litigation Reform Act of 1995. Any statements, other than statements of historical fact, including statements related to the estimated range of payments the Company will receive if the agreement were to be terminated, are forward-looking statements. The reader should not unduly rely on any forward-looking statements, which speak only as of the date of this Current Report. There are a number of factors that could cause actual results to differ from the forward-looking statements, including, but not limited to, those identified in the risk factors contained in our periodic reports filed with the Securities and Exchange Commission.</w:t>
      </w:r>
    </w:p>
    <w:p>
      <w:pPr>
        <w:spacing w:after="0" w:line="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EMERGENT BIOSOLUTIONS INC.</w:t>
      </w:r>
    </w:p>
    <w:p>
      <w:pPr>
        <w:spacing w:after="0" w:line="256" w:lineRule="exact"/>
        <w:rPr>
          <w:sz w:val="20"/>
          <w:szCs w:val="20"/>
          <w:color w:val="auto"/>
        </w:rPr>
      </w:pPr>
    </w:p>
    <w:p>
      <w:pPr>
        <w:ind w:left="5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Dated: June 06,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2872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Richard S. Lindahl</w:t>
      </w:r>
    </w:p>
    <w:p>
      <w:pPr>
        <w:ind w:left="6240"/>
        <w:spacing w:after="0" w:line="205" w:lineRule="auto"/>
        <w:rPr>
          <w:sz w:val="20"/>
          <w:szCs w:val="20"/>
          <w:color w:val="auto"/>
        </w:rPr>
      </w:pPr>
      <w:r>
        <w:rPr>
          <w:rFonts w:ascii="Times New Roman" w:cs="Times New Roman" w:eastAsia="Times New Roman" w:hAnsi="Times New Roman"/>
          <w:sz w:val="18"/>
          <w:szCs w:val="18"/>
          <w:color w:val="auto"/>
        </w:rPr>
        <w:t>Title: Executive Vice President, Chief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Officer and Treasurer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2022-06-06T07:04:54Z</dcterms:created>
  <dcterms:modified xsi:type="dcterms:W3CDTF">2022-06-06T07:04:54Z</dcterms:modified>
</cp:coreProperties>
</file>