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23, 2020</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652" w:right="499" w:bottom="1440" w:gutter="0" w:footer="0" w:header="0"/>
        </w:sectPr>
      </w:pPr>
    </w:p>
    <w:p>
      <w:pPr>
        <w:spacing w:after="0" w:line="367"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001-33137</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14-1902018</w:t>
      </w:r>
    </w:p>
    <w:p>
      <w:pPr>
        <w:spacing w:after="0" w:line="90" w:lineRule="exact"/>
        <w:rPr>
          <w:sz w:val="24"/>
          <w:szCs w:val="24"/>
          <w:color w:val="auto"/>
        </w:rPr>
      </w:pPr>
    </w:p>
    <w:p>
      <w:pPr>
        <w:sectPr>
          <w:pgSz w:w="11900" w:h="16838" w:orient="portrait"/>
          <w:cols w:equalWidth="0" w:num="3">
            <w:col w:w="4520" w:space="720"/>
            <w:col w:w="2720" w:space="720"/>
            <w:col w:w="2400"/>
          </w:cols>
          <w:pgMar w:left="320" w:top="652" w:right="499" w:bottom="1440" w:gutter="0" w:footer="0" w:header="0"/>
          <w:type w:val="continuous"/>
        </w:sectPr>
      </w:pPr>
    </w:p>
    <w:p>
      <w:pPr>
        <w:jc w:val="center"/>
        <w:ind w:left="360"/>
        <w:spacing w:after="0"/>
        <w:rPr>
          <w:sz w:val="20"/>
          <w:szCs w:val="20"/>
          <w:color w:val="auto"/>
        </w:rPr>
      </w:pPr>
      <w:r>
        <w:rPr>
          <w:rFonts w:ascii="Arial" w:cs="Arial" w:eastAsia="Arial" w:hAnsi="Arial"/>
          <w:sz w:val="16"/>
          <w:szCs w:val="16"/>
          <w:color w:val="auto"/>
        </w:rPr>
        <w:t>(State or other jurisdiction</w:t>
      </w:r>
    </w:p>
    <w:p>
      <w:pPr>
        <w:spacing w:after="0" w:line="86"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8"/>
          <w:szCs w:val="18"/>
          <w:color w:val="auto"/>
        </w:rPr>
        <w:t>(IRS Employer</w:t>
      </w:r>
    </w:p>
    <w:p>
      <w:pPr>
        <w:spacing w:after="0" w:line="63" w:lineRule="exact"/>
        <w:rPr>
          <w:sz w:val="24"/>
          <w:szCs w:val="24"/>
          <w:color w:val="auto"/>
        </w:rPr>
      </w:pPr>
    </w:p>
    <w:p>
      <w:pPr>
        <w:jc w:val="center"/>
        <w:ind w:right="1300"/>
        <w:spacing w:after="0"/>
        <w:rPr>
          <w:sz w:val="20"/>
          <w:szCs w:val="20"/>
          <w:color w:val="auto"/>
        </w:rPr>
      </w:pPr>
      <w:r>
        <w:rPr>
          <w:rFonts w:ascii="Arial" w:cs="Arial" w:eastAsia="Arial" w:hAnsi="Arial"/>
          <w:sz w:val="17"/>
          <w:szCs w:val="17"/>
          <w:color w:val="auto"/>
        </w:rPr>
        <w:t>Identification No.)</w:t>
      </w:r>
    </w:p>
    <w:p>
      <w:pPr>
        <w:spacing w:after="0" w:line="47" w:lineRule="exact"/>
        <w:rPr>
          <w:sz w:val="24"/>
          <w:szCs w:val="24"/>
          <w:color w:val="auto"/>
        </w:rPr>
      </w:pPr>
    </w:p>
    <w:p>
      <w:pPr>
        <w:sectPr>
          <w:pgSz w:w="11900" w:h="16838" w:orient="portrait"/>
          <w:cols w:equalWidth="0" w:num="3">
            <w:col w:w="3920" w:space="720"/>
            <w:col w:w="3080" w:space="720"/>
            <w:col w:w="2640"/>
          </w:cols>
          <w:pgMar w:left="320" w:top="652" w:right="499" w:bottom="1440" w:gutter="0" w:footer="0" w:header="0"/>
          <w:type w:val="continuous"/>
        </w:sectPr>
      </w:pPr>
    </w:p>
    <w:p>
      <w:pPr>
        <w:ind w:left="4100"/>
        <w:spacing w:after="0"/>
        <w:rPr>
          <w:sz w:val="20"/>
          <w:szCs w:val="20"/>
          <w:color w:val="auto"/>
        </w:rPr>
      </w:pPr>
      <w:r>
        <w:rPr>
          <w:rFonts w:ascii="Arial" w:cs="Arial" w:eastAsia="Arial" w:hAnsi="Arial"/>
          <w:sz w:val="22"/>
          <w:szCs w:val="22"/>
          <w:b w:val="1"/>
          <w:bCs w:val="1"/>
          <w:color w:val="auto"/>
        </w:rPr>
        <w:t>400 Professional Drive, Suite 400,</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080"/>
          </w:cols>
          <w:pgMar w:left="320" w:top="652" w:right="499" w:bottom="1440" w:gutter="0" w:footer="0" w:header="0"/>
          <w:type w:val="continuous"/>
        </w:sectPr>
      </w:pP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2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84" w:lineRule="exact"/>
        <w:rPr>
          <w:sz w:val="24"/>
          <w:szCs w:val="24"/>
          <w:color w:val="auto"/>
        </w:rPr>
      </w:pPr>
    </w:p>
    <w:tbl>
      <w:tblPr>
        <w:tblLayout w:type="fixed"/>
        <w:tblInd w:w="270"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EBS</w:t>
            </w:r>
          </w:p>
        </w:tc>
        <w:tc>
          <w:tcPr>
            <w:tcW w:w="4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080"/>
          </w:cols>
          <w:pgMar w:left="320" w:top="652"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9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April 23, 2020, Emergent BioSolutions Inc. (the “Company”) issued a press release announcing an agreement to support the manufacturing of Johnson &amp; Johnson’s lead vaccine candidate for COVID-19. A copy of the press release related to such announcement is furnished as Exhibit 99 to this Current Report on Form 8-K.</w:t>
      </w:r>
    </w:p>
    <w:p>
      <w:pPr>
        <w:spacing w:after="0" w:line="184"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i w:val="1"/>
          <w:iCs w:val="1"/>
          <w:color w:val="auto"/>
        </w:rPr>
        <w:t>The information in this section is “furnished” and not “filed” for purposes of Section 18 of the Securities Exchange Act of 1934, or otherwise subject to the liabilities of that section. It may only be incorporated by reference in another filing under the Securities Exchange Act of 1934 or the Securities Act of 1933 only if and to the extent such subsequent filing specifically references the information incorporated by reference herein</w:t>
      </w:r>
      <w:r>
        <w:rPr>
          <w:rFonts w:ascii="Arial" w:cs="Arial" w:eastAsia="Arial" w:hAnsi="Arial"/>
          <w:sz w:val="16"/>
          <w:szCs w:val="16"/>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r>
        <w:rPr>
          <w:rFonts w:ascii="Arial" w:cs="Arial" w:eastAsia="Arial" w:hAnsi="Arial"/>
          <w:sz w:val="18"/>
          <w:szCs w:val="18"/>
          <w:color w:val="auto"/>
        </w:rPr>
        <w:t>.</w:t>
      </w:r>
    </w:p>
    <w:p>
      <w:pPr>
        <w:spacing w:after="0" w:line="39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April 20, 2020, Emergent Manufacturing Operations Baltimore, LLC, a subsidiary of the Company, entered into a technology transfer letter agreement with Janssen Pharmaceutical Companies of Johnson &amp; Johnson to provide CDMO services for technical transfer and process validation and to reserve certain manufacturing capacity to enable large-scale manufacturing of Johnson &amp; Johnson’s lead vaccine candidate for COVID-19.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8280" w:type="dxa"/>
            <w:vAlign w:val="bottom"/>
          </w:tcPr>
          <w:p>
            <w:pPr>
              <w:ind w:left="37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r>
      <w:tr>
        <w:trPr>
          <w:trHeight w:val="237"/>
        </w:trPr>
        <w:tc>
          <w:tcPr>
            <w:tcW w:w="1660" w:type="dxa"/>
            <w:vAlign w:val="bottom"/>
          </w:tcPr>
          <w:p>
            <w:pPr>
              <w:ind w:left="4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20"/>
                <w:szCs w:val="20"/>
                <w:color w:val="auto"/>
              </w:rPr>
            </w:pPr>
          </w:p>
        </w:tc>
        <w:tc>
          <w:tcPr>
            <w:tcW w:w="828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Press release issued by the Company on April 23, 2020.</w:t>
              </w:r>
            </w:hyperlink>
          </w:p>
        </w:tc>
      </w:tr>
    </w:tbl>
    <w:p>
      <w:pPr>
        <w:spacing w:after="0" w:line="200" w:lineRule="exact"/>
        <w:rPr>
          <w:sz w:val="20"/>
          <w:szCs w:val="20"/>
          <w:color w:val="auto"/>
        </w:rPr>
      </w:pPr>
    </w:p>
    <w:p>
      <w:pPr>
        <w:spacing w:after="0" w:line="27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Emergent BioSolutions Inc. Current Report on Form 8-K, dated April 23, 2020, formatted in XBRL (Extensible</w:t>
      </w:r>
    </w:p>
    <w:p>
      <w:pPr>
        <w:spacing w:after="0" w:line="23" w:lineRule="exact"/>
        <w:rPr>
          <w:sz w:val="20"/>
          <w:szCs w:val="20"/>
          <w:color w:val="auto"/>
        </w:rPr>
      </w:pPr>
    </w:p>
    <w:p>
      <w:pPr>
        <w:ind w:left="2500" w:right="700" w:hanging="1959"/>
        <w:spacing w:after="0" w:line="260" w:lineRule="auto"/>
        <w:tabs>
          <w:tab w:leader="none" w:pos="2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Business Reporting Language): Cover Page. The instance document does not appear in the Interactive Data File because its XBRL tags are embedded within the Inline XBRL document.</w:t>
      </w:r>
    </w:p>
    <w:p>
      <w:pPr>
        <w:spacing w:after="0" w:line="239" w:lineRule="exact"/>
        <w:rPr>
          <w:sz w:val="20"/>
          <w:szCs w:val="20"/>
          <w:color w:val="auto"/>
        </w:rPr>
      </w:pPr>
    </w:p>
    <w:p>
      <w:pPr>
        <w:ind w:left="540"/>
        <w:spacing w:after="0"/>
        <w:tabs>
          <w:tab w:leader="none" w:pos="2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EMERGENT BIOSOLUTIONS INC.</w:t>
      </w:r>
    </w:p>
    <w:p>
      <w:pPr>
        <w:spacing w:after="0" w:line="337" w:lineRule="exact"/>
        <w:rPr>
          <w:sz w:val="20"/>
          <w:szCs w:val="20"/>
          <w:color w:val="auto"/>
        </w:rPr>
      </w:pPr>
    </w:p>
    <w:p>
      <w:pPr>
        <w:ind w:left="520"/>
        <w:spacing w:after="0"/>
        <w:tabs>
          <w:tab w:leader="none" w:pos="5740" w:val="left"/>
          <w:tab w:leader="none" w:pos="6260" w:val="left"/>
        </w:tabs>
        <w:rPr>
          <w:sz w:val="20"/>
          <w:szCs w:val="20"/>
          <w:color w:val="auto"/>
        </w:rPr>
      </w:pPr>
      <w:r>
        <w:rPr>
          <w:rFonts w:ascii="Arial" w:cs="Arial" w:eastAsia="Arial" w:hAnsi="Arial"/>
          <w:sz w:val="18"/>
          <w:szCs w:val="18"/>
          <w:color w:val="auto"/>
        </w:rPr>
        <w:t>Dated: April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2863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Name:Richard S. Lindahl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 Chief Financial</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240"/>
          </w:cols>
          <w:pgMar w:left="320" w:top="607"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5857240</wp:posOffset>
            </wp:positionH>
            <wp:positionV relativeFrom="page">
              <wp:posOffset>88900</wp:posOffset>
            </wp:positionV>
            <wp:extent cx="1482725"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2547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Emergent BioSolutions Signs Agreement to be U.S. Manufacturing Partner for Johnson &amp; Johnson’s Lead Vaccine Candidate for COVID-19</w:t>
      </w:r>
    </w:p>
    <w:p>
      <w:pPr>
        <w:spacing w:after="0" w:line="241" w:lineRule="exact"/>
        <w:rPr>
          <w:sz w:val="20"/>
          <w:szCs w:val="20"/>
          <w:color w:val="auto"/>
        </w:rPr>
      </w:pPr>
    </w:p>
    <w:p>
      <w:pPr>
        <w:ind w:left="660" w:right="40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Emergent will provide contract development and manufacturing services to support Johnson &amp; Johnson’s commitment of one billion doses of vaccine for worldwide emergency pandemic use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valued at approximately $135 million</w:t>
      </w:r>
    </w:p>
    <w:p>
      <w:pPr>
        <w:spacing w:after="0" w:line="220"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GAITHERSBURG, Md., April 23, 2020 </w:t>
      </w:r>
      <w:r>
        <w:rPr>
          <w:rFonts w:ascii="Arial" w:cs="Arial" w:eastAsia="Arial" w:hAnsi="Arial"/>
          <w:sz w:val="17"/>
          <w:szCs w:val="17"/>
          <w:color w:val="auto"/>
        </w:rPr>
        <w:t>— Emergent BioSolutions Inc. (NYSE:EBS) today announced an agreement whereby Emergent will deploy its</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development and manufacturing (CDMO) services to support the manufacturing of Johnson &amp; Johnson’s lead vaccine candidate for COVID-19 that leverages the AdVac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PER.C6</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technologies from the Janssen Pharmaceutical Companies of Johnson &amp; Johnson.</w:t>
      </w:r>
    </w:p>
    <w:p>
      <w:pPr>
        <w:spacing w:after="0" w:line="65"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Robert G. Kramer Sr., president and chief executive officer of Emergent BioSolutions, stated, “When mission-driven organizations combine talents and capabilities, potential solutions to serious issues like COVID-19 become more within reach to benefit patients. We are proud of our collaboration with Johnson &amp; Johnson and are equally committed to our longstanding relationship with the U.S. government. At a time like this, we all need to be working together to achieve maximum results for public health. Emergent is committed to our mission – to protect and enhance life – by advancing our own therapies and helping partner companies advance their programs as well.”</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Under the agreement, valued at approximately $135 million, Emergent will provide drug substance manufacturing services with its molecule-to-market CDMO offering, supported by investments from Johnson &amp; Johnson beginning in 2020, and will reserve certain large-scale manufacturing capacity to pave the way for commercial manufacturing of Janssen’s adenovirus-based COVID-19 vaccine beginning in 2021.</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support Johnson &amp; Johnson’s goal of supplying one billion doses of a COVID-19 vaccine, a long-term commercial manufacturing agreement is under negotiation for large-scale drug substance manufacturing anticipated to begin in 2021.</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Large-scale manufacturing of drug substance for Johnson &amp; Johnson’s vaccine candidate will be done at Emergent’s Baltimore Bayview facility, a Center for Innovation in Advanced Development and Manufacturing (CIADM) designed for rapid manufacturing of vaccines and treatments in large quantities during public health emergencies. Emergent’s CIADM is a result of a public-private partnership with the U.S. Department of Health and Human Services (HHS).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“Eight years ago, HHS invested in novel public-private partnerships to create three Centers for Innovation in Advanced Development and Manufacturing or CIADMs to help strengthen the nation’s biotech infrastructure to prepare and respond to emergencies,” said Gary Disbrow, Ph.D., acting director of the Biomedical Advanced Research and Development Authority. “Leveraging the capacity available at the Bayview CIADM to speed development and manufacturing of COVID-19 vaccine is precisely how we envisioned these centers be used in pandemic response.”</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Syed T. Husain, senior vice president and CDMO business unit head at Emergent, stated, “We share with our partners the same urgency to combat COVID-19 and will leverage our talents, capabilities, and capacities up to 300 million doses to advance this much-needed vaccine candidate and ensure ongoing commercial supply through our CDMO services.”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Emergent’s Bayview facility has unique capabilities across four independent suites to produce at clinical scale to get candidates rapidly into the clinic, while at the same time scaling up to enable large-scale manufacturing to up to 4000L to prepare for production of commercial volumes to meet customer demand. The CIADM has the capacity to produce tens to hundreds of millions of doses of vaccine on an annual basis, based upon the platform technology being used.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5857240</wp:posOffset>
            </wp:positionH>
            <wp:positionV relativeFrom="page">
              <wp:posOffset>88900</wp:posOffset>
            </wp:positionV>
            <wp:extent cx="148272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261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color w:val="auto"/>
        </w:rPr>
        <w:t xml:space="preserve">to deliver peace of mind to our patients and customers so they can focus on what’s most important in their lives. In working together, we envision protecting or enhancing 1 billion lives by 2030. For more information visit </w:t>
      </w:r>
      <w:r>
        <w:rPr>
          <w:rFonts w:ascii="Arial" w:cs="Arial" w:eastAsia="Arial" w:hAnsi="Arial"/>
          <w:sz w:val="21"/>
          <w:szCs w:val="21"/>
          <w:u w:val="single" w:color="auto"/>
          <w:color w:val="0000FF"/>
        </w:rPr>
        <w:t>www.emergentbiosolutions.com</w:t>
      </w:r>
      <w:r>
        <w:rPr>
          <w:rFonts w:ascii="Arial" w:cs="Arial" w:eastAsia="Arial" w:hAnsi="Arial"/>
          <w:sz w:val="18"/>
          <w:szCs w:val="18"/>
          <w:color w:val="auto"/>
        </w:rPr>
        <w:t>. Find us on LinkedIn and follow us on Twitter @emergentbiosolu and Instagram @life_at_emergent.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Emergent’s Response to COVID-19</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Emergent BioSolutions is using its decades of experience in vaccine and hyperimmune development and manufacturing, as well as its molecule-to-market contract development and manufacturing (CDMO) offerings to provide comprehensive medical countermeasure solutions in response to the COVID-19 pandemic. Emergent is developing two potential treatments, COVID-Hyper Immune Globulin (COVID-HIG), a human plasma-derived therapy candidate for treatment of COVID-19 in severe hospitalized and high-risk patients, and COVID-Equine Immune Globulin (COVID-EIG), an equine plasma-derived therapy candidate for treatment of severe disease. Both candidates are anticipated to be in Phase 2 clinical studies over the summer.</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Emergent has announced collaborations with three fellow innovators to develop and manufacture their COVID-19 vaccine candidates. Most recently, Emergent was selected as U.S. manufacturing partner for a vaccine candidate expected to be in a Phase 1 human study by September in support of a goal to produce 1 billion doses of vaccine worldwide. Earlier partnerships include a vaccine candidate expected to be in a Phase 1 study in May and an oral vaccine candidate expected to be in a Phase 1 study in the second half of 2020. For the COVID-19 vaccine collaborations, Emergent’s integrated CDMO network provides development services from its Gaithersburg facility, drug substance manufacturing at its Baltimore Bayview facility, and drug product manufacturing at its Baltimore Camden facility, all in Maryland.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22 years Emergent has focused on advancing public health and its multi-pronged approach to tackling COVID-19 demonstrates its commitment to its mission – to protect and enhance 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Any statements, other than statements of historical fact, including statements regarding our ability to produce viable COVID-19 vaccine candidates at the prescribed scale and on the anticipated timeline and pave their potential pathway to licensure, as well as the negotiation of another contract related to the second phase of the collaboration and deployment of capacity toward future commercial manufacturing,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8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There are a number of important factors that could cause the company's actual results to differ materially from those indicated by such forward-looking statements, including the success of the planned development programs; the timing of and ability to obtain and maintain regulatory approvals for the product candidates; and our commercialization, marketing and manufacturing capabilities.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5857240</wp:posOffset>
            </wp:positionH>
            <wp:positionV relativeFrom="page">
              <wp:posOffset>88900</wp:posOffset>
            </wp:positionV>
            <wp:extent cx="148272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261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Miko B. Neri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240-631-3392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NeriM@ebsi.com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BurrowsR@ebsi.com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2020-04-24T05:07:04Z</dcterms:created>
  <dcterms:modified xsi:type="dcterms:W3CDTF">2020-04-24T05:07:04Z</dcterms:modified>
</cp:coreProperties>
</file>