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30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For the transition period from to</w:t>
            </w:r>
          </w:p>
        </w:tc>
        <w:tc>
          <w:tcPr>
            <w:tcW w:w="1440" w:type="dxa"/>
            <w:vAlign w:val="bottom"/>
          </w:tcPr>
          <w:p>
            <w:pPr>
              <w:spacing w:after="0"/>
              <w:rPr>
                <w:sz w:val="20"/>
                <w:szCs w:val="20"/>
                <w:color w:val="auto"/>
              </w:rPr>
            </w:pPr>
          </w:p>
        </w:tc>
      </w:tr>
      <w:tr>
        <w:trPr>
          <w:trHeight w:val="441"/>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Commission file number: 001-33137</w:t>
            </w:r>
          </w:p>
        </w:tc>
        <w:tc>
          <w:tcPr>
            <w:tcW w:w="1440" w:type="dxa"/>
            <w:vAlign w:val="bottom"/>
          </w:tcPr>
          <w:p>
            <w:pPr>
              <w:spacing w:after="0"/>
              <w:rPr>
                <w:sz w:val="24"/>
                <w:szCs w:val="24"/>
                <w:color w:val="auto"/>
              </w:rPr>
            </w:pPr>
          </w:p>
        </w:tc>
      </w:tr>
      <w:tr>
        <w:trPr>
          <w:trHeight w:val="220"/>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rPr>
              <w:t>EMERGENT BIOSOLUTIONS INC.</w:t>
            </w:r>
          </w:p>
        </w:tc>
        <w:tc>
          <w:tcPr>
            <w:tcW w:w="1440" w:type="dxa"/>
            <w:vAlign w:val="bottom"/>
          </w:tcPr>
          <w:p>
            <w:pPr>
              <w:spacing w:after="0"/>
              <w:rPr>
                <w:sz w:val="19"/>
                <w:szCs w:val="19"/>
                <w:color w:val="auto"/>
              </w:rPr>
            </w:pPr>
          </w:p>
        </w:tc>
      </w:tr>
      <w:tr>
        <w:trPr>
          <w:trHeight w:val="230"/>
        </w:trPr>
        <w:tc>
          <w:tcPr>
            <w:tcW w:w="6820" w:type="dxa"/>
            <w:vAlign w:val="bottom"/>
          </w:tcPr>
          <w:p>
            <w:pPr>
              <w:jc w:val="center"/>
              <w:ind w:left="25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440" w:type="dxa"/>
            <w:vAlign w:val="bottom"/>
          </w:tcPr>
          <w:p>
            <w:pPr>
              <w:spacing w:after="0"/>
              <w:rPr>
                <w:sz w:val="20"/>
                <w:szCs w:val="20"/>
                <w:color w:val="auto"/>
              </w:rPr>
            </w:pPr>
          </w:p>
        </w:tc>
      </w:tr>
      <w:tr>
        <w:trPr>
          <w:trHeight w:val="445"/>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16"/>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3"/>
              </w:rPr>
              <w:t>(State or Other Jurisdiction of</w:t>
            </w:r>
          </w:p>
        </w:tc>
        <w:tc>
          <w:tcPr>
            <w:tcW w:w="1440" w:type="dxa"/>
            <w:vAlign w:val="bottom"/>
          </w:tcPr>
          <w:p>
            <w:pPr>
              <w:jc w:val="center"/>
              <w:ind w:left="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820" w:type="dxa"/>
            <w:vAlign w:val="bottom"/>
          </w:tcPr>
          <w:p>
            <w:pPr>
              <w:jc w:val="center"/>
              <w:ind w:right="2970"/>
              <w:spacing w:after="0"/>
              <w:rPr>
                <w:sz w:val="20"/>
                <w:szCs w:val="20"/>
                <w:color w:val="auto"/>
              </w:rPr>
            </w:pPr>
            <w:r>
              <w:rPr>
                <w:rFonts w:ascii="Arial" w:cs="Arial" w:eastAsia="Arial" w:hAnsi="Arial"/>
                <w:sz w:val="18"/>
                <w:szCs w:val="18"/>
                <w:i w:val="1"/>
                <w:iCs w:val="1"/>
                <w:color w:val="auto"/>
                <w:w w:val="95"/>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89"/>
              </w:rPr>
              <w:t>400 Professional Drive, Suite 400</w:t>
            </w:r>
          </w:p>
        </w:tc>
        <w:tc>
          <w:tcPr>
            <w:tcW w:w="1440" w:type="dxa"/>
            <w:vAlign w:val="bottom"/>
          </w:tcPr>
          <w:p>
            <w:pPr>
              <w:spacing w:after="0"/>
              <w:rPr>
                <w:sz w:val="24"/>
                <w:szCs w:val="24"/>
                <w:color w:val="auto"/>
              </w:rPr>
            </w:pPr>
          </w:p>
        </w:tc>
      </w:tr>
      <w:tr>
        <w:trPr>
          <w:trHeight w:val="220"/>
        </w:trPr>
        <w:tc>
          <w:tcPr>
            <w:tcW w:w="6820" w:type="dxa"/>
            <w:vAlign w:val="bottom"/>
          </w:tcPr>
          <w:p>
            <w:pPr>
              <w:jc w:val="center"/>
              <w:ind w:right="2950"/>
              <w:spacing w:after="0"/>
              <w:rPr>
                <w:sz w:val="20"/>
                <w:szCs w:val="20"/>
                <w:color w:val="auto"/>
              </w:rPr>
            </w:pPr>
            <w:r>
              <w:rPr>
                <w:rFonts w:ascii="Arial" w:cs="Arial" w:eastAsia="Arial" w:hAnsi="Arial"/>
                <w:sz w:val="18"/>
                <w:szCs w:val="18"/>
                <w:b w:val="1"/>
                <w:bCs w:val="1"/>
                <w:color w:val="auto"/>
                <w:w w:val="94"/>
              </w:rPr>
              <w:t>Gaithersburg, Maryland</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20879</w:t>
            </w:r>
          </w:p>
        </w:tc>
      </w:tr>
      <w:tr>
        <w:trPr>
          <w:trHeight w:val="230"/>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(Zip Code)</w:t>
            </w:r>
          </w:p>
        </w:tc>
      </w:tr>
      <w:tr>
        <w:trPr>
          <w:trHeight w:val="445"/>
        </w:trPr>
        <w:tc>
          <w:tcPr>
            <w:tcW w:w="6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(240) 631-3200</w:t>
            </w:r>
          </w:p>
        </w:tc>
        <w:tc>
          <w:tcPr>
            <w:tcW w:w="1440" w:type="dxa"/>
            <w:vAlign w:val="bottom"/>
          </w:tcPr>
          <w:p>
            <w:pPr>
              <w:spacing w:after="0"/>
              <w:rPr>
                <w:sz w:val="24"/>
                <w:szCs w:val="24"/>
                <w:color w:val="auto"/>
              </w:rPr>
            </w:pPr>
          </w:p>
        </w:tc>
      </w:tr>
      <w:tr>
        <w:trPr>
          <w:trHeight w:val="230"/>
        </w:trPr>
        <w:tc>
          <w:tcPr>
            <w:tcW w:w="6820" w:type="dxa"/>
            <w:vAlign w:val="bottom"/>
          </w:tcPr>
          <w:p>
            <w:pPr>
              <w:jc w:val="center"/>
              <w:ind w:left="257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229"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20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Rule 405 of Regulation S-T during the preceding 12 months (or for such shorter period that the registrant was required to submit and post such files). Yes No</w:t>
      </w:r>
    </w:p>
    <w:p>
      <w:pPr>
        <w:spacing w:after="0" w:line="20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49" w:lineRule="exact"/>
        <w:rPr>
          <w:sz w:val="24"/>
          <w:szCs w:val="24"/>
          <w:color w:val="auto"/>
        </w:rPr>
      </w:pPr>
    </w:p>
    <w:p>
      <w:pPr>
        <w:ind w:left="2620" w:right="3700" w:hanging="3232"/>
        <w:spacing w:after="0" w:line="277" w:lineRule="auto"/>
        <w:tabs>
          <w:tab w:leader="none" w:pos="2600" w:val="left"/>
        </w:tabs>
        <w:rPr>
          <w:sz w:val="20"/>
          <w:szCs w:val="20"/>
          <w:color w:val="auto"/>
        </w:rPr>
      </w:pPr>
      <w:r>
        <w:rPr>
          <w:rFonts w:ascii="Arial" w:cs="Arial" w:eastAsia="Arial" w:hAnsi="Arial"/>
          <w:sz w:val="18"/>
          <w:szCs w:val="18"/>
          <w:color w:val="auto"/>
        </w:rPr>
        <w:t>Large accelerated filer</w:t>
        <w:tab/>
        <w:t>Accelerated filer Non-accelerated filer Smaller reporting company (Do not check if a smaller reporting company)</w:t>
      </w:r>
    </w:p>
    <w:p>
      <w:pPr>
        <w:spacing w:after="0" w:line="197" w:lineRule="exact"/>
        <w:rPr>
          <w:sz w:val="24"/>
          <w:szCs w:val="24"/>
          <w:color w:val="auto"/>
        </w:rPr>
      </w:pPr>
    </w:p>
    <w:p>
      <w:pPr>
        <w:ind w:left="660"/>
        <w:spacing w:after="0"/>
        <w:tabs>
          <w:tab w:leader="none" w:pos="902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30, 2015, the registrant had 38,356,600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Index to Form 10-Q</w:t>
      </w:r>
    </w:p>
    <w:p>
      <w:pPr>
        <w:spacing w:after="0" w:line="23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p>
      <w:pPr>
        <w:spacing w:after="0" w:line="27"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1.</w:t>
      </w:r>
      <w:r>
        <w:rPr>
          <w:sz w:val="20"/>
          <w:szCs w:val="20"/>
          <w:color w:val="auto"/>
        </w:rPr>
        <w:tab/>
      </w:r>
      <w:hyperlink w:anchor="page4">
        <w:r>
          <w:rPr>
            <w:rFonts w:ascii="Arial" w:cs="Arial" w:eastAsia="Arial" w:hAnsi="Arial"/>
            <w:sz w:val="16"/>
            <w:szCs w:val="16"/>
            <w:u w:val="single" w:color="auto"/>
            <w:color w:val="0000EE"/>
          </w:rPr>
          <w:t>Financial Statements</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Comprehensive Loss</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12">
        <w:r>
          <w:rPr>
            <w:rFonts w:ascii="Arial" w:cs="Arial" w:eastAsia="Arial" w:hAnsi="Arial"/>
            <w:sz w:val="16"/>
            <w:szCs w:val="16"/>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3.</w:t>
      </w:r>
      <w:r>
        <w:rPr>
          <w:sz w:val="20"/>
          <w:szCs w:val="20"/>
          <w:color w:val="auto"/>
        </w:rPr>
        <w:tab/>
      </w:r>
      <w:hyperlink w:anchor="page18">
        <w:r>
          <w:rPr>
            <w:rFonts w:ascii="Arial" w:cs="Arial" w:eastAsia="Arial" w:hAnsi="Arial"/>
            <w:sz w:val="16"/>
            <w:szCs w:val="16"/>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4.</w:t>
      </w:r>
      <w:r>
        <w:rPr>
          <w:sz w:val="20"/>
          <w:szCs w:val="20"/>
          <w:color w:val="auto"/>
        </w:rPr>
        <w:tab/>
      </w:r>
      <w:hyperlink w:anchor="page18">
        <w:r>
          <w:rPr>
            <w:rFonts w:ascii="Arial" w:cs="Arial" w:eastAsia="Arial" w:hAnsi="Arial"/>
            <w:sz w:val="16"/>
            <w:szCs w:val="16"/>
            <w:u w:val="single" w:color="auto"/>
            <w:color w:val="0000EE"/>
          </w:rPr>
          <w:t>Controls and Procedures</w:t>
        </w:r>
      </w:hyperlink>
    </w:p>
    <w:p>
      <w:pPr>
        <w:spacing w:after="0" w:line="2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Part II. Other Information</w:t>
        </w:r>
      </w:hyperlink>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line="203"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line="203"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3020" w:type="dxa"/>
            <w:vAlign w:val="bottom"/>
            <w:gridSpan w:val="3"/>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4360" w:type="dxa"/>
            <w:vAlign w:val="bottom"/>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3040" w:type="dxa"/>
            <w:vAlign w:val="bottom"/>
            <w:gridSpan w:val="4"/>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4360" w:type="dxa"/>
            <w:vAlign w:val="bottom"/>
            <w:gridSpan w:val="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360" w:type="dxa"/>
            <w:vAlign w:val="bottom"/>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r>
      <w:tr>
        <w:trPr>
          <w:trHeight w:val="20"/>
        </w:trPr>
        <w:tc>
          <w:tcPr>
            <w:tcW w:w="10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360" w:type="dxa"/>
            <w:vAlign w:val="bottom"/>
            <w:gridSpan w:val="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 Index</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BioThrax® (Anthrax Vaccine Adsorbed), RSDL® (Reactive Skin Decontamination Lotion Kit), BAT™ [Botulism Antitoxin Heptavalent (A,B,C,D,E,F,G)-(Equine)], Anthrasil™ (Anthrax Immune Globulin Intravenous [human]), HepaGam B® [Hepatitis B Immune Globulin Intravenous (Human)], VARIZIG® [Varicella Zoster Immune Globulin (Human)], WinRho® SDF [Rh</w:t>
      </w:r>
      <w:r>
        <w:rPr>
          <w:rFonts w:ascii="Arial" w:cs="Arial" w:eastAsia="Arial" w:hAnsi="Arial"/>
          <w:sz w:val="28"/>
          <w:szCs w:val="28"/>
          <w:color w:val="auto"/>
          <w:vertAlign w:val="subscript"/>
        </w:rPr>
        <w:t>0</w:t>
      </w:r>
      <w:r>
        <w:rPr>
          <w:rFonts w:ascii="Arial" w:cs="Arial" w:eastAsia="Arial" w:hAnsi="Arial"/>
          <w:sz w:val="17"/>
          <w:szCs w:val="17"/>
          <w:color w:val="auto"/>
        </w:rPr>
        <w:t xml:space="preserve"> (D) Immune Globulin Intravenous (Human)], NuThrax™ (anthrax vaccine adsorbed with CPG 7909 adjuvant), PreviThrax™ (recombinant protective antigen anthrax vaccine, purified), VIGIV [Vaccinia Immune Globulin Intravenous (Human)], IXINITY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(coagulation factor IX (recombinant)) 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All statements, other than statements of historical fact, including statements regarding our strategy, future operations, future financial position, future revenues, projected costs, prospects, plans and objectives of management, are forward-looking statements. We generally identify forward-looking statements by using words like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9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appropriations for the procurement of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our FDA-licensed anthrax vaccine;</w:t>
      </w:r>
    </w:p>
    <w:p>
      <w:pPr>
        <w:ind w:left="980" w:right="1560"/>
        <w:spacing w:after="0" w:line="249" w:lineRule="auto"/>
        <w:rPr>
          <w:sz w:val="20"/>
          <w:szCs w:val="20"/>
          <w:color w:val="auto"/>
        </w:rPr>
      </w:pPr>
      <w:r>
        <w:rPr>
          <w:rFonts w:ascii="Arial" w:cs="Arial" w:eastAsia="Arial" w:hAnsi="Arial"/>
          <w:sz w:val="18"/>
          <w:szCs w:val="18"/>
          <w:color w:val="auto"/>
        </w:rPr>
        <w:t>our ability to perform under our contracts with the U.S. government related to BioThrax, including the timing of deliveries; our ability to obtain new BioThrax sales contracts or modifications to existing contracts; the availability of funding for our U.S. government grants and contracts;</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ability to successfully execute our growth strategy and achieve our financial and operational goals;</w:t>
      </w:r>
    </w:p>
    <w:p>
      <w:pPr>
        <w:spacing w:after="0" w:line="9" w:lineRule="exact"/>
        <w:rPr>
          <w:sz w:val="20"/>
          <w:szCs w:val="20"/>
          <w:color w:val="auto"/>
        </w:rPr>
      </w:pPr>
    </w:p>
    <w:p>
      <w:pPr>
        <w:ind w:left="980" w:right="540"/>
        <w:spacing w:after="0" w:line="250" w:lineRule="auto"/>
        <w:rPr>
          <w:sz w:val="20"/>
          <w:szCs w:val="20"/>
          <w:color w:val="auto"/>
        </w:rPr>
      </w:pPr>
      <w:r>
        <w:rPr>
          <w:rFonts w:ascii="Arial" w:cs="Arial" w:eastAsia="Arial" w:hAnsi="Arial"/>
          <w:sz w:val="18"/>
          <w:szCs w:val="18"/>
          <w:color w:val="auto"/>
        </w:rPr>
        <w:t>our ability to successfully integrate and develop the products or product candidates, programs, operations and personnel of any entities or businesses that we acquire;</w:t>
      </w:r>
    </w:p>
    <w:p>
      <w:pPr>
        <w:spacing w:after="0" w:line="1" w:lineRule="exact"/>
        <w:rPr>
          <w:sz w:val="20"/>
          <w:szCs w:val="20"/>
          <w:color w:val="auto"/>
        </w:rPr>
      </w:pPr>
    </w:p>
    <w:p>
      <w:pPr>
        <w:ind w:left="980" w:right="200"/>
        <w:spacing w:after="0" w:line="250" w:lineRule="auto"/>
        <w:rPr>
          <w:sz w:val="20"/>
          <w:szCs w:val="20"/>
          <w:color w:val="auto"/>
        </w:rPr>
      </w:pPr>
      <w:r>
        <w:rPr>
          <w:rFonts w:ascii="Arial" w:cs="Arial" w:eastAsia="Arial" w:hAnsi="Arial"/>
          <w:sz w:val="18"/>
          <w:szCs w:val="18"/>
          <w:color w:val="auto"/>
        </w:rPr>
        <w:t>our ability to perform under our contract with the U.S. government to develop and obtain regulatory approval for large-scale manufacturing of BioThrax in Building 55, our large-scale vaccine manufacturing facility in Lansing, Michigan;</w:t>
      </w:r>
    </w:p>
    <w:p>
      <w:pPr>
        <w:spacing w:after="0" w:line="1" w:lineRule="exact"/>
        <w:rPr>
          <w:sz w:val="20"/>
          <w:szCs w:val="20"/>
          <w:color w:val="auto"/>
        </w:rPr>
      </w:pPr>
    </w:p>
    <w:p>
      <w:pPr>
        <w:ind w:left="980" w:right="880"/>
        <w:spacing w:after="0" w:line="250" w:lineRule="auto"/>
        <w:rPr>
          <w:sz w:val="20"/>
          <w:szCs w:val="20"/>
          <w:color w:val="auto"/>
        </w:rPr>
      </w:pPr>
      <w:r>
        <w:rPr>
          <w:rFonts w:ascii="Arial" w:cs="Arial" w:eastAsia="Arial" w:hAnsi="Arial"/>
          <w:sz w:val="18"/>
          <w:szCs w:val="18"/>
          <w:color w:val="auto"/>
        </w:rPr>
        <w:t>our ability to identify and acquire companies or in-license products or late-stage product candidates that satisfy our selection criteria; our ability to realize synergies and benefits from acquisitions or in-licenses within expected time periods or at all; our ability to selectively enter into collaboration arrangements;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ability to achieve milestones in our out-license and collaboration contracts;</w:t>
      </w:r>
    </w:p>
    <w:p>
      <w:pPr>
        <w:spacing w:after="0" w:line="9" w:lineRule="exact"/>
        <w:rPr>
          <w:sz w:val="20"/>
          <w:szCs w:val="20"/>
          <w:color w:val="auto"/>
        </w:rPr>
      </w:pPr>
    </w:p>
    <w:p>
      <w:pPr>
        <w:ind w:left="980" w:right="2800"/>
        <w:spacing w:after="0" w:line="250" w:lineRule="auto"/>
        <w:rPr>
          <w:sz w:val="20"/>
          <w:szCs w:val="20"/>
          <w:color w:val="auto"/>
        </w:rPr>
      </w:pPr>
      <w:r>
        <w:rPr>
          <w:rFonts w:ascii="Arial" w:cs="Arial" w:eastAsia="Arial" w:hAnsi="Arial"/>
          <w:sz w:val="18"/>
          <w:szCs w:val="18"/>
          <w:color w:val="auto"/>
        </w:rPr>
        <w:t>our ability to obtain and maintain intellectual property protection for our products and product candidates; our ability and plans to expand our manufacturing facilities and capabilities;</w:t>
      </w:r>
    </w:p>
    <w:p>
      <w:pPr>
        <w:spacing w:after="0" w:line="1" w:lineRule="exact"/>
        <w:rPr>
          <w:sz w:val="20"/>
          <w:szCs w:val="20"/>
          <w:color w:val="auto"/>
        </w:rPr>
      </w:pPr>
    </w:p>
    <w:p>
      <w:pPr>
        <w:ind w:left="980" w:right="1280"/>
        <w:spacing w:after="0" w:line="250" w:lineRule="auto"/>
        <w:rPr>
          <w:sz w:val="20"/>
          <w:szCs w:val="20"/>
          <w:color w:val="auto"/>
        </w:rPr>
      </w:pPr>
      <w:r>
        <w:rPr>
          <w:rFonts w:ascii="Arial" w:cs="Arial" w:eastAsia="Arial" w:hAnsi="Arial"/>
          <w:sz w:val="18"/>
          <w:szCs w:val="18"/>
          <w:color w:val="auto"/>
        </w:rPr>
        <w:t>our ability and the ability of our contractors and suppliers to maintain compliance with cGMP and other regulatory obligations; the results of regulatory inspections;</w:t>
      </w:r>
    </w:p>
    <w:p>
      <w:pPr>
        <w:spacing w:after="0" w:line="1" w:lineRule="exact"/>
        <w:rPr>
          <w:sz w:val="20"/>
          <w:szCs w:val="20"/>
          <w:color w:val="auto"/>
        </w:rPr>
      </w:pPr>
    </w:p>
    <w:p>
      <w:pPr>
        <w:ind w:left="980" w:right="1260"/>
        <w:spacing w:after="0" w:line="250" w:lineRule="auto"/>
        <w:rPr>
          <w:sz w:val="20"/>
          <w:szCs w:val="20"/>
          <w:color w:val="auto"/>
        </w:rPr>
      </w:pPr>
      <w:r>
        <w:rPr>
          <w:rFonts w:ascii="Arial" w:cs="Arial" w:eastAsia="Arial" w:hAnsi="Arial"/>
          <w:sz w:val="18"/>
          <w:szCs w:val="18"/>
          <w:color w:val="auto"/>
        </w:rPr>
        <w:t>our ability to meet operating and financial restrictions placed on us and our subsidiaries under our senior secured credit facility; the rate and degree of market acceptance and clinical utility of our products;</w:t>
      </w:r>
    </w:p>
    <w:p>
      <w:pPr>
        <w:spacing w:after="0" w:line="1" w:lineRule="exact"/>
        <w:rPr>
          <w:sz w:val="20"/>
          <w:szCs w:val="20"/>
          <w:color w:val="auto"/>
        </w:rPr>
      </w:pPr>
    </w:p>
    <w:p>
      <w:pPr>
        <w:ind w:left="980" w:right="1040"/>
        <w:spacing w:after="0" w:line="250" w:lineRule="auto"/>
        <w:rPr>
          <w:sz w:val="20"/>
          <w:szCs w:val="20"/>
          <w:color w:val="auto"/>
        </w:rPr>
      </w:pPr>
      <w:r>
        <w:rPr>
          <w:rFonts w:ascii="Arial" w:cs="Arial" w:eastAsia="Arial" w:hAnsi="Arial"/>
          <w:sz w:val="18"/>
          <w:szCs w:val="18"/>
          <w:color w:val="auto"/>
        </w:rPr>
        <w:t>the success of our ongoing and planned development programs, non-clinical activities and clinical trials of our product candidates; the timing of and our ability to obtain and maintain regulatory approvals for our product candidates; the success of our commercialization, marketing and manufacturing capabilities and strategy;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accuracy of our estimates regarding future revenues, expenses, capital requirements and needs for additional financing.</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left="70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4000"/>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216,515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64,059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Deferred tax assets, current portion, net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24,424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77,800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41,984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assets, long-term portion,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7,696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917,845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945,262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40,583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 current portion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Provisions for chargebacks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80,297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Contingent consideration, net of current portion</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41,594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indebtedness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379,967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Preferred stock, $0.001 par value; 15,000,000 shares authorized, 0 shares issued and outstanding at March 31, 2015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and December 31, 2014, respectively</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40"/>
              <w:spacing w:after="0" w:line="201" w:lineRule="exact"/>
              <w:rPr>
                <w:sz w:val="20"/>
                <w:szCs w:val="20"/>
                <w:color w:val="auto"/>
              </w:rPr>
            </w:pPr>
            <w:r>
              <w:rPr>
                <w:rFonts w:ascii="Arial" w:cs="Arial" w:eastAsia="Arial" w:hAnsi="Arial"/>
                <w:sz w:val="18"/>
                <w:szCs w:val="18"/>
                <w:color w:val="auto"/>
                <w:w w:val="93"/>
              </w:rPr>
              <w:t>Common stock, $0.001 par value; 100,000,000 shares authorized, 38,745,536 shares issued and 38,325,347 shares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w w:val="94"/>
              </w:rPr>
              <w:t>outstanding at March 31, 2015; 38,129,872 shares issued and 37,709,683 shares outstanding at December 31, 2014</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420,189 common shares at both March 31, 2015 and December 31, 2014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280,653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266,749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288,269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537,878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917,845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945,262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198"/>
        </w:trPr>
        <w:tc>
          <w:tcPr>
            <w:tcW w:w="6260" w:type="dxa"/>
            <w:vAlign w:val="bottom"/>
            <w:gridSpan w:val="2"/>
            <w:vMerge w:val="continue"/>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w:t>
            </w:r>
          </w:p>
        </w:tc>
        <w:tc>
          <w:tcPr>
            <w:tcW w:w="27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Contract manufacturing</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Contracts, grants and collaborations</w:t>
            </w:r>
          </w:p>
        </w:tc>
        <w:tc>
          <w:tcPr>
            <w:tcW w:w="2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revenues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63,633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expense:</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sales and contract manufacturing</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38,702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from operations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before benefit from income taxes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(29,789)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276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(21,520)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w:t>
            </w:r>
          </w:p>
        </w:tc>
        <w:tc>
          <w:tcPr>
            <w:tcW w:w="2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per share - diluted</w:t>
            </w:r>
          </w:p>
        </w:tc>
        <w:tc>
          <w:tcPr>
            <w:tcW w:w="276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 basic</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37,949,358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36,854,370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Weighted-average number of shares - diluted</w:t>
            </w: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37,949,358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36,854,370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720" w:type="dxa"/>
            <w:vAlign w:val="bottom"/>
            <w:gridSpan w:val="8"/>
          </w:tcPr>
          <w:p>
            <w:pPr>
              <w:jc w:val="right"/>
              <w:ind w:right="18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(21,520)</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Foreign currency translations, net of tax</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(20,236)</w:t>
            </w: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Adjustments to reconcile to net cash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6,835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and deferred income taxes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(8,052)</w:t>
            </w: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Write off of debt issuance costs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17,590</w:t>
            </w: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(16,460)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(4,006)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(3,753)</w:t>
            </w: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(10,713)</w:t>
            </w: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(8,720)</w:t>
            </w: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Provision for chargebacks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w:t>
            </w: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(65,873)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(29,245)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Acquisition of Cangene Corporation, net of acquired cash</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(178,167)</w:t>
            </w: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(182,757)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Proceeds from convertible debenture, net of bank fees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241,654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long-term debt obligations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Issuance of common stock upon exercise of stock options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8,137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Principal payments on long-term indebtedness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(62,000)</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Contingent obligation payments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10,996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192,874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(63,984)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(19,123)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280,499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179,338</w:t>
            </w: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216,515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160,215</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ind w:left="6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660" w:right="7760" w:hanging="652"/>
        <w:spacing w:after="0" w:line="628" w:lineRule="auto"/>
        <w:tabs>
          <w:tab w:leader="none" w:pos="192"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accounts of Emergent BioSolutions Inc. (the "Company" or "Emergent") and its subsidiaries. All significant intercompany accounts and transactions have been eliminated in consolidation.</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unaudited consolidated financial statements included herein have been prepared in accordance with U.S. generally accepted accounting principles for interim financial information and in accordance with the instructions to Form 10-Q and Article 10 of Regulation S-X issued by the Securities and Exchange Commission ("SEC"). Certain information and footnote disclosures normally included in consolidated financial statements prepared in accordance with U.S. generally accepted accounting principles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2014, as filed with the SEC.</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opinion of the Company's management, any adjustments contained in the accompanying unaudited consolidated financial statements are of a normal recurring nature, and are necessary to present fairly the financial position of the Company as of March 31, 2015; the results of operations and comprehensive loss for the three months ended March 31, 2015 and 2014; and cash flows for the three months ended March 31, 2015 and 2014. Interim results are not necessarily indicative of results that may be expected for any other interim period or for an entire year.</w:t>
      </w:r>
    </w:p>
    <w:p>
      <w:pPr>
        <w:spacing w:after="0" w:line="3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significant changes to the Company's summary of significant accounting policies, contained in the Company's Annual Report on Form 10-K for the year ended December 31, 2014, as filed with the SEC, during the three months ended March 31, 2015.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36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On December 17, 2014, the Company acquired the EV-035 series of molecules from Evolva Holding SA ("Evolva") for approximately $1.5 million in cash along with contingent value right obligations to Evolva. The EV-035 series of molecules is a series of novel small molecule broad spectrum antibiotics of the 4-oxoquinolizine class and targets bacterial type IIa topoisomerase. The lead molecule in the series, GC-072, has demonstrated protection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from lethal </w:t>
      </w:r>
      <w:r>
        <w:rPr>
          <w:rFonts w:ascii="Arial" w:cs="Arial" w:eastAsia="Arial" w:hAnsi="Arial"/>
          <w:sz w:val="16"/>
          <w:szCs w:val="16"/>
          <w:i w:val="1"/>
          <w:iCs w:val="1"/>
          <w:color w:val="auto"/>
        </w:rPr>
        <w:t>B. pseudomallei</w:t>
      </w:r>
      <w:r>
        <w:rPr>
          <w:rFonts w:ascii="Arial" w:cs="Arial" w:eastAsia="Arial" w:hAnsi="Arial"/>
          <w:sz w:val="16"/>
          <w:szCs w:val="16"/>
          <w:color w:val="auto"/>
        </w:rPr>
        <w:t xml:space="preserve"> infection when administered orally. GC-072 is being developed as a potential oral and intravenous treatment for </w:t>
      </w:r>
      <w:r>
        <w:rPr>
          <w:rFonts w:ascii="Arial" w:cs="Arial" w:eastAsia="Arial" w:hAnsi="Arial"/>
          <w:sz w:val="16"/>
          <w:szCs w:val="16"/>
          <w:i w:val="1"/>
          <w:iCs w:val="1"/>
          <w:color w:val="auto"/>
        </w:rPr>
        <w:t>B. pseudomallei</w:t>
      </w:r>
      <w:r>
        <w:rPr>
          <w:rFonts w:ascii="Arial" w:cs="Arial" w:eastAsia="Arial" w:hAnsi="Arial"/>
          <w:sz w:val="16"/>
          <w:szCs w:val="16"/>
          <w:color w:val="auto"/>
        </w:rPr>
        <w:t xml:space="preserve"> under a three-year, $15.0 million contract with the Defense Threat Reduction Agency ("DTRA") of the U.S. Department of Defense. </w:t>
      </w:r>
      <w:r>
        <w:rPr>
          <w:rFonts w:ascii="Arial" w:cs="Arial" w:eastAsia="Arial" w:hAnsi="Arial"/>
          <w:sz w:val="16"/>
          <w:szCs w:val="16"/>
          <w:i w:val="1"/>
          <w:iCs w:val="1"/>
          <w:color w:val="auto"/>
        </w:rPr>
        <w:t>B. pseudomallei</w:t>
      </w:r>
      <w:r>
        <w:rPr>
          <w:rFonts w:ascii="Arial" w:cs="Arial" w:eastAsia="Arial" w:hAnsi="Arial"/>
          <w:sz w:val="16"/>
          <w:szCs w:val="16"/>
          <w:color w:val="auto"/>
        </w:rPr>
        <w:t xml:space="preserve"> is a gram-negative pathogen classified by the Centers for Disease Control and Prevention ("CDC") as a Category B bioterrorism agent and a priority threat capable of being easily weaponized and disseminated. The acquisition diversifies the Biodefense segment by adding a preclinical stage product candidate that is currently being funded through preclinical development, and has been accounted for as a business acquisition.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contingent values rights are based on the novation of the DTRA contract ($4.0 million) along with the achievement of certain development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 million) and regulatory filing ($50.0 million) milestones. In addition, the Company is required to make sales-based royalty payments of between 5 %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 through December 2036, based on levels of annual net sales. During the three months ended March 31, 2015, the Company received novation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DTRA contract and paid the $4.0 million milestone in April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60" w:type="dxa"/>
            <w:vAlign w:val="bottom"/>
          </w:tcPr>
          <w:p>
            <w:pPr>
              <w:ind w:left="640"/>
              <w:spacing w:after="0"/>
              <w:rPr>
                <w:sz w:val="20"/>
                <w:szCs w:val="20"/>
                <w:color w:val="auto"/>
              </w:rPr>
            </w:pPr>
            <w:r>
              <w:rPr>
                <w:rFonts w:ascii="Arial" w:cs="Arial" w:eastAsia="Arial" w:hAnsi="Arial"/>
                <w:sz w:val="18"/>
                <w:szCs w:val="18"/>
                <w:color w:val="auto"/>
              </w:rPr>
              <w:t>The total preliminary purchase price is summarized below:</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Amount of cash paid to Evolva Holding SA</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28,200</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w:t>
            </w:r>
          </w:p>
        </w:tc>
      </w:tr>
    </w:tbl>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table below summarizes the preliminary allocation of the purchase price based upon fair values of assets acquired. As of the date of this filing, the valuation of acquired intangible assets and other fair value adjustments are not complete as the Company is obtaining and analyzing additional information related to the aforementioned items. As such, the purchase price allocation is subject to change.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w:t>
            </w:r>
          </w:p>
        </w:tc>
      </w:tr>
    </w:tbl>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intangible asset associated with in-process research and development ("IPR&amp;D") acquired from Evolva consisted of the EV-035 series of molecules. Management determined that the estimated acquisition-date fair value of intangible assets related to IPR&amp;D was $27.7 million. The estimated fair value was determined using the income approach, which discounts expected future cash flows to present value. The Company estimated the fair value using a present value discount rate of 12%. The Company believes this rate is comparable to the estimated internal rate of return for the acquisition and represents the rate that market participants would use to value this IPR&amp;D. The projected cash flows for EV-035 was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U.S. Food and Drug Administration ("FDA") and other regulatory agencies; and risks related to the viability of and potential for alternative treatments in any future target markets. IPR&amp;D assets are considered to be indefinite-lived until the completion or abandonment of the associated research and development efforts.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ectPr>
          <w:pgSz w:w="11900" w:h="16838" w:orient="portrait"/>
          <w:cols w:equalWidth="0" w:num="1">
            <w:col w:w="11420"/>
          </w:cols>
          <w:pgMar w:left="240" w:top="364" w:right="239" w:bottom="0" w:gutter="0" w:footer="0" w:header="0"/>
        </w:sectPr>
      </w:pPr>
    </w:p>
    <w:bookmarkStart w:id="8" w:name="page9"/>
    <w:bookmarkEnd w:id="8"/>
    <w:p>
      <w:pPr>
        <w:spacing w:after="0" w:line="1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the Company's fair value hierarchy for its financial assets and liabilities measured at fair value on a recurring basis: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b w:val="1"/>
                <w:bCs w:val="1"/>
                <w:color w:val="auto"/>
              </w:rPr>
              <w:t>March 31, 2015</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119,063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119,063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119,063</w:t>
            </w:r>
          </w:p>
        </w:tc>
        <w:tc>
          <w:tcPr>
            <w:tcW w:w="0" w:type="dxa"/>
            <w:vAlign w:val="bottom"/>
          </w:tcPr>
          <w:p>
            <w:pPr>
              <w:spacing w:after="0"/>
              <w:rPr>
                <w:sz w:val="1"/>
                <w:szCs w:val="1"/>
                <w:color w:val="auto"/>
              </w:rPr>
            </w:pPr>
          </w:p>
        </w:tc>
      </w:tr>
      <w:tr>
        <w:trPr>
          <w:trHeight w:val="21"/>
        </w:trPr>
        <w:tc>
          <w:tcPr>
            <w:tcW w:w="5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48,454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48,454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0" w:type="dxa"/>
            <w:vAlign w:val="bottom"/>
            <w:gridSpan w:val="6"/>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At December 31, 2014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111,912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
        </w:trPr>
        <w:tc>
          <w:tcPr>
            <w:tcW w:w="5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47,657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47,657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Included in cash and cash equivalents in the accompanying consolidated balance sheets.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periods ended March 31, 2015 and 2014, the Company did not have any transfers between Level 1 and Level 2 assets or liabilities.</w:t>
      </w:r>
    </w:p>
    <w:p>
      <w:pPr>
        <w:spacing w:after="0" w:line="26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fair value of contingent purchase consideration obligations, which is included in the contingent consideration line of the Company's consolidated balance sheets, are based on management's assessment of changes as a result of adjustments to the discount rates and updates in the assumed and actual achievement of future net sales for RSDL and HepaGam B, which are inputs that have no observable market (Level 3). For the three months ended March 31, 2015 and 2014, the contingent purchase consideration obligations increased by $0.8 million and $0.4 million, respectively, primarily due to an adjustment to the actual and expected timing of RSDL and HepaGam B sales. This increase resulted in a charge that is classified in the Company's statement of operations as cost of product sales and contract manufacturing.</w:t>
      </w:r>
    </w:p>
    <w:p>
      <w:pPr>
        <w:spacing w:after="0" w:line="22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fair value of contingent value rights obligations, which is included in the contingent consideration line of the Company's consolidated balance sheets, are based on management's assessment of certain development and regulatory milestones, along with updates in the assumed achievement of potential future net sales for EV-035, which are inputs that have no observable market (Level 3). For the three months ended March 31, 2015, the contingent value rights obligation increased by $0.8 million primarily due to the novation of DTRA contract, the estimated timing of achievement for certain development and regulatory milestones and the estimated timing of potential future sales of EV-035. This increase resulted in a charge that is classified in the Company's statement of operations as both selling, general and administrative and research and development expense.</w:t>
      </w:r>
    </w:p>
    <w:p>
      <w:pPr>
        <w:spacing w:after="0" w:line="3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is a reconciliation of the beginning and ending balance of the liabilities measured at fair value using significant unobservable inputs (Level 3) during the three months ended March 31, 2015.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47,657</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Expense included in earnings</w:t>
            </w: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1,559</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Purchases, sales and issuances</w:t>
            </w: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in/(out) of Level 3</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48,454</w:t>
            </w: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Separate disclosure is required for assets and liabilities measured at fair value on a recurring basis from those measured at fair value on a nonrecurring basis. During the three months ended March 31, 2015, the Company had no assets or liabilities that were measured at fair value on a nonrecurring basis. During the three months ended March 31, 2014, the assets acquired and liabilities assumed as part of the February 2014 acquisition of Cangene Corporation were measured at fair value on a nonrecurring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MorphoSys collaboration agreement</w:t>
      </w:r>
    </w:p>
    <w:p>
      <w:pPr>
        <w:spacing w:after="0" w:line="31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August 2014, the Company entered into a collaboration agreement ("MorphoSys Agreement") with MorphoSys AG ("MorphoSys")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the Company's proprietary ADAPTIR technology platform,</w:t>
      </w:r>
    </w:p>
    <w:p>
      <w:pPr>
        <w:spacing w:after="0" w:line="26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collaboration provides for sharing of development and clinical costs, with the Company responsible for 36% of such costs and MorphoSys responsible for the remainder. For the three months ended March 31, 2015, the Company has recorded a reduction to research and development expense of $1.8 million for the reimbursement of amounts greater than 36% of the total costs incurred for the period. For the three months ended March 31, 2015, the Company received a $5.0 million milestone payment due to the initiation of a Phase I clinical study to evaluate the safety, tolerability, and clinical activity of MOR209/ES414 in patients with metastatic castration-resistant prostate cancer. The Company recorded this payment in contracts, grants and collaborations revenue within the Company's statement of operations.</w:t>
      </w:r>
    </w:p>
    <w:p>
      <w:pPr>
        <w:spacing w:after="0" w:line="22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As of March 31, 2015, accounts receivable related to the MorphoSys Agreement was $1.9 million. As of March 31, 2015, deferred revenue related to the MorphoSys Agreement consisted of $0.8 million and $3.4 million of current and long-term deferred revenue, respectively.</w:t>
      </w:r>
    </w:p>
    <w:p>
      <w:pPr>
        <w:sectPr>
          <w:pgSz w:w="11900" w:h="16939" w:orient="portrait"/>
          <w:cols w:equalWidth="0" w:num="1">
            <w:col w:w="11420"/>
          </w:cols>
          <w:pgMar w:left="240" w:top="125"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5. Inventories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Inventories consist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33,477</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14,822</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inventories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82,134</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65,674</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in-process research and development and goodwill</w:t>
      </w:r>
    </w:p>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March 31, 2015, the Company had $50.1 million of IPR&amp;D assets included in the Biosciences business segment. This includes $41.8 million related to the Company's otlertuzumab product candidate and $8.3 million related to the Company's IXINITY product candidate. In addition, the Company had $27.7 million of IPR&amp;D assets included in the Biodefense segment related to EV-035.</w:t>
      </w:r>
    </w:p>
    <w:p>
      <w:pPr>
        <w:spacing w:after="0" w:line="20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April 29, 2015, the FDA approved IXINITY for the treatment of Hemophilia B in adults and children. As a result, IXINITY is considered a definite-lived intangible asset from that date.</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100"/>
              <w:spacing w:after="0"/>
              <w:rPr>
                <w:sz w:val="20"/>
                <w:szCs w:val="20"/>
                <w:color w:val="auto"/>
              </w:rPr>
            </w:pPr>
            <w:r>
              <w:rPr>
                <w:rFonts w:ascii="Arial" w:cs="Arial" w:eastAsia="Arial" w:hAnsi="Arial"/>
                <w:sz w:val="18"/>
                <w:szCs w:val="18"/>
                <w:b w:val="1"/>
                <w:bCs w:val="1"/>
                <w:color w:val="auto"/>
              </w:rPr>
              <w:t>Manufacturing</w:t>
            </w:r>
          </w:p>
        </w:tc>
        <w:tc>
          <w:tcPr>
            <w:tcW w:w="100" w:type="dxa"/>
            <w:vAlign w:val="bottom"/>
          </w:tcPr>
          <w:p>
            <w:pPr>
              <w:spacing w:after="0"/>
              <w:rPr>
                <w:sz w:val="18"/>
                <w:szCs w:val="18"/>
                <w:color w:val="auto"/>
              </w:rPr>
            </w:pPr>
          </w:p>
        </w:tc>
        <w:tc>
          <w:tcPr>
            <w:tcW w:w="1120" w:type="dxa"/>
            <w:vAlign w:val="bottom"/>
            <w:gridSpan w:val="4"/>
          </w:tcPr>
          <w:p>
            <w:pPr>
              <w:ind w:left="60"/>
              <w:spacing w:after="0"/>
              <w:rPr>
                <w:sz w:val="20"/>
                <w:szCs w:val="20"/>
                <w:color w:val="auto"/>
              </w:rPr>
            </w:pPr>
            <w:r>
              <w:rPr>
                <w:rFonts w:ascii="Arial" w:cs="Arial" w:eastAsia="Arial" w:hAnsi="Arial"/>
                <w:sz w:val="18"/>
                <w:szCs w:val="18"/>
                <w:b w:val="1"/>
                <w:bCs w:val="1"/>
                <w:color w:val="auto"/>
              </w:rPr>
              <w:t>Corporate</w:t>
            </w: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6"/>
              </w:rPr>
              <w:t>Marketed</w:t>
            </w:r>
          </w:p>
        </w:tc>
        <w:tc>
          <w:tcPr>
            <w:tcW w:w="1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Licensed</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6"/>
              </w:rPr>
              <w:t>Biodefense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RSDL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Agreement</w:t>
            </w:r>
          </w:p>
        </w:tc>
        <w:tc>
          <w:tcPr>
            <w:tcW w:w="100" w:type="dxa"/>
            <w:vAlign w:val="bottom"/>
          </w:tcPr>
          <w:p>
            <w:pPr>
              <w:spacing w:after="0"/>
              <w:rPr>
                <w:sz w:val="20"/>
                <w:szCs w:val="20"/>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b w:val="1"/>
                <w:bCs w:val="1"/>
                <w:color w:val="auto"/>
              </w:rPr>
              <w:t>Tradename</w:t>
            </w:r>
          </w:p>
        </w:tc>
        <w:tc>
          <w:tcPr>
            <w:tcW w:w="10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Products</w:t>
            </w:r>
          </w:p>
        </w:tc>
        <w:tc>
          <w:tcPr>
            <w:tcW w:w="1480" w:type="dxa"/>
            <w:vAlign w:val="bottom"/>
            <w:gridSpan w:val="5"/>
          </w:tcPr>
          <w:p>
            <w:pPr>
              <w:ind w:left="100"/>
              <w:spacing w:after="0"/>
              <w:rPr>
                <w:sz w:val="20"/>
                <w:szCs w:val="20"/>
                <w:color w:val="auto"/>
              </w:rPr>
            </w:pPr>
            <w:r>
              <w:rPr>
                <w:rFonts w:ascii="Arial" w:cs="Arial" w:eastAsia="Arial" w:hAnsi="Arial"/>
                <w:sz w:val="18"/>
                <w:szCs w:val="18"/>
                <w:b w:val="1"/>
                <w:bCs w:val="1"/>
                <w:color w:val="auto"/>
              </w:rPr>
              <w:t>Manufacturing</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Cost basis</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28,621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3,478</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March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(4,987)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(1,642)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Balance at March 31, 2015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(5,867)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(1,932)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(1,537)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1"/>
        </w:trPr>
        <w:tc>
          <w:tcPr>
            <w:tcW w:w="2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Net book value at March</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31, 2015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22,754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1,546</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15,163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56,202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months ended March 31, 2015 and 2014, the Company recorded amortization expense of $2.1 million and $1.6 million, respectively, for intangible assets, which has been recorded in selling, general and administrative and cost of product sales and contract manufacturing. Amortization expense of $0.6 million and $0.2 million, respectively, was recorded within the Biosciences segment for the three months ended March 31, 2015 and 2014. Amortization expense of $1.5 million and $1.4 million, respectively, was recorded within the Biodefense segment for the three months ended March 31, 2015 and 2014. At March 31, 2015, the weighted average amortization period remaining for intangible assets in Biodefense and Biosciences segments was 94 and 86 months, respectively.</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changes in goodwill:</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Biosciences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Biosciences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contract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Biodefense</w:t>
            </w: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Biodefense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therapeutics</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manufacturing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therapeutics</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medical device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Cost Basis</w:t>
            </w:r>
          </w:p>
        </w:tc>
        <w:tc>
          <w:tcPr>
            <w:tcW w:w="1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Additions</w:t>
            </w: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awards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2015, the Company had two stock-based employee compensation plans, the Third Amended and Restated Emergent BioSolutions Inc. 2006 Stock Incentive Plan (the "2006 Plan") and the Emergent BioSolutions Employee Stock Option Plan (the "2004 Plan") (together, the "Emergent Plans").</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760" w:type="dxa"/>
            <w:vAlign w:val="bottom"/>
            <w:gridSpan w:val="4"/>
          </w:tcPr>
          <w:p>
            <w:pPr>
              <w:spacing w:after="0"/>
              <w:rPr>
                <w:sz w:val="20"/>
                <w:szCs w:val="20"/>
                <w:color w:val="auto"/>
              </w:rPr>
            </w:pPr>
            <w:r>
              <w:rPr>
                <w:rFonts w:ascii="Arial" w:cs="Arial" w:eastAsia="Arial" w:hAnsi="Arial"/>
                <w:sz w:val="18"/>
                <w:szCs w:val="18"/>
                <w:color w:val="auto"/>
              </w:rPr>
              <w:t>The following is a summary of stock option award activity under the Emergent Plans: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4200" w:type="dxa"/>
            <w:vAlign w:val="bottom"/>
          </w:tcPr>
          <w:p>
            <w:pPr>
              <w:spacing w:after="0"/>
              <w:rPr>
                <w:sz w:val="24"/>
                <w:szCs w:val="24"/>
                <w:color w:val="auto"/>
              </w:rPr>
            </w:pPr>
          </w:p>
        </w:tc>
        <w:tc>
          <w:tcPr>
            <w:tcW w:w="256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2006 Plan</w:t>
            </w:r>
          </w:p>
        </w:tc>
        <w:tc>
          <w:tcPr>
            <w:tcW w:w="220" w:type="dxa"/>
            <w:vAlign w:val="bottom"/>
          </w:tcPr>
          <w:p>
            <w:pPr>
              <w:spacing w:after="0"/>
              <w:rPr>
                <w:sz w:val="24"/>
                <w:szCs w:val="24"/>
                <w:color w:val="auto"/>
              </w:rPr>
            </w:pPr>
          </w:p>
        </w:tc>
        <w:tc>
          <w:tcPr>
            <w:tcW w:w="248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2004 Plan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20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Aggregate</w:t>
            </w:r>
          </w:p>
        </w:tc>
      </w:tr>
      <w:tr>
        <w:trPr>
          <w:trHeight w:val="216"/>
        </w:trPr>
        <w:tc>
          <w:tcPr>
            <w:tcW w:w="4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2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r>
    </w:tbl>
    <w:p>
      <w:pPr>
        <w:sectPr>
          <w:pgSz w:w="11900" w:h="16900" w:orient="portrait"/>
          <w:cols w:equalWidth="0" w:num="1">
            <w:col w:w="11420"/>
          </w:cols>
          <w:pgMar w:left="240" w:top="364" w:right="23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3,837,993</w:t>
            </w: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29,181,534</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Granted</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678,821</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28.98</w:t>
            </w: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(387,249)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(35,664)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4,093,901</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29,195,837</w:t>
            </w: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Exercisable at March 31, 2015</w:t>
            </w:r>
          </w:p>
        </w:tc>
        <w:tc>
          <w:tcPr>
            <w:tcW w:w="1160" w:type="dxa"/>
            <w:vAlign w:val="bottom"/>
          </w:tcPr>
          <w:p>
            <w:pPr>
              <w:jc w:val="right"/>
              <w:spacing w:after="0"/>
              <w:rPr>
                <w:sz w:val="20"/>
                <w:szCs w:val="20"/>
                <w:color w:val="auto"/>
              </w:rPr>
            </w:pPr>
            <w:r>
              <w:rPr>
                <w:rFonts w:ascii="Arial" w:cs="Arial" w:eastAsia="Arial" w:hAnsi="Arial"/>
                <w:sz w:val="18"/>
                <w:szCs w:val="18"/>
                <w:color w:val="auto"/>
              </w:rPr>
              <w:t>2,299,336</w:t>
            </w:r>
          </w:p>
        </w:tc>
        <w:tc>
          <w:tcPr>
            <w:tcW w:w="140" w:type="dxa"/>
            <w:vAlign w:val="bottom"/>
          </w:tcPr>
          <w:p>
            <w:pPr>
              <w:spacing w:after="0"/>
              <w:rPr>
                <w:sz w:val="18"/>
                <w:szCs w:val="18"/>
                <w:color w:val="auto"/>
              </w:rPr>
            </w:pP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43,156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23,104,074</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460" w:type="dxa"/>
            <w:vAlign w:val="bottom"/>
            <w:gridSpan w:val="9"/>
          </w:tcPr>
          <w:p>
            <w:pPr>
              <w:ind w:left="640"/>
              <w:spacing w:after="0"/>
              <w:rPr>
                <w:sz w:val="20"/>
                <w:szCs w:val="20"/>
                <w:color w:val="auto"/>
              </w:rPr>
            </w:pPr>
            <w:r>
              <w:rPr>
                <w:rFonts w:ascii="Arial" w:cs="Arial" w:eastAsia="Arial" w:hAnsi="Arial"/>
                <w:sz w:val="18"/>
                <w:szCs w:val="18"/>
                <w:color w:val="auto"/>
                <w:w w:val="99"/>
              </w:rPr>
              <w:t>The following is a summary of restricted stock unit award activity under the 2006 Plan: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Grant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927,356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25,251,904</w:t>
            </w:r>
          </w:p>
        </w:tc>
        <w:tc>
          <w:tcPr>
            <w:tcW w:w="100" w:type="dxa"/>
            <w:vAlign w:val="bottom"/>
            <w:tcBorders>
              <w:bottom w:val="single" w:sz="8" w:color="auto"/>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369,071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(356,683)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931,914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26,801,847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loss per share utilizing the if-converted method: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41"/>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expense applicable to convertible debt, net of tax</w:t>
            </w:r>
          </w:p>
        </w:tc>
        <w:tc>
          <w:tcPr>
            <w:tcW w:w="2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issuance costs, net of tax</w:t>
            </w:r>
          </w:p>
        </w:tc>
        <w:tc>
          <w:tcPr>
            <w:tcW w:w="2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Adjusted net loss</w:t>
            </w:r>
          </w:p>
        </w:tc>
        <w:tc>
          <w:tcPr>
            <w:tcW w:w="256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(21,520)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Denominator:</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shares—basic</w:t>
            </w:r>
          </w:p>
        </w:tc>
        <w:tc>
          <w:tcPr>
            <w:tcW w:w="2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37,949,358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Dilutive securities—equity awards</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securities—convertible debt</w:t>
            </w:r>
          </w:p>
        </w:tc>
        <w:tc>
          <w:tcPr>
            <w:tcW w:w="2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Weighted-average number of shares—diluted</w:t>
            </w: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37,949,358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36,854,370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Loss per share-basic</w:t>
            </w:r>
          </w:p>
        </w:tc>
        <w:tc>
          <w:tcPr>
            <w:tcW w:w="256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share-diluted</w:t>
            </w:r>
          </w:p>
        </w:tc>
        <w:tc>
          <w:tcPr>
            <w:tcW w:w="25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the Company's net loss for the three months ended March 31, 2015 and 2014, basic and diluted loss per share are both computed by dividing net loss by the weighted average number of shares of common stock outstanding during the period. No adjustment to the net loss was computed under the if-converted method as the effect would have been anti-dilutive.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2015 and 2014, outstanding stock options to purchase approximately 5.1 million and 5.2 million shares of common stock, along with 7.7 million shares, respectively, related to the Company's convertible debt, were excluded from the calculation of diluted loss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financial reporting purposes, the Company reports financial information for two business segments: Biodefense and Biosciences. The Company's two business segments, or divisions, engage in business activities for which discrete financial information is provided to and resources are allocated by the chief operating decision maker. The accounting policies of the reportable segments are the same as those described in the summary of significant accounting policies. The Company's reportable segments are business units that offer different products and product candidates, contract manufacturing services and are managed separately because they manufacture and develop distinct products with different manufacturing and development processes, along with having separate and distinct sales and marketing processes.</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Biodefense division is a specialty biopharmaceutical business focused on countermeasures that address CBRNE (Chemical, Biological, Radiological, Nuclear and Explosives) threats and consists of two business units: vaccines/therapeutics and medical devices. Revenues in this segment are primarily from sales of the Company's FDA-licensed product, BioThrax® (Anthrax Vaccine Adsorbed), to the U.S. government. The Biosciences division is a specialty biopharmaceutical business directed to commercial opportunities and primarily targets hematology/oncology, transplantation and infectious diseases, and consists of three business units, therapeutics, vaccines and contract manufacturing. The "All Other" segment relates to the general operating costs of the Company and includes costs of the centralized services departments, which are not allocated to the other segments, as well as spending on activities that are not classified as Biodefense or Biosciences.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2"/>
              </w:rPr>
              <w:t>Reportable Segments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4"/>
              </w:rPr>
              <w:t>Biodefense</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Biosciences</w:t>
            </w: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32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Three Months Ended March 31, 2015</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External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43,627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63,633</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(11,321)</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(8,018)</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(2,181)</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(21,520)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9"/>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External revenue</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47,439</w:t>
            </w:r>
          </w:p>
        </w:tc>
        <w:tc>
          <w:tcPr>
            <w:tcW w:w="3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6,445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53,884</w:t>
            </w:r>
          </w:p>
        </w:tc>
      </w:tr>
    </w:tbl>
    <w:p>
      <w:pPr>
        <w:sectPr>
          <w:pgSz w:w="11900" w:h="16900" w:orient="portrait"/>
          <w:cols w:equalWidth="0" w:num="1">
            <w:col w:w="11420"/>
          </w:cols>
          <w:pgMar w:left="240" w:top="140"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1,412</w:t>
            </w:r>
          </w:p>
        </w:tc>
        <w:tc>
          <w:tcPr>
            <w:tcW w:w="1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(19,510)</w:t>
            </w: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5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Beginning in January 2015, during standard quality inspections performed in accordance with customary procedures, the Company discovered foreign particles in a limited number of vials in two manufactured lots of BioThrax. In order to determine the source of the foreign particles, the Company investigated its operations as well as those of its suppliers and contract manufacturers. Under the Company's quality standards, these two BioThrax lots were rejected. On April 22, 2015, the Company announced that it has resumed full manufacturing operations of BioThrax after completing its internal manufacturing investigation.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including information with respect to our plans and strategy for our business and financing, includes forward-looking statements that involve risks and uncertainties. You should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Portfolio</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Emergent BioSolutions Inc. is a global specialty biopharmaceutical company seeking to protect and enhance life by offering specialized products to healthcare providers and governments for use in addressing medical needs and emerging health threats. We have two operating divisions: Biodefense and Biosciences. For financial reporting purposes, we operate in two business segments that correspond to these two divisions.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Biodefense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Biodefense division is a specialty biopharmaceutical business focused on countermeasures that address CBRNE (Chemical, Biological, Radiological, Nuclear and Explosives) threats. The U.S. government is the primary purchaser of our Biodefense products and often provides us with substantial funding for the development of our Biodefense product candidates. Operations that support this division include manufacturing, regulatory affairs, quality assurance, quality control, international sales and marketing, and domestic government affairs in support of our marketed products, as well as product development and manufacturing infrastructure in support of our investigational stage product candidates. Our Biodefense portfolio consists of five marketed products and various investigational stage product candidates.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Biodefense division marketed products are:</w:t>
      </w:r>
    </w:p>
    <w:p>
      <w:pPr>
        <w:spacing w:after="0" w:line="242" w:lineRule="exact"/>
        <w:rPr>
          <w:sz w:val="20"/>
          <w:szCs w:val="20"/>
          <w:color w:val="auto"/>
        </w:rPr>
      </w:pPr>
    </w:p>
    <w:p>
      <w:pPr>
        <w:ind w:left="980" w:hanging="324"/>
        <w:spacing w:after="0" w:line="19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the only vaccine licensed by the U.S. Food and Drug Administration, or the FDA, for the prevention of anthrax disease;</w:t>
      </w:r>
    </w:p>
    <w:p>
      <w:pPr>
        <w:ind w:left="980" w:right="2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BAT™ (Botulism Antitoxin Heptavalent (A,B,C,D,E,F,G)-Equine)</w:t>
      </w:r>
      <w:r>
        <w:rPr>
          <w:rFonts w:ascii="Arial" w:cs="Arial" w:eastAsia="Arial" w:hAnsi="Arial"/>
          <w:sz w:val="18"/>
          <w:szCs w:val="18"/>
          <w:b w:val="1"/>
          <w:bCs w:val="1"/>
          <w:color w:val="auto"/>
        </w:rPr>
        <w:t>,</w:t>
      </w:r>
      <w:r>
        <w:rPr>
          <w:rFonts w:ascii="Arial" w:cs="Arial" w:eastAsia="Arial" w:hAnsi="Arial"/>
          <w:sz w:val="18"/>
          <w:szCs w:val="18"/>
          <w:color w:val="auto"/>
        </w:rPr>
        <w:t xml:space="preserve"> the only heptavalent therapeutic licensed by the FDA for the treatment of botulinum disease;</w:t>
      </w:r>
    </w:p>
    <w:p>
      <w:pPr>
        <w:ind w:left="980" w:right="2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Anthrasil™ (Anthrax Immune Globulin Intravenous (Human))</w:t>
      </w:r>
      <w:r>
        <w:rPr>
          <w:rFonts w:ascii="Arial" w:cs="Arial" w:eastAsia="Arial" w:hAnsi="Arial"/>
          <w:sz w:val="18"/>
          <w:szCs w:val="18"/>
          <w:b w:val="1"/>
          <w:bCs w:val="1"/>
          <w:color w:val="auto"/>
        </w:rPr>
        <w:t>,</w:t>
      </w:r>
      <w:r>
        <w:rPr>
          <w:rFonts w:ascii="Arial" w:cs="Arial" w:eastAsia="Arial" w:hAnsi="Arial"/>
          <w:sz w:val="18"/>
          <w:szCs w:val="18"/>
          <w:color w:val="auto"/>
        </w:rPr>
        <w:t xml:space="preserve"> the only polyclonal antibody therapeutic licensed by the FDA for the treatment of anthrax disease;</w:t>
      </w:r>
    </w:p>
    <w:p>
      <w:pPr>
        <w:ind w:left="9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VIGIV (Vaccinia Immune Globulin Intravenous (Human))</w:t>
      </w:r>
      <w:r>
        <w:rPr>
          <w:rFonts w:ascii="Arial" w:cs="Arial" w:eastAsia="Arial" w:hAnsi="Arial"/>
          <w:sz w:val="18"/>
          <w:szCs w:val="18"/>
          <w:b w:val="1"/>
          <w:bCs w:val="1"/>
          <w:color w:val="auto"/>
        </w:rPr>
        <w:t>,</w:t>
      </w:r>
      <w:r>
        <w:rPr>
          <w:rFonts w:ascii="Arial" w:cs="Arial" w:eastAsia="Arial" w:hAnsi="Arial"/>
          <w:sz w:val="18"/>
          <w:szCs w:val="18"/>
          <w:color w:val="auto"/>
        </w:rPr>
        <w:t xml:space="preserve"> the only therapeutic licensed by the FDA to address adverse events from smallpox vaccination; and</w:t>
      </w:r>
    </w:p>
    <w:p>
      <w:pPr>
        <w:ind w:left="980" w:hanging="324"/>
        <w:spacing w:after="0" w:line="26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RSDL® (Reactive Skin Decontamination Lotion Kit), the only device cleared by the FDA for the removal or neutralization of chemical agents, T-2 toxin and many pesticide-related chemicals from the skin.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Biodefense division investigational stage product candidates include the following:</w:t>
      </w:r>
    </w:p>
    <w:p>
      <w:pPr>
        <w:spacing w:after="0" w:line="25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NuThrax™ (anthrax vaccine adsorbed with CPG 7909 adjuvant), a next generation anthrax vaccine;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PreviThrax™ (recombinant protective antigen anthrax vaccine, purified), a next generation anthrax vaccine; and</w:t>
      </w:r>
    </w:p>
    <w:p>
      <w:pPr>
        <w:spacing w:after="0" w:line="9" w:lineRule="exact"/>
        <w:rPr>
          <w:rFonts w:ascii="Arial" w:cs="Arial" w:eastAsia="Arial" w:hAnsi="Arial"/>
          <w:sz w:val="18"/>
          <w:szCs w:val="18"/>
          <w:color w:val="auto"/>
        </w:rPr>
      </w:pPr>
    </w:p>
    <w:p>
      <w:pPr>
        <w:ind w:left="980" w:right="420" w:hanging="324"/>
        <w:spacing w:after="0" w:line="26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GC-072, the lead compound in the EV-035 series of broad spectrum antibiotics, which we acquired from Evolva Holding SA, or Evolva, in December 2014.</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25, 2015, the FDA approved Anthrasil for treatment of inhalational anthrax in combination with appropriate antibacterial drugs. Achievement of this milestone triggered a $7.0 million payment to us under a development contract with the Biomedical Advanced Research and Development Authority, or BARDA, which is recorded in product sales revenue within our statement of operations. Anthrasil has received Orphan Drug designation and as a result of this approval, the product qualifies for seven years of market exclusivity.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Biodefense division also has programs aimed at providing solutions to the current Ebola outbreak in West Africa, including an MVA-Ebola vaccine candidate, anti-Ebola monoclonal antibody product candidates and an Ebola hyperimmune product candidate.</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responded to Task Order Requests issued by BARDA for the manufacture of Ebola medical countermeasures as part of our Center for Innovation in Advanced Development and Manufacturing, or CIADM, program. In addition, we have a license agreement for the manufacture of VAX161C, a clinical stage recombinant pandemic influenza vaccine product candidate being developed by VaxInnate, Inc., as part of our CIADM program.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Biodefense segment has generated net income for each of the last five years.</w:t>
      </w:r>
    </w:p>
    <w:p>
      <w:pPr>
        <w:sectPr>
          <w:pgSz w:w="11900" w:h="16838" w:orient="portrait"/>
          <w:cols w:equalWidth="0" w:num="1">
            <w:col w:w="11420"/>
          </w:cols>
          <w:pgMar w:left="240" w:top="140" w:right="239" w:bottom="267"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Biosciences</w:t>
      </w:r>
    </w:p>
    <w:p>
      <w:pPr>
        <w:sectPr>
          <w:pgSz w:w="11900" w:h="16838" w:orient="portrait"/>
          <w:cols w:equalWidth="0" w:num="1">
            <w:col w:w="11420"/>
          </w:cols>
          <w:pgMar w:left="240" w:top="140" w:right="239" w:bottom="267" w:gutter="0" w:footer="0" w:header="0"/>
          <w:type w:val="continuous"/>
        </w:sectPr>
      </w:pPr>
    </w:p>
    <w:bookmarkStart w:id="12" w:name="page13"/>
    <w:bookmarkEnd w:id="12"/>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Biosciences division is a specialty biopharmaceutical business focused on therapeutics and vaccines in hematology/oncology, transplantation, infectious disease and autoimmunity. Our Biosciences portfolio of products consists of marketed products as well as various investigational stage product candidates, platform technologies and a contract manufacturing services business. Operations that support this division include manufacturing, quality, regulatory affairs, medical affairs, and sales and marketing in support of our marketed products, as well as additional product development capabilities in support of our investigational stage product candidates.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Biosciences division marketed products are:</w:t>
      </w:r>
    </w:p>
    <w:p>
      <w:pPr>
        <w:spacing w:after="0" w:line="163" w:lineRule="exact"/>
        <w:rPr>
          <w:sz w:val="20"/>
          <w:szCs w:val="20"/>
          <w:color w:val="auto"/>
        </w:rPr>
      </w:pPr>
    </w:p>
    <w:p>
      <w:pPr>
        <w:ind w:left="980" w:hanging="324"/>
        <w:spacing w:after="0" w:line="26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WinRho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SDF [Rh</w:t>
      </w:r>
      <w:r>
        <w:rPr>
          <w:rFonts w:ascii="Arial" w:cs="Arial" w:eastAsia="Arial" w:hAnsi="Arial"/>
          <w:sz w:val="30"/>
          <w:szCs w:val="30"/>
          <w:color w:val="auto"/>
          <w:vertAlign w:val="subscript"/>
        </w:rPr>
        <w:t>o</w:t>
      </w:r>
      <w:r>
        <w:rPr>
          <w:rFonts w:ascii="Arial" w:cs="Arial" w:eastAsia="Arial" w:hAnsi="Arial"/>
          <w:sz w:val="18"/>
          <w:szCs w:val="18"/>
          <w:color w:val="auto"/>
        </w:rPr>
        <w:t>(D) Immune Globulin Intravenous (Human)], for treatment of autoimmune platelet disorder, also called immune thrombocytopenic purpura or ITP, and, separately, for the treatment of hemolytic disease of the newborn, or HDN;</w:t>
      </w:r>
    </w:p>
    <w:p>
      <w:pPr>
        <w:ind w:left="980" w:hanging="324"/>
        <w:spacing w:after="0" w:line="22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HepaGam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[(Hepatitis B Immune Globulin Intravenous (Human)], for post-exposure prophylactic treatment of hepatitis-B;</w:t>
      </w:r>
    </w:p>
    <w:p>
      <w:pPr>
        <w:ind w:left="980" w:hanging="324"/>
        <w:spacing w:after="0" w:line="18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VARIZIG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[Varicella Zoster Immune Globulin (Human)], for post-exposure prophylactic treatment of varicella zoster virus, which causes chickenpox and shingles;</w:t>
      </w:r>
    </w:p>
    <w:p>
      <w:pPr>
        <w:spacing w:after="0" w:line="30" w:lineRule="exact"/>
        <w:rPr>
          <w:rFonts w:ascii="Arial" w:cs="Arial" w:eastAsia="Arial" w:hAnsi="Arial"/>
          <w:sz w:val="18"/>
          <w:szCs w:val="18"/>
          <w:color w:val="auto"/>
        </w:rPr>
      </w:pPr>
    </w:p>
    <w:p>
      <w:pPr>
        <w:ind w:left="980" w:hanging="324"/>
        <w:spacing w:after="0" w:line="19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IXINITY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(coagulation factor IX (recombinant)), for the prevention of bleeding episodes in people with Hemophilia B (approved by the FDA in April 2015) ; and</w:t>
      </w:r>
    </w:p>
    <w:p>
      <w:pPr>
        <w:spacing w:after="0" w:line="30" w:lineRule="exact"/>
        <w:rPr>
          <w:rFonts w:ascii="Arial" w:cs="Arial" w:eastAsia="Arial" w:hAnsi="Arial"/>
          <w:sz w:val="18"/>
          <w:szCs w:val="18"/>
          <w:color w:val="auto"/>
        </w:rPr>
      </w:pPr>
    </w:p>
    <w:p>
      <w:pPr>
        <w:ind w:left="980" w:hanging="324"/>
        <w:spacing w:after="0" w:line="19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episil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(oral liquid), for relief of pain and soothing oral lesions of various etiologies, including oral mucositis/stomatitis caused by chemotherapy or radio therapy.</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Biosciences division investigational stage product candidates include the following:</w:t>
      </w:r>
    </w:p>
    <w:p>
      <w:pPr>
        <w:spacing w:after="0" w:line="252" w:lineRule="exact"/>
        <w:rPr>
          <w:sz w:val="20"/>
          <w:szCs w:val="20"/>
          <w:color w:val="auto"/>
        </w:rPr>
      </w:pPr>
    </w:p>
    <w:p>
      <w:pPr>
        <w:ind w:left="980" w:right="20" w:hanging="324"/>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MOR209/ES414, being developed for metastatic castration-resistant prostate cancer under our collaboration with MorphoSys AG, or MorphoSys, entered into in August 2014;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otlertuzumab, being developed for Chronic Lymphocytic Leukemia.</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Biosciences division platform technologies include:</w:t>
      </w:r>
    </w:p>
    <w:p>
      <w:pPr>
        <w:spacing w:after="0" w:line="139" w:lineRule="exact"/>
        <w:rPr>
          <w:sz w:val="20"/>
          <w:szCs w:val="20"/>
          <w:color w:val="auto"/>
        </w:rPr>
      </w:pPr>
    </w:p>
    <w:p>
      <w:pPr>
        <w:ind w:left="800" w:hanging="14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ADAPTIR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(modular protein technology);</w:t>
      </w:r>
    </w:p>
    <w:p>
      <w:pPr>
        <w:ind w:left="800" w:hanging="144"/>
        <w:spacing w:after="0" w:line="180"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MVAtor</w:t>
      </w:r>
      <w:r>
        <w:rPr>
          <w:rFonts w:ascii="Arial" w:cs="Arial" w:eastAsia="Arial" w:hAnsi="Arial"/>
          <w:sz w:val="25"/>
          <w:szCs w:val="25"/>
          <w:color w:val="auto"/>
          <w:vertAlign w:val="superscript"/>
        </w:rPr>
        <w:t>TM</w:t>
      </w:r>
      <w:r>
        <w:rPr>
          <w:rFonts w:ascii="Arial" w:cs="Arial" w:eastAsia="Arial" w:hAnsi="Arial"/>
          <w:sz w:val="16"/>
          <w:szCs w:val="16"/>
          <w:color w:val="auto"/>
        </w:rPr>
        <w:t xml:space="preserve"> (modified vaccinia virus Ankara vector); and</w:t>
      </w:r>
    </w:p>
    <w:p>
      <w:pPr>
        <w:ind w:left="800" w:hanging="14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hyperimmune specialty plasma product manufacturing.</w:t>
      </w:r>
    </w:p>
    <w:p>
      <w:pPr>
        <w:spacing w:after="0" w:line="2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Biosciences segment has generated revenue for each of the last five years through product sales, development contracts and collaborative funding but has incurred a net loss for those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Sales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derived the majority of our historical product sales revenues from BioThrax sales to the U.S. government. We are currently a party to a contract with the Centers for Disease Control and Prevention, or CDC, an operating division of the U.S. Department of Health and Human Services, or HHS, to supply up to 44.75 million doses of BioThrax for placement into the Strategic National Stockpile, or SNS, over a five-year period ending September 30, 2016. We expect to continue to derive a majority of product sales revenues from our sales of BioThrax to the U.S. government. We are focused on increasing the sales of our Biodefense products to U.S. government customers and expanding the market for our product portfolio to other customers domestically and internationally.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provide contract manufacturing services, including biopharmaceutical product development and filling services for injectable and other sterile products, as well as process design, technology transfer, manufacturing validation, laboratory support, aseptic filling, lyophilization and accelerated and ongoing stability studies. We produce finished units of commercial drugs for a variety of customers ranging from small biopharmaceutical companies to major multinationals. We are focused on increasing services to third party biopharmaceutical companies, both domestically and internationally.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Contracts, Grants and Collaborations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seek to advance development of our product candidates through external funding arrangements. We may slow down development programs or place them on hold during periods that are not covered by external funding. In addition, we perform certain ongoing product-related services for which we receive funding. We continue to actively pursue additional government sponsored development contracts and grants and commercial collaborative relationships. We also encourage both governmental and non-governmental agencies and philanthropic organizations to provide funding for non-clinical activities and to conduct clinical studies of our product candidates.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entered into a contract with the CDC effective as of September 30, 2011 to supply up to 44.75 million doses of BioThrax to the CDC over a five-year period. The period of performance under the award is from September 30, 2011 through September 30, 2016. The maximum amount that could be paid to us under the contract is up to $1.25 billion, subject to availability of funding by the U.S. government. To date, the U.S. government has committed approximately $911 million for the procurement of BioThrax doses under this contract. Through March 31, 2015, we have delivered and, upon CDC acceptance, recognized revenue on approximately 27 million doses, representing approximately $722 million in revenue under this contract.</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received contract and grant funding from BARDA, the CDC and National Institute of Allergy and Infectious Diseases, or NIAID, for the following development programs: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Development Programs</w:t>
            </w:r>
          </w:p>
        </w:tc>
        <w:tc>
          <w:tcPr>
            <w:tcW w:w="278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w w:val="99"/>
              </w:rPr>
              <w:t>Funding Source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 Date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Performance Period</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Post-Exposure Prophylaxis indication for BioThrax (PEP)</w:t>
            </w:r>
          </w:p>
        </w:tc>
        <w:tc>
          <w:tcPr>
            <w:tcW w:w="2780" w:type="dxa"/>
            <w:vAlign w:val="bottom"/>
          </w:tcPr>
          <w:p>
            <w:pPr>
              <w:ind w:left="1180"/>
              <w:spacing w:after="0"/>
              <w:rPr>
                <w:sz w:val="20"/>
                <w:szCs w:val="20"/>
                <w:color w:val="auto"/>
              </w:rPr>
            </w:pPr>
            <w:r>
              <w:rPr>
                <w:rFonts w:ascii="Arial" w:cs="Arial" w:eastAsia="Arial" w:hAnsi="Arial"/>
                <w:sz w:val="18"/>
                <w:szCs w:val="18"/>
                <w:color w:val="auto"/>
              </w:rPr>
              <w:t>BARDA</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Sep-07</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9/2007 — 3/2016</w:t>
            </w:r>
          </w:p>
        </w:tc>
      </w:tr>
    </w:tbl>
    <w:p>
      <w:pPr>
        <w:sectPr>
          <w:pgSz w:w="11900" w:h="16912"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Large-scale manufacturing for BioThrax</w:t>
            </w:r>
          </w:p>
        </w:tc>
        <w:tc>
          <w:tcPr>
            <w:tcW w:w="3100" w:type="dxa"/>
            <w:vAlign w:val="bottom"/>
          </w:tcPr>
          <w:p>
            <w:pPr>
              <w:ind w:left="1800"/>
              <w:spacing w:after="0"/>
              <w:rPr>
                <w:sz w:val="20"/>
                <w:szCs w:val="20"/>
                <w:color w:val="auto"/>
              </w:rPr>
            </w:pPr>
            <w:r>
              <w:rPr>
                <w:rFonts w:ascii="Arial" w:cs="Arial" w:eastAsia="Arial" w:hAnsi="Arial"/>
                <w:sz w:val="18"/>
                <w:szCs w:val="18"/>
                <w:color w:val="auto"/>
              </w:rPr>
              <w:t>BARDA</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93"/>
              </w:rPr>
              <w:t>Jul-10</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7/2010 — 7/2015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NuThrax</w:t>
            </w:r>
          </w:p>
        </w:tc>
        <w:tc>
          <w:tcPr>
            <w:tcW w:w="3100" w:type="dxa"/>
            <w:vAlign w:val="bottom"/>
          </w:tcPr>
          <w:p>
            <w:pPr>
              <w:ind w:left="1800"/>
              <w:spacing w:after="0"/>
              <w:rPr>
                <w:sz w:val="20"/>
                <w:szCs w:val="20"/>
                <w:color w:val="auto"/>
              </w:rPr>
            </w:pPr>
            <w:r>
              <w:rPr>
                <w:rFonts w:ascii="Arial" w:cs="Arial" w:eastAsia="Arial" w:hAnsi="Arial"/>
                <w:sz w:val="18"/>
                <w:szCs w:val="18"/>
                <w:color w:val="auto"/>
              </w:rPr>
              <w:t>NIAID</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93"/>
              </w:rPr>
              <w:t>Jul-10</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8/2010 — 4/2015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PreviThrax</w:t>
            </w:r>
          </w:p>
        </w:tc>
        <w:tc>
          <w:tcPr>
            <w:tcW w:w="3100" w:type="dxa"/>
            <w:vAlign w:val="bottom"/>
          </w:tcPr>
          <w:p>
            <w:pPr>
              <w:ind w:left="1800"/>
              <w:spacing w:after="0"/>
              <w:rPr>
                <w:sz w:val="20"/>
                <w:szCs w:val="20"/>
                <w:color w:val="auto"/>
              </w:rPr>
            </w:pPr>
            <w:r>
              <w:rPr>
                <w:rFonts w:ascii="Arial" w:cs="Arial" w:eastAsia="Arial" w:hAnsi="Arial"/>
                <w:sz w:val="18"/>
                <w:szCs w:val="18"/>
                <w:color w:val="auto"/>
              </w:rPr>
              <w:t>BARDA</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86"/>
              </w:rPr>
              <w:t>Sep-10</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9/2010 — 9/2015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CIADM</w:t>
            </w:r>
          </w:p>
        </w:tc>
        <w:tc>
          <w:tcPr>
            <w:tcW w:w="3100" w:type="dxa"/>
            <w:vAlign w:val="bottom"/>
          </w:tcPr>
          <w:p>
            <w:pPr>
              <w:ind w:left="1800"/>
              <w:spacing w:after="0"/>
              <w:rPr>
                <w:sz w:val="20"/>
                <w:szCs w:val="20"/>
                <w:color w:val="auto"/>
              </w:rPr>
            </w:pPr>
            <w:r>
              <w:rPr>
                <w:rFonts w:ascii="Arial" w:cs="Arial" w:eastAsia="Arial" w:hAnsi="Arial"/>
                <w:sz w:val="18"/>
                <w:szCs w:val="18"/>
                <w:color w:val="auto"/>
              </w:rPr>
              <w:t>BARDA</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90"/>
              </w:rPr>
              <w:t>Jun-12</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6/2012 — 6/2037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BAT</w:t>
            </w:r>
          </w:p>
        </w:tc>
        <w:tc>
          <w:tcPr>
            <w:tcW w:w="3100" w:type="dxa"/>
            <w:vAlign w:val="bottom"/>
          </w:tcPr>
          <w:p>
            <w:pPr>
              <w:ind w:left="1800"/>
              <w:spacing w:after="0"/>
              <w:rPr>
                <w:sz w:val="20"/>
                <w:szCs w:val="20"/>
                <w:color w:val="auto"/>
              </w:rPr>
            </w:pPr>
            <w:r>
              <w:rPr>
                <w:rFonts w:ascii="Arial" w:cs="Arial" w:eastAsia="Arial" w:hAnsi="Arial"/>
                <w:sz w:val="18"/>
                <w:szCs w:val="18"/>
                <w:color w:val="auto"/>
              </w:rPr>
              <w:t>CDC</w:t>
            </w:r>
          </w:p>
        </w:tc>
        <w:tc>
          <w:tcPr>
            <w:tcW w:w="1560" w:type="dxa"/>
            <w:vAlign w:val="bottom"/>
          </w:tcPr>
          <w:p>
            <w:pPr>
              <w:jc w:val="center"/>
              <w:ind w:left="230"/>
              <w:spacing w:after="0"/>
              <w:rPr>
                <w:sz w:val="20"/>
                <w:szCs w:val="20"/>
                <w:color w:val="auto"/>
              </w:rPr>
            </w:pPr>
            <w:r>
              <w:rPr>
                <w:rFonts w:ascii="Arial" w:cs="Arial" w:eastAsia="Arial" w:hAnsi="Arial"/>
                <w:sz w:val="18"/>
                <w:szCs w:val="18"/>
                <w:color w:val="auto"/>
                <w:w w:val="87"/>
              </w:rPr>
              <w:t>Jan-03</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1/2003 — 1/2015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BAT</w:t>
            </w:r>
          </w:p>
        </w:tc>
        <w:tc>
          <w:tcPr>
            <w:tcW w:w="3100" w:type="dxa"/>
            <w:vAlign w:val="bottom"/>
          </w:tcPr>
          <w:p>
            <w:pPr>
              <w:ind w:left="1800"/>
              <w:spacing w:after="0"/>
              <w:rPr>
                <w:sz w:val="20"/>
                <w:szCs w:val="20"/>
                <w:color w:val="auto"/>
              </w:rPr>
            </w:pPr>
            <w:r>
              <w:rPr>
                <w:rFonts w:ascii="Arial" w:cs="Arial" w:eastAsia="Arial" w:hAnsi="Arial"/>
                <w:sz w:val="18"/>
                <w:szCs w:val="18"/>
                <w:color w:val="auto"/>
              </w:rPr>
              <w:t>BARDA</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96"/>
              </w:rPr>
              <w:t>May-06</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5/2006 — 5/2026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Anthrasil</w:t>
            </w:r>
          </w:p>
        </w:tc>
        <w:tc>
          <w:tcPr>
            <w:tcW w:w="3100" w:type="dxa"/>
            <w:vAlign w:val="bottom"/>
          </w:tcPr>
          <w:p>
            <w:pPr>
              <w:ind w:left="1800"/>
              <w:spacing w:after="0"/>
              <w:rPr>
                <w:sz w:val="20"/>
                <w:szCs w:val="20"/>
                <w:color w:val="auto"/>
              </w:rPr>
            </w:pPr>
            <w:r>
              <w:rPr>
                <w:rFonts w:ascii="Arial" w:cs="Arial" w:eastAsia="Arial" w:hAnsi="Arial"/>
                <w:sz w:val="18"/>
                <w:szCs w:val="18"/>
                <w:color w:val="auto"/>
              </w:rPr>
              <w:t>BARDA</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86"/>
              </w:rPr>
              <w:t>Sep-05</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9/2005 — 4/2021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Anthrasil</w:t>
            </w:r>
          </w:p>
        </w:tc>
        <w:tc>
          <w:tcPr>
            <w:tcW w:w="3100" w:type="dxa"/>
            <w:vAlign w:val="bottom"/>
          </w:tcPr>
          <w:p>
            <w:pPr>
              <w:ind w:left="1800"/>
              <w:spacing w:after="0"/>
              <w:rPr>
                <w:sz w:val="20"/>
                <w:szCs w:val="20"/>
                <w:color w:val="auto"/>
              </w:rPr>
            </w:pPr>
            <w:r>
              <w:rPr>
                <w:rFonts w:ascii="Arial" w:cs="Arial" w:eastAsia="Arial" w:hAnsi="Arial"/>
                <w:sz w:val="18"/>
                <w:szCs w:val="18"/>
                <w:color w:val="auto"/>
              </w:rPr>
              <w:t>BARDA</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86"/>
              </w:rPr>
              <w:t>Sep-02</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1"/>
              </w:rPr>
              <w:t>9/2002 — 12/2015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Anthrasil</w:t>
            </w:r>
          </w:p>
        </w:tc>
        <w:tc>
          <w:tcPr>
            <w:tcW w:w="3100" w:type="dxa"/>
            <w:vAlign w:val="bottom"/>
          </w:tcPr>
          <w:p>
            <w:pPr>
              <w:ind w:left="1800"/>
              <w:spacing w:after="0"/>
              <w:rPr>
                <w:sz w:val="20"/>
                <w:szCs w:val="20"/>
                <w:color w:val="auto"/>
              </w:rPr>
            </w:pPr>
            <w:r>
              <w:rPr>
                <w:rFonts w:ascii="Arial" w:cs="Arial" w:eastAsia="Arial" w:hAnsi="Arial"/>
                <w:sz w:val="18"/>
                <w:szCs w:val="18"/>
                <w:color w:val="auto"/>
              </w:rPr>
              <w:t>BARDA</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86"/>
              </w:rPr>
              <w:t>Sep-13</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9/2013 — 9/2018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VIGIV</w:t>
            </w:r>
          </w:p>
        </w:tc>
        <w:tc>
          <w:tcPr>
            <w:tcW w:w="3100" w:type="dxa"/>
            <w:vAlign w:val="bottom"/>
          </w:tcPr>
          <w:p>
            <w:pPr>
              <w:ind w:left="1800"/>
              <w:spacing w:after="0"/>
              <w:rPr>
                <w:sz w:val="20"/>
                <w:szCs w:val="20"/>
                <w:color w:val="auto"/>
              </w:rPr>
            </w:pPr>
            <w:r>
              <w:rPr>
                <w:rFonts w:ascii="Arial" w:cs="Arial" w:eastAsia="Arial" w:hAnsi="Arial"/>
                <w:sz w:val="18"/>
                <w:szCs w:val="18"/>
                <w:color w:val="auto"/>
              </w:rPr>
              <w:t>CDC</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92"/>
              </w:rPr>
              <w:t>Aug-12</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8/2012 — 8/2017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NuThrax</w:t>
            </w:r>
          </w:p>
        </w:tc>
        <w:tc>
          <w:tcPr>
            <w:tcW w:w="3100" w:type="dxa"/>
            <w:vAlign w:val="bottom"/>
          </w:tcPr>
          <w:p>
            <w:pPr>
              <w:ind w:left="1800"/>
              <w:spacing w:after="0"/>
              <w:rPr>
                <w:sz w:val="20"/>
                <w:szCs w:val="20"/>
                <w:color w:val="auto"/>
              </w:rPr>
            </w:pPr>
            <w:r>
              <w:rPr>
                <w:rFonts w:ascii="Arial" w:cs="Arial" w:eastAsia="Arial" w:hAnsi="Arial"/>
                <w:sz w:val="18"/>
                <w:szCs w:val="18"/>
                <w:color w:val="auto"/>
              </w:rPr>
              <w:t>NIAID</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92"/>
              </w:rPr>
              <w:t>Aug-14</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1"/>
              </w:rPr>
              <w:t>8/2014 — 10/2019</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NuThrax</w:t>
            </w:r>
          </w:p>
        </w:tc>
        <w:tc>
          <w:tcPr>
            <w:tcW w:w="3100" w:type="dxa"/>
            <w:vAlign w:val="bottom"/>
          </w:tcPr>
          <w:p>
            <w:pPr>
              <w:ind w:left="1800"/>
              <w:spacing w:after="0"/>
              <w:rPr>
                <w:sz w:val="20"/>
                <w:szCs w:val="20"/>
                <w:color w:val="auto"/>
              </w:rPr>
            </w:pPr>
            <w:r>
              <w:rPr>
                <w:rFonts w:ascii="Arial" w:cs="Arial" w:eastAsia="Arial" w:hAnsi="Arial"/>
                <w:sz w:val="18"/>
                <w:szCs w:val="18"/>
                <w:color w:val="auto"/>
              </w:rPr>
              <w:t>BARDA</w:t>
            </w:r>
          </w:p>
        </w:tc>
        <w:tc>
          <w:tcPr>
            <w:tcW w:w="1560" w:type="dxa"/>
            <w:vAlign w:val="bottom"/>
          </w:tcPr>
          <w:p>
            <w:pPr>
              <w:jc w:val="center"/>
              <w:ind w:left="250"/>
              <w:spacing w:after="0"/>
              <w:rPr>
                <w:sz w:val="20"/>
                <w:szCs w:val="20"/>
                <w:color w:val="auto"/>
              </w:rPr>
            </w:pPr>
            <w:r>
              <w:rPr>
                <w:rFonts w:ascii="Arial" w:cs="Arial" w:eastAsia="Arial" w:hAnsi="Arial"/>
                <w:sz w:val="18"/>
                <w:szCs w:val="18"/>
                <w:color w:val="auto"/>
                <w:w w:val="94"/>
              </w:rPr>
              <w:t>Mar-15</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3/2015 — 8/2017</w:t>
            </w:r>
          </w:p>
        </w:tc>
      </w:tr>
    </w:tbl>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revenue, operating results and profitability have varied, and we expect that they will continue to vary on a quarterly basis, primarily due to the timing of sales of our products and timing of work completed under new and existing grants, development contracts and collaborative relationships.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 and Contract Manufacturing</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primary expense that we incur to deliver our vaccines and therapeutics to our customers and in our contract manufacturing operations,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manufacturing cost per unit in the period those units were manufactured. In addition to the fixed and variable manufacturing costs described above, the cost of product sales depends on utilization of available manufacturing capacity.</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primary expense that we incur to deliver our medical device, RSDL, to our customers is the cost per unit of production from our third-party contract manufacturer. Other associated expenses include sales-based royalties, amortization of intangible assets, shipping, logistics and the cost of support functions.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personnel-related expenses;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fees to professional service providers for, among other things, analytical testing, independent monitoring or other administration of our clinical trials and obtaining and evaluating data from our clinical trials and non-clinical studies;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contract manufacturing services for clinical trial material;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materials used in clinical trials and research and development.</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intend to focus our product development efforts on promising late-stage candidates that we believe satisfy well-defined criteria and seek to utilize collaborations or non-dilutive funding. We plan to seek funding for development activities from external sources and third parties, such as governments and non-governmental organizations. 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follow-on clinical programs that we may initiate, the costs associated with manufacturing our product candidates on a large-scale basis for later stage clinical trials, and our ability to use or rely on data generated by government agencies, such as studies involving BioThrax conducted by the CDC.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Selling, general and administrative expenses consist primarily of personnel-related costs and professional fees in support of our executive, sales and marketing, business development, government affairs, finance, accounting, information technology, legal and human resource functions. Other costs include facility costs not otherwise included in cost of product sales and contract manufacturing or research and development expense.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In-process Research and Development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IXINITY</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intangible asset associated with in-process research and development, or IPR&amp;D, in the acquisition of Cangene Corporation, or Cangene, is the IXINITY product candidate. As part of the purchase price allocation our management determined that the estimated acquisition date fair value related to the IXINITY IPR&amp;D asset was $8.3 million. The estimated fair value was determined using the income approach, which discounts expected future cash flows to present value. We estimated the fair value using a present value discount rate of 16%, which is based on the estimated weighted-average cost of capital for companies with profiles substantially similar to that of Cangene. We believe this rate is comparable to the estimated internal rate of return for the acquisition and represents the rate that market participants would likely use to value this type of IPR&amp;D asset. The projected cash flows from IXINITY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The IXINITY asset was considered to be indefinite-lived until the completion or abandonment of the associated research and development efforts. On April 29, 2015, IXINITY was approved by the FDA. As a result, IXINITY is considered a definite-lived intangible asset from that date.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EV-035</w:t>
      </w:r>
    </w:p>
    <w:p>
      <w:pPr>
        <w:spacing w:after="0" w:line="252"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intangible asset associated with IPR&amp;D acquired from Evolva Holding SA, or Evolva, in December 2014, is the EV-035 series of molecules, or EV-035. As part of the preliminary purchase price allocation, management determined that the estimated acquisition date fair value related to EV-035 IPR&amp;D asset was $27.7 million. The estimated fair value was determined using the income approach, which discounts expected future cash flows to present value.</w:t>
      </w:r>
    </w:p>
    <w:p>
      <w:pPr>
        <w:sectPr>
          <w:pgSz w:w="11900" w:h="16838" w:orient="portrait"/>
          <w:cols w:equalWidth="0" w:num="1">
            <w:col w:w="11420"/>
          </w:cols>
          <w:pgMar w:left="240" w:top="125" w:right="239" w:bottom="0" w:gutter="0" w:footer="0" w:header="0"/>
        </w:sectPr>
      </w:pPr>
    </w:p>
    <w:bookmarkStart w:id="14" w:name="page15"/>
    <w:bookmarkEnd w:id="14"/>
    <w:p>
      <w:pPr>
        <w:ind w:right="20"/>
        <w:spacing w:after="0" w:line="291" w:lineRule="auto"/>
        <w:rPr>
          <w:sz w:val="20"/>
          <w:szCs w:val="20"/>
          <w:color w:val="auto"/>
        </w:rPr>
      </w:pPr>
      <w:r>
        <w:rPr>
          <w:rFonts w:ascii="Arial" w:cs="Arial" w:eastAsia="Arial" w:hAnsi="Arial"/>
          <w:sz w:val="16"/>
          <w:szCs w:val="16"/>
          <w:color w:val="auto"/>
        </w:rPr>
        <w:t>We estimated the fair value using a present value discount rate of 12%, which we believe is comparable to the estimated internal rate of return for the acquisition and represents the rate that market participants would likely use to value the EV-035 asset. The projected cash flows from the EV-035 project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The EV-035 asset is considered to be indefinite-lived until the completion or abandonment of the associated research and development efforts.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Provision for Chargebacks</w:t>
      </w:r>
    </w:p>
    <w:p>
      <w:pPr>
        <w:spacing w:after="0" w:line="256"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record sales for our Biosciences products, primarily WinRho and HepaGam, net of provisions for chargebacks, administration fees, rebates and other adjustments. These provisions are primarily estimated based on historical experience, future expectations, contractual arrangements with wholesalers and indirect customers, and other factors known to management at the time of accrual. Provisions for chargebacks, administration fees, rebates and other adjustments require varying degrees of subjectivity. While rebates generally are based on contractual terms and require minimal estimation, chargebacks require management to make more subjective assumptions.</w:t>
      </w:r>
    </w:p>
    <w:p>
      <w:pPr>
        <w:spacing w:after="0" w:line="20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provision for chargebacks is a significant and complex estimate used in the recognition of revenue. Primarily, we sell our products directly to large commercial wholesale distributors. We also sell our products indirectly to group-purchasing organizations, physician practice-management groups and hospitals, collectively referred to as "indirect customers." We enter into agreements with our indirect customers to establish pricing for certain of our products. The indirect customers then independently select a wholesaler from which to purchase the products. If the price paid by the indirect customers is lower than the price paid by the wholesaler, we will provide a credit, called a chargeback, to the wholesaler for the difference between the contractual price with the indirect customers and the wholesaler purchase price. The provision for chargebacks is based on expected sell-through levels by our wholesale customers to the indirect customers and estimated wholesaler inventory levels.</w:t>
      </w:r>
    </w:p>
    <w:p>
      <w:pPr>
        <w:spacing w:after="0" w:line="20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sales to the large wholesale customers fluctuate the reserve for chargebacks will also generally fluctuate in the same direction. However, the degree of the fluctuation depends on product mix and the amount of sales made to indirect customers with which we have specific chargeback agreements.</w:t>
      </w:r>
    </w:p>
    <w:p>
      <w:pPr>
        <w:spacing w:after="0" w:line="15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a quarterly basis management reviews actual payments for provisions, wholesaler and distributor sales to our indirect customers, inventory balances at the wholesalers and distributors, as well as any known market factors that may impact our estimate, and we make adjustments when we believe that actual chargebacks may differ from the actual chargeback reserve.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31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There have been no significant changes to our Critical Accounting Policies and Estimates during the three months ended March 31, 2015. Refer to the Critical Accounting Policies and Estimates section in our Annual Report on Form 10-K for the year ended December 31, 2014 filed with the Securities and Exchange Commission.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March 31, 2015 Compared to Three Months Ended March 31,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Sales:</w:t>
      </w:r>
    </w:p>
    <w:p>
      <w:pPr>
        <w:spacing w:after="0" w:line="25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Product sales revenues decreased by $17.5 million, or 49%, to $18.3 million for the three months ended March 31, 2015 from $35.8 million for the three months ended March 31, 2014. Product sales revenues included:</w:t>
      </w:r>
    </w:p>
    <w:p>
      <w:pPr>
        <w:spacing w:after="0" w:line="197" w:lineRule="exact"/>
        <w:rPr>
          <w:sz w:val="20"/>
          <w:szCs w:val="20"/>
          <w:color w:val="auto"/>
        </w:rPr>
      </w:pPr>
    </w:p>
    <w:p>
      <w:pPr>
        <w:ind w:left="1300" w:hanging="320"/>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BioThrax - minimal sales for the three months ended March 31, 2015 as compared to $24.5 million for the three months ended March 31, 2014;</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Biodefense products - $11.9 million for the three months ended March 31, 2015 as compared to $8.1 million for the three months ended March 31, 2014; and</w:t>
      </w:r>
    </w:p>
    <w:p>
      <w:pPr>
        <w:ind w:left="1300" w:hanging="320"/>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Biosciences product sales (acquired in February 2014) - $6.3 million for the three months ended March 31, 2015 as compared to $3.3 million for the three months ended March 31, 2014.</w:t>
      </w:r>
    </w:p>
    <w:p>
      <w:pPr>
        <w:spacing w:after="0" w:line="31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decrease in BioThrax sales was due to our decision to suspend shipments to the CDC in the first quarter of 2015 following the discovery of foreign particles in a limited number of vials in two manufactured lots of BioThrax in January 2015. As a result, there were no revenues for BioThrax product sales to the CDC for the three months ended March 31, 2015. BioThrax product sales revenues during the three months ended March 31, 2014 primarily consisted of sales to the CDC of $24.1 million.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Manufacturing:</w:t>
      </w:r>
    </w:p>
    <w:p>
      <w:pPr>
        <w:spacing w:after="0" w:line="252" w:lineRule="exact"/>
        <w:rPr>
          <w:sz w:val="20"/>
          <w:szCs w:val="20"/>
          <w:color w:val="auto"/>
        </w:rPr>
      </w:pPr>
    </w:p>
    <w:p>
      <w:pPr>
        <w:jc w:val="both"/>
        <w:ind w:left="980"/>
        <w:spacing w:after="0" w:line="302" w:lineRule="auto"/>
        <w:rPr>
          <w:sz w:val="20"/>
          <w:szCs w:val="20"/>
          <w:color w:val="auto"/>
        </w:rPr>
      </w:pPr>
      <w:r>
        <w:rPr>
          <w:rFonts w:ascii="Arial" w:cs="Arial" w:eastAsia="Arial" w:hAnsi="Arial"/>
          <w:sz w:val="16"/>
          <w:szCs w:val="16"/>
          <w:color w:val="auto"/>
        </w:rPr>
        <w:t>Contract manufacturing revenues increased by $9.5 million to $12.2 million for the three months ended March 31, 2015 from $2.7 million for the three months ended March 31, 2014. The increase in contract manufacturing revenues for the three months ended March 31, 2015 was primarily due to revenues from our fill/finish facility, acquired from Cangene in February 2014, for the entire three month period. In addition, contract manufacturing revenue increased by $3.8 million due to services related to the production of an MVA Ebola vaccine candidate.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Contracts, Grants and Collaborations:</w:t>
      </w:r>
    </w:p>
    <w:p>
      <w:pPr>
        <w:spacing w:after="0" w:line="252"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Contracts, grants and collaborations revenues increased by $17.7 million to $33.1 million for the three months ended March 31, 2015 from $15.4 million for the three months ended March 31, 2014. The increase was primarily due to:</w:t>
      </w:r>
    </w:p>
    <w:p>
      <w:pPr>
        <w:spacing w:after="0" w:line="197"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development funding of $14.8 million for Anthrasil related to plasma collection; and</w:t>
      </w:r>
    </w:p>
    <w:p>
      <w:pPr>
        <w:sectPr>
          <w:pgSz w:w="11900" w:h="16838" w:orient="portrait"/>
          <w:cols w:equalWidth="0" w:num="1">
            <w:col w:w="11420"/>
          </w:cols>
          <w:pgMar w:left="240" w:top="125" w:right="239" w:bottom="0" w:gutter="0" w:footer="0" w:header="0"/>
        </w:sectPr>
      </w:pPr>
    </w:p>
    <w:bookmarkStart w:id="15" w:name="page16"/>
    <w:bookmarkEnd w:id="15"/>
    <w:p>
      <w:pPr>
        <w:ind w:left="1300" w:hanging="32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recognition of a $5.0 million milestone payment from our collaboration with MorphoSys AG from the initiation of a Phase I clinical study to evaluate the safety, tolerability and clinical activity of MOR209/ES414 in patients with metastatic castration-resistant prostate cancer.</w:t>
      </w:r>
    </w:p>
    <w:p>
      <w:pPr>
        <w:spacing w:after="0" w:line="151" w:lineRule="exact"/>
        <w:rPr>
          <w:sz w:val="20"/>
          <w:szCs w:val="20"/>
          <w:color w:val="auto"/>
        </w:rPr>
      </w:pPr>
    </w:p>
    <w:p>
      <w:pPr>
        <w:ind w:left="980" w:right="240"/>
        <w:spacing w:after="0" w:line="264" w:lineRule="auto"/>
        <w:rPr>
          <w:sz w:val="20"/>
          <w:szCs w:val="20"/>
          <w:color w:val="auto"/>
        </w:rPr>
      </w:pPr>
      <w:r>
        <w:rPr>
          <w:rFonts w:ascii="Arial" w:cs="Arial" w:eastAsia="Arial" w:hAnsi="Arial"/>
          <w:sz w:val="18"/>
          <w:szCs w:val="18"/>
          <w:color w:val="auto"/>
        </w:rPr>
        <w:t>These increases were partially offset by decreased revenue of $3.9 million under our development contracts for BAT and large-scale manufacturing of BioThrax primarily due to the timing of development efforts, along with a payment received in 2014 for our PEP indication for BioThrax related to the progress of development activities.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252" w:lineRule="exact"/>
        <w:rPr>
          <w:sz w:val="20"/>
          <w:szCs w:val="20"/>
          <w:color w:val="auto"/>
        </w:rPr>
      </w:pPr>
    </w:p>
    <w:p>
      <w:pPr>
        <w:jc w:val="both"/>
        <w:ind w:firstLine="604"/>
        <w:spacing w:after="0" w:line="277" w:lineRule="auto"/>
        <w:rPr>
          <w:sz w:val="20"/>
          <w:szCs w:val="20"/>
          <w:color w:val="auto"/>
        </w:rPr>
      </w:pPr>
      <w:r>
        <w:rPr>
          <w:rFonts w:ascii="Arial" w:cs="Arial" w:eastAsia="Arial" w:hAnsi="Arial"/>
          <w:sz w:val="18"/>
          <w:szCs w:val="18"/>
          <w:color w:val="auto"/>
        </w:rPr>
        <w:t>Cost of product sales and contract manufacturing decreased by $0.2 million, or 1%, to $18.7 million for the three months ended March 31, 2015 from $19.0 million for the three months ended March 31, 2014.</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expenses increased by $8.4 million, or 28%, to $38.7 million for the three months ended March 31, 2015 from $30.3 million for the three months ended March 31, 2014. This increase primarily reflects higher contract service costs and includes increased expenses of $11.2 million for product candidates and manufacturing development categorized in the Biodefense segment, partially offset by decreased expenses of $2.5 million for product candidates and technology platform development activities categorized in the Biosciences segment. Net of contracts, grants and collaborations revenues, we incurred net research and development expenses of $5.6 million and $14.9 million, during the three months ended March 31, 2015 and 2014, respectively.</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research and development expenses for the three months ended March 31, 2015 and 2014 are shown in the following table: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Biodefense: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Large-scale manufacturing for BioThrax</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BioThrax related programs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PreviThrax</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NuThrax</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Pandemic influenza</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Anthrasil</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Botulinum antitoxin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Biodefense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Biodefense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Biosciences: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MOR209/ES414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IXINITY</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otlertuzumab</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Biosciences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Biosciences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38,702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decrease in spending for large-scale manufacturing for BioThrax was primarily due to the timing of manufacturing development activities. The decrease in spending for BioThrax related programs was primarily related to the timing of clinical studies to support applications for label expansion for BioThrax. The decrease in spending for PreviThrax was primarily due to the timing of non-clinical studies. The spending for NuThrax was primarily for clinical trial activities. The spending for pandemic influenza was primarily for manufacturing development activities. The spending for our Anthrasil program (which we acquired from Cangene in February 2014) was primarily for plasma collection services. The spending for our Botulinum Antitoxin program (which we acquired from Cangene) was primarily for stability testing. The increase in spending for our Other Biodefense activities was primarily due to increased spending related to manufacturing development.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spending for our MOR209/ES414 product candidate was primarily due to the timing of manufacturing development along with reimbursement for clinical material from MorphoSys. The increase in spending for our IXINITY product candidate was primarily for manufacturing activities. The decrease in spending for our otlertuzumab product candidate was primarily related to the timing of clinical trial activities. The decrease in spending for our Other Biosciences activities was primarily due to decreased costs associated with the development of platform technologies along with reduced costs associated with other programs acquired from Cangene.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spending for Other activities was primarily due to centralized research and development activities attributable to product candidates.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increased by $4.4 million, or 15%, to $34.5 million for the three months ended March 31, 2015 from $30.1 million for the three months ended March 31, 2014. This increase includes additional post-acquisition selling, general and administrative costs of $4.0 million associated with the operations acquired from Cangene in February 2014.</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attributable to our Biodefense segment increased by $1.4 million, or 8%, to $18.3 million during the three months ended March 31, 2015 from $16.9 million during the three months ended March 31, 2014. Selling, general and administrative expenses related to our Biosciences segment increased by $3.0 million, or 23%, to $16.2 million for the three months ended March 31, 2015 from $13.2 million for the three months ended March 31, 2014.</w:t>
      </w:r>
    </w:p>
    <w:p>
      <w:pPr>
        <w:sectPr>
          <w:pgSz w:w="11900" w:h="16838" w:orient="portrait"/>
          <w:cols w:equalWidth="0" w:num="1">
            <w:col w:w="11420"/>
          </w:cols>
          <w:pgMar w:left="240" w:top="125" w:right="239" w:bottom="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net other expense decreased by $1.5 million, or 50%, to $1.5 million for the three months ended March 31, 2015 from $3.0 million for the three months ended March 31, 2014. The decrease was primarily due to $1.8 million of costs associated with the termination of our $125 million term loan facility in the first quarter of 2014.</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Benefit from income taxes increased by $0.1 million, or 1%, to $8.3 million for the three months ended March 31, 2015 from $8.2 million for the three months ended March 31, 2014.</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From inception through March 31, 2015, we have funded our cash requirements principally with a combination of revenues from sales of BioThrax, debt financings, development funding from government entities and non-government and philanthropic organizations and collaborative partners, the net proceeds from our initial public offering and the sale of our common stock upon exercise of stock options. We have operated profitably for each of the five years ended December 31, 2014. As of March 31, 2015, we had cash and cash equivalents of $216.5 million.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2015 and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activities(i)</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(65,898)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(29,240)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(182,757)</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192,874</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(63,984)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(19,123)</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Includes the effect of exchange rates on cash and cash equivalents.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of $65.9 million for the three months ended March 31, 2015 was primarily due to our net loss of $21.5 million, a decrease in income taxes of $19.4 million related to timing differences, a decrease in accrued compensation of $10.9 million primarily related to the payment of 2014 bonuses and an increase in inventory of $16.5 million due to minimal shipments of BioThrax in the first quarter of 2015.</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operating activities of $29.2 million for the three months ended March 31, 2014 was primarily due to our net loss of $20.2 million, a decrease in income taxes of $11.8 million related to timing differences, a decrease in accrued compensation of $8.7 million primarily related to the payment of 2013 bonuses and a decrease in accounts payable of $10.7 million, primarily due to acquisition related activities, partially offset by a decrease in accounts receivable of $17.6 million related to the timing of collection of amounts billed primarily to the CDC.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of $9.1 million for the three months ended March 31, 2015 was due to infrastructure and equipment investments.</w:t>
      </w:r>
    </w:p>
    <w:p>
      <w:pPr>
        <w:spacing w:after="0" w:line="383"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Net cash used in investing activities of $182.8 million for the three months ended March 31, 2014 was primarily due to the acquisition of Cangene for $178.2 million, which is net of $43.6 million of acquired cash, and capital expenditures of $4.6 million for infrastructure and equipment investments.</w:t>
      </w:r>
    </w:p>
    <w:p>
      <w:pPr>
        <w:spacing w:after="0" w:line="25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cash provided by financing activities of $11.0 million for the three months ended March 31, 2015 was primarily due to $6.3 million in proceeds from the issuance of common stock pursuant to employee equity plans and $5.4 million in excess tax benefits from the exercise of stock options.</w:t>
      </w:r>
    </w:p>
    <w:p>
      <w:pPr>
        <w:spacing w:after="0" w:line="25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financing activities of $192.9 million for the three months ended March 31, 2014 was primarily due to proceeds from long-term indebtedness of $251 million, of which $241.7 million (net of $8.3 million of transaction costs) was from our 2.875% Convertible Senior Notes due 2021, or Notes, $8.1 million in proceeds from the issuance of common stock pursuant to employee equity plans and $4.6 million in excess tax benefits from the exercise of stock options, partially offset by a principal payment on indebtedness of $62.0 million under our revolving credit facility.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continue to fund our anticipated operating expenses, capital expenditures and debt service requirements from existing cash and cash equivalents, revenues from product sales, development contract and grant funding, and our revolving credit facility and any other lines of credit we may establish from time to time. 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w:t>
      </w:r>
    </w:p>
    <w:p>
      <w:pPr>
        <w:spacing w:after="0" w:line="21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ectPr>
          <w:pgSz w:w="11900" w:h="16838" w:orient="portrait"/>
          <w:cols w:equalWidth="0" w:num="1">
            <w:col w:w="11420"/>
          </w:cols>
          <w:pgMar w:left="240" w:top="368" w:right="239" w:bottom="0" w:gutter="0" w:footer="0" w:header="0"/>
        </w:sectPr>
      </w:pPr>
    </w:p>
    <w:bookmarkStart w:id="17" w:name="page18"/>
    <w:bookmarkEnd w:id="17"/>
    <w:p>
      <w:pPr>
        <w:spacing w:after="0" w:line="56" w:lineRule="exact"/>
        <w:rPr>
          <w:sz w:val="20"/>
          <w:szCs w:val="20"/>
          <w:color w:val="auto"/>
        </w:rPr>
      </w:pPr>
    </w:p>
    <w:p>
      <w:pPr>
        <w:ind w:left="980" w:hanging="324"/>
        <w:spacing w:after="0" w:line="25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We have an effective shelf registration statement on file with the SEC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2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our Notes that could have the effect of diminishing our ability to make payments on our indebtedness.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exposure to market risk is currently confined to our cash and cash equivalents and our long-term indebtedness. We currently do not hedge interest rate exposure or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2015, our chief executive officer and chief financial officer concluded that, as of such date, our disclosure controls and procedures were effective at the reasonable assurance level.</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quarter ended March 31, 2015, the controls and procedures of Cangene Corporation, acquired in February 2014, have been integrated into the Company's internal control over financial reporting (as defined in Rule 13a-15(f) under the Exchange Act), and the Company is currently evaluating the design and operational effectiveness of these controls and procedures. There have been no other changes in our internal control over financial reporting (as defined in Rule 13a-15(f) under the Exchange Act) identified in connection with the evaluation required by Rule 13a-15(d) under the Exchange Act has occurred during the period covered by this report that has materially affected, or is reasonably likely to materially affect, our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You should carefully consider, among other matters, the following risk factors in addition to the other information in this Quarterly Report on Form 10-Q when evaluating our business because these risk factors may have a significant impact on our business, financial condition, operating results or cash flow. If any of the risks described below or in subsequent reports we file with the SEC actually occur, they may materially harm our business, financial condition, operating results or cash flow. Additional risks and uncertainties that we have not yet identified or that we presently consider to be immaterial may also materially harm our business, financial condition, operating results or cash flow.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RISKS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derive the majority of our revenue from sales of BioThrax to our principal customer, the U.S. government. If the U.S. government's demand for BioThrax is reduced, our business, financial condition, operating results and cash flow could be materially harmed.</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derived and expect for the foreseeable future to derive the majority of our revenue from sales of BioThrax, our FDA-licensed anthrax vaccine, to the U.S. government. We are currently party to a contract with the Centers for Disease Control and Prevention, or CDC, for the supply of up to 44.75 million doses of BioThrax for placement into the Strategic National Stockpile, or SNS, over a five-year period ending in September 2016.</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procurement of doses of BioThrax by the CDC is subject to the availability of funding. Our existing contract with the CDC does not guarantee that funding for the procurement of doses will be made available. If the SNS priorities change, funding to procure doses of BioThrax may be limited or not</w:t>
      </w:r>
    </w:p>
    <w:p>
      <w:pPr>
        <w:sectPr>
          <w:pgSz w:w="11900" w:h="16894" w:orient="portrait"/>
          <w:cols w:equalWidth="0" w:num="1">
            <w:col w:w="11420"/>
          </w:cols>
          <w:pgMar w:left="240" w:top="125" w:right="239" w:bottom="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available, and our business, financial condition and operating results would be materially harmed. The success of our business and our operating results for the foreseeable future are significantly dependent on funding for the procurement of BioThrax and the terms of our BioThrax sales to the U.S. government, including the price per dose, the number of doses and the timing of deliveries.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U.S. government procurement and development contracts require ongoing funding decisions by the U.S. government. Reduced or discontinued funding of these contracts could cause our business, financial condition, operating results and cash flow to suffer materially.</w:t>
      </w:r>
    </w:p>
    <w:p>
      <w:pPr>
        <w:spacing w:after="0" w:line="17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principal customer for BioThrax, BAT, Anthrasil, VIGIV and RSDL is the U.S. government. We anticipate that the U.S. government will also be a principal customer for other biodefense products that we successfully acquire or develop. Additionally, a significant portion of our revenue comes from U.S. government development contracts and grants. Over its lifetime, a U.S. government procurement or 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These appropriations can be subject to political considerations and stringent budgetary constraints. For example, sales of BioThrax supplied under our multi-year procurement contract with the CDC are subject to available funding, mostly from annual appropriations. Additionally, our government-funded development contracts typically give the U.S. government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development contract we were awarded in August 2014 for development of a dry formulation of PreviThrax consists of an approximately two-year base period of performance valued at approximately $7.3 million and thirteen successive one-year option periods valued at a total of approximately $29 million. If levels of government expenditures and authorizations for biodefense decrease or shift to programs in areas where we do not offer products or are not developing product candidates, or if the U.S. government otherwise declines to exercise its options under our contracts, our business, revenues and operating results would suffer.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unique risks and requirements.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 significant portion of our near-term business will be under government contracts and grants, which may be awarded through competitive bidding. Competitive bidding for government contracts presents a number of risks and requirements, some of which are not typically present in the commercial contracting process, including:</w:t>
      </w:r>
    </w:p>
    <w:p>
      <w:pPr>
        <w:spacing w:after="0" w:line="208" w:lineRule="exact"/>
        <w:rPr>
          <w:sz w:val="20"/>
          <w:szCs w:val="20"/>
          <w:color w:val="auto"/>
        </w:rPr>
      </w:pPr>
    </w:p>
    <w:p>
      <w:pPr>
        <w:ind w:left="980" w:right="160" w:hanging="324"/>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commitment of substantial time and attention of management and key employees to the preparation of bids and proposals for contracts that may not be awarded to 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need to accurately estimate the resources and cost structure that will be required to perform any contract that we might be awarded;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we may be ineligible to respond to a request for proposal issued by the government;</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jc w:val="both"/>
        <w:ind w:left="980" w:right="100" w:hanging="324"/>
        <w:spacing w:after="0" w:line="25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our competitors protest or challenge contract or grant awards made to us pursuant to competitive bidding, the potential that we may incur expenses or delays, and that any such protest or challenge would result in the resubmission of bids based on modified specifications, or in the termination, reduction or modification of the awarded contract.</w:t>
      </w:r>
    </w:p>
    <w:p>
      <w:pPr>
        <w:spacing w:after="0" w:line="2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U.S. government may choose not to award us future contracts for the development of our Biodefense product candidates or for the procurement of our Biodefense products, and may instead award such contracts to our competitors. If we are unable to win particular contracts, we may not be able to operate in the market for products that are provided under those contracts for a number of years. Additionally, if we are unable to consistently win new contract awards over an extended period, or if we fail to anticipate all of the costs or resources that will be required to secure and, if applicable, perform under such contract awards, our growth strategy and our business, financial condition and operating results could be materially and adversely affected.</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Laws and regulations affecting government contracts make it more costly and difficult for us to successfully conduct our business. Failure to comply with these laws could result in significant civil and criminal penalties and materially damage our relationship with the U.S. government.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must comply with numerous laws and regulations relating to the procurement, formation, administration and performance of government contracts. Among the most significant government contracting regulations that affect the business of our Biodefense division are:</w:t>
      </w:r>
    </w:p>
    <w:p>
      <w:pPr>
        <w:spacing w:after="0" w:line="197" w:lineRule="exact"/>
        <w:rPr>
          <w:sz w:val="20"/>
          <w:szCs w:val="20"/>
          <w:color w:val="auto"/>
        </w:rPr>
      </w:pPr>
    </w:p>
    <w:p>
      <w:pPr>
        <w:ind w:left="980" w:right="400" w:hanging="324"/>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Acquisition Regulation, or FAR, and agency-specific regulations supplemental to the FAR, which comprehensively regulate the procurement, formation, administration and performance of government contracts;</w:t>
      </w:r>
    </w:p>
    <w:p>
      <w:pPr>
        <w:spacing w:after="0" w:line="1" w:lineRule="exact"/>
        <w:rPr>
          <w:rFonts w:ascii="Arial" w:cs="Arial" w:eastAsia="Arial" w:hAnsi="Arial"/>
          <w:sz w:val="18"/>
          <w:szCs w:val="18"/>
          <w:color w:val="auto"/>
        </w:rPr>
      </w:pPr>
    </w:p>
    <w:p>
      <w:pPr>
        <w:ind w:left="980" w:right="240" w:hanging="324"/>
        <w:spacing w:after="0" w:line="28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Defense Federal Acquisition Regulations, or DFARs, and agency-specific regulations supplemental to the DFAR, which comprehensively regulate the procurement, formation, administration and performance of Department of Defense, or DoD, government contracts;</w:t>
      </w:r>
    </w:p>
    <w:p>
      <w:pPr>
        <w:spacing w:after="0" w:line="1" w:lineRule="exact"/>
        <w:rPr>
          <w:rFonts w:ascii="Arial" w:cs="Arial" w:eastAsia="Arial" w:hAnsi="Arial"/>
          <w:sz w:val="16"/>
          <w:szCs w:val="16"/>
          <w:color w:val="auto"/>
        </w:rPr>
      </w:pPr>
    </w:p>
    <w:p>
      <w:pPr>
        <w:ind w:left="980" w:right="20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and import control laws and regulations; and</w:t>
      </w:r>
    </w:p>
    <w:p>
      <w:pPr>
        <w:spacing w:after="0" w:line="9" w:lineRule="exact"/>
        <w:rPr>
          <w:rFonts w:ascii="Arial" w:cs="Arial" w:eastAsia="Arial" w:hAnsi="Arial"/>
          <w:sz w:val="18"/>
          <w:szCs w:val="18"/>
          <w:color w:val="auto"/>
        </w:rPr>
      </w:pPr>
    </w:p>
    <w:p>
      <w:pPr>
        <w:ind w:left="980" w:right="440" w:hanging="324"/>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U.S. government agencies routinely audit and investigate government contractors for compliance with applicable laws and standards. If we are audited and such audit were to uncover improper or illegal activities, we could be subject to civil and criminal penalties, administrative sanctions, including suspension or debarment from government contracting and significant reputational harm.</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Some of our current contracts with the U.S. Health &amp; Human Services, or HHS, and the DoD for the procurement of our Biodefense products are fixed price contracts. We expect that our potential future contracts with the U.S. government for our Biodefense products also may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ectPr>
          <w:pgSz w:w="11900" w:h="16838" w:orient="portrait"/>
          <w:cols w:equalWidth="0" w:num="1">
            <w:col w:w="11420"/>
          </w:cols>
          <w:pgMar w:left="240" w:top="125" w:right="239" w:bottom="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b w:val="1"/>
          <w:bCs w:val="1"/>
          <w:i w:val="1"/>
          <w:iCs w:val="1"/>
          <w:color w:val="auto"/>
        </w:rPr>
        <w:t>Unfavorable provisions in government contracts, some of which may be customary, may subject our business to material limitations, restrictions and uncertainties and may have a material adverse impact on our financial condition and operating results.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Government contracts customarily contain provisions that give the U.S. government substantial rights and remedies, many of which are not typically found in commercial contracts, including provisions that allow the U.S. government to:</w:t>
      </w:r>
    </w:p>
    <w:p>
      <w:pPr>
        <w:spacing w:after="0" w:line="19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terminate existing contracts, in whole or in part, for any reason or no reason;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unilaterally reduce or modify contracts or subcontracts, including by imposing equitable price adjustments;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 in whole or in part, to exercise an option to purchase product under a contract or renew a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 rights to facilities or to products, including intellectual property, developed under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repayment of contract funds spent on construction of facilities in the event of contract default;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actions that result in a longer development timeline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the course of a development program in a manner not chosen by the government contractor;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debar the contractor from doing business with the government or a specific government agency;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pursue civil or criminal remedies under acts such as the False Claims Act and False Statements 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Generally, government contracts, including our contract for procurement of BioThrax,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Our CDC contract for the procurement of BioThrax is, and our future U.S. government procurement and development contracts are likely to be, terminable at the U.S. government's convenience with these potential consequences.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U.S. government contracts grant the U.S. government the right to use technologies developed by us under the government contract or the right to share data related to our technologies, for or on behalf of the U.S. government. Under our U.S. government contracts, we might not be able to prohibit third parties, including our competitors, from accessing such technology or data, including intellectual property, in providing products and services to the U.S. government.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development and commercialization of new biopharmaceutical products is highly competitive and subject to rapid technological advances. We may face future competition with respect to our products, any products that we acquire, our current product candidates and any products we may seek to develop or commercialize in the future from other companies and governments, universities and other non-profit research organizations. Our competitors may develop products that are safer, more effective, more convenient or less costly than any products that we may develop or market. Our competitors may devote greater resources to market or sell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are a number of companies with biodefense products or product candidates competing with us for both U.S. government procurement and development resources. For example, in terms of additional procurement of licensed countermeasures, HHS awarded a development and SNS procurement contract to GlaxoSmithKline plc for ABThrax™ (raxibacumab), an anthrax monoclonal antibody therapeutic.</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most significant competitors in the hematology/oncology and transplantation markets include: AbbVie Inc., Amgen Inc., Baxter International Inc., CSL Behring, a subsidiary of CSL Limited, Genentech Inc. (a subsidiary of F. Hoffmann-La Roche Ltd.), Gilead Sciences, Inc., Grifols USA LLC, Johnson &amp; Johnson and Novartis AG.</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reduction in demand for our products as a result of a competing product could lead to reduced revenues, reduced margins, reduced levels of profitability and loss of market share for our products. These competitive pressures could adversely affect our business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distribute some of our products and those third parties may not perform.</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our revenues from product sales is derived from sales through exclusive distributors in Canada and international markets. For example, in Canada, only two distributors have rights to our WinRho SDF, HepaGam B and VARIZIG products. As a result, we rely on the sales and marketing strength of these distributors and the distribution channels through which they operate for a portion of our revenues. We may not be able to retain these distribution relationships indefinitely and these distributors may not adequately support the sales, marketing and distribution efforts of our products in these markets. If third parties do not successfully carry out their contractual duties in maximizing the commercial potential of our products, or if there is a delay or interruption in the distribution of our products, it could negatively impact our revenues from product sales.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Biosciences products will depend upon the degree of market acceptance by government customers, physicians, patients, healthcare payors and others in the medical community.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Biosciences products may not gain or maintain market acceptance by potential government customers, physicians, patients, third-party payors and others in the medical community. In particular, the success of our Biosciences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w:t>
      </w:r>
    </w:p>
    <w:p>
      <w:pPr>
        <w:spacing w:after="0" w:line="18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relative cost and relative efficacy of alternative and competing treatments;</w:t>
      </w:r>
    </w:p>
    <w:p>
      <w:pPr>
        <w:sectPr>
          <w:pgSz w:w="11900" w:h="16838" w:orient="portrait"/>
          <w:cols w:equalWidth="0" w:num="1">
            <w:col w:w="11420"/>
          </w:cols>
          <w:pgMar w:left="240" w:top="125" w:right="239" w:bottom="0" w:gutter="0" w:footer="0" w:header="0"/>
        </w:sectPr>
      </w:pPr>
    </w:p>
    <w:bookmarkStart w:id="20" w:name="page21"/>
    <w:bookmarkEnd w:id="20"/>
    <w:p>
      <w:pPr>
        <w:spacing w:after="0" w:line="7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products and of physicians to prescribe these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sufficiency of coverage or reimbursement by third parties.</w:t>
      </w:r>
    </w:p>
    <w:p>
      <w:pPr>
        <w:spacing w:after="0" w:line="2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our products and product candidates do not become widely accepted by potential government customers, physicians, patients, third-party payors and other members of the medical community, our business, financial condition and operating results could be materially and adversely affected.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 care systems and payor reimbursement policies could result in a decline in our potential sales and a reduction in our expected revenue from our products.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revenues and profitability of biopharmaceutical companies like ours may be affected by the continuing efforts of government and third-party payors to contain or reduce the costs of health care through various means. For example, in certain foreign markets, the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profitability. We cannot predict what effects, if any, this legislation might have on our company and our products as this legislation continues to be further implemented over the next few years, nor can we predict whether additional legislative or regulatory proposals may be adopted.</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in the United States and elsewhere sales of therapeutic and other pharmaceutical products depend, in part, on the availability of reimbursement from third-party payors, such as government and private insurance plans. Third-party payors are increasingly challenging the prices charged for medical products and services. Third-party payors may limit access to biopharmaceutical products through the use of prior authorizations and step therapy. Any reimbursement granted may not be maintained, or limits on reimbursement available from third parties may reduce the demand for or negatively affect the price and profitability of those products. Payors may pursue aggressive cost cutting initiatives such as comparing the effectiveness, benefits and costs of similar treatments, which could result in lower reimbursement and therefore demand for these products. Policies that decrease reimbursement would likely have a material adverse effect on our business, financial condition and results of operations. Our ability to successfully commercialize our products and product candidates and the demand for our products depend, in part, on the extent to which reimbursement and access is available from such third-party payors.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Competition for BioThrax, WinRho SDF, BAT, Anthrasil, HepaGam B, VARIZIG and VIGIV, or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although the European Medicines Agency has expressly excluded blood or plasma-derived products and their recombinant alternatives from the biosimilar pathway for a period of time. Vaccine and allergen products are considered on a case-by-case basis. The specific regulatory framework for this new approval pathway, whether the FDA will permit biosimilars for blood products and vaccines, and the extent to which an approved biosimilar would be substituted for the innovator biologic are not yet clear and will depend on many factors that are currently unknown. If a biosimilar version of one of our Biologic Products were approved, it could have a material adverse effect on the sales and gross profits of the affected Biologic Product and could adversely affect our business and operating results.</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Products developed to treat diseases caused by or to combat CBRNE (Chemical, Biological, Radiological, Nuclear and Explosives) threats are subject to changing political and social environments. The political responses and social awareness of the risks of biowarfare and bioterrorism attacks on military personnel or civilians may vary over time. If the threat of terrorism were to decline, then the public perception of the risk of bioterrorism may be reduced. This perception, as well as political or social pressures, could delay or cause resistance to bringing our products to market or limit pricing or purchases of our products, any of which could negatively affect our revenues.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Biodefense products and thereby limit the demand for our Biodefense products, which would adversely affect our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long term success depends, in part, upon our ability to develop, receive regulatory approval for and commercialize product candidates and, if we are not successful, our business and operating results may suffer.</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 We have limited experience in preparing, filing and prosecuting the applications necessary to gain regulatory approvals and expect to rely on third-party contract research organizations and consultants to assist us in this process.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and efficacy in treating the targeted indication based on data derived from adequate and well-controlled clinical trials, including Phase III safety and efficacy trials conducted in patients with the disease or condition being targeted.</w:t>
      </w:r>
    </w:p>
    <w:p>
      <w:pPr>
        <w:sectPr>
          <w:pgSz w:w="11900" w:h="16912" w:orient="portrait"/>
          <w:cols w:equalWidth="0" w:num="1">
            <w:col w:w="11420"/>
          </w:cols>
          <w:pgMar w:left="240" w:top="125" w:right="239" w:bottom="0" w:gutter="0" w:footer="0" w:header="0"/>
        </w:sectPr>
      </w:pPr>
    </w:p>
    <w:bookmarkStart w:id="21" w:name="page22"/>
    <w:bookmarkEnd w:id="21"/>
    <w:p>
      <w:pPr>
        <w:jc w:val="both"/>
        <w:ind w:firstLine="648"/>
        <w:spacing w:after="0" w:line="270" w:lineRule="auto"/>
        <w:rPr>
          <w:sz w:val="20"/>
          <w:szCs w:val="20"/>
          <w:color w:val="auto"/>
        </w:rPr>
      </w:pPr>
      <w:r>
        <w:rPr>
          <w:rFonts w:ascii="Arial" w:cs="Arial" w:eastAsia="Arial" w:hAnsi="Arial"/>
          <w:sz w:val="17"/>
          <w:szCs w:val="17"/>
          <w:color w:val="auto"/>
        </w:rPr>
        <w:t>However, NuThrax and PreviThrax are subject to a different regulatory approval pathway. Specifically, because humans are rarely exposed to anthrax toxins under natural conditions, and cannot be intentionally exposed, statistically significant efficacy for these product candidates cannot be demonstrated in humans. Instead, efficacy must be demonstrated, in part, by utilizing animal models instead of testing in humans. This is known as the FDA's "Animal Rule." We cannot guarantee that the FDA will permit us to proceed with licensure of NuThrax, or PreviThrax or any Biodefense product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drug's clinical benefit and to assess its safety when used as indicated. We cannot guarantee that we will be able to meet this regulatory requirement even if one or more of our product candidates is approved under the Animal Rule.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current good manufacturing practices, or cGMP, requirements relating to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FDA enforces its cGMP and other requirements through periodic unannounced inspections of manufacturing facilities. The FDA is authorized to inspect domestic manufacturing facilities without prior notice at reasonable times and in a reasonable manner. The FDA conducts periodic inspections of our facilities. For example, our Lansing facility was inspected most recently in November 2013 and our Winnipeg manufacturing facility was inspected most recently in July 2014. Following each of these inspections, the FDA has issued inspectional observations, some of which were significant, but all of which are being addressed through corrective actions. If, in connection with any future inspection, the FDA finds that we are not in substantial compliance with cGMP requirements, or if the FDA is not satisfied with the corrective actions we take, the FDA may undertake enforcement action against us, which may include:</w:t>
      </w:r>
    </w:p>
    <w:p>
      <w:pPr>
        <w:spacing w:after="0" w:line="19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warning letters and other communications;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withdrawal of the product from the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suspension or withdrawal of regulatory approvals or refusal to approve pending applications or supplements to approved applications;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or disgorgement of profits or revenue;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action may be taken against us should we fail to comply with regulatory requirements, or later discover previously unknown problems with our products or manufacturing processes.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sell and intend to sell our products outside the United States. To market our products in the European Union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collaborators may not be able to obtain foreign regulatory approvals on a timely basis, if at all, and therefore we may be unable to commercialize our products internationally.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we expand our commercialization activities outside of the United States, we are subject to an increased risk of inadvertently conducting activities in a manner that violates the U.S. Foreign Corrupt Practices Act, or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ectPr>
          <w:pgSz w:w="11900" w:h="16838" w:orient="portrait"/>
          <w:cols w:equalWidth="0" w:num="1">
            <w:col w:w="11420"/>
          </w:cols>
          <w:pgMar w:left="240" w:top="368"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MANUFACTURING RISKS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biologic products and product candidates are complex to manufacture and ship, which could cause us to experience delays in product manufacturing or development and resulting delays in revenues.</w:t>
      </w:r>
    </w:p>
    <w:p>
      <w:pPr>
        <w:spacing w:after="0" w:line="200" w:lineRule="exact"/>
        <w:rPr>
          <w:sz w:val="20"/>
          <w:szCs w:val="20"/>
          <w:color w:val="auto"/>
        </w:rPr>
      </w:pPr>
    </w:p>
    <w:p>
      <w:pPr>
        <w:spacing w:after="0" w:line="36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BioThrax, WinRho SDF, BAT, Anthrasil, HepaGam B, VARIZIG, VIGIV and many of our current product candidates, are biologics. Manufacturing biologic products, especially in large quantities, is complex. The products must be made consistently and in compliance with a clearly defined manufacturing process. Problems may arise during manufacturing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among other things, particulates, filtration, filling, labeling, packaging, storage and shipping, and quality control testing, may result in lot failures or manufacturing shut-down,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or cause the FDA to cease releasing product until the deviations are explained and corrected, any of which could be costly to us, damage our reputation and negatively impact our business.</w:t>
      </w:r>
    </w:p>
    <w:p>
      <w:pPr>
        <w:spacing w:after="0" w:line="200" w:lineRule="exact"/>
        <w:rPr>
          <w:sz w:val="20"/>
          <w:szCs w:val="20"/>
          <w:color w:val="auto"/>
        </w:rPr>
      </w:pPr>
    </w:p>
    <w:p>
      <w:pPr>
        <w:spacing w:after="0" w:line="3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example, FDA approval is required for the release of each lot of BioThrax. A "lot" is approximately 186,000 doses. We are not able to sell any lots that fail to satisfy the release testing specifications. For example, we must provide the FDA with the results of certain tests, including potency tests, before lots are released for sale. Potency testing of each lot of BioThrax is performed against a qualified control lot that we maintain. We have one mechanism for conducting this potency testing that is reliant on a unique animal strain for which we currently have no alternative. We continually monitor the status of our control lot and periodically produce and qualify a new control lot to replace the existing control lot. If we are not able to produce and qualify a new control lot or otherwise satisfy the FDA's requirements for release of BioThrax, our ability to sell BioThrax would be impaired until such time as we become able to meet the FDA's requirements, which would significantly impact our revenues, require us to utilize our cash balances to help fund our ongoing operations and otherwise harm our business.</w:t>
      </w:r>
    </w:p>
    <w:p>
      <w:pPr>
        <w:spacing w:after="0" w:line="200" w:lineRule="exact"/>
        <w:rPr>
          <w:sz w:val="20"/>
          <w:szCs w:val="20"/>
          <w:color w:val="auto"/>
        </w:rPr>
      </w:pPr>
    </w:p>
    <w:p>
      <w:pPr>
        <w:spacing w:after="0" w:line="384"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We are contractually required to ship our biologic products at a prescribed temperature range and variations from that temperature range could result in loss of product and could significantly impact our revenues.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200" w:lineRule="exact"/>
        <w:rPr>
          <w:sz w:val="20"/>
          <w:szCs w:val="20"/>
          <w:color w:val="auto"/>
        </w:rPr>
      </w:pP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 the process of expanding our manufacturing facilities. Delays in completing our facilities, or delays or failures in obtaining regulatory approvals for our new manufacturing facilities, could impact our future revenues.</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constructed Building 55, a large-scale manufacturing facility on our Lansing, Michigan campus for which we received a development contract from BARDA in July 2010 to fund the scale-up, qualification and validation of manufacturing BioThrax at an expanded scale. Additionally, in 2009, we acquired a facility in Baltimore, Maryland, which we intend to utilize for certain product development or manufacturing projects, including projects performed under a separate development contract from BARDA to establish a Center for Innovation in Advanced Development and Manufacturing. The process for qualifying and validating these facilities may result in unanticipated delays and may cost more than expected due to a number of factors, including regulatory requirements. The costs and time required to comply with cGMP regulations or similar foreign regulatory requirements for sales of our products may be significant. In addition, if we experience delays, we may be in breach of the obligations under our government-funded development contracts. We have experienced such delays in the past and may experience further delays in the future. If our facility licensure activities are delayed, we may not be able to utilize Building 55 to increase our production of BioThrax or manufacture product candidates in our Baltimore facility, which could significantly impact our future revenues.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Currently, only Building 12, our small-scale manufacturing facility in Lansing, Michigan, has regulatory approval to manufacture BioThrax. A significant interruption of the ability of this facility to manufacture BioThrax would reduce our revenues and materially harm our business, financial condition, operating results and cash flow.</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rely on our manufacturing facility at a single location in Lansing, Michigan, Building 12, for the production of BioThrax. Any interruption in manufacturing operations at this location could result in our inability to satisfy the product demand of the U.S. government or other BioThrax customers. A number of factors could cause interruptions, including:</w:t>
      </w:r>
    </w:p>
    <w:p>
      <w:pPr>
        <w:spacing w:after="0" w:line="208"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equipment malfunctions or failures;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technology malfunctions;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stoppages or slow-downs;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protests, including by animal rights activists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or destruction of the facility;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contamination or tampering.</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Providers of bioterrorism countermeasures could be subject to an increased risk of terrorist activities. The U.S. government has designated both our Lansing, Michigan and our Biodefense Baltimore facility as facilities requiring additional security. Although, we continually evaluate and update security measures, there can be no assurance that any additional security measures would protect our facilities from terrorist efforts determined to disrupt our manufacturing activities.</w:t>
      </w:r>
    </w:p>
    <w:p>
      <w:pPr>
        <w:sectPr>
          <w:pgSz w:w="11900" w:h="16838" w:orient="portrait"/>
          <w:cols w:equalWidth="0" w:num="1">
            <w:col w:w="11420"/>
          </w:cols>
          <w:pgMar w:left="240" w:top="121" w:right="239" w:bottom="0" w:gutter="0" w:footer="0" w:header="0"/>
        </w:sectPr>
      </w:pPr>
    </w:p>
    <w:bookmarkStart w:id="23" w:name="page24"/>
    <w:bookmarkEnd w:id="23"/>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factors listed above could also cause disruptions at our other facilities, including our manufacturing facility in Winnipeg, Manitoba, Canada. Any such disruption, damage, or destruction of these facilities could impede our ability to manufacture our Biologic Products and our product candidates, result in losses and delays, including delay in the performance of our contractual obligations or delay in our clinical trials, any of which could be costly to us and materially harm our business, financial condition and operating results.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are unable to obtain supplies for the manufacture of BioThrax or our other products and product candidates in sufficient quantities and at an acceptable cost, our ability to manufacture BioThrax or to develop and commercialize our other products and product candidates could be impaired, which could harm our revenues, lead to a termination of one or more of our contracts, lead to delays in clinical trials or otherwise harm our business.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certain single-source suppliers for key materials and services necessary for the manufacture of BioThrax and our other products and product candidates. For example, we rely on a single-source supplier to provide us with Alhydrogel in sufficient quantities to meet our needs to manufacture BioThrax and NuThrax. We also rely on single-source suppliers for the sponge applicator device and the active ingredient used to make RSDL and the specialty plasma in our hyperimmune specialty plasma products. A disruption in the availability of such materials or services from these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harm our business, financial condition and operating results.</w:t>
      </w:r>
    </w:p>
    <w:p>
      <w:pPr>
        <w:spacing w:after="0" w:line="2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are currently dependent on third-party manufacturers for the manufacture of RSDL and episil</w:t>
      </w:r>
      <w:r>
        <w:rPr>
          <w:rFonts w:ascii="Arial" w:cs="Arial" w:eastAsia="Arial" w:hAnsi="Arial"/>
          <w:sz w:val="18"/>
          <w:szCs w:val="18"/>
          <w:color w:val="auto"/>
        </w:rPr>
        <w:t>®</w:t>
      </w:r>
      <w:r>
        <w:rPr>
          <w:rFonts w:ascii="Arial" w:cs="Arial" w:eastAsia="Arial" w:hAnsi="Arial"/>
          <w:sz w:val="18"/>
          <w:szCs w:val="18"/>
          <w:b w:val="1"/>
          <w:bCs w:val="1"/>
          <w:i w:val="1"/>
          <w:iCs w:val="1"/>
          <w:color w:val="auto"/>
        </w:rPr>
        <w:t>. Certain of our third-party manufacturers currently constitute the sole source supplier for these products, and we have and will continue to have limited control over the manufacturing process and costs of these products.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Third-party manufacturers currently supply a significant amount of RSDL and episil® pursuant to contractual arrangements. Certain manufacturers currently constitute the sole source for RSDL and episil®. For example, E-Z-EM Canada Inc. (dba Therapex) is our sole source manufacturer for RSDL. Because of contractual restraints and the lead-time necessary to obtain FDA approval of a new manufacturer, replacement of any of these manufacturers may be expensive and time consuming and may cause interruptions in our supply of these products to our customers.</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 limited ability to control the manufacturing process or costs related to the third-party manufacture of our products. Increases in the prices we pay our manufacturers, interruptions in the supply of our products or lapses in quality could adversely impact our margins, profitability and cash flows. We are reliant on our third-party manufacturers to maintain the facilities at which they manufacture our products in compliance with all FDA and other applicable regulatory requirements. If these manufacturers fail to maintain compliance with FDA or other applicable regulatory requirements, they could be ordered to cease manufacturing, which could have a materially adverse impact on our revenues and operating results.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operations involve the use of hazardous materials, including chemicals, bacteria, viruses and radioactive materials,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RISKS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1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invested significant efforts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 government's interest in providing development funding for or procuring certain of our Biodefense division product candidates, the interest of non-governmental organizations and other commercial entities in providing grant funding for development of certain of our Biosciences division product candidates and the commercial viability of our acquired or developed product candidates. The commercial success of our product candidates will depend on many factors, including accomplishing the following in an economical manner:</w:t>
      </w:r>
    </w:p>
    <w:p>
      <w:pPr>
        <w:spacing w:after="0" w:line="19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formulation and cGMP scale-up of manufacturing that meets FDA requirements;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 and studies in approved animal models;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commercial manufacturing processes and product supply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training of a commercial sales force for the product, whether alone or in collaboration with others;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registration and maintenance of relevant patent and/or other proprietary protection; and</w:t>
      </w:r>
    </w:p>
    <w:p>
      <w:pPr>
        <w:sectPr>
          <w:pgSz w:w="11900" w:h="16888" w:orient="portrait"/>
          <w:cols w:equalWidth="0" w:num="1">
            <w:col w:w="11420"/>
          </w:cols>
          <w:pgMar w:left="240" w:top="368" w:right="239" w:bottom="0" w:gutter="0" w:footer="0" w:header="0"/>
        </w:sectPr>
      </w:pPr>
    </w:p>
    <w:bookmarkStart w:id="24" w:name="page25"/>
    <w:bookmarkEnd w:id="24"/>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acceptance of the product by potential government customers, physicians, patients, healthcare payors and others in the medical community.</w:t>
      </w:r>
    </w:p>
    <w:p>
      <w:pPr>
        <w:spacing w:after="0" w:line="2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 profitable manner, or if doing so requires us to incur significant unanticipated costs, our growth could be materially and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Before obtaining regulatory approval for the sale of our product candidates, we and our collaborative partners where applicable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certain of our Biodefense product candidates, we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 Under the Project BioShield Act of 2004, the Secretary of HHS can contract to purchase countermeasures for the SNS prior to FDA approval of the countermeasure in specified circumstances. Project BioShield also allows the FDA commissioner to authorize the emergency use of medical products that have not yet been approved by the FDA under an Emergency Use Authorization, or EUA. If our Biodefense product candidates are not selected under this Project BioShield authority, they generally will have to be approved by the FDA through traditional regulatory mechanisms.</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17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materials for use in trials;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example, in February 2013, we announced results of a Phase IIb clinical trial evaluating the safety and efficacy of MVA85A in preventing tuberculosis in infants, which indicated that a single dose of MVA85A was not sufficient to confer statistically significant protection against tuberculosis in infants. As a consequence of these results, we ceased further development work on MVA85A.</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may suffer.</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For example, in February 2013, as a consequence of clinical trial results, we ceased further development work on MVA85A, our tuberculosis vaccine candidate. As a result of changes in our strategy, we may change or refocus our existing product development, commercialization and manufacturing activities.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ectPr>
          <w:pgSz w:w="11900" w:h="16838" w:orient="portrait"/>
          <w:cols w:equalWidth="0" w:num="1">
            <w:col w:w="11420"/>
          </w:cols>
          <w:pgMar w:left="240" w:top="125"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our business could be harmed.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particularly with respect to the Biosciences business and small molecule product candidates,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field of vaccines, therapeutics and medical devices generally is highly uncertain and involves complex legal and scientific questions.</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cost of litigation to uphold the validity of patents to prevent infringement or to otherwise protect or enforce our proprietary rights could be substantial and, from time to time, our patents are subject to opposition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collaborators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For example, we license from Pfizer, Inc. an oligonucleotide adjuvant, CPG 7909, for use in our anthrax vaccine product candidate NuThrax.</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Third parties may choose to file patent infringement claims against us; defending ourselves from such allegations would be costly, time-consuming, distracting to management and could materially affect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may have substantially greater financial resources than us and could bring claims against us that could cause us to incur substantial expenses to defend against these claims and, if successful against us, could cause us to pay substantial damages. Further, if a patent infringement or other similar suit were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licensed patents and may be subject to damages.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as to our proprietary manufacturing processes. Because we do not have patent protection for any of our current products, our only intellectual property protection for these products, other than trademarks, is confidentiality regarding our manufacturing capability and specialty know-how, such as techniques, processes and unique starting materials. However,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22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w:t>
      </w:r>
    </w:p>
    <w:p>
      <w:pPr>
        <w:sectPr>
          <w:pgSz w:w="11900" w:h="16838" w:orient="portrait"/>
          <w:cols w:equalWidth="0" w:num="1">
            <w:col w:w="11420"/>
          </w:cols>
          <w:pgMar w:left="240" w:top="368" w:right="239" w:bottom="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confidentiality of our proprietary information and know-how, competitors may be able to use this information to develop products that compete with our products, which could adversely impact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STRATEGIC ACQUISITIONS AND COLLABORATIONS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strategy includes growing our business through acquisition and in-licensing transactions. We may not be successful in identifying, effectively evaluating,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vaccine and therapeutic field. These companies may have a competitive advantage over us due to their size, cash resources and greater clinical development and commercialization capabilities.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product or company,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For example, in part to fund our acquisition of Cangene Corporation, we issued $250 million of senior convertible notes in January 2014. If we are unsuccessful in our efforts to acquire other companies or in-license and develop additional products, or if we acquire or in-license unproductive assets, it could have a material adverse effect on the growth of our business.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successfully integrate acquired assets into our operations could adversely affect our ability to realize the benefits of such acquisitions and, therefore, to grow our business.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be able to integrate any acquired business successfully or operate any acquired business profitably. In addition, cost synergies, if achieved at all, may be less than we expect, or may take greater time to achieve than we anticipate.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Issues that could delay or prevent successful integration or cost synergies of an acquired business include, among others:</w:t>
      </w:r>
    </w:p>
    <w:p>
      <w:pPr>
        <w:spacing w:after="0" w:line="25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 attention and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conforming internal controls, policies and procedures, business cultures and compensation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consolidating sales and marketing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operations and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assumption of known and unknown liabilities;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operations.</w:t>
      </w:r>
    </w:p>
    <w:p>
      <w:pPr>
        <w:spacing w:after="0" w:line="23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If we are unable to successfully integrate future acquisitions with our existing businesses, or operate any acquired business profitably, we may not obtain the advantages that the acquisitions were intended to create, which may materially adversely affect the growth of our business.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each of our product candidates, including otlertuzumab, our humanized anti-CD37 therapeutic (formerly known as TRU-016), we plan to evaluate the merits of entering into collaboration arrangements with third parties, including leading biopharmaceutical companies or non-governmental organizations.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acceptable terms, or if the arrangements we establish are unproductive for us, we may fail to meet our business objectives for the particular product candidate.</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collaboration that we enter into may not be successful and the success of our collaboration arrangements will depend heavily on the efforts and activities of our collaborators. It is likely that our collaborators will have significant discretion in determining the efforts and resources that they will apply to these collaborations.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252" w:lineRule="exact"/>
        <w:rPr>
          <w:sz w:val="20"/>
          <w:szCs w:val="20"/>
          <w:color w:val="auto"/>
        </w:rPr>
      </w:pPr>
    </w:p>
    <w:p>
      <w:pPr>
        <w:ind w:left="980" w:right="60" w:hanging="324"/>
        <w:spacing w:after="0" w:line="25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collaborators may not commit adequate resources to the development, marketing and distribution of any collaboration products, limiting our potential revenues from these products;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 and may therefore be unable to meet their commitments to us;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collaborators may pursue a competing product candidate developed either independently or in collaboration with others, including our competitors; and</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collaborators may terminate our relationship.</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example, in 2011, our previous collaboration partner Abbott Laboratories terminated its collaboration with us for the development of otlertuzumab (formerly TRU-016) following a portfolio reprioritization process by Abbott.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Failure of any of our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w:t>
      </w:r>
    </w:p>
    <w:p>
      <w:pPr>
        <w:sectPr>
          <w:pgSz w:w="11900" w:h="16838" w:orient="portrait"/>
          <w:cols w:equalWidth="0" w:num="1">
            <w:col w:w="11420"/>
          </w:cols>
          <w:pgMar w:left="240" w:top="125"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operations to pay our substantial debt.</w:t>
      </w:r>
    </w:p>
    <w:p>
      <w:pPr>
        <w:spacing w:after="0" w:line="2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March 31, 2015, our total consolidated indebtedness was $251 million, including $250 million of obligations under our senior convertible notes. Our ability to make scheduled payments of the principal of, to pay interest on or to refinance our indebtedness, including the senior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our current debt, we also have a senior secured revolving credit facility with available capacity of up to $100 million, effective until December 11, 2018 (or such earlier date to the extent required by the terms of this facility). We may seek additional debt financing to support our ongoing activities or to provide additional financial flexibility. Debt financing could have significant adverse consequences for our business, including:</w:t>
      </w:r>
    </w:p>
    <w:p>
      <w:pPr>
        <w:spacing w:after="0" w:line="193" w:lineRule="exact"/>
        <w:rPr>
          <w:sz w:val="20"/>
          <w:szCs w:val="20"/>
          <w:color w:val="auto"/>
        </w:rPr>
      </w:pPr>
    </w:p>
    <w:p>
      <w:pPr>
        <w:ind w:left="980" w:right="620" w:hanging="324"/>
        <w:spacing w:after="0" w:line="25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subjecting us, as under our senior secured revolving credit facility, to restrictive covenants that may reduce our ability to take certain corporate actions, acquire companies, products or technology, or obtain further debt financing;</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pledge our assets as collateral, which could limit our ability to obtain additional debt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general adverse economic and industry conditions; and</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if any, in our assets securing our indebtedness.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ability to grow our business, results of operations and financial condition.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require significant additional funding to grow our business, including to acquire other companies or products, in-license and develop additional products, enhance our manufacturing capacity, support commercial marketing activities or otherwise provide additional financial flexibility. We may also require additional funding to support our ongoing operations in the event that our ability to sell BioThrax to the U.S. government is interrupted for an extended period of time, reducing our BioThrax revenues and decreasing our cash balances.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2015, we had approximately $216.5 million of cash and cash equivalents. Our future capital requirements will depend on many factors, including, among others:</w:t>
      </w:r>
    </w:p>
    <w:p>
      <w:pPr>
        <w:spacing w:after="0" w:line="197"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right="700" w:hanging="32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 and</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We have a shelf registration statement on file with the Securities and Exchange Commission, effective until June 2015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like those contained in our senior secured revolving credit facility,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senior convertible notes from incurring additional debt, securing existing or future debt, recapitalizing our debt or taking a number of other actions that could have the effect of diminishing our ability to make payments on our indebtedness.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 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ectPr>
          <w:pgSz w:w="11900" w:h="16838" w:orient="portrait"/>
          <w:cols w:equalWidth="0" w:num="1">
            <w:col w:w="11420"/>
          </w:cols>
          <w:pgMar w:left="240" w:top="364" w:right="239" w:bottom="256"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maintain profitability in future periods or on a consistent basis.</w:t>
      </w:r>
    </w:p>
    <w:p>
      <w:pPr>
        <w:sectPr>
          <w:pgSz w:w="11900" w:h="16838" w:orient="portrait"/>
          <w:cols w:equalWidth="0" w:num="1">
            <w:col w:w="11420"/>
          </w:cols>
          <w:pgMar w:left="240" w:top="364" w:right="239" w:bottom="256" w:gutter="0" w:footer="0" w:header="0"/>
          <w:type w:val="continuous"/>
        </w:sectPr>
      </w:pPr>
    </w:p>
    <w:bookmarkStart w:id="28" w:name="page29"/>
    <w:bookmarkEnd w:id="28"/>
    <w:p>
      <w:pPr>
        <w:jc w:val="both"/>
        <w:ind w:firstLine="648"/>
        <w:spacing w:after="0" w:line="255" w:lineRule="auto"/>
        <w:rPr>
          <w:sz w:val="20"/>
          <w:szCs w:val="20"/>
          <w:color w:val="auto"/>
        </w:rPr>
      </w:pPr>
      <w:r>
        <w:rPr>
          <w:rFonts w:ascii="Arial" w:cs="Arial" w:eastAsia="Arial" w:hAnsi="Arial"/>
          <w:sz w:val="18"/>
          <w:szCs w:val="18"/>
          <w:color w:val="auto"/>
        </w:rPr>
        <w:t>Although we have been profitable for each of the last five fiscal years, we have not been profitable for every quarter during that time. For example, we incurred a net loss in the first quarters of 2015, 2014, 2013 and 2012. Our profitability has been substantially dependent on BioThrax product sales, which historically have fluctuated significantly from quarter to quarter, and we expect that they will continue to fluctuate significantly based primarily on the timing of our fulfillment of orders from the U.S. government. Additionally, our profitability may be adversely affected as we progress through various stages of ongoing or planned clinical trials for our product candidates. We may not be able to achieve consistent profitability on a quarterly basis or sustain or increase profitability on an annual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face an inherent risk of product liability exposure related to the sale of our products, any other products that we successfully acquire or develop and the testing of our product candidates in clinical trials.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One measure of protection against such lawsuits is coverage under the Public Readiness and Emergency Preparedness Act, or PREP Act, which was signed into law in December 2005. The PREP Act creates immunity for manufacturers of biodefense countermeasures when the Secretary of HHS issues a declaration for their manufacture, administration or use. A PREP Act declaration is meant to provide immunity from all claims under federal or state law for loss arising out of the administration or use of a covered countermeasure. The Secretary of HHS has issued PREP Act declarations identifying BioThrax, BAT, Anthrasil and VIGIV as covered countermeasures. These declarations expire in 2015. Manufacturers are not entitled to protection under 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BioThrax and RSDL are certified anti-terrorism products covered under the protections of the Support Anti-Terrorism by Fostering Effective Technology Act of 2002, or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and if we are not entitled to indemnity by the U.S. government, or the U.S. government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214"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 scale deployment of BioThrax as a countermeasure to a bioterrorism threat. We rely on PREP Act protection for BioThrax, BAT, Anthrasil and VIGIV and SAFETY Act protection for BioThrax and RSDL in addition to our insurance coverage to help mitigate our product liability exposure for these products. Claims or losses in excess of our product liability insurance coverage could have a material adverse effect on our business, financial condition and results of operations.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20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w:t>
      </w:r>
    </w:p>
    <w:p>
      <w:pPr>
        <w:sectPr>
          <w:pgSz w:w="11900" w:h="16838" w:orient="portrait"/>
          <w:cols w:equalWidth="0" w:num="1">
            <w:col w:w="11420"/>
          </w:cols>
          <w:pgMar w:left="240" w:top="125" w:right="239" w:bottom="0" w:gutter="0" w:footer="0" w:header="0"/>
        </w:sectPr>
      </w:pPr>
    </w:p>
    <w:bookmarkStart w:id="29" w:name="page30"/>
    <w:bookmarkEnd w:id="29"/>
    <w:p>
      <w:pPr>
        <w:jc w:val="both"/>
        <w:spacing w:after="0" w:line="279" w:lineRule="auto"/>
        <w:rPr>
          <w:sz w:val="20"/>
          <w:szCs w:val="20"/>
          <w:color w:val="auto"/>
        </w:rPr>
      </w:pPr>
      <w:r>
        <w:rPr>
          <w:rFonts w:ascii="Arial" w:cs="Arial" w:eastAsia="Arial" w:hAnsi="Arial"/>
          <w:sz w:val="17"/>
          <w:szCs w:val="17"/>
          <w:color w:val="auto"/>
        </w:rPr>
        <w:t>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April 30, 2015, Mr. El-Hibri was the beneficial owner of approximately 15%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252"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changing the number of directors then in office;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the removal and appointment of the chairman of our Board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stockholder rights plan could prevent a change in control of us in instances in which some stockholders may believe a change in control is in their best interests.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April 30, 2015, our common stock has traded as high as $31.33 per share and as low as $4.40 per share. The stock market in general as well as the market for biopharmaceutical companies in particular have experienced extreme volatility that has often been unrelated to the operating performance of particular companies. The market price of our common stock may be influenced by many factors, including, among others:</w:t>
      </w:r>
    </w:p>
    <w:p>
      <w:pPr>
        <w:spacing w:after="0" w:line="200" w:lineRule="exact"/>
        <w:rPr>
          <w:sz w:val="20"/>
          <w:szCs w:val="20"/>
          <w:color w:val="auto"/>
        </w:rPr>
      </w:pPr>
    </w:p>
    <w:p>
      <w:pPr>
        <w:spacing w:after="0" w:line="23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decisions and procurement policies by the U.S. government affecting BioThrax;</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clinical and non-clinical trials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w:t>
      </w:r>
    </w:p>
    <w:p>
      <w:pPr>
        <w:sectPr>
          <w:pgSz w:w="11900" w:h="16838" w:orient="portrait"/>
          <w:cols w:equalWidth="0" w:num="1">
            <w:col w:w="11420"/>
          </w:cols>
          <w:pgMar w:left="240" w:top="125" w:right="239" w:bottom="0" w:gutter="0" w:footer="0" w:header="0"/>
        </w:sectPr>
      </w:pPr>
    </w:p>
    <w:bookmarkStart w:id="30" w:name="page31"/>
    <w:bookmarkEnd w:id="30"/>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product revenue and profitability;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currently do not pay dividends, investors will benefit from an investment in our common stock only if it appreciates in value.</w:t>
      </w:r>
    </w:p>
    <w:p>
      <w:pPr>
        <w:spacing w:after="0" w:line="2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do not pay dividends on our common stock. Our senior secured credit facility and any future debt agreements that we enter into may limit our ability to pay dividends. As a result, capital appreciation, if any, of our common stock will be the sole source of gain for our stockholders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2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April 30, 2015, have the right to require us to register these shares of common stock under specified circumstances. In 2012, the SEC declared effective our shelf registration statement that included registration of up to three million of these shares to be sold by these holders from time to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by Item 601 of Regulation S-K are listed in the Exhibit Index immediately preceding the exhibits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7, 2015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/S/ROBERT G. KRAMER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620" w:type="dxa"/>
            <w:vAlign w:val="bottom"/>
          </w:tcPr>
          <w:p>
            <w:pPr>
              <w:ind w:left="49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00" w:type="dxa"/>
            <w:vAlign w:val="bottom"/>
          </w:tcPr>
          <w:p>
            <w:pPr>
              <w:spacing w:after="0" w:line="192" w:lineRule="exact"/>
              <w:rPr>
                <w:sz w:val="20"/>
                <w:szCs w:val="20"/>
                <w:color w:val="auto"/>
              </w:rPr>
            </w:pPr>
            <w:r>
              <w:rPr>
                <w:rFonts w:ascii="Arial" w:cs="Arial" w:eastAsia="Arial" w:hAnsi="Arial"/>
                <w:sz w:val="14"/>
                <w:szCs w:val="14"/>
                <w:color w:val="auto"/>
              </w:rPr>
              <w:t>12</w:t>
            </w:r>
            <w:r>
              <w:rPr>
                <w:rFonts w:ascii="Arial" w:cs="Arial" w:eastAsia="Arial" w:hAnsi="Arial"/>
                <w:sz w:val="22"/>
                <w:szCs w:val="22"/>
                <w:color w:val="auto"/>
                <w:vertAlign w:val="superscript"/>
              </w:rPr>
              <w:t>#</w:t>
            </w:r>
          </w:p>
        </w:tc>
        <w:tc>
          <w:tcPr>
            <w:tcW w:w="10620" w:type="dxa"/>
            <w:vAlign w:val="bottom"/>
          </w:tcPr>
          <w:p>
            <w:pPr>
              <w:ind w:left="100"/>
              <w:spacing w:after="0" w:line="192" w:lineRule="exact"/>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16"/>
        </w:trPr>
        <w:tc>
          <w:tcPr>
            <w:tcW w:w="800" w:type="dxa"/>
            <w:vAlign w:val="bottom"/>
          </w:tcPr>
          <w:p>
            <w:pPr>
              <w:spacing w:after="0" w:line="216" w:lineRule="exact"/>
              <w:rPr>
                <w:sz w:val="20"/>
                <w:szCs w:val="20"/>
                <w:color w:val="auto"/>
              </w:rPr>
            </w:pPr>
            <w:r>
              <w:rPr>
                <w:rFonts w:ascii="Arial" w:cs="Arial" w:eastAsia="Arial" w:hAnsi="Arial"/>
                <w:sz w:val="16"/>
                <w:szCs w:val="16"/>
                <w:color w:val="auto"/>
              </w:rPr>
              <w:t>31.1</w:t>
            </w:r>
            <w:r>
              <w:rPr>
                <w:rFonts w:ascii="Arial" w:cs="Arial" w:eastAsia="Arial" w:hAnsi="Arial"/>
                <w:sz w:val="25"/>
                <w:szCs w:val="25"/>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Exchange Act Rule 13a-14(a).</w:t>
            </w:r>
          </w:p>
        </w:tc>
        <w:tc>
          <w:tcPr>
            <w:tcW w:w="0" w:type="dxa"/>
            <w:vAlign w:val="bottom"/>
          </w:tcPr>
          <w:p>
            <w:pPr>
              <w:spacing w:after="0"/>
              <w:rPr>
                <w:sz w:val="1"/>
                <w:szCs w:val="1"/>
                <w:color w:val="auto"/>
              </w:rPr>
            </w:pPr>
          </w:p>
        </w:tc>
      </w:tr>
      <w:tr>
        <w:trPr>
          <w:trHeight w:val="216"/>
        </w:trPr>
        <w:tc>
          <w:tcPr>
            <w:tcW w:w="800" w:type="dxa"/>
            <w:vAlign w:val="bottom"/>
          </w:tcPr>
          <w:p>
            <w:pPr>
              <w:spacing w:after="0" w:line="216" w:lineRule="exact"/>
              <w:rPr>
                <w:sz w:val="20"/>
                <w:szCs w:val="20"/>
                <w:color w:val="auto"/>
              </w:rPr>
            </w:pPr>
            <w:r>
              <w:rPr>
                <w:rFonts w:ascii="Arial" w:cs="Arial" w:eastAsia="Arial" w:hAnsi="Arial"/>
                <w:sz w:val="16"/>
                <w:szCs w:val="16"/>
                <w:color w:val="auto"/>
              </w:rPr>
              <w:t>31.2</w:t>
            </w:r>
            <w:r>
              <w:rPr>
                <w:rFonts w:ascii="Arial" w:cs="Arial" w:eastAsia="Arial" w:hAnsi="Arial"/>
                <w:sz w:val="25"/>
                <w:szCs w:val="25"/>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Exchange Act Rule 13a-14(a).</w:t>
            </w:r>
          </w:p>
        </w:tc>
        <w:tc>
          <w:tcPr>
            <w:tcW w:w="0" w:type="dxa"/>
            <w:vAlign w:val="bottom"/>
          </w:tcPr>
          <w:p>
            <w:pPr>
              <w:spacing w:after="0"/>
              <w:rPr>
                <w:sz w:val="1"/>
                <w:szCs w:val="1"/>
                <w:color w:val="auto"/>
              </w:rPr>
            </w:pPr>
          </w:p>
        </w:tc>
      </w:tr>
      <w:tr>
        <w:trPr>
          <w:trHeight w:val="226"/>
        </w:trPr>
        <w:tc>
          <w:tcPr>
            <w:tcW w:w="800" w:type="dxa"/>
            <w:vAlign w:val="bottom"/>
          </w:tcPr>
          <w:p>
            <w:pPr>
              <w:spacing w:after="0" w:line="226" w:lineRule="exact"/>
              <w:rPr>
                <w:sz w:val="20"/>
                <w:szCs w:val="20"/>
                <w:color w:val="auto"/>
              </w:rPr>
            </w:pPr>
            <w:r>
              <w:rPr>
                <w:rFonts w:ascii="Arial" w:cs="Arial" w:eastAsia="Arial" w:hAnsi="Arial"/>
                <w:sz w:val="16"/>
                <w:szCs w:val="16"/>
                <w:color w:val="auto"/>
              </w:rPr>
              <w:t>32.1</w:t>
            </w:r>
            <w:r>
              <w:rPr>
                <w:rFonts w:ascii="Arial" w:cs="Arial" w:eastAsia="Arial" w:hAnsi="Arial"/>
                <w:sz w:val="26"/>
                <w:szCs w:val="26"/>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20"/>
                <w:szCs w:val="20"/>
                <w:color w:val="auto"/>
              </w:rPr>
            </w:pPr>
            <w:r>
              <w:rPr>
                <w:rFonts w:ascii="Arial" w:cs="Arial" w:eastAsia="Arial" w:hAnsi="Arial"/>
                <w:sz w:val="18"/>
                <w:szCs w:val="18"/>
                <w:color w:val="auto"/>
              </w:rPr>
              <w:t>32.2</w:t>
            </w:r>
            <w:r>
              <w:rPr>
                <w:rFonts w:ascii="Arial" w:cs="Arial" w:eastAsia="Arial" w:hAnsi="Arial"/>
                <w:sz w:val="30"/>
                <w:szCs w:val="30"/>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 INS</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Calculation Linksbase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Definition Linksbase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Label Linksbase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Presentation Linksbase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w:t>
      </w:r>
    </w:p>
    <w:p>
      <w:pPr>
        <w:spacing w:after="0" w:line="23" w:lineRule="exact"/>
        <w:rPr>
          <w:sz w:val="20"/>
          <w:szCs w:val="20"/>
          <w:color w:val="auto"/>
        </w:rPr>
      </w:pPr>
    </w:p>
    <w:p>
      <w:pPr>
        <w:ind w:left="700" w:hanging="20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Condensed Consolidated Statements of Operations for the three months ended March 31, 2015 and 2014;</w:t>
      </w:r>
    </w:p>
    <w:p>
      <w:pPr>
        <w:spacing w:after="0" w:line="9" w:lineRule="exact"/>
        <w:rPr>
          <w:rFonts w:ascii="Arial" w:cs="Arial" w:eastAsia="Arial" w:hAnsi="Arial"/>
          <w:sz w:val="18"/>
          <w:szCs w:val="18"/>
          <w:color w:val="auto"/>
        </w:rPr>
      </w:pPr>
    </w:p>
    <w:p>
      <w:pPr>
        <w:ind w:left="760" w:hanging="266"/>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Loss for the three months ended March 31, 2015 and 2014;</w:t>
      </w:r>
    </w:p>
    <w:p>
      <w:pPr>
        <w:spacing w:after="0" w:line="9" w:lineRule="exact"/>
        <w:rPr>
          <w:rFonts w:ascii="Arial" w:cs="Arial" w:eastAsia="Arial" w:hAnsi="Arial"/>
          <w:sz w:val="18"/>
          <w:szCs w:val="18"/>
          <w:color w:val="auto"/>
        </w:rPr>
      </w:pPr>
    </w:p>
    <w:p>
      <w:pPr>
        <w:ind w:left="800" w:hanging="30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Condensed Consolidated Balance Sheets at March 31, 2015 and December 31, 2014;</w:t>
      </w:r>
    </w:p>
    <w:p>
      <w:pPr>
        <w:spacing w:after="0" w:line="9" w:lineRule="exact"/>
        <w:rPr>
          <w:rFonts w:ascii="Arial" w:cs="Arial" w:eastAsia="Arial" w:hAnsi="Arial"/>
          <w:sz w:val="18"/>
          <w:szCs w:val="18"/>
          <w:color w:val="auto"/>
        </w:rPr>
      </w:pPr>
    </w:p>
    <w:p>
      <w:pPr>
        <w:ind w:left="800" w:hanging="30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three months ended March 31, 2015 and 2014;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filed or part of a registration statement or prospectus for purposes of sections 11 or 12 of the Securities Act, is deemed filed for purposes of Section 18 of the Exchange Act, and otherwise is not subject to liability under these sections.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420"/>
          </w:cols>
          <w:pgMar w:left="240" w:top="36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ind w:left="100"/>
              <w:spacing w:after="0"/>
              <w:rPr>
                <w:sz w:val="20"/>
                <w:szCs w:val="20"/>
                <w:color w:val="auto"/>
              </w:rPr>
            </w:pPr>
            <w:r>
              <w:rPr>
                <w:rFonts w:ascii="Arial" w:cs="Arial" w:eastAsia="Arial" w:hAnsi="Arial"/>
                <w:sz w:val="22"/>
                <w:szCs w:val="22"/>
                <w:b w:val="1"/>
                <w:bCs w:val="1"/>
                <w:color w:val="auto"/>
              </w:rPr>
              <w:t>EXHIBIT 12</w:t>
            </w: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10"/>
          </w:tcPr>
          <w:p>
            <w:pPr>
              <w:ind w:left="50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Borders>
              <w:top w:val="single" w:sz="8" w:color="646464"/>
            </w:tcBorders>
          </w:tcPr>
          <w:p>
            <w:pPr>
              <w:spacing w:after="0"/>
              <w:rPr>
                <w:sz w:val="17"/>
                <w:szCs w:val="17"/>
                <w:color w:val="auto"/>
              </w:rPr>
            </w:pPr>
          </w:p>
        </w:tc>
        <w:tc>
          <w:tcPr>
            <w:tcW w:w="1160" w:type="dxa"/>
            <w:vAlign w:val="bottom"/>
            <w:tcBorders>
              <w:top w:val="single" w:sz="8" w:color="646464"/>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Quarter</w:t>
            </w:r>
          </w:p>
        </w:tc>
        <w:tc>
          <w:tcPr>
            <w:tcW w:w="120" w:type="dxa"/>
            <w:vAlign w:val="bottom"/>
            <w:tcBorders>
              <w:top w:val="single" w:sz="8" w:color="646464"/>
            </w:tcBorders>
          </w:tcPr>
          <w:p>
            <w:pPr>
              <w:spacing w:after="0"/>
              <w:rPr>
                <w:sz w:val="17"/>
                <w:szCs w:val="17"/>
                <w:color w:val="auto"/>
              </w:rPr>
            </w:pPr>
          </w:p>
        </w:tc>
        <w:tc>
          <w:tcPr>
            <w:tcW w:w="260" w:type="dxa"/>
            <w:vAlign w:val="bottom"/>
            <w:tcBorders>
              <w:top w:val="single" w:sz="8" w:color="646464"/>
            </w:tcBorders>
          </w:tcPr>
          <w:p>
            <w:pPr>
              <w:spacing w:after="0"/>
              <w:rPr>
                <w:sz w:val="17"/>
                <w:szCs w:val="17"/>
                <w:color w:val="auto"/>
              </w:rPr>
            </w:pPr>
          </w:p>
        </w:tc>
        <w:tc>
          <w:tcPr>
            <w:tcW w:w="940" w:type="dxa"/>
            <w:vAlign w:val="bottom"/>
            <w:tcBorders>
              <w:top w:val="single" w:sz="8" w:color="646464"/>
            </w:tcBorders>
          </w:tcPr>
          <w:p>
            <w:pPr>
              <w:spacing w:after="0"/>
              <w:rPr>
                <w:sz w:val="17"/>
                <w:szCs w:val="17"/>
                <w:color w:val="auto"/>
              </w:rPr>
            </w:pPr>
          </w:p>
        </w:tc>
        <w:tc>
          <w:tcPr>
            <w:tcW w:w="120" w:type="dxa"/>
            <w:vAlign w:val="bottom"/>
            <w:tcBorders>
              <w:top w:val="single" w:sz="8" w:color="646464"/>
            </w:tcBorders>
          </w:tcPr>
          <w:p>
            <w:pPr>
              <w:spacing w:after="0"/>
              <w:rPr>
                <w:sz w:val="17"/>
                <w:szCs w:val="17"/>
                <w:color w:val="auto"/>
              </w:rPr>
            </w:pPr>
          </w:p>
        </w:tc>
        <w:tc>
          <w:tcPr>
            <w:tcW w:w="120" w:type="dxa"/>
            <w:vAlign w:val="bottom"/>
            <w:tcBorders>
              <w:top w:val="single" w:sz="8" w:color="646464"/>
            </w:tcBorders>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646464"/>
            </w:tcBorders>
          </w:tcPr>
          <w:p>
            <w:pPr>
              <w:spacing w:after="0"/>
              <w:rPr>
                <w:sz w:val="17"/>
                <w:szCs w:val="17"/>
                <w:color w:val="auto"/>
              </w:rPr>
            </w:pPr>
          </w:p>
        </w:tc>
        <w:tc>
          <w:tcPr>
            <w:tcW w:w="880" w:type="dxa"/>
            <w:vAlign w:val="bottom"/>
            <w:tcBorders>
              <w:top w:val="single" w:sz="8" w:color="646464"/>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880" w:type="dxa"/>
            <w:vAlign w:val="bottom"/>
            <w:tcBorders>
              <w:top w:val="single" w:sz="8" w:color="646464"/>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260" w:type="dxa"/>
            <w:vAlign w:val="bottom"/>
            <w:tcBorders>
              <w:bottom w:val="single" w:sz="8" w:color="646464"/>
            </w:tcBorders>
          </w:tcPr>
          <w:p>
            <w:pPr>
              <w:spacing w:after="0"/>
              <w:rPr>
                <w:sz w:val="20"/>
                <w:szCs w:val="20"/>
                <w:color w:val="auto"/>
              </w:rPr>
            </w:pPr>
          </w:p>
        </w:tc>
        <w:tc>
          <w:tcPr>
            <w:tcW w:w="94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2720" w:type="dxa"/>
            <w:vAlign w:val="bottom"/>
            <w:tcBorders>
              <w:bottom w:val="single" w:sz="8" w:color="646464"/>
            </w:tcBorders>
            <w:gridSpan w:val="8"/>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646464"/>
            </w:tcBorders>
          </w:tcPr>
          <w:p>
            <w:pPr>
              <w:spacing w:after="0"/>
              <w:rPr>
                <w:sz w:val="20"/>
                <w:szCs w:val="20"/>
                <w:color w:val="auto"/>
              </w:rPr>
            </w:pPr>
          </w:p>
        </w:tc>
        <w:tc>
          <w:tcPr>
            <w:tcW w:w="10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880" w:type="dxa"/>
            <w:vAlign w:val="bottom"/>
            <w:tcBorders>
              <w:bottom w:val="single" w:sz="8" w:color="646464"/>
            </w:tcBorders>
          </w:tcPr>
          <w:p>
            <w:pPr>
              <w:spacing w:after="0"/>
              <w:rPr>
                <w:sz w:val="20"/>
                <w:szCs w:val="20"/>
                <w:color w:val="auto"/>
              </w:rPr>
            </w:pPr>
          </w:p>
        </w:tc>
        <w:tc>
          <w:tcPr>
            <w:tcW w:w="60" w:type="dxa"/>
            <w:vAlign w:val="bottom"/>
            <w:tcBorders>
              <w:bottom w:val="single" w:sz="8" w:color="646464"/>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646464"/>
            </w:tcBorders>
          </w:tcPr>
          <w:p>
            <w:pPr>
              <w:spacing w:after="0"/>
              <w:rPr>
                <w:sz w:val="19"/>
                <w:szCs w:val="19"/>
                <w:color w:val="auto"/>
              </w:rPr>
            </w:pPr>
          </w:p>
        </w:tc>
        <w:tc>
          <w:tcPr>
            <w:tcW w:w="1040" w:type="dxa"/>
            <w:vAlign w:val="bottom"/>
            <w:tcBorders>
              <w:bottom w:val="single" w:sz="8" w:color="646464"/>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646464"/>
            </w:tcBorders>
          </w:tcPr>
          <w:p>
            <w:pPr>
              <w:spacing w:after="0"/>
              <w:rPr>
                <w:sz w:val="19"/>
                <w:szCs w:val="19"/>
                <w:color w:val="auto"/>
              </w:rPr>
            </w:pPr>
          </w:p>
        </w:tc>
        <w:tc>
          <w:tcPr>
            <w:tcW w:w="940" w:type="dxa"/>
            <w:vAlign w:val="bottom"/>
            <w:tcBorders>
              <w:bottom w:val="single" w:sz="8" w:color="646464"/>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646464"/>
            </w:tcBorders>
          </w:tcPr>
          <w:p>
            <w:pPr>
              <w:spacing w:after="0"/>
              <w:rPr>
                <w:sz w:val="19"/>
                <w:szCs w:val="19"/>
                <w:color w:val="auto"/>
              </w:rPr>
            </w:pPr>
          </w:p>
        </w:tc>
        <w:tc>
          <w:tcPr>
            <w:tcW w:w="90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646464"/>
            </w:tcBorders>
          </w:tcPr>
          <w:p>
            <w:pPr>
              <w:spacing w:after="0"/>
              <w:rPr>
                <w:sz w:val="19"/>
                <w:szCs w:val="19"/>
                <w:color w:val="auto"/>
              </w:rPr>
            </w:pPr>
          </w:p>
        </w:tc>
        <w:tc>
          <w:tcPr>
            <w:tcW w:w="90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646464"/>
            </w:tcBorders>
          </w:tcPr>
          <w:p>
            <w:pPr>
              <w:spacing w:after="0"/>
              <w:rPr>
                <w:sz w:val="19"/>
                <w:szCs w:val="19"/>
                <w:color w:val="auto"/>
              </w:rPr>
            </w:pPr>
          </w:p>
        </w:tc>
        <w:tc>
          <w:tcPr>
            <w:tcW w:w="88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646464"/>
            </w:tcBorders>
          </w:tcPr>
          <w:p>
            <w:pPr>
              <w:spacing w:after="0"/>
              <w:rPr>
                <w:sz w:val="19"/>
                <w:szCs w:val="19"/>
                <w:color w:val="auto"/>
              </w:rPr>
            </w:pPr>
          </w:p>
        </w:tc>
        <w:tc>
          <w:tcPr>
            <w:tcW w:w="88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Pretax income (loss) from continuing</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operations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(29,789)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37,446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 expensed</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w:t>
            </w:r>
          </w:p>
        </w:tc>
        <w:tc>
          <w:tcPr>
            <w:tcW w:w="120" w:type="dxa"/>
            <w:vAlign w:val="bottom"/>
            <w:tcBorders>
              <w:bottom w:val="single" w:sz="8" w:color="646464"/>
            </w:tcBorders>
            <w:shd w:val="clear" w:color="auto" w:fill="CCEEFF"/>
          </w:tcPr>
          <w:p>
            <w:pPr>
              <w:spacing w:after="0"/>
              <w:rPr>
                <w:sz w:val="19"/>
                <w:szCs w:val="19"/>
                <w:color w:val="auto"/>
              </w:rPr>
            </w:pPr>
          </w:p>
        </w:tc>
        <w:tc>
          <w:tcPr>
            <w:tcW w:w="1160" w:type="dxa"/>
            <w:vAlign w:val="bottom"/>
            <w:tcBorders>
              <w:bottom w:val="single" w:sz="8" w:color="646464"/>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646464"/>
            </w:tcBorders>
            <w:shd w:val="clear" w:color="auto" w:fill="CCEEFF"/>
          </w:tcPr>
          <w:p>
            <w:pPr>
              <w:spacing w:after="0"/>
              <w:rPr>
                <w:sz w:val="19"/>
                <w:szCs w:val="19"/>
                <w:color w:val="auto"/>
              </w:rPr>
            </w:pPr>
          </w:p>
        </w:tc>
        <w:tc>
          <w:tcPr>
            <w:tcW w:w="1060" w:type="dxa"/>
            <w:vAlign w:val="bottom"/>
            <w:tcBorders>
              <w:bottom w:val="single" w:sz="8" w:color="646464"/>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646464"/>
            </w:tcBorders>
            <w:shd w:val="clear" w:color="auto" w:fill="CCEEFF"/>
          </w:tcPr>
          <w:p>
            <w:pPr>
              <w:spacing w:after="0"/>
              <w:rPr>
                <w:sz w:val="19"/>
                <w:szCs w:val="19"/>
                <w:color w:val="auto"/>
              </w:rPr>
            </w:pPr>
          </w:p>
        </w:tc>
        <w:tc>
          <w:tcPr>
            <w:tcW w:w="1000" w:type="dxa"/>
            <w:vAlign w:val="bottom"/>
            <w:tcBorders>
              <w:bottom w:val="single" w:sz="8" w:color="646464"/>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646464"/>
            </w:tcBorders>
            <w:shd w:val="clear" w:color="auto" w:fill="CCEEFF"/>
          </w:tcPr>
          <w:p>
            <w:pPr>
              <w:spacing w:after="0"/>
              <w:rPr>
                <w:sz w:val="19"/>
                <w:szCs w:val="19"/>
                <w:color w:val="auto"/>
              </w:rPr>
            </w:pPr>
          </w:p>
        </w:tc>
        <w:tc>
          <w:tcPr>
            <w:tcW w:w="1020" w:type="dxa"/>
            <w:vAlign w:val="bottom"/>
            <w:tcBorders>
              <w:bottom w:val="single" w:sz="8" w:color="646464"/>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646464"/>
            </w:tcBorders>
            <w:shd w:val="clear" w:color="auto" w:fill="CCEEFF"/>
          </w:tcPr>
          <w:p>
            <w:pPr>
              <w:spacing w:after="0"/>
              <w:rPr>
                <w:sz w:val="19"/>
                <w:szCs w:val="19"/>
                <w:color w:val="auto"/>
              </w:rPr>
            </w:pPr>
          </w:p>
        </w:tc>
        <w:tc>
          <w:tcPr>
            <w:tcW w:w="980" w:type="dxa"/>
            <w:vAlign w:val="bottom"/>
            <w:tcBorders>
              <w:bottom w:val="single" w:sz="8" w:color="646464"/>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646464"/>
            </w:tcBorders>
            <w:shd w:val="clear" w:color="auto" w:fill="CCEEFF"/>
          </w:tcPr>
          <w:p>
            <w:pPr>
              <w:spacing w:after="0"/>
              <w:rPr>
                <w:sz w:val="19"/>
                <w:szCs w:val="19"/>
                <w:color w:val="auto"/>
              </w:rPr>
            </w:pPr>
          </w:p>
        </w:tc>
        <w:tc>
          <w:tcPr>
            <w:tcW w:w="940" w:type="dxa"/>
            <w:vAlign w:val="bottom"/>
            <w:tcBorders>
              <w:bottom w:val="single" w:sz="8" w:color="646464"/>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fixed charges (2)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10,754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Noncontrolling interest in pretax income (3)</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 (4)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((1) + (2) -(3) -(4))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10,754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Coverage deficiency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(29,789)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J. Abdun-Nabi certify that:</w:t>
      </w:r>
    </w:p>
    <w:p>
      <w:pPr>
        <w:spacing w:after="0" w:line="21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certify that:</w:t>
      </w:r>
    </w:p>
    <w:p>
      <w:pPr>
        <w:spacing w:after="0" w:line="21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March 31, 2015 as filed with the Securities and Exchange Commission on the date hereof (the "Report"), the undersigned, Daniel Abdun-Nabi, Chief Executive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7, 2015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March 31, 2015 as filed with the Securities and Exchange Commission on the date hereof (the "Report"), the undersigned, Robert Kramer, Chief Financial Officer of the Company, hereby certifies, pursuant to 18 U.S.C. Section 1350, that:</w:t>
      </w:r>
    </w:p>
    <w:p>
      <w:pPr>
        <w:spacing w:after="0" w:line="208"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0" w:firstLine="8"/>
        <w:spacing w:after="0" w:line="532" w:lineRule="auto"/>
        <w:tabs>
          <w:tab w:leader="none" w:pos="3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7, 2015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lowerRoman"/>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2019-12-29T16:38:24Z</dcterms:created>
  <dcterms:modified xsi:type="dcterms:W3CDTF">2019-12-29T16:38:24Z</dcterms:modified>
</cp:coreProperties>
</file>