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7, 2013</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Emergent BioSolutions Inc.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4"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445"/>
        </w:trPr>
        <w:tc>
          <w:tcPr>
            <w:tcW w:w="6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20850</w:t>
            </w:r>
          </w:p>
        </w:tc>
      </w:tr>
      <w:tr>
        <w:trPr>
          <w:trHeight w:val="230"/>
        </w:trPr>
        <w:tc>
          <w:tcPr>
            <w:tcW w:w="418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6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7, 2013, Emergent BioSolutions Inc. announced financial and operating results for the year ended December 31, 2012. The full text of the press release issued in connection with the announcement is attached as Exhibit 99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5"/>
          <w:szCs w:val="15"/>
          <w:color w:val="auto"/>
        </w:rPr>
        <w:t>Press release issued by the company on March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364"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March 7, 2013</w:t>
            </w:r>
          </w:p>
        </w:tc>
        <w:tc>
          <w:tcPr>
            <w:tcW w:w="7780" w:type="dxa"/>
            <w:vAlign w:val="bottom"/>
            <w:gridSpan w:val="3"/>
          </w:tcPr>
          <w:p>
            <w:pPr>
              <w:ind w:left="214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40" w:type="dxa"/>
            <w:vAlign w:val="bottom"/>
          </w:tcPr>
          <w:p>
            <w:pPr>
              <w:spacing w:after="0"/>
              <w:rPr>
                <w:sz w:val="16"/>
                <w:szCs w:val="16"/>
                <w:color w:val="auto"/>
              </w:rPr>
            </w:pPr>
          </w:p>
        </w:tc>
        <w:tc>
          <w:tcPr>
            <w:tcW w:w="7780" w:type="dxa"/>
            <w:vAlign w:val="bottom"/>
            <w:gridSpan w:val="3"/>
          </w:tcPr>
          <w:p>
            <w:pPr>
              <w:ind w:left="2460"/>
              <w:spacing w:after="0" w:line="190" w:lineRule="exact"/>
              <w:rPr>
                <w:sz w:val="20"/>
                <w:szCs w:val="20"/>
                <w:color w:val="auto"/>
              </w:rPr>
            </w:pPr>
            <w:r>
              <w:rPr>
                <w:rFonts w:ascii="Arial" w:cs="Arial" w:eastAsia="Arial" w:hAnsi="Arial"/>
                <w:sz w:val="18"/>
                <w:szCs w:val="18"/>
                <w:color w:val="auto"/>
              </w:rPr>
              <w:t>By:/s/Jay G. Reilly</w:t>
            </w:r>
          </w:p>
        </w:tc>
      </w:tr>
      <w:tr>
        <w:trPr>
          <w:trHeight w:val="222"/>
        </w:trPr>
        <w:tc>
          <w:tcPr>
            <w:tcW w:w="3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Jay G. Reilly</w:t>
            </w:r>
          </w:p>
        </w:tc>
        <w:tc>
          <w:tcPr>
            <w:tcW w:w="394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605"/>
        </w:trPr>
        <w:tc>
          <w:tcPr>
            <w:tcW w:w="36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Index</w:t>
      </w:r>
    </w:p>
    <w:p>
      <w:pPr>
        <w:spacing w:after="0" w:line="247"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99</w:t>
      </w:r>
      <w:r>
        <w:rPr>
          <w:sz w:val="20"/>
          <w:szCs w:val="20"/>
          <w:color w:val="auto"/>
        </w:rPr>
        <w:tab/>
      </w:r>
      <w:r>
        <w:rPr>
          <w:rFonts w:ascii="Arial" w:cs="Arial" w:eastAsia="Arial" w:hAnsi="Arial"/>
          <w:sz w:val="15"/>
          <w:szCs w:val="15"/>
          <w:color w:val="auto"/>
        </w:rPr>
        <w:t>Press release issued on March 7, 2013.</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FINANCIAL RESULTS FOR FOURTH QUARTER AND FULL YEAR 2012</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ROCKVILLE, MD, March 7, 2013—</w:t>
      </w:r>
      <w:r>
        <w:rPr>
          <w:rFonts w:ascii="Arial" w:cs="Arial" w:eastAsia="Arial" w:hAnsi="Arial"/>
          <w:sz w:val="18"/>
          <w:szCs w:val="18"/>
          <w:color w:val="auto"/>
        </w:rPr>
        <w:t>Emergent BioSolutions Inc. (NYSE: EBS) announced today its financial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2012.</w:t>
      </w:r>
    </w:p>
    <w:p>
      <w:pPr>
        <w:spacing w:after="0" w:line="16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Total revenues for 2012 were $281.9 million as compared to $273.4 million in 2011, and net income for 2012 was $23.5 million, or $0.65 per basic share, as compared to $23.0 million, or $0.65 per basic share, in 2011.</w:t>
      </w:r>
    </w:p>
    <w:p>
      <w:pPr>
        <w:spacing w:after="0" w:line="18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For the fourth quarter 2012, total revenues were $94.6 million as compared to $107.9 million in 2011, and net income was $16.1 million, or $0.45 per basic share, as compared to $28.7 million, or $0.80 per basic share, in 2011.</w:t>
      </w:r>
    </w:p>
    <w:p>
      <w:pPr>
        <w:spacing w:after="0" w:line="18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Robert Kramer, executive vice president and chief financial officer of Emergent BioSolutions, commented, "Our operational achievements in 2012 marked another solid year of performance for the company, highlighted by our ongoing deliveries of BioThrax to the SNS, continued advancement of our many biodefense development contracts, progress toward licensure of Building 55, and securing designation of our Baltimore facility by BARDA as one of three Centers for Innovation in Advanced Development and Manufacturing in the nation. We look to build upon these successes in 2013 as we take definitive steps toward achieving the financial and operational goals we set out in our growth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2012 Key Operational Accomplishments</w:t>
      </w:r>
    </w:p>
    <w:p>
      <w:pPr>
        <w:spacing w:after="0" w:line="207" w:lineRule="exact"/>
        <w:rPr>
          <w:sz w:val="20"/>
          <w:szCs w:val="20"/>
          <w:color w:val="auto"/>
        </w:rPr>
      </w:pPr>
    </w:p>
    <w:p>
      <w:pPr>
        <w:ind w:left="340" w:right="240" w:hanging="332"/>
        <w:spacing w:after="0" w:line="18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FDA approval for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administered in a three-dose primary series with booster doses at 12 and 18 months and annually thereafter;</w:t>
      </w:r>
    </w:p>
    <w:p>
      <w:pPr>
        <w:spacing w:after="0" w:line="20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toward a post-exposure prophylaxis indication for BioThrax by initiating a pivotal antibiotic non-interference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Progressed toward licensure of Building 55 by initiating manufacture of consistency lots;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Secured a contract option from BARDA for development of PreviThrax™ (Recombinant Protective Antigen Anthrax Vaccine, Purified);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Partnered with BARDA to establish a Center for Innovation in Advanced Development and Manufacturing;</w:t>
      </w:r>
    </w:p>
    <w:p>
      <w:pPr>
        <w:spacing w:after="0" w:line="225"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a Phase 2 study of TRU-016 in combination with bendamustine in patients with relapsed refractory Chronic Lymphocytic Leukemia (CLL);</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a Phase 1b study of TRU-016 in combination with rituximab in patients with previously untreated CLL;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Announced a three-year plan for growth and established key financial and operational goals to be achieved by year-end 2015.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2012 Key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For the full twelve months of 2012, product sales were $215.9 million, an increase of $13.5 million, or 7 percent, from $202.4 million in 2011, primarily due to a 15 percent increase in the number of doses of BioThrax delivered.</w:t>
      </w:r>
    </w:p>
    <w:p>
      <w:pPr>
        <w:spacing w:after="0" w:line="18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 4Q 2012, product sales were $ 74.4 million, a decrease of $7.3 million, or 9 percent, from $81.7 million in 4Q 2011, primarily due to a 4 percent decrease in the number of BioThrax doses delivered and a decrease in the average sales price per dose.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 Revenues</w:t>
      </w:r>
    </w:p>
    <w:p>
      <w:pPr>
        <w:spacing w:after="0" w:line="18"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For the full twelve months of 2012, contracts and grants revenue was $66.0 million, a decrease of $5.0 million, or 7 percent, from $71.0 million in 2011. The decrease in contracts and grants revenue was primarily due to decreased revenues from our agreements with Abbott and Pfizer.</w:t>
      </w:r>
    </w:p>
    <w:p>
      <w:pPr>
        <w:spacing w:after="0" w:line="18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4Q 2012, contracts and grants revenue was $20.3 million, a decrease of $6.0 million, or 23 percent, from $26.3 million in 4Q 2011. The decrease in contracts and grants revenue was primarily due to decreased revenues from our agreement with Abbott.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full twelve months of 2012, cost of product sales was $46.1 million, an increase of $3.9 million, or 9 percent, from $42.2 million in 2011.</w:t>
      </w:r>
    </w:p>
    <w:p>
      <w:pPr>
        <w:ind w:left="60"/>
        <w:spacing w:after="0"/>
        <w:rPr>
          <w:sz w:val="20"/>
          <w:szCs w:val="20"/>
          <w:color w:val="auto"/>
        </w:rPr>
      </w:pPr>
      <w:r>
        <w:rPr>
          <w:rFonts w:ascii="Arial" w:cs="Arial" w:eastAsia="Arial" w:hAnsi="Arial"/>
          <w:sz w:val="18"/>
          <w:szCs w:val="18"/>
          <w:color w:val="auto"/>
        </w:rPr>
        <w:t>The increase in 2012 was primarily attributable to the 15 percent increase in the number of BioThrax doses delivered.</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4Q 2012, cost of product sales was $15.1 million, an increase of $0.8 million, or 6 percent, from $14.3 million in 4Q 2011. The increase was primarily attributable to a 4 percent decrease in the number of BioThrax doses delivered.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For the full twelve months of 2012, gross research and development expenses were $120.2 million, a decrease of $4.6 million, or 4 percent, from $124.8 million in 2011. This decrease primarily reflects lower contract service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4Q 2012, gross research and development expenses were $35.9 million, an increase of $6.6 million, or 22 percent, from $29.4 million in 4Q 2011. This increase primarily reflects higher contract service costs and an upfront payment for an exclusive license to certain rights to pandemic influenza products.</w:t>
      </w:r>
    </w:p>
    <w:p>
      <w:pPr>
        <w:spacing w:after="0" w:line="1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Net R&amp;D expense is calculated as research and development expenses less development contract and grant reimbursements and the net loss attributable to non-controlling interests. For the full twelve months of 2012 and 2011, net R&amp;D expenses were $48.8 million and $47.0 million, respectively. For 4Q 2012 and 2011, net R&amp;D expenses were $14.6 million and $1.3 million, respectively.</w:t>
      </w:r>
    </w:p>
    <w:p>
      <w:pPr>
        <w:sectPr>
          <w:pgSz w:w="11900" w:h="16838" w:orient="portrait"/>
          <w:cols w:equalWidth="0" w:num="1">
            <w:col w:w="11420"/>
          </w:cols>
          <w:pgMar w:left="240" w:top="603"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For the full twelve months of 2012, general and administrative expenses were $76.0 million, an increase of $1.7 million, or 2 percent, from $74.3 million in 2011.</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4Q 2012, selling, general and administrative expenses were $19.5 million, an increase of $1.2 million, or 7 percent, from $18.3 million in 4Q 2011. The twelve month and 4Q increases were primarily due to increased spending related to professional and personnel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and Liquidity</w:t>
      </w:r>
    </w:p>
    <w:p>
      <w:pPr>
        <w:spacing w:after="0" w:line="1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Cash and cash equivalents combined with investments at December 31, 2012 was $141.7 million compared to $145.9 million at December 31, 2011. Additionally, at December 31, 2012, the accounts receivable balance was $96.0 million, as compared to $74.2 million at December 31,</w:t>
      </w:r>
    </w:p>
    <w:p>
      <w:pPr>
        <w:spacing w:after="0" w:line="2"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2011. The accounts receivable balance for both periods is comprised primarily of unpaid amounts due related to shipments of BioThrax accepted by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2013 Forecast</w:t>
      </w:r>
    </w:p>
    <w:p>
      <w:pPr>
        <w:spacing w:after="0" w:line="1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 2013, the company is reaffirming its financial forecast of total revenue of $290 to $310 million, split between product sales of $230 to $240 million and contracts and grants revenue of $60 to $70 million. The company also forecasts 2013 net income of $20 to $30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2013, the company anticipates total revenues of $40 to $50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Company management will host a conference call at 5:00 pm Eastern on March 7, 2013 to discuss these financial results. The conference call will be accessible by dialing 888/679-8038 or 617/213-4850 (international) and providing passcode 76232628. A webcast of the conference call will be accessible from the company's website at </w:t>
      </w:r>
      <w:r>
        <w:rPr>
          <w:rFonts w:ascii="Arial" w:cs="Arial" w:eastAsia="Arial" w:hAnsi="Arial"/>
          <w:sz w:val="18"/>
          <w:szCs w:val="18"/>
          <w:u w:val="single" w:color="auto"/>
          <w:color w:val="0000FF"/>
        </w:rPr>
        <w:t>www.emergentbiosolutions.com</w:t>
      </w:r>
      <w:r>
        <w:rPr>
          <w:rFonts w:ascii="Arial" w:cs="Arial" w:eastAsia="Arial" w:hAnsi="Arial"/>
          <w:sz w:val="18"/>
          <w:szCs w:val="18"/>
          <w:color w:val="auto"/>
        </w:rPr>
        <w:t>, under "Investors". A replay of the conference call will be accessible, approximately two hours following the conclusion of the call, by dialing 888/286-8010 or 617/801-6888 and using the passcode 28122043. The replay will be available through March 21, 2013. The webcast will be archived on the company's website, www.emergentbiosolutions.com, under "</w:t>
      </w:r>
      <w:r>
        <w:rPr>
          <w:rFonts w:ascii="Arial" w:cs="Arial" w:eastAsia="Arial" w:hAnsi="Arial"/>
          <w:sz w:val="18"/>
          <w:szCs w:val="18"/>
          <w:u w:val="single" w:color="auto"/>
          <w:color w:val="0000FF"/>
        </w:rPr>
        <w:t>Investors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Emergent BioSolutions Inc.</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Emergent BioSolutions is a specialty pharmaceutical company seeking to protect and enhance life by offering specialized products to healthcare providers and governments to address medical needs and emerging health threats. Additional information about the company may be found at </w:t>
      </w:r>
      <w:r>
        <w:rPr>
          <w:rFonts w:ascii="Arial" w:cs="Arial" w:eastAsia="Arial" w:hAnsi="Arial"/>
          <w:sz w:val="18"/>
          <w:szCs w:val="18"/>
          <w:u w:val="single" w:color="auto"/>
          <w:color w:val="0000FF"/>
        </w:rPr>
        <w:t>www.emergentbiosolutions.com</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Follow us on twitter: </w:t>
      </w:r>
      <w:r>
        <w:rPr>
          <w:rFonts w:ascii="Arial" w:cs="Arial" w:eastAsia="Arial" w:hAnsi="Arial"/>
          <w:sz w:val="18"/>
          <w:szCs w:val="18"/>
          <w:b w:val="1"/>
          <w:bCs w:val="1"/>
          <w:u w:val="single" w:color="auto"/>
          <w:color w:val="0000FF"/>
        </w:rPr>
        <w:t>@emergentbiosolu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income, and any other statements containing the words "believes", "expects", "anticipates", "intends", "plans", "estimates" and similar expressions,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93"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appropriations for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procurement; our ability to obtain new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sales contracts; our plans to pursue label expansions and improvements for BioThrax</w:t>
      </w:r>
      <w:r>
        <w:rPr>
          <w:rFonts w:ascii="Arial" w:cs="Arial" w:eastAsia="Arial" w:hAnsi="Arial"/>
          <w:sz w:val="30"/>
          <w:szCs w:val="30"/>
          <w:color w:val="auto"/>
          <w:vertAlign w:val="superscript"/>
        </w:rPr>
        <w:t>®</w:t>
      </w:r>
      <w:r>
        <w:rPr>
          <w:rFonts w:ascii="Arial" w:cs="Arial" w:eastAsia="Arial" w:hAnsi="Arial"/>
          <w:sz w:val="18"/>
          <w:szCs w:val="18"/>
          <w:color w:val="auto"/>
        </w:rPr>
        <w:t>; availability of funding for our US government grants and contracts; our ability to identify and acquire or in license products and product candidates that satisfy our selection criteria; the potential benefits of our existing collaboration agreements and our ability to enter into selective additional collaboration arrangements; our ability to expand our manufacturing facilities and capabilities;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G. Burrows</w:t>
      </w:r>
    </w:p>
    <w:p>
      <w:pPr>
        <w:spacing w:after="0" w:line="234" w:lineRule="auto"/>
        <w:rPr>
          <w:sz w:val="20"/>
          <w:szCs w:val="20"/>
          <w:color w:val="auto"/>
        </w:rPr>
      </w:pPr>
      <w:r>
        <w:rPr>
          <w:rFonts w:ascii="Arial" w:cs="Arial" w:eastAsia="Arial" w:hAnsi="Arial"/>
          <w:sz w:val="18"/>
          <w:szCs w:val="18"/>
          <w:b w:val="1"/>
          <w:bCs w:val="1"/>
          <w:color w:val="auto"/>
        </w:rPr>
        <w:t>Vice President, Investor Relations</w:t>
      </w:r>
    </w:p>
    <w:p>
      <w:pPr>
        <w:spacing w:after="0" w:line="235" w:lineRule="auto"/>
        <w:rPr>
          <w:sz w:val="20"/>
          <w:szCs w:val="20"/>
          <w:color w:val="auto"/>
        </w:rPr>
      </w:pPr>
      <w:r>
        <w:rPr>
          <w:rFonts w:ascii="Arial" w:cs="Arial" w:eastAsia="Arial" w:hAnsi="Arial"/>
          <w:sz w:val="18"/>
          <w:szCs w:val="18"/>
          <w:b w:val="1"/>
          <w:bCs w:val="1"/>
          <w:color w:val="auto"/>
        </w:rPr>
        <w:t>301-795-1877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BurrowsR@ebsi.com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Tracey Schmitt</w:t>
      </w:r>
    </w:p>
    <w:p>
      <w:pPr>
        <w:spacing w:after="0" w:line="234" w:lineRule="auto"/>
        <w:rPr>
          <w:sz w:val="20"/>
          <w:szCs w:val="20"/>
          <w:color w:val="auto"/>
        </w:rPr>
      </w:pPr>
      <w:r>
        <w:rPr>
          <w:rFonts w:ascii="Arial" w:cs="Arial" w:eastAsia="Arial" w:hAnsi="Arial"/>
          <w:sz w:val="18"/>
          <w:szCs w:val="18"/>
          <w:b w:val="1"/>
          <w:bCs w:val="1"/>
          <w:color w:val="auto"/>
        </w:rPr>
        <w:t>Vice President, Corporate Communications</w:t>
      </w:r>
    </w:p>
    <w:p>
      <w:pPr>
        <w:spacing w:after="0" w:line="235" w:lineRule="auto"/>
        <w:rPr>
          <w:sz w:val="20"/>
          <w:szCs w:val="20"/>
          <w:color w:val="auto"/>
        </w:rPr>
      </w:pPr>
      <w:r>
        <w:rPr>
          <w:rFonts w:ascii="Arial" w:cs="Arial" w:eastAsia="Arial" w:hAnsi="Arial"/>
          <w:sz w:val="18"/>
          <w:szCs w:val="18"/>
          <w:b w:val="1"/>
          <w:bCs w:val="1"/>
          <w:color w:val="auto"/>
        </w:rPr>
        <w:t>301-795-1800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SchmittT@ebsi.com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6" w:name="page7"/>
    <w:bookmarkEnd w:id="6"/>
    <w:p>
      <w:pPr>
        <w:jc w:val="center"/>
        <w:ind w:left="3220"/>
        <w:spacing w:after="0"/>
        <w:rPr>
          <w:sz w:val="20"/>
          <w:szCs w:val="20"/>
          <w:color w:val="auto"/>
        </w:rPr>
      </w:pPr>
      <w:r>
        <w:rPr>
          <w:rFonts w:ascii="Arial" w:cs="Arial" w:eastAsia="Arial" w:hAnsi="Arial"/>
          <w:sz w:val="13"/>
          <w:szCs w:val="13"/>
          <w:b w:val="1"/>
          <w:bCs w:val="1"/>
          <w:color w:val="auto"/>
        </w:rPr>
        <w:t>Emergent BioSolutions Inc. and Subsidiaries</w:t>
      </w:r>
    </w:p>
    <w:p>
      <w:pPr>
        <w:spacing w:after="0" w:line="67"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jc w:val="center"/>
        <w:ind w:left="32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ASSETS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and cash equivalents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Accounts receivable</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Deferred tax assets, net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Income tax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Restricted cash</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Property, plant and equipment, net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Goodwill</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Deferred tax assets, net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1"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expenses and other current liabilities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Contingent value rights, current portion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Income tax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Long-term indebtedness, current portion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Contingent value rights, net of current portion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Long-term indebtedness,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liabilities</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December 31,</w:t>
      </w:r>
    </w:p>
    <w:p>
      <w:pPr>
        <w:spacing w:after="0" w:line="55"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15862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141,666</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143,901</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1,966</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96,043</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74,153</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15,161</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14,661</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1,264</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1,735</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9,506</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220</w:t>
            </w:r>
          </w:p>
        </w:tc>
      </w:tr>
      <w:tr>
        <w:trPr>
          <w:trHeight w:val="208"/>
        </w:trPr>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8,276</w:t>
            </w:r>
          </w:p>
        </w:tc>
      </w:tr>
      <w:tr>
        <w:trPr>
          <w:trHeight w:val="223"/>
        </w:trPr>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263,347</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254,418</w:t>
            </w:r>
          </w:p>
        </w:tc>
      </w:tr>
      <w:tr>
        <w:trPr>
          <w:trHeight w:val="447"/>
        </w:trPr>
        <w:tc>
          <w:tcPr>
            <w:tcW w:w="3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241,764</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208,973</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41,800</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51,400</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5,502</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5,502</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11,765</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11,087</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13,999</w:t>
            </w:r>
          </w:p>
        </w:tc>
      </w:tr>
      <w:tr>
        <w:trPr>
          <w:trHeight w:val="208"/>
        </w:trPr>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807</w:t>
            </w:r>
          </w:p>
        </w:tc>
      </w:tr>
      <w:tr>
        <w:trPr>
          <w:trHeight w:val="432"/>
        </w:trPr>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564,230</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546,864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73"/>
        </w:trPr>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31,297</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40,530</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1,488</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1,170</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22,726</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20,884</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1,748</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4,470</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5,360</w:t>
            </w:r>
          </w:p>
        </w:tc>
      </w:tr>
      <w:tr>
        <w:trPr>
          <w:trHeight w:val="208"/>
        </w:trPr>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1,362</w:t>
            </w:r>
          </w:p>
        </w:tc>
      </w:tr>
      <w:tr>
        <w:trPr>
          <w:trHeight w:val="231"/>
        </w:trPr>
        <w:tc>
          <w:tcPr>
            <w:tcW w:w="36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61,907</w:t>
            </w:r>
          </w:p>
        </w:tc>
        <w:tc>
          <w:tcPr>
            <w:tcW w:w="48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71,054</w:t>
            </w:r>
          </w:p>
        </w:tc>
      </w:tr>
      <w:tr>
        <w:trPr>
          <w:trHeight w:val="432"/>
        </w:trPr>
        <w:tc>
          <w:tcPr>
            <w:tcW w:w="3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3,005</w:t>
            </w:r>
          </w:p>
        </w:tc>
      </w:tr>
      <w:tr>
        <w:trPr>
          <w:trHeight w:val="216"/>
        </w:trPr>
        <w:tc>
          <w:tcPr>
            <w:tcW w:w="3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58,304</w:t>
            </w:r>
          </w:p>
        </w:tc>
        <w:tc>
          <w:tcPr>
            <w:tcW w:w="48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54,094</w:t>
            </w:r>
          </w:p>
        </w:tc>
      </w:tr>
      <w:tr>
        <w:trPr>
          <w:trHeight w:val="208"/>
        </w:trPr>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1,984</w:t>
            </w:r>
          </w:p>
        </w:tc>
      </w:tr>
      <w:tr>
        <w:trPr>
          <w:trHeight w:val="231"/>
        </w:trPr>
        <w:tc>
          <w:tcPr>
            <w:tcW w:w="36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122,102</w:t>
            </w:r>
          </w:p>
        </w:tc>
        <w:tc>
          <w:tcPr>
            <w:tcW w:w="48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130,137</w:t>
            </w:r>
          </w:p>
        </w:tc>
      </w:tr>
    </w:tbl>
    <w:p>
      <w:pPr>
        <w:spacing w:after="0" w:line="610" w:lineRule="exact"/>
        <w:rPr>
          <w:sz w:val="20"/>
          <w:szCs w:val="20"/>
          <w:color w:val="auto"/>
        </w:rPr>
      </w:pPr>
    </w:p>
    <w:p>
      <w:pPr>
        <w:sectPr>
          <w:pgSz w:w="11900" w:h="16838" w:orient="portrait"/>
          <w:cols w:equalWidth="0" w:num="2">
            <w:col w:w="8100" w:space="720"/>
            <w:col w:w="2640"/>
          </w:cols>
          <w:pgMar w:left="240" w:top="346" w:right="199" w:bottom="1440" w:gutter="0" w:footer="0" w:header="0"/>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Pr>
          <w:p>
            <w:pPr>
              <w:spacing w:after="0"/>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0"/>
        </w:trPr>
        <w:tc>
          <w:tcPr>
            <w:tcW w:w="88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4"/>
              </w:rPr>
              <w:t>Preferred stock, $0.001 par value; 15,000,000 shares authorized, 0 shares issued and outstanding at December 31, 2012 and December 31, 2011,</w:t>
            </w: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respectively</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30"/>
        </w:trPr>
        <w:tc>
          <w:tcPr>
            <w:tcW w:w="8820" w:type="dxa"/>
            <w:vAlign w:val="bottom"/>
          </w:tcPr>
          <w:p>
            <w:pPr>
              <w:ind w:left="160"/>
              <w:spacing w:after="0" w:line="130" w:lineRule="exact"/>
              <w:rPr>
                <w:sz w:val="20"/>
                <w:szCs w:val="20"/>
                <w:color w:val="auto"/>
              </w:rPr>
            </w:pPr>
            <w:r>
              <w:rPr>
                <w:rFonts w:ascii="Arial" w:cs="Arial" w:eastAsia="Arial" w:hAnsi="Arial"/>
                <w:sz w:val="14"/>
                <w:szCs w:val="14"/>
                <w:color w:val="auto"/>
                <w:w w:val="95"/>
              </w:rPr>
              <w:t>Common stock, $0.001 par value; 100,000,000 shares authorized, 36,272,550 shares issued and 35,869,392 shares outstanding at December 31,</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8820" w:type="dxa"/>
            <w:vAlign w:val="bottom"/>
          </w:tcPr>
          <w:p>
            <w:pPr>
              <w:ind w:left="160"/>
              <w:spacing w:after="0"/>
              <w:rPr>
                <w:sz w:val="20"/>
                <w:szCs w:val="20"/>
                <w:color w:val="auto"/>
              </w:rPr>
            </w:pPr>
            <w:r>
              <w:rPr>
                <w:rFonts w:ascii="Arial" w:cs="Arial" w:eastAsia="Arial" w:hAnsi="Arial"/>
                <w:sz w:val="14"/>
                <w:szCs w:val="14"/>
                <w:color w:val="auto"/>
              </w:rPr>
              <w:t>2012; 36,002,698 shares issued and outstanding at December 31, 2011</w:t>
            </w:r>
          </w:p>
        </w:tc>
        <w:tc>
          <w:tcPr>
            <w:tcW w:w="3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4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Treasury stock, at cost, 403,158 and 0 common shares at December 31, 2012 and 2011, respectively</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(5,906)</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r>
      <w:tr>
        <w:trPr>
          <w:trHeight w:val="216"/>
        </w:trPr>
        <w:tc>
          <w:tcPr>
            <w:tcW w:w="8820" w:type="dxa"/>
            <w:vAlign w:val="bottom"/>
          </w:tcPr>
          <w:p>
            <w:pPr>
              <w:ind w:left="16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230,964</w:t>
            </w:r>
          </w:p>
        </w:tc>
        <w:tc>
          <w:tcPr>
            <w:tcW w:w="4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220,654</w:t>
            </w:r>
          </w:p>
        </w:tc>
        <w:tc>
          <w:tcPr>
            <w:tcW w:w="40" w:type="dxa"/>
            <w:vAlign w:val="bottom"/>
          </w:tcPr>
          <w:p>
            <w:pPr>
              <w:spacing w:after="0"/>
              <w:rPr>
                <w:sz w:val="18"/>
                <w:szCs w:val="18"/>
                <w:color w:val="auto"/>
              </w:rPr>
            </w:pPr>
          </w:p>
        </w:tc>
      </w:tr>
      <w:tr>
        <w:trPr>
          <w:trHeight w:val="216"/>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40" w:type="dxa"/>
            <w:vAlign w:val="bottom"/>
          </w:tcPr>
          <w:p>
            <w:pPr>
              <w:spacing w:after="0"/>
              <w:rPr>
                <w:sz w:val="18"/>
                <w:szCs w:val="18"/>
                <w:color w:val="auto"/>
              </w:rPr>
            </w:pPr>
          </w:p>
        </w:tc>
      </w:tr>
      <w:tr>
        <w:trPr>
          <w:trHeight w:val="223"/>
        </w:trPr>
        <w:tc>
          <w:tcPr>
            <w:tcW w:w="882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220,393</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196,869</w:t>
            </w:r>
          </w:p>
        </w:tc>
        <w:tc>
          <w:tcPr>
            <w:tcW w:w="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Emergent BioSolutions Inc.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441,358</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414,246</w:t>
            </w:r>
          </w:p>
        </w:tc>
        <w:tc>
          <w:tcPr>
            <w:tcW w:w="40" w:type="dxa"/>
            <w:vAlign w:val="bottom"/>
          </w:tcPr>
          <w:p>
            <w:pPr>
              <w:spacing w:after="0"/>
              <w:rPr>
                <w:sz w:val="19"/>
                <w:szCs w:val="19"/>
                <w:color w:val="auto"/>
              </w:rPr>
            </w:pPr>
          </w:p>
        </w:tc>
      </w:tr>
      <w:tr>
        <w:trPr>
          <w:trHeight w:val="223"/>
        </w:trPr>
        <w:tc>
          <w:tcPr>
            <w:tcW w:w="8820" w:type="dxa"/>
            <w:vAlign w:val="bottom"/>
          </w:tcPr>
          <w:p>
            <w:pPr>
              <w:ind w:left="160"/>
              <w:spacing w:after="0"/>
              <w:rPr>
                <w:sz w:val="20"/>
                <w:szCs w:val="20"/>
                <w:color w:val="auto"/>
              </w:rPr>
            </w:pPr>
            <w:r>
              <w:rPr>
                <w:rFonts w:ascii="Arial" w:cs="Arial" w:eastAsia="Arial" w:hAnsi="Arial"/>
                <w:sz w:val="14"/>
                <w:szCs w:val="14"/>
                <w:color w:val="auto"/>
              </w:rPr>
              <w:t>Noncontrolling interest in subsidiaries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770</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2,481</w:t>
            </w:r>
          </w:p>
        </w:tc>
        <w:tc>
          <w:tcPr>
            <w:tcW w:w="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442,128</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416,727</w:t>
            </w:r>
          </w:p>
        </w:tc>
        <w:tc>
          <w:tcPr>
            <w:tcW w:w="40" w:type="dxa"/>
            <w:vAlign w:val="bottom"/>
          </w:tcPr>
          <w:p>
            <w:pPr>
              <w:spacing w:after="0"/>
              <w:rPr>
                <w:sz w:val="19"/>
                <w:szCs w:val="19"/>
                <w:color w:val="auto"/>
              </w:rPr>
            </w:pPr>
          </w:p>
        </w:tc>
      </w:tr>
      <w:tr>
        <w:trPr>
          <w:trHeight w:val="216"/>
        </w:trPr>
        <w:tc>
          <w:tcPr>
            <w:tcW w:w="882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564,230</w:t>
            </w: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546,864</w:t>
            </w:r>
          </w:p>
        </w:tc>
        <w:tc>
          <w:tcPr>
            <w:tcW w:w="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74"/>
        </w:trPr>
        <w:tc>
          <w:tcPr>
            <w:tcW w:w="8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8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46" w:right="199" w:bottom="1440" w:gutter="0" w:footer="0" w:header="0"/>
          <w:type w:val="continuous"/>
        </w:sectPr>
      </w:pPr>
    </w:p>
    <w:bookmarkStart w:id="7" w:name="page8"/>
    <w:bookmarkEnd w:id="7"/>
    <w:p>
      <w:pPr>
        <w:jc w:val="center"/>
        <w:ind w:right="14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5"/>
                <w:szCs w:val="15"/>
                <w:color w:val="auto"/>
              </w:rPr>
            </w:pPr>
          </w:p>
        </w:tc>
      </w:tr>
      <w:tr>
        <w:trPr>
          <w:trHeight w:val="186"/>
        </w:trPr>
        <w:tc>
          <w:tcPr>
            <w:tcW w:w="6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Product sales</w:t>
            </w:r>
          </w:p>
        </w:tc>
        <w:tc>
          <w:tcPr>
            <w:tcW w:w="2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215,879</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202,409</w:t>
            </w:r>
          </w:p>
        </w:tc>
        <w:tc>
          <w:tcPr>
            <w:tcW w:w="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Contracts and grants</w:t>
            </w:r>
          </w:p>
        </w:tc>
        <w:tc>
          <w:tcPr>
            <w:tcW w:w="2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66,009</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70,975</w:t>
            </w:r>
          </w:p>
        </w:tc>
        <w:tc>
          <w:tcPr>
            <w:tcW w:w="4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281,888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273,384</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Operating expense: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sales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42,171</w:t>
            </w: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120,226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124,832</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76,018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74,282</w:t>
            </w:r>
          </w:p>
        </w:tc>
        <w:tc>
          <w:tcPr>
            <w:tcW w:w="40" w:type="dxa"/>
            <w:vAlign w:val="bottom"/>
          </w:tcPr>
          <w:p>
            <w:pPr>
              <w:spacing w:after="0"/>
              <w:rPr>
                <w:sz w:val="18"/>
                <w:szCs w:val="18"/>
                <w:color w:val="auto"/>
              </w:rPr>
            </w:pPr>
          </w:p>
        </w:tc>
      </w:tr>
      <w:tr>
        <w:trPr>
          <w:trHeight w:val="223"/>
        </w:trPr>
        <w:tc>
          <w:tcPr>
            <w:tcW w:w="6080" w:type="dxa"/>
            <w:vAlign w:val="bottom"/>
          </w:tcPr>
          <w:p>
            <w:pPr>
              <w:ind w:left="160"/>
              <w:spacing w:after="0"/>
              <w:rPr>
                <w:sz w:val="20"/>
                <w:szCs w:val="20"/>
                <w:color w:val="auto"/>
              </w:rPr>
            </w:pPr>
            <w:r>
              <w:rPr>
                <w:rFonts w:ascii="Arial" w:cs="Arial" w:eastAsia="Arial" w:hAnsi="Arial"/>
                <w:sz w:val="14"/>
                <w:szCs w:val="14"/>
                <w:color w:val="auto"/>
              </w:rPr>
              <w:t>Impairment of in-process research and development</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9,600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from operations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32,099</w:t>
            </w: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r>
      <w:tr>
        <w:trPr>
          <w:trHeight w:val="223"/>
        </w:trPr>
        <w:tc>
          <w:tcPr>
            <w:tcW w:w="6080" w:type="dxa"/>
            <w:vAlign w:val="bottom"/>
          </w:tcPr>
          <w:p>
            <w:pPr>
              <w:ind w:left="160"/>
              <w:spacing w:after="0"/>
              <w:rPr>
                <w:sz w:val="20"/>
                <w:szCs w:val="20"/>
                <w:color w:val="auto"/>
              </w:rPr>
            </w:pPr>
            <w:r>
              <w:rPr>
                <w:rFonts w:ascii="Arial" w:cs="Arial" w:eastAsia="Arial" w:hAnsi="Arial"/>
                <w:sz w:val="14"/>
                <w:szCs w:val="14"/>
                <w:color w:val="auto"/>
              </w:rPr>
              <w:t>Other income (expense), net</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1,970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(261)</w:t>
            </w:r>
          </w:p>
        </w:tc>
        <w:tc>
          <w:tcPr>
            <w:tcW w:w="4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income (expense)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w:t>
            </w: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31,943</w:t>
            </w:r>
          </w:p>
        </w:tc>
        <w:tc>
          <w:tcPr>
            <w:tcW w:w="40" w:type="dxa"/>
            <w:vAlign w:val="bottom"/>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13,922</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15,830</w:t>
            </w:r>
          </w:p>
        </w:tc>
        <w:tc>
          <w:tcPr>
            <w:tcW w:w="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2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18,143</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16,113</w:t>
            </w:r>
          </w:p>
        </w:tc>
        <w:tc>
          <w:tcPr>
            <w:tcW w:w="40" w:type="dxa"/>
            <w:vAlign w:val="bottom"/>
          </w:tcPr>
          <w:p>
            <w:pPr>
              <w:spacing w:after="0"/>
              <w:rPr>
                <w:sz w:val="19"/>
                <w:szCs w:val="19"/>
                <w:color w:val="auto"/>
              </w:rPr>
            </w:pPr>
          </w:p>
        </w:tc>
      </w:tr>
      <w:tr>
        <w:trPr>
          <w:trHeight w:val="223"/>
        </w:trPr>
        <w:tc>
          <w:tcPr>
            <w:tcW w:w="6080" w:type="dxa"/>
            <w:vAlign w:val="bottom"/>
          </w:tcPr>
          <w:p>
            <w:pPr>
              <w:ind w:left="160"/>
              <w:spacing w:after="0"/>
              <w:rPr>
                <w:sz w:val="20"/>
                <w:szCs w:val="20"/>
                <w:color w:val="auto"/>
              </w:rPr>
            </w:pPr>
            <w:r>
              <w:rPr>
                <w:rFonts w:ascii="Arial" w:cs="Arial" w:eastAsia="Arial" w:hAnsi="Arial"/>
                <w:sz w:val="14"/>
                <w:szCs w:val="14"/>
                <w:color w:val="auto"/>
              </w:rPr>
              <w:t>Net loss attributable to noncontrolling interest</w:t>
            </w: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5,381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6,906</w:t>
            </w:r>
          </w:p>
        </w:tc>
        <w:tc>
          <w:tcPr>
            <w:tcW w:w="40" w:type="dxa"/>
            <w:vAlign w:val="bottom"/>
          </w:tcPr>
          <w:p>
            <w:pPr>
              <w:spacing w:after="0"/>
              <w:rPr>
                <w:sz w:val="19"/>
                <w:szCs w:val="19"/>
                <w:color w:val="auto"/>
              </w:rPr>
            </w:pP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Emergent BioSolutions Inc.</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23,524</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23,019</w:t>
            </w:r>
          </w:p>
        </w:tc>
        <w:tc>
          <w:tcPr>
            <w:tcW w:w="40" w:type="dxa"/>
            <w:vAlign w:val="bottom"/>
          </w:tcPr>
          <w:p>
            <w:pPr>
              <w:spacing w:after="0"/>
              <w:rPr>
                <w:sz w:val="22"/>
                <w:szCs w:val="22"/>
                <w:color w:val="auto"/>
              </w:rPr>
            </w:pPr>
          </w:p>
        </w:tc>
      </w:tr>
      <w:tr>
        <w:trPr>
          <w:trHeight w:val="210"/>
        </w:trPr>
        <w:tc>
          <w:tcPr>
            <w:tcW w:w="60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per share - basic</w:t>
            </w:r>
          </w:p>
        </w:tc>
        <w:tc>
          <w:tcPr>
            <w:tcW w:w="2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0.65</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0.65</w:t>
            </w: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Earnings per share - diluted</w:t>
            </w:r>
          </w:p>
        </w:tc>
        <w:tc>
          <w:tcPr>
            <w:tcW w:w="2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0.65</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0.64</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36,080,495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35,658,907</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36,420,662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36,206,052</w:t>
            </w:r>
          </w:p>
        </w:tc>
        <w:tc>
          <w:tcPr>
            <w:tcW w:w="40" w:type="dxa"/>
            <w:vAlign w:val="bottom"/>
          </w:tcPr>
          <w:p>
            <w:pPr>
              <w:spacing w:after="0"/>
              <w:rPr>
                <w:sz w:val="18"/>
                <w:szCs w:val="18"/>
                <w:color w:val="auto"/>
              </w:rPr>
            </w:pPr>
          </w:p>
        </w:tc>
      </w:tr>
      <w:tr>
        <w:trPr>
          <w:trHeight w:val="172"/>
        </w:trPr>
        <w:tc>
          <w:tcPr>
            <w:tcW w:w="6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1"/>
        </w:trPr>
        <w:tc>
          <w:tcPr>
            <w:tcW w:w="608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46" w:right="199" w:bottom="1440" w:gutter="0" w:footer="0" w:header="0"/>
        </w:sectPr>
      </w:pPr>
    </w:p>
    <w:bookmarkStart w:id="8" w:name="page9"/>
    <w:bookmarkEnd w:id="8"/>
    <w:p>
      <w:pPr>
        <w:jc w:val="center"/>
        <w:ind w:right="14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 December 31,</w:t>
            </w:r>
          </w:p>
        </w:tc>
        <w:tc>
          <w:tcPr>
            <w:tcW w:w="40" w:type="dxa"/>
            <w:vAlign w:val="bottom"/>
          </w:tcPr>
          <w:p>
            <w:pPr>
              <w:spacing w:after="0"/>
              <w:rPr>
                <w:sz w:val="15"/>
                <w:szCs w:val="15"/>
                <w:color w:val="auto"/>
              </w:rPr>
            </w:pPr>
          </w:p>
        </w:tc>
      </w:tr>
      <w:tr>
        <w:trPr>
          <w:trHeight w:val="186"/>
        </w:trPr>
        <w:tc>
          <w:tcPr>
            <w:tcW w:w="6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1"/>
        </w:trPr>
        <w:tc>
          <w:tcPr>
            <w:tcW w:w="6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Product sales</w:t>
            </w:r>
          </w:p>
        </w:tc>
        <w:tc>
          <w:tcPr>
            <w:tcW w:w="2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74,350</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81,670</w:t>
            </w:r>
          </w:p>
        </w:tc>
        <w:tc>
          <w:tcPr>
            <w:tcW w:w="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Contracts and grants</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20,256</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26,278</w:t>
            </w:r>
          </w:p>
        </w:tc>
        <w:tc>
          <w:tcPr>
            <w:tcW w:w="4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94,606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107,948</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Operating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sales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15,150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14,328</w:t>
            </w: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35,945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29,376</w:t>
            </w:r>
          </w:p>
        </w:tc>
        <w:tc>
          <w:tcPr>
            <w:tcW w:w="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19,476</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18,254</w:t>
            </w:r>
          </w:p>
        </w:tc>
        <w:tc>
          <w:tcPr>
            <w:tcW w:w="4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24,035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45,990</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8"/>
                <w:szCs w:val="18"/>
                <w:color w:val="auto"/>
              </w:rPr>
            </w:pPr>
          </w:p>
        </w:tc>
      </w:tr>
      <w:tr>
        <w:trPr>
          <w:trHeight w:val="216"/>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income (expense), net</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222</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(252)</w:t>
            </w:r>
          </w:p>
        </w:tc>
        <w:tc>
          <w:tcPr>
            <w:tcW w:w="4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Total other income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24,282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45,762</w:t>
            </w:r>
          </w:p>
        </w:tc>
        <w:tc>
          <w:tcPr>
            <w:tcW w:w="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9,283</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18,862</w:t>
            </w:r>
          </w:p>
        </w:tc>
        <w:tc>
          <w:tcPr>
            <w:tcW w:w="40" w:type="dxa"/>
            <w:vAlign w:val="bottom"/>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14,999</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26,900</w:t>
            </w:r>
          </w:p>
        </w:tc>
        <w:tc>
          <w:tcPr>
            <w:tcW w:w="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Net loss attributable to noncontrolling interest</w:t>
            </w: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1,105</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1,757</w:t>
            </w:r>
          </w:p>
        </w:tc>
        <w:tc>
          <w:tcPr>
            <w:tcW w:w="40" w:type="dxa"/>
            <w:vAlign w:val="bottom"/>
          </w:tcPr>
          <w:p>
            <w:pPr>
              <w:spacing w:after="0"/>
              <w:rPr>
                <w:sz w:val="19"/>
                <w:szCs w:val="19"/>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Net income attributable to Emergent BioSolutions Inc.</w:t>
            </w:r>
          </w:p>
        </w:tc>
        <w:tc>
          <w:tcPr>
            <w:tcW w:w="2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16,104</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28,657</w:t>
            </w:r>
          </w:p>
        </w:tc>
        <w:tc>
          <w:tcPr>
            <w:tcW w:w="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per share - basic</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0.45</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0.80</w:t>
            </w: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4"/>
                <w:szCs w:val="14"/>
                <w:b w:val="1"/>
                <w:bCs w:val="1"/>
                <w:color w:val="auto"/>
              </w:rPr>
              <w:t>Earnings per share - diluted</w:t>
            </w:r>
          </w:p>
        </w:tc>
        <w:tc>
          <w:tcPr>
            <w:tcW w:w="2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0.44</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0.78</w:t>
            </w: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35,890,640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35,972,320</w:t>
            </w:r>
          </w:p>
        </w:tc>
        <w:tc>
          <w:tcPr>
            <w:tcW w:w="40" w:type="dxa"/>
            <w:vAlign w:val="bottom"/>
          </w:tcPr>
          <w:p>
            <w:pPr>
              <w:spacing w:after="0"/>
              <w:rPr>
                <w:sz w:val="18"/>
                <w:szCs w:val="18"/>
                <w:color w:val="auto"/>
              </w:rPr>
            </w:pPr>
          </w:p>
        </w:tc>
      </w:tr>
      <w:tr>
        <w:trPr>
          <w:trHeight w:val="231"/>
        </w:trPr>
        <w:tc>
          <w:tcPr>
            <w:tcW w:w="608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36,410,143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36,520,245</w:t>
            </w:r>
          </w:p>
        </w:tc>
        <w:tc>
          <w:tcPr>
            <w:tcW w:w="40" w:type="dxa"/>
            <w:vAlign w:val="bottom"/>
          </w:tcPr>
          <w:p>
            <w:pPr>
              <w:spacing w:after="0"/>
              <w:rPr>
                <w:sz w:val="20"/>
                <w:szCs w:val="20"/>
                <w:color w:val="auto"/>
              </w:rPr>
            </w:pPr>
          </w:p>
        </w:tc>
      </w:tr>
      <w:tr>
        <w:trPr>
          <w:trHeight w:val="562"/>
        </w:trPr>
        <w:tc>
          <w:tcPr>
            <w:tcW w:w="6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608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46" w:right="19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4"/>
          <w:szCs w:val="14"/>
          <w:b w:val="1"/>
          <w:bCs w:val="1"/>
          <w:color w:val="auto"/>
        </w:rPr>
        <w:t>Emergent BioSolutions Inc. and Subsidiaries</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18,143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16,113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47,184</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Adjustments to reconcile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11,115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10,739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7,063</w:t>
            </w: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5,990</w:t>
            </w: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3,383</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20,188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9,229</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development expenses from joint venture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5,290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5,995</w:t>
            </w: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Change in fair value of contingent value rights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(3,005)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of in-process research and development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Impairment of long-lived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976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1,218</w:t>
            </w: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Provision for impairment of accrued interest on note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1,032</w:t>
            </w: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Excess tax benefits from stock-based compensation</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(1,588)</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(4,608)</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(2,609)</w:t>
            </w:r>
          </w:p>
        </w:tc>
      </w:tr>
      <w:tr>
        <w:trPr>
          <w:trHeight w:val="216"/>
        </w:trPr>
        <w:tc>
          <w:tcPr>
            <w:tcW w:w="7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r>
      <w:tr>
        <w:trPr>
          <w:trHeight w:val="216"/>
        </w:trPr>
        <w:tc>
          <w:tcPr>
            <w:tcW w:w="7440" w:type="dxa"/>
            <w:vAlign w:val="bottom"/>
          </w:tcPr>
          <w:p>
            <w:pPr>
              <w:ind w:left="30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(21,890)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(34,873)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19,094</w:t>
            </w:r>
          </w:p>
        </w:tc>
      </w:tr>
      <w:tr>
        <w:trPr>
          <w:trHeight w:val="216"/>
        </w:trPr>
        <w:tc>
          <w:tcPr>
            <w:tcW w:w="7440" w:type="dxa"/>
            <w:vAlign w:val="bottom"/>
          </w:tcPr>
          <w:p>
            <w:pPr>
              <w:ind w:left="44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(1,939)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(4,454)</w:t>
            </w:r>
          </w:p>
        </w:tc>
      </w:tr>
      <w:tr>
        <w:trPr>
          <w:trHeight w:val="216"/>
        </w:trPr>
        <w:tc>
          <w:tcPr>
            <w:tcW w:w="7440" w:type="dxa"/>
            <w:vAlign w:val="bottom"/>
          </w:tcPr>
          <w:p>
            <w:pPr>
              <w:ind w:left="4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660</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(764)</w:t>
            </w: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3,392</w:t>
            </w:r>
          </w:p>
        </w:tc>
      </w:tr>
      <w:tr>
        <w:trPr>
          <w:trHeight w:val="216"/>
        </w:trPr>
        <w:tc>
          <w:tcPr>
            <w:tcW w:w="7440" w:type="dxa"/>
            <w:vAlign w:val="bottom"/>
          </w:tcPr>
          <w:p>
            <w:pPr>
              <w:ind w:left="44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169</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(447)</w:t>
            </w: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compensation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(3,303)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6,175</w:t>
            </w:r>
          </w:p>
        </w:tc>
      </w:tr>
      <w:tr>
        <w:trPr>
          <w:trHeight w:val="223"/>
        </w:trPr>
        <w:tc>
          <w:tcPr>
            <w:tcW w:w="744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449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(10,863)</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(838)</w:t>
            </w:r>
          </w:p>
        </w:tc>
      </w:tr>
      <w:tr>
        <w:trPr>
          <w:trHeight w:val="223"/>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39,643</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12,185</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98,021</w:t>
            </w: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(53,845)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(54,026)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(22,101)</w:t>
            </w: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Proceeds from sale of assets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11,765</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maturity of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6,518</w:t>
            </w: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Purchase of investments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(4,187)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Trubion Pharmaceuticals, Inc., net of cash acquired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(17,873)</w:t>
            </w:r>
          </w:p>
        </w:tc>
      </w:tr>
      <w:tr>
        <w:trPr>
          <w:trHeight w:val="223"/>
        </w:trPr>
        <w:tc>
          <w:tcPr>
            <w:tcW w:w="7440" w:type="dxa"/>
            <w:vAlign w:val="bottom"/>
          </w:tcPr>
          <w:p>
            <w:pPr>
              <w:ind w:left="160"/>
              <w:spacing w:after="0"/>
              <w:rPr>
                <w:sz w:val="20"/>
                <w:szCs w:val="20"/>
                <w:color w:val="auto"/>
              </w:rPr>
            </w:pPr>
            <w:r>
              <w:rPr>
                <w:rFonts w:ascii="Arial" w:cs="Arial" w:eastAsia="Arial" w:hAnsi="Arial"/>
                <w:sz w:val="14"/>
                <w:szCs w:val="14"/>
                <w:color w:val="auto"/>
              </w:rPr>
              <w:t>Repayment of note receivable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10,000</w:t>
            </w:r>
          </w:p>
        </w:tc>
      </w:tr>
      <w:tr>
        <w:trPr>
          <w:trHeight w:val="223"/>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(40,114)</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(53,963)</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(23,456)</w:t>
            </w:r>
          </w:p>
        </w:tc>
      </w:tr>
      <w:tr>
        <w:trPr>
          <w:trHeight w:val="216"/>
        </w:trPr>
        <w:tc>
          <w:tcPr>
            <w:tcW w:w="74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borrowings on long-term indebtedness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w:t>
            </w:r>
          </w:p>
        </w:tc>
      </w:tr>
      <w:tr>
        <w:trPr>
          <w:trHeight w:val="243"/>
        </w:trPr>
        <w:tc>
          <w:tcPr>
            <w:tcW w:w="7440" w:type="dxa"/>
            <w:vAlign w:val="bottom"/>
          </w:tcPr>
          <w:p>
            <w:pPr>
              <w:ind w:left="160"/>
              <w:spacing w:after="0"/>
              <w:rPr>
                <w:sz w:val="20"/>
                <w:szCs w:val="20"/>
                <w:color w:val="auto"/>
              </w:rPr>
            </w:pPr>
            <w:r>
              <w:rPr>
                <w:rFonts w:ascii="Arial" w:cs="Arial" w:eastAsia="Arial" w:hAnsi="Arial"/>
                <w:sz w:val="14"/>
                <w:szCs w:val="14"/>
                <w:color w:val="auto"/>
              </w:rPr>
              <w:t>Issuance of common stock subject to exercise of stock options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761</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10,026</w:t>
            </w: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7,235</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Excess tax benefits from stock-based compensation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2,609</w:t>
            </w: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Principal payments on long-term indebtedness and line of credit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(10,227)</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(15,494)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(33,291)</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Contingent value right payment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Purchase of treasury stock</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(5,906)</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Restricted cash deposit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220</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223"/>
        </w:trPr>
        <w:tc>
          <w:tcPr>
            <w:tcW w:w="744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(1,765)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16,659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(8,449)</w:t>
            </w:r>
          </w:p>
        </w:tc>
      </w:tr>
      <w:tr>
        <w:trPr>
          <w:trHeight w:val="223"/>
        </w:trPr>
        <w:tc>
          <w:tcPr>
            <w:tcW w:w="7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7440" w:type="dxa"/>
            <w:vAlign w:val="bottom"/>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w:t>
            </w:r>
          </w:p>
        </w:tc>
      </w:tr>
      <w:tr>
        <w:trPr>
          <w:trHeight w:val="216"/>
        </w:trPr>
        <w:tc>
          <w:tcPr>
            <w:tcW w:w="7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(2,235)</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(25,118)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66,095</w:t>
            </w:r>
          </w:p>
        </w:tc>
      </w:tr>
      <w:tr>
        <w:trPr>
          <w:trHeight w:val="223"/>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143,901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169,019</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102,924</w:t>
            </w:r>
          </w:p>
        </w:tc>
      </w:tr>
      <w:tr>
        <w:trPr>
          <w:trHeight w:val="216"/>
        </w:trPr>
        <w:tc>
          <w:tcPr>
            <w:tcW w:w="7440" w:type="dxa"/>
            <w:vAlign w:val="bottom"/>
          </w:tcPr>
          <w:p>
            <w:pPr>
              <w:ind w:left="160"/>
              <w:spacing w:after="0"/>
              <w:rPr>
                <w:sz w:val="20"/>
                <w:szCs w:val="20"/>
                <w:color w:val="auto"/>
              </w:rPr>
            </w:pPr>
            <w:r>
              <w:rPr>
                <w:rFonts w:ascii="Arial" w:cs="Arial" w:eastAsia="Arial" w:hAnsi="Arial"/>
                <w:sz w:val="14"/>
                <w:szCs w:val="14"/>
                <w:color w:val="auto"/>
              </w:rPr>
              <w:t>Cash and cash equivalents at end of year</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141,666</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143,901</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169,019</w:t>
            </w: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2019-12-07T13:25:04Z</dcterms:created>
  <dcterms:modified xsi:type="dcterms:W3CDTF">2019-12-07T13:25:04Z</dcterms:modified>
</cp:coreProperties>
</file>