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Richard Ronald</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9"/>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Emergent BioSolutions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EBS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2273 RESEARCH BLVD</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05/17/2012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SUITE 400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40" w:type="dxa"/>
            <w:vAlign w:val="bottom"/>
            <w:gridSpan w:val="10"/>
            <w:vMerge w:val="continue"/>
          </w:tcPr>
          <w:p>
            <w:pPr>
              <w:spacing w:after="0"/>
              <w:rPr>
                <w:sz w:val="6"/>
                <w:szCs w:val="6"/>
                <w:color w:val="auto"/>
              </w:rPr>
            </w:pPr>
          </w:p>
        </w:tc>
        <w:tc>
          <w:tcPr>
            <w:tcW w:w="26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40" w:type="dxa"/>
            <w:vAlign w:val="bottom"/>
            <w:gridSpan w:val="9"/>
          </w:tcPr>
          <w:p>
            <w:pPr>
              <w:ind w:left="28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ROCKVILLE</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MD</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20850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180"/>
              <w:spacing w:after="0" w:line="152"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520" w:type="dxa"/>
            <w:vAlign w:val="bottom"/>
            <w:tcBorders>
              <w:top w:val="single" w:sz="8" w:color="2C2C2C"/>
            </w:tcBorders>
            <w:gridSpan w:val="19"/>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(1)</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8"/>
                <w:szCs w:val="18"/>
                <w:color w:val="0000FF"/>
              </w:rPr>
              <w:t>05/17/2012</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Times New Roman" w:cs="Times New Roman" w:eastAsia="Times New Roman" w:hAnsi="Times New Roman"/>
                <w:sz w:val="14"/>
                <w:szCs w:val="14"/>
                <w:color w:val="0000FF"/>
              </w:rPr>
              <w:t>A</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8"/>
                <w:szCs w:val="18"/>
                <w:color w:val="0000FF"/>
                <w:w w:val="90"/>
              </w:rPr>
              <w:t>3,600</w:t>
            </w:r>
            <w:r>
              <w:rPr>
                <w:rFonts w:ascii="Times New Roman" w:cs="Times New Roman" w:eastAsia="Times New Roman" w:hAnsi="Times New Roman"/>
                <w:sz w:val="22"/>
                <w:szCs w:val="22"/>
                <w:color w:val="008000"/>
                <w:w w:val="90"/>
                <w:vertAlign w:val="superscript"/>
              </w:rPr>
              <w:t>(2)</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A</w:t>
            </w:r>
          </w:p>
        </w:tc>
        <w:tc>
          <w:tcPr>
            <w:tcW w:w="5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8"/>
                <w:szCs w:val="18"/>
                <w:color w:val="0000FF"/>
              </w:rPr>
              <w:t>10,800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9"/>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0" w:type="dxa"/>
            <w:vAlign w:val="bottom"/>
            <w:gridSpan w:val="17"/>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Director</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7,200</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w:t>
            </w:r>
          </w:p>
        </w:tc>
        <w:tc>
          <w:tcPr>
            <w:tcW w:w="660" w:type="dxa"/>
            <w:vAlign w:val="bottom"/>
            <w:vMerge w:val="restart"/>
          </w:tcPr>
          <w:p>
            <w:pPr>
              <w:ind w:left="2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14.66</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05/17/2012</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600" w:type="dxa"/>
            <w:vAlign w:val="bottom"/>
            <w:vMerge w:val="restart"/>
          </w:tcPr>
          <w:p>
            <w:pPr>
              <w:ind w:left="200"/>
              <w:spacing w:after="0" w:line="149" w:lineRule="exact"/>
              <w:rPr>
                <w:sz w:val="20"/>
                <w:szCs w:val="20"/>
                <w:color w:val="auto"/>
              </w:rPr>
            </w:pPr>
            <w:r>
              <w:rPr>
                <w:rFonts w:ascii="Times New Roman" w:cs="Times New Roman" w:eastAsia="Times New Roman" w:hAnsi="Times New Roman"/>
                <w:sz w:val="14"/>
                <w:szCs w:val="14"/>
                <w:color w:val="0000FF"/>
              </w:rPr>
              <w:t>7,200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3"/>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05/16/2019</w:t>
            </w:r>
          </w:p>
        </w:tc>
        <w:tc>
          <w:tcPr>
            <w:tcW w:w="68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7,200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(Right to</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Consists of restricted stock units granted under the Second Amended and Restated Emergent BioSolutions Inc. 2006 Stock Incentive Plan.</w:t>
      </w:r>
    </w:p>
    <w:p>
      <w:pPr>
        <w:spacing w:after="0" w:line="41" w:lineRule="exact"/>
        <w:rPr>
          <w:rFonts w:ascii="Times New Roman" w:cs="Times New Roman" w:eastAsia="Times New Roman" w:hAnsi="Times New Roman"/>
          <w:sz w:val="14"/>
          <w:szCs w:val="14"/>
          <w:color w:val="008000"/>
        </w:rPr>
      </w:pPr>
    </w:p>
    <w:p>
      <w:pPr>
        <w:ind w:left="40" w:right="16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restricted stock units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 Each restricted stock unit represents the right of the Reporting Person to receive one share of common stock of Emergent BioSolutions Inc., subject to adjustment as provided in the grant agreement.</w:t>
      </w:r>
    </w:p>
    <w:p>
      <w:pPr>
        <w:spacing w:after="0" w:line="28" w:lineRule="exact"/>
        <w:rPr>
          <w:rFonts w:ascii="Times New Roman" w:cs="Times New Roman" w:eastAsia="Times New Roman" w:hAnsi="Times New Roman"/>
          <w:sz w:val="14"/>
          <w:szCs w:val="14"/>
          <w:color w:val="008000"/>
        </w:rPr>
      </w:pPr>
    </w:p>
    <w:p>
      <w:pPr>
        <w:ind w:left="40" w:right="7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will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/s/Jay G. Reilly, attorney-in-</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05/21/2012</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77"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2019-12-17T05:15:53Z</dcterms:created>
  <dcterms:modified xsi:type="dcterms:W3CDTF">2019-12-17T05:15:53Z</dcterms:modified>
</cp:coreProperties>
</file>