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1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18145"/>
                    </a:xfrm>
                    <a:prstGeom prst="rect">
                      <a:avLst/>
                    </a:prstGeom>
                    <a:noFill/>
                  </pic:spPr>
                </pic:pic>
              </a:graphicData>
            </a:graphic>
          </wp:anchor>
        </w:drawing>
      </w:r>
    </w:p>
    <w:p>
      <w:pPr>
        <w:spacing w:after="0" w:line="96" w:lineRule="exact"/>
        <w:rPr>
          <w:sz w:val="24"/>
          <w:szCs w:val="24"/>
          <w:color w:val="auto"/>
        </w:rPr>
      </w:pPr>
    </w:p>
    <w:p>
      <w:pPr>
        <w:sectPr>
          <w:pgSz w:w="11900" w:h="1692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Michigan Biologic Products, Inc.</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5723 DELTA RIVER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83"/>
        <w:spacing w:after="0"/>
        <w:rPr>
          <w:sz w:val="20"/>
          <w:szCs w:val="20"/>
          <w:color w:val="auto"/>
        </w:rPr>
      </w:pPr>
      <w:r>
        <w:rPr>
          <w:rFonts w:ascii="Arial" w:cs="Arial" w:eastAsia="Arial" w:hAnsi="Arial"/>
          <w:sz w:val="16"/>
          <w:szCs w:val="16"/>
          <w:color w:val="0000FF"/>
        </w:rPr>
        <w:t>Member 13(d) group owning &gt;10%</w:t>
      </w:r>
    </w:p>
    <w:p>
      <w:pPr>
        <w:spacing w:after="0" w:line="330" w:lineRule="exact"/>
        <w:rPr>
          <w:sz w:val="24"/>
          <w:szCs w:val="24"/>
          <w:color w:val="auto"/>
        </w:rPr>
      </w:pPr>
    </w:p>
    <w:p>
      <w:pPr>
        <w:sectPr>
          <w:pgSz w:w="11900" w:h="16923"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7"/>
            <w:vMerge w:val="continue"/>
          </w:tcPr>
          <w:p>
            <w:pPr>
              <w:spacing w:after="0"/>
              <w:rPr>
                <w:sz w:val="7"/>
                <w:szCs w:val="7"/>
                <w:color w:val="auto"/>
              </w:rPr>
            </w:pPr>
          </w:p>
        </w:tc>
        <w:tc>
          <w:tcPr>
            <w:tcW w:w="36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09/10/2007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LANSING</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48906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4"/>
              </w:rPr>
              <w:t>1,100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1,910,650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415</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8.6</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1,910,235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300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1,909,935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400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8.62</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1,909,535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4"/>
              </w:rPr>
              <w:t>1,600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8.63</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1,907,935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300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8.64</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1,907,635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1,907,535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8.66</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1,907,435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900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8.67</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1,906,535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8.68</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1,906,335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8.7</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1,906,135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1,905,335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8.72</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1,905,235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500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8.73</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1,904,735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1,904,535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0"/>
              <w:spacing w:after="0"/>
              <w:rPr>
                <w:sz w:val="20"/>
                <w:szCs w:val="20"/>
                <w:color w:val="auto"/>
              </w:rPr>
            </w:pPr>
            <w:r>
              <w:rPr>
                <w:rFonts w:ascii="Arial" w:cs="Arial" w:eastAsia="Arial" w:hAnsi="Arial"/>
                <w:sz w:val="18"/>
                <w:szCs w:val="18"/>
                <w:color w:val="0000FF"/>
                <w:w w:val="88"/>
              </w:rPr>
              <w:t>09/06/2007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8.76</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1,904,435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jc w:val="center"/>
              <w:ind w:right="374"/>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June 8, 2007.</w:t>
      </w:r>
    </w:p>
    <w:p>
      <w:pPr>
        <w:spacing w:after="0" w:line="41" w:lineRule="exact"/>
        <w:rPr>
          <w:rFonts w:ascii="Arial" w:cs="Arial" w:eastAsia="Arial" w:hAnsi="Arial"/>
          <w:sz w:val="14"/>
          <w:szCs w:val="14"/>
          <w:color w:val="008000"/>
        </w:rPr>
      </w:pPr>
    </w:p>
    <w:p>
      <w:pPr>
        <w:ind w:left="40" w:right="4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 Form 4 filed by the Reporting Person on September 6, 2007 incorrectly stated the amount of common stock sold on September 4, 2007 by the Reporting Person. An amendment to that Form 4 has been filed with the SEC to report the correct number of common stock sold (a lower number) and, correspondingly, corrects the number of common stock beneficially owned by the Reporting Person after such sales. Since the Reporting Person sold less common stock on September 4, 2007 than initially reported on its Form 4 on September 6, 2007, after the correction, there is a correlative increase in the reported number of common stock beneficially owned by the Reporting Person. Accordingly, this Amendment corrects the number of common stock reported as beneficially owned by the Reporting Person after the sale transactions executed on September 6, 2007 and reported on September 10, 2007.</w:t>
      </w:r>
    </w:p>
    <w:p>
      <w:pPr>
        <w:sectPr>
          <w:pgSz w:w="11900" w:h="16923" w:orient="portrait"/>
          <w:cols w:equalWidth="0" w:num="1">
            <w:col w:w="11420"/>
          </w:cols>
          <w:pgMar w:left="240" w:top="226" w:right="239" w:bottom="0" w:gutter="0" w:footer="0" w:header="0"/>
          <w:type w:val="continuous"/>
        </w:sectPr>
      </w:pPr>
    </w:p>
    <w:p>
      <w:pPr>
        <w:spacing w:after="0" w:line="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Carl A. Valenstein,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8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3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09/14/2007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923" w:orient="portrait"/>
          <w:cols w:equalWidth="0" w:num="2">
            <w:col w:w="9040" w:space="120"/>
            <w:col w:w="226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891"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2019-12-16T13:04:52Z</dcterms:created>
  <dcterms:modified xsi:type="dcterms:W3CDTF">2019-12-16T13:04:52Z</dcterms:modified>
</cp:coreProperties>
</file>