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6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80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9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El-Hibri Fuad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20"/>
        <w:spacing w:after="0" w:line="342"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11/13/2015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429" w:lineRule="exact"/>
        <w:rPr>
          <w:sz w:val="24"/>
          <w:szCs w:val="24"/>
          <w:color w:val="auto"/>
        </w:rPr>
      </w:pPr>
    </w:p>
    <w:p>
      <w:pPr>
        <w:sectPr>
          <w:pgSz w:w="11900" w:h="16838" w:orient="portrait"/>
          <w:cols w:equalWidth="0" w:num="3">
            <w:col w:w="3360" w:space="720"/>
            <w:col w:w="3254" w:space="720"/>
            <w:col w:w="3466"/>
          </w:cols>
          <w:pgMar w:left="240" w:top="225" w:right="139" w:bottom="792"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7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11/13/2015</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(2)</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20,000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18.9</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1,855,268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11/13/2015</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w w:val="91"/>
              </w:rPr>
              <w:t>S</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13,013</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36.5</w:t>
            </w: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2"/>
              </w:rPr>
              <w:t>1,842,255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7"/>
              </w:rPr>
              <w:t>2,350,331</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Intervac,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Biovac,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18.9</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11/13/2015</w:t>
            </w:r>
          </w:p>
        </w:tc>
        <w:tc>
          <w:tcPr>
            <w:tcW w:w="1180" w:type="dxa"/>
            <w:vAlign w:val="bottom"/>
          </w:tcPr>
          <w:p>
            <w:pPr>
              <w:spacing w:after="0"/>
              <w:rPr>
                <w:sz w:val="11"/>
                <w:szCs w:val="11"/>
                <w:color w:val="auto"/>
              </w:rPr>
            </w:pPr>
          </w:p>
        </w:tc>
        <w:tc>
          <w:tcPr>
            <w:tcW w:w="78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32" w:lineRule="exact"/>
              <w:rPr>
                <w:sz w:val="20"/>
                <w:szCs w:val="20"/>
                <w:color w:val="auto"/>
              </w:rPr>
            </w:pPr>
            <w:r>
              <w:rPr>
                <w:rFonts w:ascii="Arial" w:cs="Arial" w:eastAsia="Arial" w:hAnsi="Arial"/>
                <w:sz w:val="13"/>
                <w:szCs w:val="13"/>
                <w:color w:val="0000FF"/>
              </w:rPr>
              <w:t>20,000</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03/09/2016</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27,900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an option granted under the company's stock incentive plan on March 10, 2009.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sales listed on this Form 4 were made by the Reporting Person pursuant to a plan adopted on May 11, 2015 that is intended to comply with Rule 10b5-1(c) under the Exchange Act.</w:t>
      </w:r>
    </w:p>
    <w:p>
      <w:pPr>
        <w:spacing w:after="0" w:line="51"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1" w:lineRule="exact"/>
        <w:rPr>
          <w:rFonts w:ascii="Arial" w:cs="Arial" w:eastAsia="Arial" w:hAnsi="Arial"/>
          <w:sz w:val="13"/>
          <w:szCs w:val="13"/>
          <w:color w:val="008000"/>
        </w:rPr>
      </w:pPr>
    </w:p>
    <w:p>
      <w:pPr>
        <w:ind w:left="40" w:right="2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installments on March 9, 2010, March 9, 2011 and March 9, 2012.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4"/>
          <w:szCs w:val="34"/>
          <w:color w:val="0000FF"/>
          <w:vertAlign w:val="subscript"/>
        </w:rPr>
        <w:t>11/16/2015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2019-12-08T17:38:06Z</dcterms:created>
  <dcterms:modified xsi:type="dcterms:W3CDTF">2019-12-08T17:38:06Z</dcterms:modified>
</cp:coreProperties>
</file>