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21, 2019</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EMERGENT BIOSOLUTIONS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646" w:right="299" w:bottom="1440" w:gutter="0" w:footer="0" w:header="0"/>
        </w:sectPr>
      </w:pPr>
    </w:p>
    <w:p>
      <w:pPr>
        <w:spacing w:after="0" w:line="36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b w:val="1"/>
          <w:bCs w:val="1"/>
          <w:color w:val="auto"/>
        </w:rPr>
        <w:t>001-33137</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14-1902018</w:t>
      </w:r>
    </w:p>
    <w:p>
      <w:pPr>
        <w:spacing w:after="0" w:line="67" w:lineRule="exact"/>
        <w:rPr>
          <w:sz w:val="24"/>
          <w:szCs w:val="24"/>
          <w:color w:val="auto"/>
        </w:rPr>
      </w:pPr>
    </w:p>
    <w:p>
      <w:pPr>
        <w:sectPr>
          <w:pgSz w:w="11900" w:h="16838" w:orient="portrait"/>
          <w:cols w:equalWidth="0" w:num="3">
            <w:col w:w="4620" w:space="720"/>
            <w:col w:w="2760" w:space="720"/>
            <w:col w:w="2540"/>
          </w:cols>
          <w:pgMar w:left="240" w:top="646" w:right="29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w:t>
      </w:r>
    </w:p>
    <w:p>
      <w:pPr>
        <w:spacing w:after="0" w:line="74" w:lineRule="exact"/>
        <w:rPr>
          <w:sz w:val="24"/>
          <w:szCs w:val="24"/>
          <w:color w:val="auto"/>
        </w:rPr>
      </w:pPr>
    </w:p>
    <w:p>
      <w:pPr>
        <w:sectPr>
          <w:pgSz w:w="11900" w:h="16838" w:orient="portrait"/>
          <w:cols w:equalWidth="0" w:num="3">
            <w:col w:w="4000" w:space="720"/>
            <w:col w:w="3280" w:space="720"/>
            <w:col w:w="2640"/>
          </w:cols>
          <w:pgMar w:left="240" w:top="646" w:right="29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48" w:lineRule="exact"/>
        <w:rPr>
          <w:sz w:val="24"/>
          <w:szCs w:val="24"/>
          <w:color w:val="auto"/>
        </w:rPr>
      </w:pPr>
    </w:p>
    <w:p>
      <w:pPr>
        <w:sectPr>
          <w:pgSz w:w="11900" w:h="16838" w:orient="portrait"/>
          <w:cols w:equalWidth="0" w:num="2">
            <w:col w:w="7860" w:space="720"/>
            <w:col w:w="2780"/>
          </w:cols>
          <w:pgMar w:left="240" w:top="646" w:right="29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22"/>
          <w:szCs w:val="22"/>
          <w:b w:val="1"/>
          <w:bCs w:val="1"/>
          <w:color w:val="auto"/>
        </w:rPr>
        <w:t>400 Professional Drive, Suite 400,</w:t>
      </w:r>
    </w:p>
    <w:p>
      <w:pPr>
        <w:spacing w:after="0" w:line="3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Gaithersburg, Maryland 20879</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(240) 631-3200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360"/>
          </w:cols>
          <w:pgMar w:left="240" w:top="646" w:right="299" w:bottom="1440" w:gutter="0" w:footer="0" w:header="0"/>
          <w:type w:val="continuous"/>
        </w:sectPr>
      </w:pPr>
    </w:p>
    <w:p>
      <w:pPr>
        <w:spacing w:after="0" w:line="21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59"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3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EBS</w:t>
            </w:r>
          </w:p>
        </w:tc>
        <w:tc>
          <w:tcPr>
            <w:tcW w:w="4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646"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As previously announced, on November 21, 2019, Emergent BioSolutions Inc. (the “Company”) held an Analyst and Investor Day conference in New York City to outline its growth strategy over the next five years and announce its 2024 financial and operational goals. A webcast of the formal portion of the event as well as the presentation materials discussed at the conference were simultaneously made accessible through the Investor Relations homepage of the Company’s website. A replay of the webcast and the presentation materials are also available at </w:t>
      </w:r>
      <w:r>
        <w:rPr>
          <w:rFonts w:ascii="Times New Roman" w:cs="Times New Roman" w:eastAsia="Times New Roman" w:hAnsi="Times New Roman"/>
          <w:sz w:val="18"/>
          <w:szCs w:val="18"/>
          <w:u w:val="single" w:color="auto"/>
          <w:color w:val="0347FF"/>
        </w:rPr>
        <w:t>https://investors.emergentbiosolutions.com/</w:t>
      </w:r>
      <w:r>
        <w:rPr>
          <w:rFonts w:ascii="Times New Roman" w:cs="Times New Roman" w:eastAsia="Times New Roman" w:hAnsi="Times New Roman"/>
          <w:sz w:val="18"/>
          <w:szCs w:val="18"/>
          <w:color w:val="auto"/>
        </w:rPr>
        <w:t>. The replay will be accessible for the next six months.</w:t>
      </w:r>
    </w:p>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Also on November 21, 2019, the Company issued a press release announcing highlights of the Analyst and Investor Day. The full text of the press release is furnished as Exhibit 99 to this Current Report on Form 8-K.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ind w:left="540"/>
        <w:spacing w:after="0"/>
        <w:tabs>
          <w:tab w:leader="none" w:pos="6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36830</wp:posOffset>
            </wp:positionV>
            <wp:extent cx="1063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61" w:lineRule="exact"/>
        <w:rPr>
          <w:sz w:val="20"/>
          <w:szCs w:val="20"/>
          <w:color w:val="auto"/>
        </w:rPr>
      </w:pPr>
    </w:p>
    <w:p>
      <w:pPr>
        <w:ind w:left="2520" w:hanging="1258"/>
        <w:spacing w:after="0"/>
        <w:tabs>
          <w:tab w:leader="none" w:pos="2520" w:val="left"/>
        </w:tabs>
        <w:numPr>
          <w:ilvl w:val="0"/>
          <w:numId w:val="3"/>
        </w:numPr>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Press release issued by the Company on November 21, 2019.</w:t>
        </w:r>
      </w:hyperlink>
    </w:p>
    <w:p>
      <w:pPr>
        <w:spacing w:after="0" w:line="63" w:lineRule="exact"/>
        <w:rPr>
          <w:sz w:val="20"/>
          <w:szCs w:val="20"/>
          <w:color w:val="auto"/>
        </w:rPr>
      </w:pPr>
    </w:p>
    <w:p>
      <w:pPr>
        <w:ind w:left="2520" w:right="680" w:hanging="1303"/>
        <w:spacing w:after="0" w:line="266" w:lineRule="auto"/>
        <w:tabs>
          <w:tab w:leader="none" w:pos="2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Emergent BioSolutions Inc. Current Report on Form 8-K, dated November 21, 2019, formatted in XBRL (Extensible Business Reporting Language): Cover Page. The instance document does not appear in the Interactive Data File because its XBRL tags are embedded within the Inline XBRL document.</w:t>
      </w:r>
    </w:p>
    <w:p>
      <w:pPr>
        <w:spacing w:after="0" w:line="230" w:lineRule="exact"/>
        <w:rPr>
          <w:sz w:val="20"/>
          <w:szCs w:val="20"/>
          <w:color w:val="auto"/>
        </w:rPr>
      </w:pPr>
    </w:p>
    <w:p>
      <w:pPr>
        <w:ind w:left="1220"/>
        <w:spacing w:after="0"/>
        <w:tabs>
          <w:tab w:leader="none" w:pos="25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EMERGENT BIOSOLUTIONS INC.</w:t>
      </w:r>
    </w:p>
    <w:p>
      <w:pPr>
        <w:spacing w:after="0" w:line="337" w:lineRule="exact"/>
        <w:rPr>
          <w:sz w:val="20"/>
          <w:szCs w:val="20"/>
          <w:color w:val="auto"/>
        </w:rPr>
      </w:pPr>
    </w:p>
    <w:p>
      <w:pPr>
        <w:ind w:left="520"/>
        <w:spacing w:after="0"/>
        <w:tabs>
          <w:tab w:leader="none" w:pos="5820" w:val="left"/>
          <w:tab w:leader="none" w:pos="6360" w:val="left"/>
        </w:tabs>
        <w:rPr>
          <w:sz w:val="20"/>
          <w:szCs w:val="20"/>
          <w:color w:val="auto"/>
        </w:rPr>
      </w:pPr>
      <w:r>
        <w:rPr>
          <w:rFonts w:ascii="Times New Roman" w:cs="Times New Roman" w:eastAsia="Times New Roman" w:hAnsi="Times New Roman"/>
          <w:sz w:val="18"/>
          <w:szCs w:val="18"/>
          <w:color w:val="auto"/>
        </w:rPr>
        <w:t>Dated: November 21,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34290</wp:posOffset>
            </wp:positionV>
            <wp:extent cx="290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Name:Richard S. Lindahl</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Title: Executive Vice President, Chief Financial</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420"/>
          </w:cols>
          <w:pgMar w:left="240" w:top="603" w:right="239" w:bottom="1440" w:gutter="0" w:footer="0" w:header="0"/>
        </w:sectPr>
      </w:pPr>
    </w:p>
    <w:bookmarkStart w:id="2" w:name="page3"/>
    <w:bookmarkEnd w:id="2"/>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87295"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87295" cy="7372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240-631-3280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BurrowsR@ebsi.com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Lynn Kieffer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Vice President, Corporate Communications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240-631-3391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KiefferL@ebsi.com</w:t>
      </w:r>
    </w:p>
    <w:p>
      <w:pPr>
        <w:spacing w:after="0" w:line="203" w:lineRule="exact"/>
        <w:rPr>
          <w:sz w:val="20"/>
          <w:szCs w:val="20"/>
          <w:color w:val="auto"/>
        </w:rPr>
      </w:pPr>
    </w:p>
    <w:p>
      <w:pPr>
        <w:ind w:right="1320"/>
        <w:spacing w:after="0" w:line="501" w:lineRule="auto"/>
        <w:rPr>
          <w:sz w:val="20"/>
          <w:szCs w:val="20"/>
          <w:color w:val="auto"/>
        </w:rPr>
      </w:pPr>
      <w:r>
        <w:rPr>
          <w:rFonts w:ascii="Times New Roman" w:cs="Times New Roman" w:eastAsia="Times New Roman" w:hAnsi="Times New Roman"/>
          <w:sz w:val="18"/>
          <w:szCs w:val="18"/>
          <w:b w:val="1"/>
          <w:bCs w:val="1"/>
          <w:color w:val="auto"/>
        </w:rPr>
        <w:t xml:space="preserve">EMERGENT BIOSOLUTIONS ANNOUNCES GROWTH STRATEGY AND 2024 GOALS AT ANALYST AND INVESTOR DAY </w:t>
      </w:r>
      <w:r>
        <w:rPr>
          <w:rFonts w:ascii="Times New Roman" w:cs="Times New Roman" w:eastAsia="Times New Roman" w:hAnsi="Times New Roman"/>
          <w:sz w:val="18"/>
          <w:szCs w:val="18"/>
          <w:b w:val="1"/>
          <w:bCs w:val="1"/>
          <w:i w:val="1"/>
          <w:iCs w:val="1"/>
          <w:color w:val="auto"/>
        </w:rPr>
        <w:t>Company aspires to exceed $2 billion in revenue with 27%-30% adjusted EBITDA margin by year end 2024</w:t>
      </w: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GAITHERSBURG, Md.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21, 2019</w:t>
      </w:r>
      <w:r>
        <w:rPr>
          <w:rFonts w:ascii="Times New Roman" w:cs="Times New Roman" w:eastAsia="Times New Roman" w:hAnsi="Times New Roman"/>
          <w:sz w:val="18"/>
          <w:szCs w:val="18"/>
          <w:color w:val="auto"/>
        </w:rPr>
        <w:t>—Emergent BioSolutions Inc. (NYSE: EBS) today outlined its growth strategy over the next five years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its 2024 financial and operational goals during the company’s Analyst and Investor Day held in New York City. Emergent’s senior management shared their vision for continuing to build leadership positions in select public health threat markets and contract development and manufacturing (CDMO), leveraging the company’s unique set of assets, and realizing sustained financial performance and shareholder value creation.</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Robert G. Kramer Sr., president and chief executive officer of Emergent BioSolutions, said, “Emergent has developed a growth strategy that supports our desire to make a significant impact on global public health in pursuit of our mission – to protect and enhance life. We are pleased to share this plan, which serves as a roadmap towards our long-term vision of becoming a Fortune 500 company recognized for protecting and enhancing life, driving innovation, and living our values. We are excited by the opportunities ahead and remain steadfastly committed to our patients, customers, employees, and communities.”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2020-2024 Corporate Growth Strategy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five-year plan builds upon the successful execution of the previous 2016-2020 plan and is guided by a core strategy focused on five pillars:</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core business </w:t>
      </w:r>
      <w:r>
        <w:rPr>
          <w:rFonts w:ascii="Times New Roman" w:cs="Times New Roman" w:eastAsia="Times New Roman" w:hAnsi="Times New Roman"/>
          <w:sz w:val="18"/>
          <w:szCs w:val="18"/>
          <w:color w:val="auto"/>
        </w:rPr>
        <w:t>– Deliver core business in products and services;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 through M&amp;A </w:t>
      </w:r>
      <w:r>
        <w:rPr>
          <w:rFonts w:ascii="Times New Roman" w:cs="Times New Roman" w:eastAsia="Times New Roman" w:hAnsi="Times New Roman"/>
          <w:sz w:val="18"/>
          <w:szCs w:val="18"/>
          <w:color w:val="auto"/>
        </w:rPr>
        <w:t>– Expand impact on patients and customers while profitably delivering incremental topline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R&amp;D portfolio </w:t>
      </w:r>
      <w:r>
        <w:rPr>
          <w:rFonts w:ascii="Times New Roman" w:cs="Times New Roman" w:eastAsia="Times New Roman" w:hAnsi="Times New Roman"/>
          <w:sz w:val="18"/>
          <w:szCs w:val="18"/>
          <w:color w:val="auto"/>
        </w:rPr>
        <w:t>– Ensure R&amp;D becomes a more meaningful contributor to growth after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scalable capabilities </w:t>
      </w:r>
      <w:r>
        <w:rPr>
          <w:rFonts w:ascii="Times New Roman" w:cs="Times New Roman" w:eastAsia="Times New Roman" w:hAnsi="Times New Roman"/>
          <w:sz w:val="18"/>
          <w:szCs w:val="18"/>
          <w:color w:val="auto"/>
        </w:rPr>
        <w:t>– Invest in operational excellence and innovation to support a growing enterprise that will deliver greater impact;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Evolve culture </w:t>
      </w:r>
      <w:r>
        <w:rPr>
          <w:rFonts w:ascii="Times New Roman" w:cs="Times New Roman" w:eastAsia="Times New Roman" w:hAnsi="Times New Roman"/>
          <w:sz w:val="18"/>
          <w:szCs w:val="18"/>
          <w:color w:val="auto"/>
        </w:rPr>
        <w:t>– Evolve the organization’s culture to support employee engagement and empowerment.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and Operational Goals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 the company has established the following key financial and operational goals to be accomplished by year end 2024:</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total revenue of &gt;$2 billion;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adjusted EBITDA margin of 27% to 30%;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build scalable leadership positions across current and new global public health threat markets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Invest in capabilities, innovation, and operational excellence.</w:t>
      </w:r>
    </w:p>
    <w:p>
      <w:pPr>
        <w:spacing w:after="0" w:line="2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Commenting on the 2024 goals, Richard S. Lindahl, executive vice president and chief financial officer, said, “Emergent has delivered consistent operational excellence and value creation for the past 21 years. Building on our strong financial foundation, we are committed to funding the company’s growth, outlined in our new five-year strategic plan, with continued focus on prudent capital deployment and increasing shareholder value. If successful, we would substantially expand our global impact on public health for the benefit of our patients, partners, and customers worldwide.”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0" w:right="239" w:bottom="1440" w:gutter="0" w:footer="0" w:header="0"/>
        </w:sectPr>
      </w:pPr>
    </w:p>
    <w:bookmarkStart w:id="3" w:name="page4"/>
    <w:bookmarkEnd w:id="3"/>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8729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87295" cy="737235"/>
                    </a:xfrm>
                    <a:prstGeom prst="rect">
                      <a:avLst/>
                    </a:prstGeom>
                    <a:noFill/>
                  </pic:spPr>
                </pic:pic>
              </a:graphicData>
            </a:graphic>
          </wp:anchor>
        </w:drawing>
      </w:r>
    </w:p>
    <w:p>
      <w:pPr>
        <w:ind w:right="260"/>
        <w:spacing w:after="0" w:line="278" w:lineRule="auto"/>
        <w:rPr>
          <w:sz w:val="20"/>
          <w:szCs w:val="20"/>
          <w:color w:val="auto"/>
        </w:rPr>
      </w:pPr>
      <w:r>
        <w:rPr>
          <w:rFonts w:ascii="Times New Roman" w:cs="Times New Roman" w:eastAsia="Times New Roman" w:hAnsi="Times New Roman"/>
          <w:sz w:val="18"/>
          <w:szCs w:val="18"/>
          <w:color w:val="auto"/>
        </w:rPr>
        <w:t xml:space="preserve">The presentations delivered at the Analyst and Investor Day event today are available on the Company’s website at </w:t>
      </w:r>
      <w:r>
        <w:rPr>
          <w:rFonts w:ascii="Times New Roman" w:cs="Times New Roman" w:eastAsia="Times New Roman" w:hAnsi="Times New Roman"/>
          <w:sz w:val="21"/>
          <w:szCs w:val="21"/>
          <w:u w:val="single" w:color="auto"/>
          <w:color w:val="0000FF"/>
        </w:rPr>
        <w:t>https://investors.emergentbiosolutions.com/</w:t>
      </w:r>
      <w:r>
        <w:rPr>
          <w:rFonts w:ascii="Times New Roman" w:cs="Times New Roman" w:eastAsia="Times New Roman" w:hAnsi="Times New Roman"/>
          <w:sz w:val="18"/>
          <w:szCs w:val="18"/>
          <w:color w:val="000000"/>
        </w:rPr>
        <w:t>. A replay of the webcast of the event will be made available via the same link shortly after the event’s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8"/>
          <w:szCs w:val="18"/>
          <w:color w:val="000000"/>
        </w:rPr>
        <w:t>conclusion and will be accessible for the next six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Emergent BioSolutions</w:t>
      </w:r>
    </w:p>
    <w:p>
      <w:pPr>
        <w:spacing w:after="0" w:line="3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Emergent BioSolutions Inc. is a global life sciences company seeking to protect and enhance life by focusing on providing specialty products for civilian and military populations that address accidental, deliberate, and naturally occurring public health threats. We aspire to be a Fortune 500 company recognized for protecting and enhancing life, driving innovation, and living our values. Additional information about the company may be found at www.emergentbiosolutions.com. Find us on LinkedIn and follow us on Twitter @emergentbiosolu and Instagram @life_at_emergent.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materials linked to this press release contain four financial measures (Adjusted Net Income, EBITDA (Earnings Before Interest, Taxes, Depreciation and Amortization), Adjusted EBTIDA, and Adjusted EBITDA Margin) that are considered “non-GAAP” financial measures 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EBITDA reflects net income excluding the impact of depreciation, amortization, interest expense and provision for income taxes. Adjusted EBITDA also excludes specified items that can be highly variable and the non-cash impact of certain purchase accounting adjustments (which are tax effected utilizing the statutory tax rate for the US). Adjusted EBITDA Margin is defined as Adjusted EBITDA divided by Total Revenues.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 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 For additional information on the non-GAAP financial measures noted here, please refer to the reconciliation tables provided in the Appendix to the Analyst and Investor Day 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Safe-Harbor Statement</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Any statements, other than statements of historical fact, including, without limitation, our financial guidance, statements regarding market leadership position, sustained financial performance, future shareholder value creation, expansion through M&amp;A, the contribution of R&amp;D to future growth, building scalable capabilities, product sales and revenue generation, and prudent capital deployment,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9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Company’s actual results to differ materially from those indicated by such forward-looking statements, including the availability of funding and the exercise of options under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440" w:right="239" w:bottom="1440" w:gutter="0" w:footer="0" w:header="0"/>
        </w:sectPr>
      </w:pPr>
    </w:p>
    <w:bookmarkStart w:id="4" w:name="page5"/>
    <w:bookmarkEnd w:id="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87295"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87295" cy="73723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anthrax vaccine contracts; appropriations for the procurement of our products; our ability to continue deliveries of AV7909, ACAM2000 and VIGIV to the SNS; our ability to secure Emergency Use Authorization designation and eventual licensure of AV7909 from the FDA within the anticipated timeframe, if at all; availability of funding for our U.S. government grants and contracts; our ability to successfully integrate and develop the operations, products or product candidates, programs, and personnel of any entities, businesses or products that we acquire, including our acquisitions of PaxVax and Adapt Pharma; our ability to complete expected deliveries of anthrax vaccines, BAT and raxibacumab; our ability to establish a multi-year follow-on contract for raxibacumab; our ability to identify and acquire or in-license products or product candidates that satisfy our selection criteria; our ability and the ability of our collaborators to defend underlying patents from infringement by generic naloxone entrants; whether anticipated synergies and benefits from an acquisition or in-license will be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the success of our ongoing and planned development programs; the timing and results of clinical trials;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99"/>
    </w:lvl>
  </w:abstractNum>
  <w:abstractNum w:abstractNumId="3">
    <w:nsid w:val="46E87CCD"/>
    <w:multiLevelType w:val="hybridMultilevel"/>
    <w:lvl w:ilvl="0">
      <w:lvlJc w:val="left"/>
      <w:lvlText w:val="%1"/>
      <w:numFmt w:val="decimal"/>
      <w:start w:val="10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2019-12-28T01:27:23Z</dcterms:created>
  <dcterms:modified xsi:type="dcterms:W3CDTF">2019-12-28T01:27:23Z</dcterms:modified>
</cp:coreProperties>
</file>