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88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882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Bailey Sue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2273 RESEARCH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06/14/2007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ROCKVILLE</w:t>
            </w:r>
          </w:p>
        </w:tc>
        <w:tc>
          <w:tcPr>
            <w:tcW w:w="980" w:type="dxa"/>
            <w:vAlign w:val="bottom"/>
          </w:tcPr>
          <w:p>
            <w:pPr>
              <w:ind w:left="140"/>
              <w:spacing w:after="0"/>
              <w:rPr>
                <w:sz w:val="20"/>
                <w:szCs w:val="20"/>
                <w:color w:val="auto"/>
              </w:rPr>
            </w:pPr>
            <w:r>
              <w:rPr>
                <w:rFonts w:ascii="Arial" w:cs="Arial" w:eastAsia="Arial" w:hAnsi="Arial"/>
                <w:sz w:val="17"/>
                <w:szCs w:val="17"/>
                <w:color w:val="0000FF"/>
              </w:rPr>
              <w:t>MD</w:t>
            </w:r>
          </w:p>
        </w:tc>
        <w:tc>
          <w:tcPr>
            <w:tcW w:w="1680" w:type="dxa"/>
            <w:vAlign w:val="bottom"/>
          </w:tcPr>
          <w:p>
            <w:pPr>
              <w:ind w:left="440"/>
              <w:spacing w:after="0"/>
              <w:rPr>
                <w:sz w:val="20"/>
                <w:szCs w:val="20"/>
                <w:color w:val="auto"/>
              </w:rPr>
            </w:pPr>
            <w:r>
              <w:rPr>
                <w:rFonts w:ascii="Arial" w:cs="Arial" w:eastAsia="Arial" w:hAnsi="Arial"/>
                <w:sz w:val="17"/>
                <w:szCs w:val="17"/>
                <w:color w:val="0000FF"/>
              </w:rPr>
              <w:t>20850</w:t>
            </w:r>
          </w:p>
        </w:tc>
      </w:tr>
      <w:tr>
        <w:trPr>
          <w:trHeight w:val="156"/>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21,600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8.43</w:t>
            </w:r>
          </w:p>
        </w:tc>
        <w:tc>
          <w:tcPr>
            <w:tcW w:w="1140" w:type="dxa"/>
            <w:vAlign w:val="bottom"/>
          </w:tcPr>
          <w:p>
            <w:pPr>
              <w:jc w:val="right"/>
              <w:ind w:right="198"/>
              <w:spacing w:after="0" w:line="132" w:lineRule="exact"/>
              <w:rPr>
                <w:sz w:val="20"/>
                <w:szCs w:val="20"/>
                <w:color w:val="auto"/>
              </w:rPr>
            </w:pPr>
            <w:r>
              <w:rPr>
                <w:rFonts w:ascii="Arial" w:cs="Arial" w:eastAsia="Arial" w:hAnsi="Arial"/>
                <w:sz w:val="13"/>
                <w:szCs w:val="13"/>
                <w:color w:val="0000FF"/>
              </w:rPr>
              <w:t>06/14/2007</w:t>
            </w:r>
          </w:p>
        </w:tc>
        <w:tc>
          <w:tcPr>
            <w:tcW w:w="1120" w:type="dxa"/>
            <w:vAlign w:val="bottom"/>
          </w:tcPr>
          <w:p>
            <w:pPr>
              <w:spacing w:after="0"/>
              <w:rPr>
                <w:sz w:val="11"/>
                <w:szCs w:val="11"/>
                <w:color w:val="auto"/>
              </w:rPr>
            </w:pPr>
          </w:p>
        </w:tc>
        <w:tc>
          <w:tcPr>
            <w:tcW w:w="840" w:type="dxa"/>
            <w:vAlign w:val="bottom"/>
          </w:tcPr>
          <w:p>
            <w:pPr>
              <w:ind w:left="160"/>
              <w:spacing w:after="0" w:line="132" w:lineRule="exact"/>
              <w:rPr>
                <w:sz w:val="20"/>
                <w:szCs w:val="20"/>
                <w:color w:val="auto"/>
              </w:rPr>
            </w:pPr>
            <w:r>
              <w:rPr>
                <w:rFonts w:ascii="Arial" w:cs="Arial" w:eastAsia="Arial" w:hAnsi="Arial"/>
                <w:sz w:val="13"/>
                <w:szCs w:val="13"/>
                <w:color w:val="0000FF"/>
              </w:rPr>
              <w:t>M</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21,600</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3"/>
                <w:szCs w:val="13"/>
                <w:color w:val="0000FF"/>
              </w:rPr>
              <w:t>06/13/2017</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21,600</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in three equal installments on June 14, 2008, June 14, 2009 and June 14, 2010 or, if the Company's Annual Meeting of Stockholders occurs prior to such date for any year, on the day prior to such year's Annual Meeting of Stockholders.</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/s/R. Don Elsey, attorney-in-</w:t>
            </w:r>
          </w:p>
        </w:tc>
        <w:tc>
          <w:tcPr>
            <w:tcW w:w="3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06/20/2007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3769"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2019-12-18T14:25:25Z</dcterms:created>
  <dcterms:modified xsi:type="dcterms:W3CDTF">2019-12-18T14:25:25Z</dcterms:modified>
</cp:coreProperties>
</file>