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Zoon Kathryn C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400 PROFESSIONAL DRIVE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jc w:val="center"/>
        <w:ind w:right="237"/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Emergent BioSolutions Inc.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EBS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11/18/2019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GAITHERSBURG MD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66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20879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9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5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18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5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11/18/2019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1,000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54.314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1"/>
                <w:vertAlign w:val="superscript"/>
              </w:rPr>
              <w:t>(2)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17,412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40" w:type="dxa"/>
            <w:vAlign w:val="bottom"/>
            <w:gridSpan w:val="8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Consists of restricted stock units granted under the Fourth Amended and Restated Emergent BioSolutions Inc. 2006 Stock Incentive Plan, as amended.</w:t>
      </w:r>
    </w:p>
    <w:p>
      <w:pPr>
        <w:spacing w:after="0" w:line="64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price reported is the weighted average sale price. These shares were sold in multiple transactions ranging from $54.24 to $54.34.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Scott Lieberman, Attorney-in-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0</wp:posOffset>
            </wp:positionV>
            <wp:extent cx="135255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67005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700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8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11/19/2019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-5080</wp:posOffset>
            </wp:positionH>
            <wp:positionV relativeFrom="paragraph">
              <wp:posOffset>6985</wp:posOffset>
            </wp:positionV>
            <wp:extent cx="503555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355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9000" w:space="160"/>
            <w:col w:w="226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685720" TargetMode="External"/><Relationship Id="rId13" Type="http://schemas.openxmlformats.org/officeDocument/2006/relationships/hyperlink" Target="http://www.sec.gov/cgi-bin/browse-edgar?action=getcompany&amp;CIK=000136764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2019-12-24T06:49:07Z</dcterms:created>
  <dcterms:modified xsi:type="dcterms:W3CDTF">2019-12-24T06:49:07Z</dcterms:modified>
</cp:coreProperties>
</file>