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19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October 7</w:t>
      </w:r>
      <w:r>
        <w:rPr>
          <w:rFonts w:ascii="Arial" w:cs="Arial" w:eastAsia="Arial" w:hAnsi="Arial"/>
          <w:sz w:val="18"/>
          <w:szCs w:val="18"/>
          <w:b w:val="1"/>
          <w:bCs w:val="1"/>
          <w:color w:val="auto"/>
        </w:rPr>
        <w:t>,</w:t>
      </w:r>
      <w:r>
        <w:rPr>
          <w:rFonts w:ascii="Arial" w:cs="Arial" w:eastAsia="Arial" w:hAnsi="Arial"/>
          <w:sz w:val="18"/>
          <w:szCs w:val="18"/>
          <w:color w:val="auto"/>
        </w:rPr>
        <w:t xml:space="preserve"> 2014</w:t>
      </w: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Emergent BioSolutions Inc.</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4200" w:type="dxa"/>
            <w:vAlign w:val="bottom"/>
          </w:tcPr>
          <w:p>
            <w:pPr>
              <w:jc w:val="center"/>
              <w:ind w:right="2130"/>
              <w:spacing w:after="0"/>
              <w:rPr>
                <w:sz w:val="20"/>
                <w:szCs w:val="20"/>
                <w:color w:val="auto"/>
              </w:rPr>
            </w:pPr>
            <w:r>
              <w:rPr>
                <w:rFonts w:ascii="Arial" w:cs="Arial" w:eastAsia="Arial" w:hAnsi="Arial"/>
                <w:sz w:val="18"/>
                <w:szCs w:val="18"/>
                <w:b w:val="1"/>
                <w:bCs w:val="1"/>
                <w:color w:val="auto"/>
                <w:w w:val="93"/>
              </w:rPr>
              <w:t>Delaware</w:t>
            </w:r>
          </w:p>
        </w:tc>
        <w:tc>
          <w:tcPr>
            <w:tcW w:w="22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001-33137</w:t>
            </w:r>
          </w:p>
        </w:tc>
        <w:tc>
          <w:tcPr>
            <w:tcW w:w="2620" w:type="dxa"/>
            <w:vAlign w:val="bottom"/>
          </w:tcPr>
          <w:p>
            <w:pPr>
              <w:jc w:val="right"/>
              <w:ind w:right="150"/>
              <w:spacing w:after="0"/>
              <w:rPr>
                <w:sz w:val="20"/>
                <w:szCs w:val="20"/>
                <w:color w:val="auto"/>
              </w:rPr>
            </w:pPr>
            <w:r>
              <w:rPr>
                <w:rFonts w:ascii="Arial" w:cs="Arial" w:eastAsia="Arial" w:hAnsi="Arial"/>
                <w:sz w:val="18"/>
                <w:szCs w:val="18"/>
                <w:b w:val="1"/>
                <w:bCs w:val="1"/>
                <w:color w:val="auto"/>
              </w:rPr>
              <w:t>14-1902018</w:t>
            </w:r>
          </w:p>
        </w:tc>
      </w:tr>
      <w:tr>
        <w:trPr>
          <w:trHeight w:val="216"/>
        </w:trPr>
        <w:tc>
          <w:tcPr>
            <w:tcW w:w="4200" w:type="dxa"/>
            <w:vAlign w:val="bottom"/>
          </w:tcPr>
          <w:p>
            <w:pPr>
              <w:jc w:val="center"/>
              <w:ind w:right="2150"/>
              <w:spacing w:after="0"/>
              <w:rPr>
                <w:sz w:val="20"/>
                <w:szCs w:val="20"/>
                <w:color w:val="auto"/>
              </w:rPr>
            </w:pPr>
            <w:r>
              <w:rPr>
                <w:rFonts w:ascii="Arial" w:cs="Arial" w:eastAsia="Arial" w:hAnsi="Arial"/>
                <w:sz w:val="18"/>
                <w:szCs w:val="18"/>
                <w:color w:val="auto"/>
                <w:w w:val="91"/>
              </w:rPr>
              <w:t>(State or Other Jurisdiction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1"/>
              </w:rPr>
              <w:t>(Commission</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2150"/>
              <w:spacing w:after="0"/>
              <w:rPr>
                <w:sz w:val="20"/>
                <w:szCs w:val="20"/>
                <w:color w:val="auto"/>
              </w:rPr>
            </w:pPr>
            <w:r>
              <w:rPr>
                <w:rFonts w:ascii="Arial" w:cs="Arial" w:eastAsia="Arial" w:hAnsi="Arial"/>
                <w:sz w:val="18"/>
                <w:szCs w:val="18"/>
                <w:color w:val="auto"/>
                <w:w w:val="94"/>
              </w:rPr>
              <w:t>of Incorporation)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2"/>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661"/>
        </w:trPr>
        <w:tc>
          <w:tcPr>
            <w:tcW w:w="646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0"/>
              </w:rPr>
              <w:t>2273 Research Boulevard, Suite 400, Rockville, Maryland</w:t>
            </w:r>
          </w:p>
        </w:tc>
        <w:tc>
          <w:tcPr>
            <w:tcW w:w="2620" w:type="dxa"/>
            <w:vAlign w:val="bottom"/>
          </w:tcPr>
          <w:p>
            <w:pPr>
              <w:jc w:val="right"/>
              <w:ind w:right="350"/>
              <w:spacing w:after="0"/>
              <w:rPr>
                <w:sz w:val="20"/>
                <w:szCs w:val="20"/>
                <w:color w:val="auto"/>
              </w:rPr>
            </w:pPr>
            <w:r>
              <w:rPr>
                <w:rFonts w:ascii="Arial" w:cs="Arial" w:eastAsia="Arial" w:hAnsi="Arial"/>
                <w:sz w:val="18"/>
                <w:szCs w:val="18"/>
                <w:b w:val="1"/>
                <w:bCs w:val="1"/>
                <w:color w:val="auto"/>
              </w:rPr>
              <w:t>20850</w:t>
            </w:r>
          </w:p>
        </w:tc>
      </w:tr>
      <w:tr>
        <w:trPr>
          <w:trHeight w:val="230"/>
        </w:trPr>
        <w:tc>
          <w:tcPr>
            <w:tcW w:w="4200" w:type="dxa"/>
            <w:vAlign w:val="bottom"/>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0"/>
                <w:szCs w:val="20"/>
                <w:color w:val="auto"/>
              </w:rPr>
            </w:pP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(301) 795-1800</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6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8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468"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Emergent BioSolutions Inc. today announced steps the company is taking to derive synergies from its recently completed acquisitions with the goal of improving efficiencies, reducing costs and driving earnings growth. These steps are being implemented after a comprehensive evaluation of Emergent's broadened product portfolio, facilities and resources.</w:t>
      </w:r>
    </w:p>
    <w:p>
      <w:pPr>
        <w:spacing w:after="0" w:line="2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anticipates significant completion of these steps by the end of 2014 and does not expect these changes to have a material impact on 2014 financial guidance. As a result of these steps, the company anticipates realizing annual cost savings of approximately $7-$9 million beginning in 2015, which includes savings from consolidated operations, streamlined product development and reduced headcount.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be taking the following 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to Biosciences Division Research and Development Operations</w:t>
      </w:r>
    </w:p>
    <w:p>
      <w:pPr>
        <w:spacing w:after="0" w:line="252" w:lineRule="exact"/>
        <w:rPr>
          <w:sz w:val="20"/>
          <w:szCs w:val="20"/>
          <w:color w:val="auto"/>
        </w:rPr>
      </w:pPr>
    </w:p>
    <w:p>
      <w:pPr>
        <w:jc w:val="both"/>
        <w:ind w:left="500" w:right="120" w:hanging="492"/>
        <w:spacing w:after="0" w:line="288"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u w:val="single" w:color="auto"/>
          <w:color w:val="auto"/>
        </w:rPr>
        <w:t>Closure of product development facility in Munich, Germany</w:t>
      </w:r>
      <w:r>
        <w:rPr>
          <w:rFonts w:ascii="Arial" w:cs="Arial" w:eastAsia="Arial" w:hAnsi="Arial"/>
          <w:sz w:val="16"/>
          <w:szCs w:val="16"/>
          <w:color w:val="auto"/>
        </w:rPr>
        <w:t>. The company is closing its Munich, Germany product development facility, which has focused exclusively on the development of the MVAtor product candidates and platform technology. This action is a result of the company's portfolio review and the conclusion that continued investment in this platform is not justified when compared to other more promising pipeline opportunities.</w:t>
      </w:r>
    </w:p>
    <w:p>
      <w:pPr>
        <w:ind w:left="500"/>
        <w:spacing w:after="0"/>
        <w:rPr>
          <w:rFonts w:ascii="Arial" w:cs="Arial" w:eastAsia="Arial" w:hAnsi="Arial"/>
          <w:sz w:val="16"/>
          <w:szCs w:val="16"/>
          <w:color w:val="auto"/>
        </w:rPr>
      </w:pPr>
      <w:r>
        <w:rPr>
          <w:rFonts w:ascii="Arial" w:cs="Arial" w:eastAsia="Arial" w:hAnsi="Arial"/>
          <w:sz w:val="18"/>
          <w:szCs w:val="18"/>
          <w:color w:val="auto"/>
        </w:rPr>
        <w:t>The company will retain ownership of the MVAtor intellectual property and will continue to seek partners for this technology.</w:t>
      </w:r>
    </w:p>
    <w:p>
      <w:pPr>
        <w:spacing w:after="0" w:line="237"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Sale of Henlow Bay facility in Winnipeg, Canada and Human Growth Hormone Product program</w:t>
      </w:r>
      <w:r>
        <w:rPr>
          <w:rFonts w:ascii="Arial" w:cs="Arial" w:eastAsia="Arial" w:hAnsi="Arial"/>
          <w:sz w:val="17"/>
          <w:szCs w:val="17"/>
          <w:color w:val="auto"/>
        </w:rPr>
        <w:t>. The company has entered into an agreement</w:t>
      </w:r>
    </w:p>
    <w:p>
      <w:pPr>
        <w:spacing w:after="0" w:line="34" w:lineRule="exact"/>
        <w:rPr>
          <w:rFonts w:ascii="Arial" w:cs="Arial" w:eastAsia="Arial" w:hAnsi="Arial"/>
          <w:sz w:val="17"/>
          <w:szCs w:val="17"/>
          <w:color w:val="auto"/>
        </w:rPr>
      </w:pPr>
    </w:p>
    <w:p>
      <w:pPr>
        <w:ind w:left="500" w:right="120"/>
        <w:spacing w:after="0" w:line="295" w:lineRule="auto"/>
        <w:rPr>
          <w:rFonts w:ascii="Arial" w:cs="Arial" w:eastAsia="Arial" w:hAnsi="Arial"/>
          <w:sz w:val="17"/>
          <w:szCs w:val="17"/>
          <w:color w:val="auto"/>
        </w:rPr>
      </w:pPr>
      <w:r>
        <w:rPr>
          <w:rFonts w:ascii="Arial" w:cs="Arial" w:eastAsia="Arial" w:hAnsi="Arial"/>
          <w:sz w:val="16"/>
          <w:szCs w:val="16"/>
          <w:color w:val="auto"/>
        </w:rPr>
        <w:t>with Belrose Pharma Inc. to sell its facility located at Henlow Bay, Winnipeg, Canada along with its rights to develop and commercialize two existing clinical development programs – the recombinant human growth hormone (rHGH) and leucotropin (GM-CSF) products – which are produced at the facility. The transaction is scheduled to close within approximately 60 days, subject to certain closing conditions. This sale reflects the company's decision not to invest further in the rHGH program based on the outcome of its product development prioritization process.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to Biodefense Commercial Operations</w:t>
      </w:r>
    </w:p>
    <w:p>
      <w:pPr>
        <w:spacing w:after="0" w:line="252" w:lineRule="exact"/>
        <w:rPr>
          <w:sz w:val="20"/>
          <w:szCs w:val="20"/>
          <w:color w:val="auto"/>
        </w:rPr>
      </w:pPr>
    </w:p>
    <w:p>
      <w:pPr>
        <w:ind w:left="500" w:right="20" w:hanging="492"/>
        <w:spacing w:after="0" w:line="25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Consolidation of Princeton administrative operations into existing biodefense division operations</w:t>
      </w:r>
      <w:r>
        <w:rPr>
          <w:rFonts w:ascii="Arial" w:cs="Arial" w:eastAsia="Arial" w:hAnsi="Arial"/>
          <w:sz w:val="18"/>
          <w:szCs w:val="18"/>
          <w:color w:val="auto"/>
        </w:rPr>
        <w:t>. The company is closing its Princeton, NJ office, which has been providing support for the sales of the company's RSDL product. The functions located in Princeton will be consolidated into an integrated Biodefense commercial operations unit that will be responsible for selling all Biodefense products. This consolidation is aimed at increasing operational efficiency while reducing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This disclosure includes forward-looking statements within the meaning of the Private Securities Litigation Reform Act of 1995. Any statements, other than statements of historical fact, including our financial guidance, and any other statements containing the words "believes", "expects", "anticipates", "intends", "plans", "forecasts", "estimates" and similar expressions in conjunction with, among other things, discussions of financial performance or financial condition, growth strategy, product sales, manufacturing capabilities, product development, regulatory approvals or expenditures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disclosure, and, except as required by law, we do not undertake to update any forward-looking statement to reflect new information, events or circumstances.</w:t>
      </w:r>
    </w:p>
    <w:p>
      <w:pPr>
        <w:spacing w:after="0" w:line="2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are a number of important factors that could cause the company's actual results to differ materially from those indicated by such forward-looking statements, including appropriations for BioThrax procurement; our ability to successfully integrate Cangene Corporation and the HPPD business and realize the potential benefits of these acquisitions; our ability to obtain new BioThrax sales contracts or modifications to existing contracts; our plans to pursue label expansions and improvements for BioThrax; availability of funding for our US government grants and contracts; whether anticipated synergies and benefits from an acquisition or in-license are realized within expected time periods or at all; our ability to enter into selective collaboration arrangements; our ability to expand our manufacturing facilities and capabilities; our ability to meet operating and financial restrictions placed on us and our subsidiaries that are contained in our senior credit facility; the rate and degree of market acceptance and clinical utility of our products; the success of our ongoing and planned development programs; the timing of and our ability to obtain and maintain regulatory approvals for our product candidates; and our commercialization, marketing and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 when evaluating our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October 7, 2014</w:t>
      </w:r>
      <w:r>
        <w:rPr>
          <w:sz w:val="20"/>
          <w:szCs w:val="20"/>
          <w:color w:val="auto"/>
        </w:rPr>
        <w:tab/>
      </w:r>
      <w:r>
        <w:rPr>
          <w:rFonts w:ascii="Arial" w:cs="Arial" w:eastAsia="Arial" w:hAnsi="Arial"/>
          <w:sz w:val="17"/>
          <w:szCs w:val="17"/>
          <w:color w:val="auto"/>
        </w:rPr>
        <w:t>EMERGENT BIOSOLUTIONS INC.</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A.B. Cruz III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A.B. Cruz III</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Executive Vice President, General Counsel and Corporate Secretary</w:t>
      </w:r>
    </w:p>
    <w:sectPr>
      <w:pgSz w:w="11900" w:h="16838" w:orient="portrait"/>
      <w:cols w:equalWidth="0" w:num="1">
        <w:col w:w="11220"/>
      </w:cols>
      <w:pgMar w:left="240" w:top="133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2019-12-07T13:08:46Z</dcterms:created>
  <dcterms:modified xsi:type="dcterms:W3CDTF">2019-12-07T13:08:46Z</dcterms:modified>
</cp:coreProperties>
</file>