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8-K/A</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Amendment No. 1</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CURRENT REPORT</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Date of Report (Date of earliest event reported): December 8, 2016</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EMERGENT BIOSOLUTIONS INC.</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1380" w:type="dxa"/>
        <w:tblCellMar>
          <w:top w:w="0" w:type="dxa"/>
          <w:left w:w="0" w:type="dxa"/>
          <w:bottom w:w="0" w:type="dxa"/>
          <w:right w:w="0" w:type="dxa"/>
        </w:tblCellMar>
      </w:tblPr>
      <w:tr>
        <w:trPr>
          <w:trHeight w:val="184"/>
        </w:trPr>
        <w:tc>
          <w:tcPr>
            <w:tcW w:w="2480" w:type="dxa"/>
            <w:vAlign w:val="bottom"/>
          </w:tcPr>
          <w:p>
            <w:pPr>
              <w:jc w:val="center"/>
              <w:ind w:right="909"/>
              <w:spacing w:after="0"/>
              <w:rPr>
                <w:sz w:val="20"/>
                <w:szCs w:val="20"/>
                <w:color w:val="auto"/>
              </w:rPr>
            </w:pPr>
            <w:r>
              <w:rPr>
                <w:rFonts w:ascii="Arial" w:cs="Arial" w:eastAsia="Arial" w:hAnsi="Arial"/>
                <w:sz w:val="14"/>
                <w:szCs w:val="14"/>
                <w:b w:val="1"/>
                <w:bCs w:val="1"/>
                <w:color w:val="auto"/>
                <w:w w:val="94"/>
              </w:rPr>
              <w:t>Delaware</w:t>
            </w:r>
          </w:p>
        </w:tc>
        <w:tc>
          <w:tcPr>
            <w:tcW w:w="3660" w:type="dxa"/>
            <w:vAlign w:val="bottom"/>
          </w:tcPr>
          <w:p>
            <w:pPr>
              <w:jc w:val="right"/>
              <w:ind w:right="1509"/>
              <w:spacing w:after="0"/>
              <w:rPr>
                <w:sz w:val="20"/>
                <w:szCs w:val="20"/>
                <w:color w:val="auto"/>
              </w:rPr>
            </w:pPr>
            <w:r>
              <w:rPr>
                <w:rFonts w:ascii="Arial" w:cs="Arial" w:eastAsia="Arial" w:hAnsi="Arial"/>
                <w:sz w:val="14"/>
                <w:szCs w:val="14"/>
                <w:b w:val="1"/>
                <w:bCs w:val="1"/>
                <w:color w:val="auto"/>
              </w:rPr>
              <w:t>001-33137</w:t>
            </w:r>
          </w:p>
        </w:tc>
        <w:tc>
          <w:tcPr>
            <w:tcW w:w="2140" w:type="dxa"/>
            <w:vAlign w:val="bottom"/>
          </w:tcPr>
          <w:p>
            <w:pPr>
              <w:jc w:val="center"/>
              <w:ind w:left="1029"/>
              <w:spacing w:after="0"/>
              <w:rPr>
                <w:sz w:val="20"/>
                <w:szCs w:val="20"/>
                <w:color w:val="auto"/>
              </w:rPr>
            </w:pPr>
            <w:r>
              <w:rPr>
                <w:rFonts w:ascii="Arial" w:cs="Arial" w:eastAsia="Arial" w:hAnsi="Arial"/>
                <w:sz w:val="14"/>
                <w:szCs w:val="14"/>
                <w:b w:val="1"/>
                <w:bCs w:val="1"/>
                <w:color w:val="auto"/>
                <w:w w:val="90"/>
              </w:rPr>
              <w:t>14-1902018</w:t>
            </w:r>
          </w:p>
        </w:tc>
      </w:tr>
      <w:tr>
        <w:trPr>
          <w:trHeight w:val="180"/>
        </w:trPr>
        <w:tc>
          <w:tcPr>
            <w:tcW w:w="2480" w:type="dxa"/>
            <w:vAlign w:val="bottom"/>
          </w:tcPr>
          <w:p>
            <w:pPr>
              <w:jc w:val="center"/>
              <w:ind w:right="909"/>
              <w:spacing w:after="0"/>
              <w:rPr>
                <w:sz w:val="20"/>
                <w:szCs w:val="20"/>
                <w:color w:val="auto"/>
              </w:rPr>
            </w:pPr>
            <w:r>
              <w:rPr>
                <w:rFonts w:ascii="Arial" w:cs="Arial" w:eastAsia="Arial" w:hAnsi="Arial"/>
                <w:sz w:val="14"/>
                <w:szCs w:val="14"/>
                <w:color w:val="auto"/>
                <w:w w:val="94"/>
              </w:rPr>
              <w:t>(State or other jurisdiction</w:t>
            </w:r>
          </w:p>
        </w:tc>
        <w:tc>
          <w:tcPr>
            <w:tcW w:w="3660" w:type="dxa"/>
            <w:vAlign w:val="bottom"/>
          </w:tcPr>
          <w:p>
            <w:pPr>
              <w:jc w:val="center"/>
              <w:ind w:right="69"/>
              <w:spacing w:after="0"/>
              <w:rPr>
                <w:sz w:val="20"/>
                <w:szCs w:val="20"/>
                <w:color w:val="auto"/>
              </w:rPr>
            </w:pPr>
            <w:r>
              <w:rPr>
                <w:rFonts w:ascii="Arial" w:cs="Arial" w:eastAsia="Arial" w:hAnsi="Arial"/>
                <w:sz w:val="14"/>
                <w:szCs w:val="14"/>
                <w:color w:val="auto"/>
                <w:w w:val="93"/>
              </w:rPr>
              <w:t>(Commission File Number)</w:t>
            </w:r>
          </w:p>
        </w:tc>
        <w:tc>
          <w:tcPr>
            <w:tcW w:w="2140" w:type="dxa"/>
            <w:vAlign w:val="bottom"/>
          </w:tcPr>
          <w:p>
            <w:pPr>
              <w:jc w:val="center"/>
              <w:ind w:left="1049"/>
              <w:spacing w:after="0"/>
              <w:rPr>
                <w:sz w:val="20"/>
                <w:szCs w:val="20"/>
                <w:color w:val="auto"/>
              </w:rPr>
            </w:pPr>
            <w:r>
              <w:rPr>
                <w:rFonts w:ascii="Arial" w:cs="Arial" w:eastAsia="Arial" w:hAnsi="Arial"/>
                <w:sz w:val="14"/>
                <w:szCs w:val="14"/>
                <w:color w:val="auto"/>
                <w:w w:val="94"/>
              </w:rPr>
              <w:t>(IRS Employer</w:t>
            </w:r>
          </w:p>
        </w:tc>
      </w:tr>
      <w:tr>
        <w:trPr>
          <w:trHeight w:val="180"/>
        </w:trPr>
        <w:tc>
          <w:tcPr>
            <w:tcW w:w="2480" w:type="dxa"/>
            <w:vAlign w:val="bottom"/>
          </w:tcPr>
          <w:p>
            <w:pPr>
              <w:jc w:val="center"/>
              <w:ind w:right="889"/>
              <w:spacing w:after="0"/>
              <w:rPr>
                <w:sz w:val="20"/>
                <w:szCs w:val="20"/>
                <w:color w:val="auto"/>
              </w:rPr>
            </w:pPr>
            <w:r>
              <w:rPr>
                <w:rFonts w:ascii="Arial" w:cs="Arial" w:eastAsia="Arial" w:hAnsi="Arial"/>
                <w:sz w:val="14"/>
                <w:szCs w:val="14"/>
                <w:color w:val="auto"/>
                <w:w w:val="94"/>
              </w:rPr>
              <w:t>of incorporation)</w:t>
            </w:r>
          </w:p>
        </w:tc>
        <w:tc>
          <w:tcPr>
            <w:tcW w:w="3660" w:type="dxa"/>
            <w:vAlign w:val="bottom"/>
          </w:tcPr>
          <w:p>
            <w:pPr>
              <w:spacing w:after="0"/>
              <w:rPr>
                <w:sz w:val="15"/>
                <w:szCs w:val="15"/>
                <w:color w:val="auto"/>
              </w:rPr>
            </w:pPr>
          </w:p>
        </w:tc>
        <w:tc>
          <w:tcPr>
            <w:tcW w:w="2140" w:type="dxa"/>
            <w:vAlign w:val="bottom"/>
          </w:tcPr>
          <w:p>
            <w:pPr>
              <w:jc w:val="center"/>
              <w:ind w:left="1029"/>
              <w:spacing w:after="0"/>
              <w:rPr>
                <w:sz w:val="20"/>
                <w:szCs w:val="20"/>
                <w:color w:val="auto"/>
              </w:rPr>
            </w:pPr>
            <w:r>
              <w:rPr>
                <w:rFonts w:ascii="Arial" w:cs="Arial" w:eastAsia="Arial" w:hAnsi="Arial"/>
                <w:sz w:val="14"/>
                <w:szCs w:val="14"/>
                <w:color w:val="auto"/>
                <w:w w:val="95"/>
              </w:rPr>
              <w:t>Identification No.)</w:t>
            </w:r>
          </w:p>
        </w:tc>
      </w:tr>
    </w:tbl>
    <w:p>
      <w:pPr>
        <w:spacing w:after="0" w:line="54"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400 Professional Drive, Suite 400,</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Gaithersburg, Maryland 20879</w:t>
      </w:r>
    </w:p>
    <w:p>
      <w:pPr>
        <w:spacing w:after="0" w:line="6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(240) 631-3200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right="4700" w:firstLine="5"/>
        <w:spacing w:after="0" w:line="506"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250" w:type="dxa"/>
        <w:tblCellMar>
          <w:top w:w="0" w:type="dxa"/>
          <w:left w:w="0" w:type="dxa"/>
          <w:bottom w:w="0" w:type="dxa"/>
          <w:right w:w="0" w:type="dxa"/>
        </w:tblCellMar>
      </w:tblPr>
      <w:tr>
        <w:trPr>
          <w:trHeight w:val="171"/>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r>
      <w:tr>
        <w:trPr>
          <w:trHeight w:val="171"/>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$0.001 per share</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EBS</w:t>
            </w: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233"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61" w:lineRule="exact"/>
        <w:tabs>
          <w:tab w:leader="none" w:pos="17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08" w:right="419" w:bottom="1440" w:gutter="0" w:footer="0" w:header="0"/>
        </w:sectPr>
      </w:pPr>
    </w:p>
    <w:bookmarkStart w:id="1" w:name="page2"/>
    <w:bookmarkEnd w:id="1"/>
    <w:p>
      <w:pPr>
        <w:ind w:right="2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4" w:lineRule="exact"/>
        <w:rPr>
          <w:sz w:val="20"/>
          <w:szCs w:val="20"/>
          <w:color w:val="auto"/>
        </w:rPr>
      </w:pPr>
    </w:p>
    <w:p>
      <w:pPr>
        <w:jc w:val="both"/>
        <w:ind w:firstLine="347"/>
        <w:spacing w:after="0" w:line="241" w:lineRule="auto"/>
        <w:rPr>
          <w:sz w:val="20"/>
          <w:szCs w:val="20"/>
          <w:color w:val="auto"/>
        </w:rPr>
      </w:pPr>
      <w:r>
        <w:rPr>
          <w:rFonts w:ascii="Arial" w:cs="Arial" w:eastAsia="Arial" w:hAnsi="Arial"/>
          <w:sz w:val="14"/>
          <w:szCs w:val="14"/>
          <w:color w:val="auto"/>
        </w:rPr>
        <w:t>Emergent BioSolutions Inc. (the “Company”) is filing this Amendment No. 1 on Form 8-K/A (the “Amendment”) to amend its Current Report on Form 8-K, dated December 8, 2016 (the “Original Form 8-K”), to transition an exhibit previously filed with the Securities and Exchange Commission (the “SEC”) to the requirements set forth in Item 601(b) of Regulation S-K permitting registrants to omit confidential information from material contracts filed pursuant to Item 601(b)(10) without the need to submit a confidential treatment request to the SEC. The purpose of this Amendment is to attach and refile with the SEC a redacted version of the Solicitation/Contract/Order for Commercial Items (the “CDC BioThrax Procurement Contract”), effective December 8, 2016, from the Centers for Disease Control and Prevention to Emergent Biodefense Operations Lansing LLC reported in the Original Form 8-K (Exhibit 10.1 hereto), which is subject to a current order granting confidential treatment by the SEC for certain confidential information contained therein. The confidential information omitted from Exhibit 10.1 is both (i) not material and (ii) is the type of information that the Company treats as private or confidential.</w:t>
      </w:r>
    </w:p>
    <w:p>
      <w:pPr>
        <w:spacing w:after="0" w:line="163" w:lineRule="exact"/>
        <w:rPr>
          <w:sz w:val="20"/>
          <w:szCs w:val="20"/>
          <w:color w:val="auto"/>
        </w:rPr>
      </w:pPr>
    </w:p>
    <w:p>
      <w:pPr>
        <w:jc w:val="both"/>
        <w:ind w:firstLine="347"/>
        <w:spacing w:after="0" w:line="249" w:lineRule="auto"/>
        <w:rPr>
          <w:sz w:val="20"/>
          <w:szCs w:val="20"/>
          <w:color w:val="auto"/>
        </w:rPr>
      </w:pPr>
      <w:r>
        <w:rPr>
          <w:rFonts w:ascii="Arial" w:cs="Arial" w:eastAsia="Arial" w:hAnsi="Arial"/>
          <w:sz w:val="14"/>
          <w:szCs w:val="14"/>
          <w:color w:val="auto"/>
        </w:rPr>
        <w:t>Except for Exhibit 10.1, this Amendment speaks as of the filing date of the Original Form 8-K and does not reflect events occurring after its filing or modify or update disclosures made therein that may be affected by subsequent events.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r>
        <w:rPr>
          <w:rFonts w:ascii="Arial" w:cs="Arial" w:eastAsia="Arial" w:hAnsi="Arial"/>
          <w:sz w:val="14"/>
          <w:szCs w:val="14"/>
          <w:color w:val="auto"/>
        </w:rPr>
        <w:t>.</w:t>
      </w:r>
    </w:p>
    <w:p>
      <w:pPr>
        <w:spacing w:after="0" w:line="289" w:lineRule="exact"/>
        <w:rPr>
          <w:sz w:val="20"/>
          <w:szCs w:val="20"/>
          <w:color w:val="auto"/>
        </w:rPr>
      </w:pPr>
    </w:p>
    <w:p>
      <w:pPr>
        <w:ind w:left="320" w:hanging="315"/>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16"/>
                <w:szCs w:val="16"/>
                <w:color w:val="auto"/>
              </w:rPr>
            </w:pPr>
          </w:p>
        </w:tc>
        <w:tc>
          <w:tcPr>
            <w:tcW w:w="4500" w:type="dxa"/>
            <w:vAlign w:val="bottom"/>
            <w:gridSpan w:val="2"/>
          </w:tcPr>
          <w:p>
            <w:pPr>
              <w:ind w:left="3800"/>
              <w:spacing w:after="0"/>
              <w:rPr>
                <w:sz w:val="20"/>
                <w:szCs w:val="20"/>
                <w:color w:val="auto"/>
              </w:rPr>
            </w:pPr>
            <w:r>
              <w:rPr>
                <w:rFonts w:ascii="Arial" w:cs="Arial" w:eastAsia="Arial" w:hAnsi="Arial"/>
                <w:sz w:val="14"/>
                <w:szCs w:val="14"/>
                <w:b w:val="1"/>
                <w:bCs w:val="1"/>
                <w:color w:val="auto"/>
                <w:w w:val="88"/>
              </w:rPr>
              <w:t>Description</w:t>
            </w:r>
          </w:p>
        </w:tc>
      </w:tr>
      <w:tr>
        <w:trPr>
          <w:trHeight w:val="140"/>
        </w:trPr>
        <w:tc>
          <w:tcPr>
            <w:tcW w:w="1580" w:type="dxa"/>
            <w:vAlign w:val="bottom"/>
          </w:tcPr>
          <w:p>
            <w:pPr>
              <w:ind w:left="680"/>
              <w:spacing w:after="0" w:line="140" w:lineRule="exact"/>
              <w:rPr>
                <w:sz w:val="20"/>
                <w:szCs w:val="20"/>
                <w:color w:val="auto"/>
              </w:rPr>
            </w:pPr>
            <w:r>
              <w:rPr>
                <w:rFonts w:ascii="Arial" w:cs="Arial" w:eastAsia="Arial" w:hAnsi="Arial"/>
                <w:sz w:val="14"/>
                <w:szCs w:val="14"/>
                <w:color w:val="auto"/>
              </w:rPr>
              <w:t>10.1 †</w:t>
            </w:r>
          </w:p>
        </w:tc>
        <w:tc>
          <w:tcPr>
            <w:tcW w:w="360" w:type="dxa"/>
            <w:vAlign w:val="bottom"/>
          </w:tcPr>
          <w:p>
            <w:pPr>
              <w:spacing w:after="0"/>
              <w:rPr>
                <w:sz w:val="12"/>
                <w:szCs w:val="12"/>
                <w:color w:val="auto"/>
              </w:rPr>
            </w:pPr>
          </w:p>
        </w:tc>
        <w:tc>
          <w:tcPr>
            <w:tcW w:w="4080" w:type="dxa"/>
            <w:vAlign w:val="bottom"/>
            <w:tcBorders>
              <w:bottom w:val="single" w:sz="8" w:color="0000FF"/>
            </w:tcBorders>
          </w:tcPr>
          <w:p>
            <w:pPr>
              <w:spacing w:after="0" w:line="140" w:lineRule="exact"/>
              <w:rPr>
                <w:rFonts w:ascii="Arial" w:cs="Arial" w:eastAsia="Arial" w:hAnsi="Arial"/>
                <w:sz w:val="14"/>
                <w:szCs w:val="14"/>
                <w:color w:val="0000FF"/>
                <w:w w:val="91"/>
              </w:rPr>
            </w:pPr>
            <w:hyperlink w:anchor="page3">
              <w:r>
                <w:rPr>
                  <w:rFonts w:ascii="Arial" w:cs="Arial" w:eastAsia="Arial" w:hAnsi="Arial"/>
                  <w:sz w:val="14"/>
                  <w:szCs w:val="14"/>
                  <w:color w:val="0000FF"/>
                  <w:w w:val="91"/>
                </w:rPr>
                <w:t>The CDC BioThrax Procurement Contract, effective December 8, 2016.</w:t>
              </w:r>
            </w:hyperlink>
          </w:p>
        </w:tc>
        <w:tc>
          <w:tcPr>
            <w:tcW w:w="420" w:type="dxa"/>
            <w:vAlign w:val="bottom"/>
          </w:tcPr>
          <w:p>
            <w:pPr>
              <w:spacing w:after="0"/>
              <w:rPr>
                <w:sz w:val="12"/>
                <w:szCs w:val="12"/>
                <w:color w:val="auto"/>
              </w:rPr>
            </w:pPr>
          </w:p>
        </w:tc>
      </w:tr>
    </w:tbl>
    <w:p>
      <w:pPr>
        <w:spacing w:after="0" w:line="32" w:lineRule="exact"/>
        <w:rPr>
          <w:sz w:val="20"/>
          <w:szCs w:val="20"/>
          <w:color w:val="auto"/>
        </w:rPr>
      </w:pPr>
    </w:p>
    <w:p>
      <w:pPr>
        <w:ind w:left="1940" w:right="1400" w:hanging="1251"/>
        <w:spacing w:after="0" w:line="237" w:lineRule="auto"/>
        <w:tabs>
          <w:tab w:leader="none" w:pos="1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Emergent BioSolutions Inc. Current Report on Form 8-K/A, dated December 8, 2016 formatted in XBRL (Extensible Business Reporting Language): Cover Page. The instance document does not appear in the Interactive Data File because its XBRL tags are embedded within the Inline XBRL document.</w:t>
      </w:r>
    </w:p>
    <w:p>
      <w:pPr>
        <w:spacing w:after="0" w:line="22" w:lineRule="exact"/>
        <w:rPr>
          <w:sz w:val="20"/>
          <w:szCs w:val="20"/>
          <w:color w:val="auto"/>
        </w:rPr>
      </w:pPr>
    </w:p>
    <w:p>
      <w:pPr>
        <w:ind w:left="1940" w:hanging="1251"/>
        <w:spacing w:after="0"/>
        <w:tabs>
          <w:tab w:leader="none" w:pos="1940" w:val="left"/>
        </w:tabs>
        <w:numPr>
          <w:ilvl w:val="1"/>
          <w:numId w:val="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61" w:lineRule="exact"/>
        <w:rPr>
          <w:rFonts w:ascii="Arial" w:cs="Arial" w:eastAsia="Arial" w:hAnsi="Arial"/>
          <w:sz w:val="14"/>
          <w:szCs w:val="14"/>
          <w:color w:val="auto"/>
        </w:rPr>
      </w:pPr>
    </w:p>
    <w:p>
      <w:pPr>
        <w:ind w:left="20" w:right="1100" w:hanging="1"/>
        <w:spacing w:after="0" w:line="249" w:lineRule="auto"/>
        <w:tabs>
          <w:tab w:leader="none" w:pos="133"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portions of this Exhibit were omitted by means of marking such portions with brackets (“[**]”) because they are not material and they are the type of information that the registrant treats as private or confidential.</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w:t>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EMERGENT BIOSOLUTIONS INC.</w:t>
      </w:r>
    </w:p>
    <w:p>
      <w:pPr>
        <w:spacing w:after="0" w:line="204" w:lineRule="exact"/>
        <w:rPr>
          <w:sz w:val="20"/>
          <w:szCs w:val="20"/>
          <w:color w:val="auto"/>
        </w:rPr>
      </w:pPr>
    </w:p>
    <w:p>
      <w:pPr>
        <w:ind w:left="520"/>
        <w:spacing w:after="0"/>
        <w:tabs>
          <w:tab w:leader="none" w:pos="5780" w:val="left"/>
          <w:tab w:leader="none" w:pos="6240" w:val="left"/>
        </w:tabs>
        <w:rPr>
          <w:sz w:val="20"/>
          <w:szCs w:val="20"/>
          <w:color w:val="auto"/>
        </w:rPr>
      </w:pPr>
      <w:r>
        <w:rPr>
          <w:rFonts w:ascii="Arial" w:cs="Arial" w:eastAsia="Arial" w:hAnsi="Arial"/>
          <w:sz w:val="14"/>
          <w:szCs w:val="14"/>
          <w:color w:val="auto"/>
        </w:rPr>
        <w:t>Dated: September 9,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12065</wp:posOffset>
            </wp:positionV>
            <wp:extent cx="28765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4"/>
          <w:szCs w:val="14"/>
          <w:color w:val="auto"/>
        </w:rPr>
        <w:t>Name: Richard S. Lindahl</w:t>
      </w:r>
    </w:p>
    <w:p>
      <w:pPr>
        <w:ind w:left="6260"/>
        <w:spacing w:after="0" w:line="205" w:lineRule="auto"/>
        <w:rPr>
          <w:sz w:val="20"/>
          <w:szCs w:val="20"/>
          <w:color w:val="auto"/>
        </w:rPr>
      </w:pPr>
      <w:r>
        <w:rPr>
          <w:rFonts w:ascii="Arial" w:cs="Arial" w:eastAsia="Arial" w:hAnsi="Arial"/>
          <w:sz w:val="14"/>
          <w:szCs w:val="14"/>
          <w:color w:val="auto"/>
        </w:rPr>
        <w:t>Title: Executive Vice President, Chief Financial</w:t>
      </w:r>
    </w:p>
    <w:p>
      <w:pPr>
        <w:ind w:left="6760"/>
        <w:spacing w:after="0"/>
        <w:rPr>
          <w:sz w:val="20"/>
          <w:szCs w:val="20"/>
          <w:color w:val="auto"/>
        </w:rPr>
      </w:pPr>
      <w:r>
        <w:rPr>
          <w:rFonts w:ascii="Arial" w:cs="Arial" w:eastAsia="Arial" w:hAnsi="Arial"/>
          <w:sz w:val="14"/>
          <w:szCs w:val="14"/>
          <w:color w:val="auto"/>
        </w:rPr>
        <w:t>Officer and Treasurer</w:t>
      </w:r>
    </w:p>
    <w:p>
      <w:pPr>
        <w:sectPr>
          <w:pgSz w:w="11900" w:h="16838" w:orient="portrait"/>
          <w:cols w:equalWidth="0" w:num="1">
            <w:col w:w="11280"/>
          </w:cols>
          <w:pgMar w:left="300" w:top="734"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1"/>
    </w:lvl>
  </w:abstractNum>
  <w:abstractNum w:abstractNumId="3">
    <w:nsid w:val="625558EC"/>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2021-09-09T15:37:40Z</dcterms:created>
  <dcterms:modified xsi:type="dcterms:W3CDTF">2021-09-09T15:37:40Z</dcterms:modified>
</cp:coreProperties>
</file>