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3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760" w:type="dxa"/>
            <w:vAlign w:val="bottom"/>
          </w:tcPr>
          <w:p>
            <w:pPr>
              <w:jc w:val="right"/>
              <w:ind w:right="606"/>
              <w:spacing w:after="0"/>
              <w:rPr>
                <w:sz w:val="20"/>
                <w:szCs w:val="20"/>
                <w:color w:val="auto"/>
              </w:rPr>
            </w:pPr>
            <w:r>
              <w:rPr>
                <w:rFonts w:ascii="Arial" w:cs="Arial" w:eastAsia="Arial" w:hAnsi="Arial"/>
                <w:sz w:val="17"/>
                <w:szCs w:val="17"/>
                <w:color w:val="0000FF"/>
              </w:rPr>
              <w:t>20879</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0" w:type="dxa"/>
            <w:vAlign w:val="bottom"/>
            <w:gridSpan w:val="5"/>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52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04/29/2020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74.24</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1,249,523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04/30/2020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74.01</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1,229,523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(4)</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Intervac,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(5)</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Biovac,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-2343150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was made by the Reporting Person pursuant to a trading plan adopted by Fuad El-Hibri Nancy El-Hibri JTWROS on February 25, 2020 that is intended to comply with Rule 10b5-1(c) under the Securities Exchange Act of 1934.</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$72.39 to $77.59.</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$73.20 to $74.92.</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A. Valenstein,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05/01/2020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2020-05-01T19:14:04Z</dcterms:created>
  <dcterms:modified xsi:type="dcterms:W3CDTF">2020-05-01T19:14:04Z</dcterms:modified>
</cp:coreProperties>
</file>