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68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80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Kramer Robert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PROFESSIONAL DR,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02/27/2018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6"/>
        <w:spacing w:after="0"/>
        <w:rPr>
          <w:sz w:val="20"/>
          <w:szCs w:val="20"/>
          <w:color w:val="auto"/>
        </w:rPr>
      </w:pPr>
      <w:r>
        <w:rPr>
          <w:rFonts w:ascii="Arial" w:cs="Arial" w:eastAsia="Arial" w:hAnsi="Arial"/>
          <w:sz w:val="17"/>
          <w:szCs w:val="17"/>
          <w:color w:val="0000FF"/>
        </w:rPr>
        <w:t>EVP, Administration and CFO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GAITHERSBURG MD</w:t>
            </w:r>
          </w:p>
        </w:tc>
        <w:tc>
          <w:tcPr>
            <w:tcW w:w="1680" w:type="dxa"/>
            <w:vAlign w:val="bottom"/>
          </w:tcPr>
          <w:p>
            <w:pPr>
              <w:jc w:val="right"/>
              <w:ind w:right="683"/>
              <w:spacing w:after="0"/>
              <w:rPr>
                <w:sz w:val="20"/>
                <w:szCs w:val="20"/>
                <w:color w:val="auto"/>
              </w:rPr>
            </w:pPr>
            <w:r>
              <w:rPr>
                <w:rFonts w:ascii="Arial" w:cs="Arial" w:eastAsia="Arial" w:hAnsi="Arial"/>
                <w:sz w:val="17"/>
                <w:szCs w:val="17"/>
                <w:color w:val="0000FF"/>
              </w:rPr>
              <w:t>20879</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ind w:right="143"/>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3"/>
              </w:rPr>
              <w:t>02/27/2018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26"/>
              <w:spacing w:after="0"/>
              <w:rPr>
                <w:sz w:val="20"/>
                <w:szCs w:val="20"/>
                <w:color w:val="auto"/>
              </w:rPr>
            </w:pPr>
            <w:r>
              <w:rPr>
                <w:rFonts w:ascii="Arial" w:cs="Arial" w:eastAsia="Arial" w:hAnsi="Arial"/>
                <w:sz w:val="17"/>
                <w:szCs w:val="17"/>
                <w:color w:val="0000FF"/>
                <w:w w:val="85"/>
              </w:rPr>
              <w:t>5,917</w:t>
            </w:r>
            <w:r>
              <w:rPr>
                <w:rFonts w:ascii="Arial" w:cs="Arial" w:eastAsia="Arial" w:hAnsi="Arial"/>
                <w:sz w:val="22"/>
                <w:szCs w:val="22"/>
                <w:color w:val="008000"/>
                <w:w w:val="85"/>
                <w:vertAlign w:val="superscript"/>
              </w:rPr>
              <w:t>(2)</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8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88,012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3"/>
              </w:rPr>
              <w:t>02/27/2018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26"/>
              <w:spacing w:after="0"/>
              <w:rPr>
                <w:sz w:val="20"/>
                <w:szCs w:val="20"/>
                <w:color w:val="auto"/>
              </w:rPr>
            </w:pPr>
            <w:r>
              <w:rPr>
                <w:rFonts w:ascii="Arial" w:cs="Arial" w:eastAsia="Arial" w:hAnsi="Arial"/>
                <w:sz w:val="17"/>
                <w:szCs w:val="17"/>
                <w:color w:val="0000FF"/>
                <w:w w:val="85"/>
              </w:rPr>
              <w:t>5,917</w:t>
            </w:r>
            <w:r>
              <w:rPr>
                <w:rFonts w:ascii="Arial" w:cs="Arial" w:eastAsia="Arial" w:hAnsi="Arial"/>
                <w:sz w:val="22"/>
                <w:szCs w:val="22"/>
                <w:color w:val="008000"/>
                <w:w w:val="85"/>
                <w:vertAlign w:val="superscript"/>
              </w:rPr>
              <w:t>(3)</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8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93,929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3"/>
              </w:rPr>
              <w:t>02/27/2018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91"/>
              </w:rPr>
              <w:t>778</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49.64</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93,151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3"/>
              </w:rPr>
              <w:t>02/28/2018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1,545</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49.97</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91,606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1,000</w:t>
            </w:r>
            <w:r>
              <w:rPr>
                <w:rFonts w:ascii="Arial" w:cs="Arial" w:eastAsia="Arial" w:hAnsi="Arial"/>
                <w:sz w:val="22"/>
                <w:szCs w:val="22"/>
                <w:color w:val="008000"/>
                <w:w w:val="85"/>
                <w:vertAlign w:val="superscript"/>
              </w:rPr>
              <w:t>(5)</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23,670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49.64</w:t>
            </w:r>
          </w:p>
        </w:tc>
        <w:tc>
          <w:tcPr>
            <w:tcW w:w="108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02/27/2018</w:t>
            </w:r>
          </w:p>
        </w:tc>
        <w:tc>
          <w:tcPr>
            <w:tcW w:w="1180" w:type="dxa"/>
            <w:vAlign w:val="bottom"/>
          </w:tcPr>
          <w:p>
            <w:pPr>
              <w:spacing w:after="0"/>
              <w:rPr>
                <w:sz w:val="11"/>
                <w:szCs w:val="11"/>
                <w:color w:val="auto"/>
              </w:rPr>
            </w:pPr>
          </w:p>
        </w:tc>
        <w:tc>
          <w:tcPr>
            <w:tcW w:w="76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23,670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02/26/2025</w:t>
            </w:r>
          </w:p>
        </w:tc>
        <w:tc>
          <w:tcPr>
            <w:tcW w:w="6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49.64</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23,670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63"/>
              <w:spacing w:after="0" w:line="148" w:lineRule="exact"/>
              <w:rPr>
                <w:sz w:val="20"/>
                <w:szCs w:val="20"/>
                <w:color w:val="auto"/>
              </w:rPr>
            </w:pPr>
            <w:r>
              <w:rPr>
                <w:rFonts w:ascii="Arial" w:cs="Arial" w:eastAsia="Arial" w:hAnsi="Arial"/>
                <w:sz w:val="13"/>
                <w:szCs w:val="13"/>
                <w:color w:val="0000FF"/>
                <w:w w:val="98"/>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Amended and Restated Emergent BioSolutions Inc. 2006 Stock Incentive Plan, as amended.</w:t>
      </w:r>
    </w:p>
    <w:p>
      <w:pPr>
        <w:spacing w:after="0" w:line="51" w:lineRule="exact"/>
        <w:rPr>
          <w:rFonts w:ascii="Arial" w:cs="Arial" w:eastAsia="Arial" w:hAnsi="Arial"/>
          <w:sz w:val="13"/>
          <w:szCs w:val="13"/>
          <w:color w:val="008000"/>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in three equal annual installments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9" w:lineRule="exact"/>
        <w:rPr>
          <w:rFonts w:ascii="Arial" w:cs="Arial" w:eastAsia="Arial" w:hAnsi="Arial"/>
          <w:sz w:val="13"/>
          <w:szCs w:val="13"/>
          <w:color w:val="008000"/>
        </w:rPr>
      </w:pPr>
    </w:p>
    <w:p>
      <w:pPr>
        <w:ind w:left="40" w:right="1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performance stock units granted under the Amended and Restated 2006 Emergent BioSolutions Inc. Stock Incentive Plan, as amended. Each PSU represents a right to receive one share of common stock. The PSUs vest upon achievement with respect to net income as a percentage of total revenue for the 2020 fiscal year, each as determined in accordance with GAAP, as certified by the Compensation Committee following the performance period.</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on February 26, 2019, February 26, 2020 and February 26, 2021.</w:t>
      </w:r>
    </w:p>
    <w:p>
      <w:pPr>
        <w:spacing w:after="0" w:line="51" w:lineRule="exact"/>
        <w:rPr>
          <w:rFonts w:ascii="Arial" w:cs="Arial" w:eastAsia="Arial" w:hAnsi="Arial"/>
          <w:sz w:val="13"/>
          <w:szCs w:val="13"/>
          <w:color w:val="008000"/>
        </w:rPr>
      </w:pPr>
    </w:p>
    <w:p>
      <w:pPr>
        <w:ind w:left="40" w:right="4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and this report shall not be deemed an admission that the reporting person is the beneficial owner of such securities for purposes of Section 16 or for any other purpose.</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Eric Burt, Attorney-in-fact</w:t>
            </w:r>
          </w:p>
        </w:tc>
        <w:tc>
          <w:tcPr>
            <w:tcW w:w="2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03/01/2018</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956"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2019-12-07T05:09:37Z</dcterms:created>
  <dcterms:modified xsi:type="dcterms:W3CDTF">2019-12-07T05:09:37Z</dcterms:modified>
</cp:coreProperties>
</file>