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18, 2021</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6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001-33137</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14-1902018</w:t>
            </w:r>
          </w:p>
        </w:tc>
      </w:tr>
      <w:tr>
        <w:trPr>
          <w:trHeight w:val="229"/>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1"/>
              </w:rPr>
              <w:t>(State or other jurisdiction</w:t>
            </w:r>
          </w:p>
        </w:tc>
        <w:tc>
          <w:tcPr>
            <w:tcW w:w="36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5"/>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67"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98" w:lineRule="exact"/>
        <w:rPr>
          <w:sz w:val="24"/>
          <w:szCs w:val="24"/>
          <w:color w:val="auto"/>
        </w:rPr>
      </w:pPr>
    </w:p>
    <w:tbl>
      <w:tblPr>
        <w:tblLayout w:type="fixed"/>
        <w:tblInd w:w="270" w:type="dxa"/>
        <w:tblCellMar>
          <w:top w:w="0" w:type="dxa"/>
          <w:left w:w="0" w:type="dxa"/>
          <w:bottom w:w="0" w:type="dxa"/>
          <w:right w:w="0" w:type="dxa"/>
        </w:tblCellMar>
      </w:tblPr>
      <w:tr>
        <w:trPr>
          <w:trHeight w:val="243"/>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8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r>
        <w:rPr>
          <w:rFonts w:ascii="Arial" w:cs="Arial" w:eastAsia="Arial" w:hAnsi="Arial"/>
          <w:sz w:val="18"/>
          <w:szCs w:val="18"/>
          <w:color w:val="auto"/>
        </w:rPr>
        <w: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18, 2021, Emergent BioSolutions Inc. announced financial and operating results for the period ended December 31, 2020. The full text of the press release issued in connection with the announcement is attached as Exhibit 99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1920" w:type="dxa"/>
            <w:vAlign w:val="bottom"/>
            <w:gridSpan w:val="2"/>
          </w:tcPr>
          <w:p>
            <w:pPr>
              <w:jc w:val="center"/>
              <w:ind w:right="980"/>
              <w:spacing w:after="0"/>
              <w:rPr>
                <w:sz w:val="20"/>
                <w:szCs w:val="20"/>
                <w:color w:val="auto"/>
              </w:rPr>
            </w:pPr>
            <w:r>
              <w:rPr>
                <w:rFonts w:ascii="Arial" w:cs="Arial" w:eastAsia="Arial" w:hAnsi="Arial"/>
                <w:sz w:val="18"/>
                <w:szCs w:val="18"/>
                <w:color w:val="auto"/>
                <w:w w:val="96"/>
              </w:rPr>
              <w:t>Exhibits.</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19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3"/>
              </w:rPr>
              <w:t>Exhibit No.</w:t>
            </w:r>
          </w:p>
        </w:tc>
        <w:tc>
          <w:tcPr>
            <w:tcW w:w="8280" w:type="dxa"/>
            <w:vAlign w:val="bottom"/>
          </w:tcPr>
          <w:p>
            <w:pPr>
              <w:ind w:left="37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828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Press release issued by the company on February 18, 2021.</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5"/>
                <w:szCs w:val="15"/>
                <w:color w:val="auto"/>
              </w:rPr>
            </w:pPr>
          </w:p>
        </w:tc>
        <w:tc>
          <w:tcPr>
            <w:tcW w:w="8280" w:type="dxa"/>
            <w:vAlign w:val="bottom"/>
          </w:tcPr>
          <w:p>
            <w:pPr>
              <w:ind w:left="20"/>
              <w:spacing w:after="0" w:line="176" w:lineRule="exact"/>
              <w:rPr>
                <w:sz w:val="20"/>
                <w:szCs w:val="20"/>
                <w:color w:val="auto"/>
              </w:rPr>
            </w:pPr>
            <w:r>
              <w:rPr>
                <w:rFonts w:ascii="Arial" w:cs="Arial" w:eastAsia="Arial" w:hAnsi="Arial"/>
                <w:sz w:val="18"/>
                <w:szCs w:val="18"/>
                <w:color w:val="auto"/>
              </w:rPr>
              <w:t>Emergent BioSolutions Inc. Current Report on Form 8-K, dated February 18, 2021, formatted in XBRL</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0"/>
              </w:rPr>
              <w:t>(Extensible Business Reporting Language): Cover Page. The instance document does not appear in the Interactive</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0"/>
                <w:szCs w:val="20"/>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Arial" w:cs="Arial" w:eastAsia="Arial" w:hAnsi="Arial"/>
          <w:sz w:val="18"/>
          <w:szCs w:val="18"/>
          <w:color w:val="auto"/>
        </w:rPr>
        <w:t>Dated: February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872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S. Lindahl</w:t>
      </w:r>
    </w:p>
    <w:p>
      <w:pPr>
        <w:ind w:left="6240"/>
        <w:spacing w:after="0" w:line="203" w:lineRule="auto"/>
        <w:rPr>
          <w:sz w:val="20"/>
          <w:szCs w:val="20"/>
          <w:color w:val="auto"/>
        </w:rPr>
      </w:pPr>
      <w:r>
        <w:rPr>
          <w:rFonts w:ascii="Arial" w:cs="Arial" w:eastAsia="Arial" w:hAnsi="Arial"/>
          <w:sz w:val="18"/>
          <w:szCs w:val="18"/>
          <w:color w:val="auto"/>
        </w:rPr>
        <w:t>Title: Executive Vice President, Chief Financial</w:t>
      </w:r>
    </w:p>
    <w:p>
      <w:pPr>
        <w:ind w:left="624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240"/>
          </w:cols>
          <w:pgMar w:left="320" w:top="945"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480"/>
        <w:spacing w:after="0" w:line="274" w:lineRule="auto"/>
        <w:rPr>
          <w:sz w:val="20"/>
          <w:szCs w:val="20"/>
          <w:color w:val="auto"/>
        </w:rPr>
      </w:pPr>
      <w:r>
        <w:rPr>
          <w:rFonts w:ascii="Arial" w:cs="Arial" w:eastAsia="Arial" w:hAnsi="Arial"/>
          <w:sz w:val="22"/>
          <w:szCs w:val="22"/>
          <w:b w:val="1"/>
          <w:bCs w:val="1"/>
          <w:color w:val="auto"/>
        </w:rPr>
        <w:t>EMERGENT BIOSOLUTIONS REPORTS FINANCIAL RESULTS FOR FOURTH QUARTER AND FULL YEAR 2020</w:t>
      </w:r>
    </w:p>
    <w:p>
      <w:pPr>
        <w:spacing w:after="0" w:line="192"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Reports record fourth quarter and year to date 2020 performance, in line with prior guidance</w:t>
      </w: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Reaffirms full year 2021 forecast</w:t>
      </w:r>
    </w:p>
    <w:p>
      <w:pPr>
        <w:spacing w:after="0" w:line="2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GAITHERSBURG, MD., February 18, 2021</w:t>
      </w:r>
      <w:r>
        <w:rPr>
          <w:rFonts w:ascii="Arial" w:cs="Arial" w:eastAsia="Arial" w:hAnsi="Arial"/>
          <w:sz w:val="18"/>
          <w:szCs w:val="18"/>
          <w:color w:val="auto"/>
        </w:rPr>
        <w:t>—Emergent BioSolutions Inc. (NYSE: EBS) today reported financial results for the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 The Company also reaffirmed its full year 2021 forecast.</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“Emergent’s financial and operational performance in 2020 reflects the impact we are making in addressing the growing public health threat landscape and meeting our mission to protect and enhance the lives of patients,” said Robert G. Kramer, president and CEO of Emergent BioSolutions. “We look forward to continuing to execute on our strategy with vaccines, therapeutics, devices, and contract development and manufacturing services. Our strong core business, robust development pipeline, and innovator and public-private partnership opportunities position us to remain leaders in the market and create long-term shareholder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1517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 except per share data)</w:t>
            </w:r>
          </w:p>
        </w:tc>
        <w:tc>
          <w:tcPr>
            <w:tcW w:w="236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Q4 2020</w:t>
            </w:r>
          </w:p>
        </w:tc>
        <w:tc>
          <w:tcPr>
            <w:tcW w:w="23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Q4 2019</w:t>
            </w:r>
          </w:p>
        </w:tc>
        <w:tc>
          <w:tcPr>
            <w:tcW w:w="2380" w:type="dxa"/>
            <w:vAlign w:val="bottom"/>
            <w:shd w:val="clear" w:color="auto" w:fill="0F243E"/>
          </w:tcPr>
          <w:p>
            <w:pPr>
              <w:ind w:left="760"/>
              <w:spacing w:after="0"/>
              <w:rPr>
                <w:sz w:val="20"/>
                <w:szCs w:val="20"/>
                <w:color w:val="auto"/>
              </w:rPr>
            </w:pPr>
            <w:r>
              <w:rPr>
                <w:rFonts w:ascii="Arial" w:cs="Arial" w:eastAsia="Arial" w:hAnsi="Arial"/>
                <w:sz w:val="18"/>
                <w:szCs w:val="18"/>
                <w:b w:val="1"/>
                <w:bCs w:val="1"/>
                <w:color w:val="FFFFFF"/>
              </w:rPr>
              <w:t>% Change</w:t>
            </w:r>
          </w:p>
        </w:tc>
      </w:tr>
      <w:tr>
        <w:trPr>
          <w:trHeight w:val="229"/>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$583.0</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$360.4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62%</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$185.4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$46.9</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 Per Diluted Share</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$3.44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$0.90</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Net Income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$198.8</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$82.7</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Net Income Per Diluted Share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$3.67</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$1.57</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EBITDA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$290.9</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$134.3</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-916305</wp:posOffset>
            </wp:positionV>
            <wp:extent cx="7123430"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925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 except per share data)</w:t>
            </w:r>
          </w:p>
        </w:tc>
        <w:tc>
          <w:tcPr>
            <w:tcW w:w="2360" w:type="dxa"/>
            <w:vAlign w:val="bottom"/>
            <w:shd w:val="clear" w:color="auto" w:fill="0F243E"/>
          </w:tcPr>
          <w:p>
            <w:pPr>
              <w:ind w:left="580"/>
              <w:spacing w:after="0"/>
              <w:rPr>
                <w:sz w:val="20"/>
                <w:szCs w:val="20"/>
                <w:color w:val="auto"/>
              </w:rPr>
            </w:pPr>
            <w:r>
              <w:rPr>
                <w:rFonts w:ascii="Arial" w:cs="Arial" w:eastAsia="Arial" w:hAnsi="Arial"/>
                <w:sz w:val="18"/>
                <w:szCs w:val="18"/>
                <w:b w:val="1"/>
                <w:bCs w:val="1"/>
                <w:color w:val="FFFFFF"/>
              </w:rPr>
              <w:t>Full Year 2020</w:t>
            </w:r>
          </w:p>
        </w:tc>
        <w:tc>
          <w:tcPr>
            <w:tcW w:w="2380" w:type="dxa"/>
            <w:vAlign w:val="bottom"/>
            <w:shd w:val="clear" w:color="auto" w:fill="0F243E"/>
          </w:tcPr>
          <w:p>
            <w:pPr>
              <w:ind w:left="600"/>
              <w:spacing w:after="0"/>
              <w:rPr>
                <w:sz w:val="20"/>
                <w:szCs w:val="20"/>
                <w:color w:val="auto"/>
              </w:rPr>
            </w:pPr>
            <w:r>
              <w:rPr>
                <w:rFonts w:ascii="Arial" w:cs="Arial" w:eastAsia="Arial" w:hAnsi="Arial"/>
                <w:sz w:val="18"/>
                <w:szCs w:val="18"/>
                <w:b w:val="1"/>
                <w:bCs w:val="1"/>
                <w:color w:val="FFFFFF"/>
              </w:rPr>
              <w:t>Full Year 2019</w:t>
            </w:r>
          </w:p>
        </w:tc>
        <w:tc>
          <w:tcPr>
            <w:tcW w:w="2380" w:type="dxa"/>
            <w:vAlign w:val="bottom"/>
            <w:shd w:val="clear" w:color="auto" w:fill="0F243E"/>
          </w:tcPr>
          <w:p>
            <w:pPr>
              <w:ind w:left="760"/>
              <w:spacing w:after="0"/>
              <w:rPr>
                <w:sz w:val="20"/>
                <w:szCs w:val="20"/>
                <w:color w:val="auto"/>
              </w:rPr>
            </w:pPr>
            <w:r>
              <w:rPr>
                <w:rFonts w:ascii="Arial" w:cs="Arial" w:eastAsia="Arial" w:hAnsi="Arial"/>
                <w:sz w:val="18"/>
                <w:szCs w:val="18"/>
                <w:b w:val="1"/>
                <w:bCs w:val="1"/>
                <w:color w:val="FFFFFF"/>
              </w:rPr>
              <w:t>% Change</w:t>
            </w:r>
          </w:p>
        </w:tc>
      </w:tr>
      <w:tr>
        <w:trPr>
          <w:trHeight w:val="230"/>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$1,555.4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$1,106.0</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41%</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$305.1</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$54.5</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 Per Diluted Share</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$5.67</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$1.04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Net Income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$423.9</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$152.3</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Net Income Per Diluted Share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$7.88</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$2.91</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EBITDA (2)</w:t>
            </w:r>
          </w:p>
        </w:tc>
        <w:tc>
          <w:tcPr>
            <w:tcW w:w="23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$630.4</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$279.7</w:t>
            </w:r>
          </w:p>
        </w:tc>
        <w:tc>
          <w:tcPr>
            <w:tcW w:w="2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4"/>
              </w:rPr>
              <w:t>*</w:t>
            </w:r>
          </w:p>
        </w:tc>
      </w:tr>
      <w:tr>
        <w:trPr>
          <w:trHeight w:val="54"/>
        </w:trPr>
        <w:tc>
          <w:tcPr>
            <w:tcW w:w="40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43"/>
        </w:trPr>
        <w:tc>
          <w:tcPr>
            <w:tcW w:w="4080" w:type="dxa"/>
            <w:vAlign w:val="bottom"/>
            <w:shd w:val="clear" w:color="auto" w:fill="CCCCCC"/>
          </w:tcPr>
          <w:p>
            <w:pPr>
              <w:ind w:left="40"/>
              <w:spacing w:after="0"/>
              <w:rPr>
                <w:sz w:val="20"/>
                <w:szCs w:val="20"/>
                <w:color w:val="auto"/>
              </w:rPr>
            </w:pPr>
            <w:r>
              <w:rPr>
                <w:rFonts w:ascii="Arial" w:cs="Arial" w:eastAsia="Arial" w:hAnsi="Arial"/>
                <w:sz w:val="18"/>
                <w:szCs w:val="18"/>
                <w:color w:val="auto"/>
              </w:rPr>
              <w:t>* % change greater than 100%</w:t>
            </w:r>
          </w:p>
        </w:tc>
        <w:tc>
          <w:tcPr>
            <w:tcW w:w="2360" w:type="dxa"/>
            <w:vAlign w:val="bottom"/>
            <w:shd w:val="clear" w:color="auto" w:fill="CCCCCC"/>
          </w:tcPr>
          <w:p>
            <w:pPr>
              <w:spacing w:after="0"/>
              <w:rPr>
                <w:sz w:val="21"/>
                <w:szCs w:val="21"/>
                <w:color w:val="auto"/>
              </w:rPr>
            </w:pPr>
          </w:p>
        </w:tc>
        <w:tc>
          <w:tcPr>
            <w:tcW w:w="2380" w:type="dxa"/>
            <w:vAlign w:val="bottom"/>
            <w:shd w:val="clear" w:color="auto" w:fill="CCCCCC"/>
          </w:tcPr>
          <w:p>
            <w:pPr>
              <w:spacing w:after="0"/>
              <w:rPr>
                <w:sz w:val="21"/>
                <w:szCs w:val="21"/>
                <w:color w:val="auto"/>
              </w:rPr>
            </w:pPr>
          </w:p>
        </w:tc>
        <w:tc>
          <w:tcPr>
            <w:tcW w:w="2380" w:type="dxa"/>
            <w:vAlign w:val="bottom"/>
            <w:shd w:val="clear" w:color="auto" w:fill="CCCC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-1104900</wp:posOffset>
            </wp:positionV>
            <wp:extent cx="7140575" cy="1114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Q4 2020 AND RECENT BUSINESS ACCOMPLISHMENTS</w:t>
      </w:r>
    </w:p>
    <w:p>
      <w:pPr>
        <w:spacing w:after="0" w:line="274" w:lineRule="exact"/>
        <w:rPr>
          <w:sz w:val="20"/>
          <w:szCs w:val="20"/>
          <w:color w:val="auto"/>
        </w:rPr>
      </w:pPr>
    </w:p>
    <w:p>
      <w:pPr>
        <w:ind w:left="660" w:hanging="328"/>
        <w:spacing w:after="0" w:line="256"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three-year, $50 million expansion at the Company's Baltimore Camden drug product facility, including a new state-of-the-art fill/finish line that became operational in January 2021, intended to significantly increase contract development and manufacturing (CDMO) capacity and capability.</w:t>
      </w:r>
    </w:p>
    <w:p>
      <w:pPr>
        <w:spacing w:after="0" w:line="147" w:lineRule="exact"/>
        <w:rPr>
          <w:rFonts w:ascii="Arial" w:cs="Arial" w:eastAsia="Arial" w:hAnsi="Arial"/>
          <w:sz w:val="18"/>
          <w:szCs w:val="18"/>
          <w:color w:val="auto"/>
        </w:rPr>
      </w:pPr>
    </w:p>
    <w:p>
      <w:pPr>
        <w:ind w:left="660" w:right="200" w:hanging="328"/>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CDMO services agreement with Providence Therapeutics to provide drug product manufacturing services for their mRNA PTX-COVID19-B vaccine candidate at the Company's Winnipeg, Manitoba facility.</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CDMO services agreement for drug product manufacturing of Humanigen's COVID-19 therapeutic candidate, lenzilumab™, at the Company's Baltimore Camden facility.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 of 15</w:t>
      </w:r>
    </w:p>
    <w:p>
      <w:pPr>
        <w:sectPr>
          <w:pgSz w:w="11900" w:h="16838" w:orient="portrait"/>
          <w:cols w:equalWidth="0" w:num="1">
            <w:col w:w="11200"/>
          </w:cols>
          <w:pgMar w:left="320" w:top="1440" w:right="37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0" w:right="80" w:hanging="328"/>
        <w:spacing w:after="0" w:line="256"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 Phase 3 clinical trial with the National Institutes of Health to evaluate hyperimmune globulins, including the Company's COVID-19 human hyperimmune globulin (COVID-HIG) product candidate, as a potential treatment in adult patients hospitalized with COVID-19.</w:t>
      </w:r>
    </w:p>
    <w:p>
      <w:pPr>
        <w:spacing w:after="0" w:line="147" w:lineRule="exact"/>
        <w:rPr>
          <w:rFonts w:ascii="Arial" w:cs="Arial" w:eastAsia="Arial" w:hAnsi="Arial"/>
          <w:sz w:val="18"/>
          <w:szCs w:val="18"/>
          <w:color w:val="auto"/>
        </w:rPr>
      </w:pPr>
    </w:p>
    <w:p>
      <w:pPr>
        <w:ind w:left="660" w:right="40" w:hanging="328"/>
        <w:spacing w:after="0" w:line="261"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 clinical program to evaluate COVID-HIG to support its use for potential post-exposure prophylaxis in individuals at high risk of exposure to SARS-CoV-2 such as front-line health care workers and military personnel.</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(1)</w:t>
      </w:r>
    </w:p>
    <w:p>
      <w:pPr>
        <w:spacing w:after="0" w:line="171" w:lineRule="exact"/>
        <w:rPr>
          <w:sz w:val="20"/>
          <w:szCs w:val="20"/>
          <w:color w:val="auto"/>
        </w:rPr>
      </w:pPr>
    </w:p>
    <w:p>
      <w:pPr>
        <w:ind w:right="8100" w:firstLine="8"/>
        <w:spacing w:after="0" w:line="532"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 Ended December 31, 2020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Q4 2020, total revenues were $583.0 million, an increase of 62% over the same period in Q4 2019, primarily driven by increased contract development and manufacturing (CDMO) services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39"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For Q4 2020, total product sales were $340.9 million, an increase of $30.1 million or 10% as compared to Q4 2019. Other product sales decreased due to a decline in sales of raxibacumab, VIGIV [Vaccinia Immune Globulin Intravenous (Human)] and the Company's travel health vaccines, partially offset by increased sales of BAT®[Botulism Antitoxin Heptavalent (A, B, C, D, E, F, G) - (Equine)].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2343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3257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40" w:type="dxa"/>
            <w:vAlign w:val="bottom"/>
            <w:shd w:val="clear" w:color="auto" w:fill="0F243E"/>
          </w:tcPr>
          <w:p>
            <w:pPr>
              <w:spacing w:after="0"/>
              <w:rPr>
                <w:sz w:val="22"/>
                <w:szCs w:val="22"/>
                <w:color w:val="auto"/>
              </w:rPr>
            </w:pPr>
          </w:p>
        </w:tc>
        <w:tc>
          <w:tcPr>
            <w:tcW w:w="4460" w:type="dxa"/>
            <w:vAlign w:val="bottom"/>
            <w:gridSpan w:val="2"/>
            <w:shd w:val="clear" w:color="auto" w:fill="0F243E"/>
          </w:tcPr>
          <w:p>
            <w:pPr>
              <w:jc w:val="right"/>
              <w:spacing w:after="0"/>
              <w:rPr>
                <w:sz w:val="20"/>
                <w:szCs w:val="20"/>
                <w:color w:val="auto"/>
              </w:rPr>
            </w:pPr>
            <w:r>
              <w:rPr>
                <w:rFonts w:ascii="Arial" w:cs="Arial" w:eastAsia="Arial" w:hAnsi="Arial"/>
                <w:sz w:val="18"/>
                <w:szCs w:val="18"/>
                <w:b w:val="1"/>
                <w:bCs w:val="1"/>
                <w:color w:val="FFFFFF"/>
              </w:rPr>
              <w:t>Three Months Ended December 31,</w:t>
            </w:r>
          </w:p>
        </w:tc>
        <w:tc>
          <w:tcPr>
            <w:tcW w:w="1420" w:type="dxa"/>
            <w:vAlign w:val="bottom"/>
            <w:shd w:val="clear" w:color="auto" w:fill="0F243E"/>
          </w:tcPr>
          <w:p>
            <w:pPr>
              <w:spacing w:after="0"/>
              <w:rPr>
                <w:sz w:val="22"/>
                <w:szCs w:val="22"/>
                <w:color w:val="auto"/>
              </w:rPr>
            </w:pPr>
          </w:p>
        </w:tc>
      </w:tr>
      <w:tr>
        <w:trPr>
          <w:trHeight w:val="254"/>
        </w:trPr>
        <w:tc>
          <w:tcPr>
            <w:tcW w:w="534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1960" w:type="dxa"/>
            <w:vAlign w:val="bottom"/>
            <w:shd w:val="clear" w:color="auto" w:fill="0F243E"/>
          </w:tcPr>
          <w:p>
            <w:pPr>
              <w:jc w:val="right"/>
              <w:ind w:right="690"/>
              <w:spacing w:after="0"/>
              <w:rPr>
                <w:sz w:val="20"/>
                <w:szCs w:val="20"/>
                <w:color w:val="auto"/>
              </w:rPr>
            </w:pPr>
            <w:r>
              <w:rPr>
                <w:rFonts w:ascii="Arial" w:cs="Arial" w:eastAsia="Arial" w:hAnsi="Arial"/>
                <w:sz w:val="18"/>
                <w:szCs w:val="18"/>
                <w:b w:val="1"/>
                <w:bCs w:val="1"/>
                <w:color w:val="FFFFFF"/>
              </w:rPr>
              <w:t>2020</w:t>
            </w:r>
          </w:p>
        </w:tc>
        <w:tc>
          <w:tcPr>
            <w:tcW w:w="2500" w:type="dxa"/>
            <w:vAlign w:val="bottom"/>
            <w:shd w:val="clear" w:color="auto" w:fill="0F243E"/>
          </w:tcPr>
          <w:p>
            <w:pPr>
              <w:jc w:val="right"/>
              <w:ind w:right="1230"/>
              <w:spacing w:after="0"/>
              <w:rPr>
                <w:sz w:val="20"/>
                <w:szCs w:val="20"/>
                <w:color w:val="auto"/>
              </w:rPr>
            </w:pPr>
            <w:r>
              <w:rPr>
                <w:rFonts w:ascii="Arial" w:cs="Arial" w:eastAsia="Arial" w:hAnsi="Arial"/>
                <w:sz w:val="18"/>
                <w:szCs w:val="18"/>
                <w:b w:val="1"/>
                <w:bCs w:val="1"/>
                <w:color w:val="FFFFFF"/>
              </w:rPr>
              <w:t>2019</w:t>
            </w:r>
          </w:p>
        </w:tc>
        <w:tc>
          <w:tcPr>
            <w:tcW w:w="1420" w:type="dxa"/>
            <w:vAlign w:val="bottom"/>
            <w:shd w:val="clear" w:color="auto" w:fill="0F243E"/>
          </w:tcPr>
          <w:p>
            <w:pPr>
              <w:jc w:val="right"/>
              <w:ind w:right="450"/>
              <w:spacing w:after="0"/>
              <w:rPr>
                <w:sz w:val="20"/>
                <w:szCs w:val="20"/>
                <w:color w:val="auto"/>
              </w:rPr>
            </w:pPr>
            <w:r>
              <w:rPr>
                <w:rFonts w:ascii="Arial" w:cs="Arial" w:eastAsia="Arial" w:hAnsi="Arial"/>
                <w:sz w:val="18"/>
                <w:szCs w:val="18"/>
                <w:b w:val="1"/>
                <w:bCs w:val="1"/>
                <w:color w:val="FFFFFF"/>
                <w:w w:val="98"/>
              </w:rPr>
              <w:t>% Change</w:t>
            </w:r>
          </w:p>
        </w:tc>
      </w:tr>
      <w:tr>
        <w:trPr>
          <w:trHeight w:val="230"/>
        </w:trPr>
        <w:tc>
          <w:tcPr>
            <w:tcW w:w="5340" w:type="dxa"/>
            <w:vAlign w:val="bottom"/>
            <w:shd w:val="clear" w:color="auto" w:fill="CCCCCC"/>
          </w:tcPr>
          <w:p>
            <w:pPr>
              <w:ind w:left="20"/>
              <w:spacing w:after="0"/>
              <w:rPr>
                <w:sz w:val="20"/>
                <w:szCs w:val="20"/>
                <w:color w:val="auto"/>
              </w:rPr>
            </w:pPr>
            <w:r>
              <w:rPr>
                <w:rFonts w:ascii="Arial" w:cs="Arial" w:eastAsia="Arial" w:hAnsi="Arial"/>
                <w:sz w:val="18"/>
                <w:szCs w:val="18"/>
                <w:color w:val="auto"/>
              </w:rPr>
              <w:t>Product Sales:</w:t>
            </w:r>
          </w:p>
        </w:tc>
        <w:tc>
          <w:tcPr>
            <w:tcW w:w="1960" w:type="dxa"/>
            <w:vAlign w:val="bottom"/>
            <w:shd w:val="clear" w:color="auto" w:fill="CCCCCC"/>
          </w:tcPr>
          <w:p>
            <w:pPr>
              <w:spacing w:after="0"/>
              <w:rPr>
                <w:sz w:val="19"/>
                <w:szCs w:val="19"/>
                <w:color w:val="auto"/>
              </w:rPr>
            </w:pPr>
          </w:p>
        </w:tc>
        <w:tc>
          <w:tcPr>
            <w:tcW w:w="2500" w:type="dxa"/>
            <w:vAlign w:val="bottom"/>
            <w:shd w:val="clear" w:color="auto" w:fill="CCCCCC"/>
          </w:tcPr>
          <w:p>
            <w:pPr>
              <w:spacing w:after="0"/>
              <w:rPr>
                <w:sz w:val="19"/>
                <w:szCs w:val="19"/>
                <w:color w:val="auto"/>
              </w:rPr>
            </w:pPr>
          </w:p>
        </w:tc>
        <w:tc>
          <w:tcPr>
            <w:tcW w:w="1420" w:type="dxa"/>
            <w:vAlign w:val="bottom"/>
            <w:shd w:val="clear" w:color="auto" w:fill="CCCCCC"/>
          </w:tcPr>
          <w:p>
            <w:pPr>
              <w:spacing w:after="0"/>
              <w:rPr>
                <w:sz w:val="19"/>
                <w:szCs w:val="19"/>
                <w:color w:val="auto"/>
              </w:rPr>
            </w:pP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ACAM2000®</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$129.3</w:t>
            </w:r>
          </w:p>
        </w:tc>
        <w:tc>
          <w:tcPr>
            <w:tcW w:w="2500" w:type="dxa"/>
            <w:vAlign w:val="bottom"/>
            <w:shd w:val="clear" w:color="auto" w:fill="CCCCCC"/>
          </w:tcPr>
          <w:p>
            <w:pPr>
              <w:jc w:val="right"/>
              <w:ind w:right="590"/>
              <w:spacing w:after="0"/>
              <w:rPr>
                <w:sz w:val="20"/>
                <w:szCs w:val="20"/>
                <w:color w:val="auto"/>
              </w:rPr>
            </w:pPr>
            <w:r>
              <w:rPr>
                <w:rFonts w:ascii="Arial" w:cs="Arial" w:eastAsia="Arial" w:hAnsi="Arial"/>
                <w:sz w:val="18"/>
                <w:szCs w:val="18"/>
                <w:color w:val="auto"/>
              </w:rPr>
              <w:t>$78.5</w:t>
            </w:r>
          </w:p>
        </w:tc>
        <w:tc>
          <w:tcPr>
            <w:tcW w:w="142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65%</w:t>
            </w: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Anthrax Vaccines</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$115.7</w:t>
            </w:r>
          </w:p>
        </w:tc>
        <w:tc>
          <w:tcPr>
            <w:tcW w:w="2500" w:type="dxa"/>
            <w:vAlign w:val="bottom"/>
            <w:shd w:val="clear" w:color="auto" w:fill="CCCCCC"/>
          </w:tcPr>
          <w:p>
            <w:pPr>
              <w:jc w:val="right"/>
              <w:ind w:right="590"/>
              <w:spacing w:after="0"/>
              <w:rPr>
                <w:sz w:val="20"/>
                <w:szCs w:val="20"/>
                <w:color w:val="auto"/>
              </w:rPr>
            </w:pPr>
            <w:r>
              <w:rPr>
                <w:rFonts w:ascii="Arial" w:cs="Arial" w:eastAsia="Arial" w:hAnsi="Arial"/>
                <w:sz w:val="18"/>
                <w:szCs w:val="18"/>
                <w:color w:val="auto"/>
              </w:rPr>
              <w:t>$92.9</w:t>
            </w:r>
          </w:p>
        </w:tc>
        <w:tc>
          <w:tcPr>
            <w:tcW w:w="142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25%</w:t>
            </w: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NARCAN® Nasal Spray</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$77.4</w:t>
            </w:r>
          </w:p>
        </w:tc>
        <w:tc>
          <w:tcPr>
            <w:tcW w:w="2500" w:type="dxa"/>
            <w:vAlign w:val="bottom"/>
            <w:shd w:val="clear" w:color="auto" w:fill="CCCCCC"/>
          </w:tcPr>
          <w:p>
            <w:pPr>
              <w:jc w:val="right"/>
              <w:ind w:right="590"/>
              <w:spacing w:after="0"/>
              <w:rPr>
                <w:sz w:val="20"/>
                <w:szCs w:val="20"/>
                <w:color w:val="auto"/>
              </w:rPr>
            </w:pPr>
            <w:r>
              <w:rPr>
                <w:rFonts w:ascii="Arial" w:cs="Arial" w:eastAsia="Arial" w:hAnsi="Arial"/>
                <w:sz w:val="18"/>
                <w:szCs w:val="18"/>
                <w:color w:val="auto"/>
              </w:rPr>
              <w:t>$66.9</w:t>
            </w:r>
          </w:p>
        </w:tc>
        <w:tc>
          <w:tcPr>
            <w:tcW w:w="142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16%</w:t>
            </w: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$18.5</w:t>
            </w:r>
          </w:p>
        </w:tc>
        <w:tc>
          <w:tcPr>
            <w:tcW w:w="2500" w:type="dxa"/>
            <w:vAlign w:val="bottom"/>
            <w:shd w:val="clear" w:color="auto" w:fill="CCCCCC"/>
          </w:tcPr>
          <w:p>
            <w:pPr>
              <w:jc w:val="right"/>
              <w:ind w:right="590"/>
              <w:spacing w:after="0"/>
              <w:rPr>
                <w:sz w:val="20"/>
                <w:szCs w:val="20"/>
                <w:color w:val="auto"/>
              </w:rPr>
            </w:pPr>
            <w:r>
              <w:rPr>
                <w:rFonts w:ascii="Arial" w:cs="Arial" w:eastAsia="Arial" w:hAnsi="Arial"/>
                <w:sz w:val="18"/>
                <w:szCs w:val="18"/>
                <w:color w:val="auto"/>
              </w:rPr>
              <w:t>$72.5</w:t>
            </w:r>
          </w:p>
        </w:tc>
        <w:tc>
          <w:tcPr>
            <w:tcW w:w="1420" w:type="dxa"/>
            <w:vAlign w:val="bottom"/>
            <w:shd w:val="clear" w:color="auto" w:fill="CCCCCC"/>
          </w:tcPr>
          <w:p>
            <w:pPr>
              <w:jc w:val="right"/>
              <w:ind w:right="650"/>
              <w:spacing w:after="0"/>
              <w:rPr>
                <w:sz w:val="20"/>
                <w:szCs w:val="20"/>
                <w:color w:val="auto"/>
              </w:rPr>
            </w:pPr>
            <w:r>
              <w:rPr>
                <w:rFonts w:ascii="Arial" w:cs="Arial" w:eastAsia="Arial" w:hAnsi="Arial"/>
                <w:sz w:val="18"/>
                <w:szCs w:val="18"/>
                <w:color w:val="auto"/>
              </w:rPr>
              <w:t>(74)%</w:t>
            </w:r>
          </w:p>
        </w:tc>
      </w:tr>
      <w:tr>
        <w:trPr>
          <w:trHeight w:val="243"/>
        </w:trPr>
        <w:tc>
          <w:tcPr>
            <w:tcW w:w="5340" w:type="dxa"/>
            <w:vAlign w:val="bottom"/>
            <w:shd w:val="clear" w:color="auto" w:fill="CCCCCC"/>
          </w:tcPr>
          <w:p>
            <w:pPr>
              <w:ind w:left="20"/>
              <w:spacing w:after="0"/>
              <w:rPr>
                <w:sz w:val="20"/>
                <w:szCs w:val="20"/>
                <w:color w:val="auto"/>
              </w:rPr>
            </w:pPr>
            <w:r>
              <w:rPr>
                <w:rFonts w:ascii="Arial" w:cs="Arial" w:eastAsia="Arial" w:hAnsi="Arial"/>
                <w:sz w:val="18"/>
                <w:szCs w:val="18"/>
                <w:color w:val="auto"/>
              </w:rPr>
              <w:t>Total Product Sales</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$340.9</w:t>
            </w:r>
          </w:p>
        </w:tc>
        <w:tc>
          <w:tcPr>
            <w:tcW w:w="2500" w:type="dxa"/>
            <w:vAlign w:val="bottom"/>
            <w:shd w:val="clear" w:color="auto" w:fill="CCCCCC"/>
          </w:tcPr>
          <w:p>
            <w:pPr>
              <w:jc w:val="right"/>
              <w:ind w:right="590"/>
              <w:spacing w:after="0"/>
              <w:rPr>
                <w:sz w:val="20"/>
                <w:szCs w:val="20"/>
                <w:color w:val="auto"/>
              </w:rPr>
            </w:pPr>
            <w:r>
              <w:rPr>
                <w:rFonts w:ascii="Arial" w:cs="Arial" w:eastAsia="Arial" w:hAnsi="Arial"/>
                <w:sz w:val="18"/>
                <w:szCs w:val="18"/>
                <w:color w:val="auto"/>
              </w:rPr>
              <w:t>$310.8</w:t>
            </w:r>
          </w:p>
        </w:tc>
        <w:tc>
          <w:tcPr>
            <w:tcW w:w="142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15175" cy="779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7797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 and Manufacturing (CDMO) Services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Q4 2020, revenue from CDMO services was $199.1 million, an increase of $173.6 million as compared to Q4 2019. The increase i</w:t>
      </w:r>
      <w:r>
        <w:rPr>
          <w:rFonts w:ascii="Arial" w:cs="Arial" w:eastAsia="Arial" w:hAnsi="Arial"/>
          <w:sz w:val="18"/>
          <w:szCs w:val="18"/>
          <w:color w:val="2C2C2C"/>
        </w:rPr>
        <w:t>s</w:t>
      </w:r>
      <w:r>
        <w:rPr>
          <w:rFonts w:ascii="Arial" w:cs="Arial" w:eastAsia="Arial" w:hAnsi="Arial"/>
          <w:sz w:val="18"/>
          <w:szCs w:val="18"/>
          <w:color w:val="auto"/>
        </w:rPr>
        <w:t xml:space="preserve"> </w:t>
      </w:r>
      <w:r>
        <w:rPr>
          <w:rFonts w:ascii="Arial" w:cs="Arial" w:eastAsia="Arial" w:hAnsi="Arial"/>
          <w:sz w:val="18"/>
          <w:szCs w:val="18"/>
          <w:color w:val="2C2C2C"/>
        </w:rPr>
        <w:t>largely due to the contribution for services performed to address the COVID-19 pandemic provided to pharmaceutical and biotechnology innovators and government/non-government organization (NGO) customers across Development Services, Drug Substance manufacturing, and Drug Product manufacturing and Packaging.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3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 xml:space="preserve">For Q4 2020, revenue from </w:t>
      </w:r>
      <w:r>
        <w:rPr>
          <w:rFonts w:ascii="Arial" w:cs="Arial" w:eastAsia="Arial" w:hAnsi="Arial"/>
          <w:sz w:val="18"/>
          <w:szCs w:val="18"/>
          <w:color w:val="2C2C2C"/>
        </w:rPr>
        <w:t>development-based contracts and grants</w:t>
      </w:r>
      <w:r>
        <w:rPr>
          <w:rFonts w:ascii="Arial" w:cs="Arial" w:eastAsia="Arial" w:hAnsi="Arial"/>
          <w:sz w:val="18"/>
          <w:szCs w:val="18"/>
          <w:color w:val="auto"/>
        </w:rPr>
        <w:t xml:space="preserve"> was $ 43.0 million, an increase of $18.9 million or 78% as compared to Q4 2019. The increase primarily reflects </w:t>
      </w:r>
      <w:r>
        <w:rPr>
          <w:rFonts w:ascii="Arial" w:cs="Arial" w:eastAsia="Arial" w:hAnsi="Arial"/>
          <w:sz w:val="18"/>
          <w:szCs w:val="18"/>
          <w:color w:val="2C2C2C"/>
        </w:rPr>
        <w:t>the contribution from development awards related to the Company's COVID-HIG product candidate,</w:t>
      </w:r>
      <w:r>
        <w:rPr>
          <w:rFonts w:ascii="Arial" w:cs="Arial" w:eastAsia="Arial" w:hAnsi="Arial"/>
          <w:sz w:val="18"/>
          <w:szCs w:val="18"/>
          <w:color w:val="auto"/>
        </w:rPr>
        <w:t xml:space="preserve"> </w:t>
      </w:r>
      <w:r>
        <w:rPr>
          <w:rFonts w:ascii="Arial" w:cs="Arial" w:eastAsia="Arial" w:hAnsi="Arial"/>
          <w:sz w:val="18"/>
          <w:szCs w:val="18"/>
          <w:color w:val="2C2C2C"/>
        </w:rPr>
        <w:t>partially offset by a decrease in contribution associated with development activities from the Company's AV7909 (Anthrax Vaccine Adsorbed, adjuvanted) product candidate, reflecting the advanced stage of development for the program</w:t>
      </w:r>
      <w:r>
        <w:rPr>
          <w:rFonts w:ascii="Arial" w:cs="Arial" w:eastAsia="Arial" w:hAnsi="Arial"/>
          <w:sz w:val="18"/>
          <w:szCs w:val="18"/>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Development and Manufacturing (CDMO)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 of 15</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Q4 2020, cost of product sales and CDMO services was $168.3 million, an increase of $35.5 million or 27% as compared to Q4 2019. Cost of product sales and CDMO services includes the impact of contingent consideration charges, which declined $12 million in Q4 2020 compared to Q4 2019. Excluding the impacts of the contingent consideration charges between periods, the cost of product sales and CDMO services increased $47.5 million. This increase is pr</w:t>
      </w:r>
      <w:r>
        <w:rPr>
          <w:rFonts w:ascii="Arial" w:cs="Arial" w:eastAsia="Arial" w:hAnsi="Arial"/>
          <w:sz w:val="18"/>
          <w:szCs w:val="18"/>
          <w:color w:val="2C2C2C"/>
        </w:rPr>
        <w:t>imarily due to an increase in</w:t>
      </w:r>
      <w:r>
        <w:rPr>
          <w:rFonts w:ascii="Arial" w:cs="Arial" w:eastAsia="Arial" w:hAnsi="Arial"/>
          <w:sz w:val="18"/>
          <w:szCs w:val="18"/>
          <w:color w:val="auto"/>
        </w:rPr>
        <w:t xml:space="preserve"> CDMO services and product sale activities in Q4 2020 as compared to Q4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 (2)</w:t>
      </w:r>
    </w:p>
    <w:p>
      <w:pPr>
        <w:spacing w:after="0" w:line="2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Q4 2020, gross R&amp;D expenses were $59.5 million, a decrease of $3.3 million or 5% as compared to Q4 2019. The decrease primarily reflects the impact of the impairment of the IPR&amp;D intangible asset in Q4 2019 that did not recur in Q4 2020, offset by increased costs associated with the Company's COVID-19 product candidates.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Q4 2020, net R&amp;D expense, which reflects investments made in development programs that are not currently funded in whole or in part by third-party partners, was $ 16.5 million, a decrease of $10.2 million or 38% as compared to Q4 2019. The decrease is attributable to a reduction in R&amp;D activities at the Company's Bayview facility in 2020 compared to 2019 as the facility was principally used for CDMO services in 2020. The Q4 2020 and Q4 2019 net R&amp;D expense was 3% and 8% of adjusted revenue,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Q4 2020, selling, general and administrative expenses were $82.1 million, an increase of $9.9 million or 14% as compared to Q4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increase primarily reflects </w:t>
      </w:r>
      <w:r>
        <w:rPr>
          <w:rFonts w:ascii="Arial" w:cs="Arial" w:eastAsia="Arial" w:hAnsi="Arial"/>
          <w:sz w:val="18"/>
          <w:szCs w:val="18"/>
          <w:color w:val="2C2C2C"/>
        </w:rPr>
        <w:t>an increase in staffing costs to support the Company's growth.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(2)</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Q4 2020, gross margin was $371.7 million or 69% of adjusted revenue, an increase of $168.2 million or 8% as compared to Q4 2019. For Q4 2020, adjusted gross margin was $370.6 million or 69% of adjusted revenue, an increase of $154.7 million or 4% as compared to Q4 2019. The improvement reflects the impact of product mix as well as improved contribution from CDMO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CDMO Backlog and Opportunity Funnel</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CDMO backlog, defined as estimated future services revenues for 2021 and beyond under signed contracts, was $1.34 billion at December 31, 2020, reflecting the impact of additional services on existing contracts and newly awarded contracts of $53.3 million during the quarter offset by revenue recognized to date on contracted amounts.</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CDMO opportunity funnel, defined as the initial contract value to potentially be realized in 2021 and beyond based on issued proposals as well as the value of extensions associated with existing contracts, was approximately $689 million as of December 31, 2020. This amount reflects the increased traction resulting from ongoing sales and business development and marketing efforts domestically and internationally to existing and new pharmaceutical and biotechnology innovators as well as government/NGO customers, and excludes the potential value of extensions of contracts with Johnson &amp; Johnson and AstraZeneca.</w:t>
      </w:r>
    </w:p>
    <w:p>
      <w:pPr>
        <w:spacing w:after="0" w:line="207" w:lineRule="exact"/>
        <w:rPr>
          <w:sz w:val="20"/>
          <w:szCs w:val="20"/>
          <w:color w:val="auto"/>
        </w:rPr>
      </w:pPr>
    </w:p>
    <w:p>
      <w:pPr>
        <w:ind w:right="9680" w:firstLine="8"/>
        <w:spacing w:after="0" w:line="532"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Year 2020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 xml:space="preserve">For the full year 2020, total revenues were $1,555.4 million, an increase of 41% over 2019. </w:t>
      </w:r>
      <w:r>
        <w:rPr>
          <w:rFonts w:ascii="Arial" w:cs="Arial" w:eastAsia="Arial" w:hAnsi="Arial"/>
          <w:sz w:val="18"/>
          <w:szCs w:val="18"/>
          <w:color w:val="2C2C2C"/>
        </w:rPr>
        <w:t>Total revenues largely reflect an increase in</w:t>
      </w:r>
      <w:r>
        <w:rPr>
          <w:rFonts w:ascii="Arial" w:cs="Arial" w:eastAsia="Arial" w:hAnsi="Arial"/>
          <w:sz w:val="18"/>
          <w:szCs w:val="18"/>
          <w:color w:val="auto"/>
        </w:rPr>
        <w:t xml:space="preserve"> </w:t>
      </w:r>
      <w:r>
        <w:rPr>
          <w:rFonts w:ascii="Arial" w:cs="Arial" w:eastAsia="Arial" w:hAnsi="Arial"/>
          <w:sz w:val="18"/>
          <w:szCs w:val="18"/>
          <w:color w:val="2C2C2C"/>
        </w:rPr>
        <w:t>contract development and manufacturing services revenues as well as product sales.</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 of 15</w:t>
      </w:r>
    </w:p>
    <w:p>
      <w:pPr>
        <w:sectPr>
          <w:pgSz w:w="11900" w:h="16838" w:orient="portrait"/>
          <w:cols w:equalWidth="0" w:num="1">
            <w:col w:w="11160"/>
          </w:cols>
          <w:pgMar w:left="320" w:top="1440" w:right="4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For the full year 2020, product sales were $989.8 million, an increase of $86.3 million or 10% as compared to 2019. Other product sales decreased due to a decline in sales of raxibacumab and travel health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60" w:type="dxa"/>
            <w:vAlign w:val="bottom"/>
            <w:shd w:val="clear" w:color="auto" w:fill="0F243E"/>
          </w:tcPr>
          <w:p>
            <w:pPr>
              <w:spacing w:after="0"/>
              <w:rPr>
                <w:sz w:val="24"/>
                <w:szCs w:val="24"/>
                <w:color w:val="auto"/>
              </w:rPr>
            </w:pPr>
          </w:p>
        </w:tc>
        <w:tc>
          <w:tcPr>
            <w:tcW w:w="1840" w:type="dxa"/>
            <w:vAlign w:val="bottom"/>
            <w:shd w:val="clear" w:color="auto" w:fill="0F243E"/>
          </w:tcPr>
          <w:p>
            <w:pPr>
              <w:spacing w:after="0"/>
              <w:rPr>
                <w:sz w:val="24"/>
                <w:szCs w:val="24"/>
                <w:color w:val="auto"/>
              </w:rPr>
            </w:pPr>
          </w:p>
        </w:tc>
        <w:tc>
          <w:tcPr>
            <w:tcW w:w="2420" w:type="dxa"/>
            <w:vAlign w:val="bottom"/>
            <w:shd w:val="clear" w:color="auto" w:fill="0F243E"/>
          </w:tcPr>
          <w:p>
            <w:pPr>
              <w:jc w:val="right"/>
              <w:ind w:right="110"/>
              <w:spacing w:after="0"/>
              <w:rPr>
                <w:sz w:val="20"/>
                <w:szCs w:val="20"/>
                <w:color w:val="auto"/>
              </w:rPr>
            </w:pPr>
            <w:r>
              <w:rPr>
                <w:rFonts w:ascii="Arial" w:cs="Arial" w:eastAsia="Arial" w:hAnsi="Arial"/>
                <w:sz w:val="18"/>
                <w:szCs w:val="18"/>
                <w:b w:val="1"/>
                <w:bCs w:val="1"/>
                <w:color w:val="FFFFFF"/>
                <w:w w:val="99"/>
              </w:rPr>
              <w:t>Year Ended December 31,</w:t>
            </w:r>
          </w:p>
        </w:tc>
        <w:tc>
          <w:tcPr>
            <w:tcW w:w="1620" w:type="dxa"/>
            <w:vAlign w:val="bottom"/>
            <w:shd w:val="clear" w:color="auto" w:fill="0F243E"/>
          </w:tcPr>
          <w:p>
            <w:pPr>
              <w:spacing w:after="0"/>
              <w:rPr>
                <w:sz w:val="24"/>
                <w:szCs w:val="24"/>
                <w:color w:val="auto"/>
              </w:rPr>
            </w:pPr>
          </w:p>
        </w:tc>
      </w:tr>
      <w:tr>
        <w:trPr>
          <w:trHeight w:val="365"/>
        </w:trPr>
        <w:tc>
          <w:tcPr>
            <w:tcW w:w="536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1840" w:type="dxa"/>
            <w:vAlign w:val="bottom"/>
            <w:shd w:val="clear" w:color="auto" w:fill="0F243E"/>
          </w:tcPr>
          <w:p>
            <w:pPr>
              <w:jc w:val="right"/>
              <w:ind w:right="550"/>
              <w:spacing w:after="0"/>
              <w:rPr>
                <w:sz w:val="20"/>
                <w:szCs w:val="20"/>
                <w:color w:val="auto"/>
              </w:rPr>
            </w:pPr>
            <w:r>
              <w:rPr>
                <w:rFonts w:ascii="Arial" w:cs="Arial" w:eastAsia="Arial" w:hAnsi="Arial"/>
                <w:sz w:val="18"/>
                <w:szCs w:val="18"/>
                <w:b w:val="1"/>
                <w:bCs w:val="1"/>
                <w:color w:val="FFFFFF"/>
              </w:rPr>
              <w:t>2020</w:t>
            </w:r>
          </w:p>
        </w:tc>
        <w:tc>
          <w:tcPr>
            <w:tcW w:w="2420" w:type="dxa"/>
            <w:vAlign w:val="bottom"/>
            <w:shd w:val="clear" w:color="auto" w:fill="0F243E"/>
          </w:tcPr>
          <w:p>
            <w:pPr>
              <w:jc w:val="right"/>
              <w:ind w:right="1010"/>
              <w:spacing w:after="0"/>
              <w:rPr>
                <w:sz w:val="20"/>
                <w:szCs w:val="20"/>
                <w:color w:val="auto"/>
              </w:rPr>
            </w:pPr>
            <w:r>
              <w:rPr>
                <w:rFonts w:ascii="Arial" w:cs="Arial" w:eastAsia="Arial" w:hAnsi="Arial"/>
                <w:sz w:val="18"/>
                <w:szCs w:val="18"/>
                <w:b w:val="1"/>
                <w:bCs w:val="1"/>
                <w:color w:val="FFFFFF"/>
              </w:rPr>
              <w:t>2019</w:t>
            </w:r>
          </w:p>
        </w:tc>
        <w:tc>
          <w:tcPr>
            <w:tcW w:w="1620" w:type="dxa"/>
            <w:vAlign w:val="bottom"/>
            <w:shd w:val="clear" w:color="auto" w:fill="0F243E"/>
          </w:tcPr>
          <w:p>
            <w:pPr>
              <w:ind w:left="220"/>
              <w:spacing w:after="0"/>
              <w:rPr>
                <w:sz w:val="20"/>
                <w:szCs w:val="20"/>
                <w:color w:val="auto"/>
              </w:rPr>
            </w:pPr>
            <w:r>
              <w:rPr>
                <w:rFonts w:ascii="Arial" w:cs="Arial" w:eastAsia="Arial" w:hAnsi="Arial"/>
                <w:sz w:val="18"/>
                <w:szCs w:val="18"/>
                <w:b w:val="1"/>
                <w:bCs w:val="1"/>
                <w:color w:val="FFFFFF"/>
              </w:rPr>
              <w:t>% Change</w:t>
            </w:r>
          </w:p>
        </w:tc>
      </w:tr>
      <w:tr>
        <w:trPr>
          <w:trHeight w:val="229"/>
        </w:trPr>
        <w:tc>
          <w:tcPr>
            <w:tcW w:w="5360" w:type="dxa"/>
            <w:vAlign w:val="bottom"/>
            <w:shd w:val="clear" w:color="auto" w:fill="CCCCCC"/>
          </w:tcPr>
          <w:p>
            <w:pPr>
              <w:ind w:left="20"/>
              <w:spacing w:after="0"/>
              <w:rPr>
                <w:sz w:val="20"/>
                <w:szCs w:val="20"/>
                <w:color w:val="auto"/>
              </w:rPr>
            </w:pPr>
            <w:r>
              <w:rPr>
                <w:rFonts w:ascii="Arial" w:cs="Arial" w:eastAsia="Arial" w:hAnsi="Arial"/>
                <w:sz w:val="18"/>
                <w:szCs w:val="18"/>
                <w:color w:val="auto"/>
              </w:rPr>
              <w:t>Product Sales:</w:t>
            </w:r>
          </w:p>
        </w:tc>
        <w:tc>
          <w:tcPr>
            <w:tcW w:w="1840" w:type="dxa"/>
            <w:vAlign w:val="bottom"/>
            <w:shd w:val="clear" w:color="auto" w:fill="CCCCCC"/>
          </w:tcPr>
          <w:p>
            <w:pPr>
              <w:spacing w:after="0"/>
              <w:rPr>
                <w:sz w:val="19"/>
                <w:szCs w:val="19"/>
                <w:color w:val="auto"/>
              </w:rPr>
            </w:pPr>
          </w:p>
        </w:tc>
        <w:tc>
          <w:tcPr>
            <w:tcW w:w="2420" w:type="dxa"/>
            <w:vAlign w:val="bottom"/>
            <w:shd w:val="clear" w:color="auto" w:fill="CCCCCC"/>
          </w:tcPr>
          <w:p>
            <w:pPr>
              <w:spacing w:after="0"/>
              <w:rPr>
                <w:sz w:val="19"/>
                <w:szCs w:val="19"/>
                <w:color w:val="auto"/>
              </w:rPr>
            </w:pPr>
          </w:p>
        </w:tc>
        <w:tc>
          <w:tcPr>
            <w:tcW w:w="1620" w:type="dxa"/>
            <w:vAlign w:val="bottom"/>
            <w:shd w:val="clear" w:color="auto" w:fill="CCCCCC"/>
          </w:tcPr>
          <w:p>
            <w:pPr>
              <w:spacing w:after="0"/>
              <w:rPr>
                <w:sz w:val="19"/>
                <w:szCs w:val="19"/>
                <w:color w:val="auto"/>
              </w:rPr>
            </w:pPr>
          </w:p>
        </w:tc>
      </w:tr>
      <w:tr>
        <w:trPr>
          <w:trHeight w:val="243"/>
        </w:trPr>
        <w:tc>
          <w:tcPr>
            <w:tcW w:w="53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Anthrax Vaccines</w:t>
            </w:r>
          </w:p>
        </w:tc>
        <w:tc>
          <w:tcPr>
            <w:tcW w:w="18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$373.8</w:t>
            </w:r>
          </w:p>
        </w:tc>
        <w:tc>
          <w:tcPr>
            <w:tcW w:w="242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$172.8</w:t>
            </w:r>
          </w:p>
        </w:tc>
        <w:tc>
          <w:tcPr>
            <w:tcW w:w="1620" w:type="dxa"/>
            <w:vAlign w:val="bottom"/>
            <w:shd w:val="clear" w:color="auto" w:fill="CCCCCC"/>
          </w:tcPr>
          <w:p>
            <w:pPr>
              <w:jc w:val="center"/>
              <w:ind w:right="230"/>
              <w:spacing w:after="0"/>
              <w:rPr>
                <w:sz w:val="20"/>
                <w:szCs w:val="20"/>
                <w:color w:val="auto"/>
              </w:rPr>
            </w:pPr>
            <w:r>
              <w:rPr>
                <w:rFonts w:ascii="Arial" w:cs="Arial" w:eastAsia="Arial" w:hAnsi="Arial"/>
                <w:sz w:val="18"/>
                <w:szCs w:val="18"/>
                <w:color w:val="auto"/>
                <w:w w:val="84"/>
              </w:rPr>
              <w:t>*</w:t>
            </w:r>
          </w:p>
        </w:tc>
      </w:tr>
      <w:tr>
        <w:trPr>
          <w:trHeight w:val="243"/>
        </w:trPr>
        <w:tc>
          <w:tcPr>
            <w:tcW w:w="53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NARCAN® Nasal Spray</w:t>
            </w:r>
          </w:p>
        </w:tc>
        <w:tc>
          <w:tcPr>
            <w:tcW w:w="18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$311.2</w:t>
            </w:r>
          </w:p>
        </w:tc>
        <w:tc>
          <w:tcPr>
            <w:tcW w:w="242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$280.4</w:t>
            </w:r>
          </w:p>
        </w:tc>
        <w:tc>
          <w:tcPr>
            <w:tcW w:w="1620" w:type="dxa"/>
            <w:vAlign w:val="bottom"/>
            <w:shd w:val="clear" w:color="auto" w:fill="CCCCCC"/>
          </w:tcPr>
          <w:p>
            <w:pPr>
              <w:jc w:val="center"/>
              <w:ind w:right="250"/>
              <w:spacing w:after="0"/>
              <w:rPr>
                <w:sz w:val="20"/>
                <w:szCs w:val="20"/>
                <w:color w:val="auto"/>
              </w:rPr>
            </w:pPr>
            <w:r>
              <w:rPr>
                <w:rFonts w:ascii="Arial" w:cs="Arial" w:eastAsia="Arial" w:hAnsi="Arial"/>
                <w:sz w:val="18"/>
                <w:szCs w:val="18"/>
                <w:color w:val="auto"/>
                <w:w w:val="99"/>
              </w:rPr>
              <w:t>11%</w:t>
            </w:r>
          </w:p>
        </w:tc>
      </w:tr>
      <w:tr>
        <w:trPr>
          <w:trHeight w:val="243"/>
        </w:trPr>
        <w:tc>
          <w:tcPr>
            <w:tcW w:w="53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ACAM2000®</w:t>
            </w:r>
          </w:p>
        </w:tc>
        <w:tc>
          <w:tcPr>
            <w:tcW w:w="18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$200.3</w:t>
            </w:r>
          </w:p>
        </w:tc>
        <w:tc>
          <w:tcPr>
            <w:tcW w:w="242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$242.6</w:t>
            </w:r>
          </w:p>
        </w:tc>
        <w:tc>
          <w:tcPr>
            <w:tcW w:w="1620" w:type="dxa"/>
            <w:vAlign w:val="bottom"/>
            <w:shd w:val="clear" w:color="auto" w:fill="CCCCCC"/>
          </w:tcPr>
          <w:p>
            <w:pPr>
              <w:jc w:val="center"/>
              <w:ind w:right="250"/>
              <w:spacing w:after="0"/>
              <w:rPr>
                <w:sz w:val="20"/>
                <w:szCs w:val="20"/>
                <w:color w:val="auto"/>
              </w:rPr>
            </w:pPr>
            <w:r>
              <w:rPr>
                <w:rFonts w:ascii="Arial" w:cs="Arial" w:eastAsia="Arial" w:hAnsi="Arial"/>
                <w:sz w:val="18"/>
                <w:szCs w:val="18"/>
                <w:color w:val="auto"/>
                <w:w w:val="99"/>
              </w:rPr>
              <w:t>(17)%</w:t>
            </w:r>
          </w:p>
        </w:tc>
      </w:tr>
      <w:tr>
        <w:trPr>
          <w:trHeight w:val="243"/>
        </w:trPr>
        <w:tc>
          <w:tcPr>
            <w:tcW w:w="53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$104.5</w:t>
            </w:r>
          </w:p>
        </w:tc>
        <w:tc>
          <w:tcPr>
            <w:tcW w:w="242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$207.7</w:t>
            </w:r>
          </w:p>
        </w:tc>
        <w:tc>
          <w:tcPr>
            <w:tcW w:w="1620" w:type="dxa"/>
            <w:vAlign w:val="bottom"/>
            <w:shd w:val="clear" w:color="auto" w:fill="CCCCCC"/>
          </w:tcPr>
          <w:p>
            <w:pPr>
              <w:jc w:val="center"/>
              <w:ind w:right="250"/>
              <w:spacing w:after="0"/>
              <w:rPr>
                <w:sz w:val="20"/>
                <w:szCs w:val="20"/>
                <w:color w:val="auto"/>
              </w:rPr>
            </w:pPr>
            <w:r>
              <w:rPr>
                <w:rFonts w:ascii="Arial" w:cs="Arial" w:eastAsia="Arial" w:hAnsi="Arial"/>
                <w:sz w:val="18"/>
                <w:szCs w:val="18"/>
                <w:color w:val="auto"/>
                <w:w w:val="99"/>
              </w:rPr>
              <w:t>(50)%</w:t>
            </w:r>
          </w:p>
        </w:tc>
      </w:tr>
      <w:tr>
        <w:trPr>
          <w:trHeight w:val="243"/>
        </w:trPr>
        <w:tc>
          <w:tcPr>
            <w:tcW w:w="5360" w:type="dxa"/>
            <w:vAlign w:val="bottom"/>
            <w:shd w:val="clear" w:color="auto" w:fill="CCCCCC"/>
          </w:tcPr>
          <w:p>
            <w:pPr>
              <w:ind w:left="20"/>
              <w:spacing w:after="0"/>
              <w:rPr>
                <w:sz w:val="20"/>
                <w:szCs w:val="20"/>
                <w:color w:val="auto"/>
              </w:rPr>
            </w:pPr>
            <w:r>
              <w:rPr>
                <w:rFonts w:ascii="Arial" w:cs="Arial" w:eastAsia="Arial" w:hAnsi="Arial"/>
                <w:sz w:val="18"/>
                <w:szCs w:val="18"/>
                <w:color w:val="auto"/>
              </w:rPr>
              <w:t>Total Product Sales</w:t>
            </w:r>
          </w:p>
        </w:tc>
        <w:tc>
          <w:tcPr>
            <w:tcW w:w="18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$989.8</w:t>
            </w:r>
          </w:p>
        </w:tc>
        <w:tc>
          <w:tcPr>
            <w:tcW w:w="242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$903.5</w:t>
            </w:r>
          </w:p>
        </w:tc>
        <w:tc>
          <w:tcPr>
            <w:tcW w:w="1620" w:type="dxa"/>
            <w:vAlign w:val="bottom"/>
            <w:shd w:val="clear" w:color="auto" w:fill="CCCCCC"/>
          </w:tcPr>
          <w:p>
            <w:pPr>
              <w:jc w:val="center"/>
              <w:ind w:right="250"/>
              <w:spacing w:after="0"/>
              <w:rPr>
                <w:sz w:val="20"/>
                <w:szCs w:val="20"/>
                <w:color w:val="auto"/>
              </w:rPr>
            </w:pPr>
            <w:r>
              <w:rPr>
                <w:rFonts w:ascii="Arial" w:cs="Arial" w:eastAsia="Arial" w:hAnsi="Arial"/>
                <w:sz w:val="18"/>
                <w:szCs w:val="18"/>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779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 and Manufacturing (CDMO) Services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full year 2020, revenue from CDMO services was $450.5 million, an increase of $370.5 million as compared to 2019. The increase i</w:t>
      </w:r>
      <w:r>
        <w:rPr>
          <w:rFonts w:ascii="Arial" w:cs="Arial" w:eastAsia="Arial" w:hAnsi="Arial"/>
          <w:sz w:val="18"/>
          <w:szCs w:val="18"/>
          <w:color w:val="2C2C2C"/>
        </w:rPr>
        <w:t>s</w:t>
      </w:r>
      <w:r>
        <w:rPr>
          <w:rFonts w:ascii="Arial" w:cs="Arial" w:eastAsia="Arial" w:hAnsi="Arial"/>
          <w:sz w:val="18"/>
          <w:szCs w:val="18"/>
          <w:color w:val="auto"/>
        </w:rPr>
        <w:t xml:space="preserve"> </w:t>
      </w:r>
      <w:r>
        <w:rPr>
          <w:rFonts w:ascii="Arial" w:cs="Arial" w:eastAsia="Arial" w:hAnsi="Arial"/>
          <w:sz w:val="18"/>
          <w:szCs w:val="18"/>
          <w:color w:val="2C2C2C"/>
        </w:rPr>
        <w:t>largely due to the contribution for services performed to address the COVID-19 pandemic provided to pharmaceutical and biotechnology innovators and government/NGO customers across Development Services, Drug Substance manufacturing, and Drug Product manufacturing and Packaging.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For the full year 2020, revenue from development-based contracts and grants was $115.1 million, a decrease of $7.4 million or 6% as compared to 2019. The decrease primarily reflects </w:t>
      </w:r>
      <w:r>
        <w:rPr>
          <w:rFonts w:ascii="Arial" w:cs="Arial" w:eastAsia="Arial" w:hAnsi="Arial"/>
          <w:sz w:val="18"/>
          <w:szCs w:val="18"/>
          <w:color w:val="2C2C2C"/>
        </w:rPr>
        <w:t>the completion of development activities associated with the AV7909 product candidate in</w:t>
      </w:r>
      <w:r>
        <w:rPr>
          <w:rFonts w:ascii="Arial" w:cs="Arial" w:eastAsia="Arial" w:hAnsi="Arial"/>
          <w:sz w:val="18"/>
          <w:szCs w:val="18"/>
          <w:color w:val="auto"/>
        </w:rPr>
        <w:t xml:space="preserve"> </w:t>
      </w:r>
      <w:r>
        <w:rPr>
          <w:rFonts w:ascii="Arial" w:cs="Arial" w:eastAsia="Arial" w:hAnsi="Arial"/>
          <w:sz w:val="18"/>
          <w:szCs w:val="18"/>
          <w:color w:val="2C2C2C"/>
        </w:rPr>
        <w:t xml:space="preserve">2019, offset by recent new development awards related to the Company's COVID-19 product candidates and </w:t>
      </w:r>
      <w:r>
        <w:rPr>
          <w:rFonts w:ascii="Arial" w:cs="Arial" w:eastAsia="Arial" w:hAnsi="Arial"/>
          <w:sz w:val="18"/>
          <w:szCs w:val="18"/>
          <w:color w:val="000000"/>
        </w:rPr>
        <w:t>other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Development and Manufacturing Services</w:t>
      </w:r>
    </w:p>
    <w:p>
      <w:pPr>
        <w:spacing w:after="0" w:line="13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For the full year 2020, cost of product sales and CDMO services was $524.0 million, an increase of $90.5 million or 21% as compared to 2019. The increase is due pr</w:t>
      </w:r>
      <w:r>
        <w:rPr>
          <w:rFonts w:ascii="Arial" w:cs="Arial" w:eastAsia="Arial" w:hAnsi="Arial"/>
          <w:sz w:val="18"/>
          <w:szCs w:val="18"/>
          <w:color w:val="2C2C2C"/>
        </w:rPr>
        <w:t>imarily to</w:t>
      </w:r>
      <w:r>
        <w:rPr>
          <w:rFonts w:ascii="Arial" w:cs="Arial" w:eastAsia="Arial" w:hAnsi="Arial"/>
          <w:sz w:val="18"/>
          <w:szCs w:val="18"/>
          <w:color w:val="auto"/>
        </w:rPr>
        <w:t xml:space="preserve"> an increase </w:t>
      </w:r>
      <w:r>
        <w:rPr>
          <w:rFonts w:ascii="Arial" w:cs="Arial" w:eastAsia="Arial" w:hAnsi="Arial"/>
          <w:sz w:val="18"/>
          <w:szCs w:val="18"/>
          <w:color w:val="2C2C2C"/>
        </w:rPr>
        <w:t>in volume of product sales and CDMO services, charges related to the Company's</w:t>
      </w:r>
      <w:r>
        <w:rPr>
          <w:rFonts w:ascii="Arial" w:cs="Arial" w:eastAsia="Arial" w:hAnsi="Arial"/>
          <w:sz w:val="18"/>
          <w:szCs w:val="18"/>
          <w:color w:val="auto"/>
        </w:rPr>
        <w:t xml:space="preserve"> </w:t>
      </w:r>
      <w:r>
        <w:rPr>
          <w:rFonts w:ascii="Arial" w:cs="Arial" w:eastAsia="Arial" w:hAnsi="Arial"/>
          <w:sz w:val="18"/>
          <w:szCs w:val="18"/>
          <w:color w:val="2C2C2C"/>
        </w:rPr>
        <w:t xml:space="preserve">contingent consideration liabilities, and </w:t>
      </w:r>
      <w:r>
        <w:rPr>
          <w:rFonts w:ascii="Arial" w:cs="Arial" w:eastAsia="Arial" w:hAnsi="Arial"/>
          <w:sz w:val="18"/>
          <w:szCs w:val="18"/>
          <w:color w:val="000000"/>
        </w:rPr>
        <w:t>a write-down of inventory for the Company's travel health vaccines</w:t>
      </w:r>
      <w:r>
        <w:rPr>
          <w:rFonts w:ascii="Arial" w:cs="Arial" w:eastAsia="Arial" w:hAnsi="Arial"/>
          <w:sz w:val="18"/>
          <w:szCs w:val="18"/>
          <w:color w:val="2C2C2C"/>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 (2)</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For the full year 2020, gross R&amp;D expenses were $ 234.5 million, an increase of $8.3 million or 4% compared to 2019. The increase primarily reflects the impact of impairment of the Company's IPR&amp;D intangible asset of $29.0 million in 2020 as compared to $12.0 million in 2019. Excluding these items, gross R&amp;D expense decreased $8.7 million compared to 2019. The decrease primarily reflects lower costs associated with the Company's AV7909 product candidate, reflecting the advanced-stage of its development, offset by increased costs associated with </w:t>
      </w:r>
      <w:r>
        <w:rPr>
          <w:rFonts w:ascii="Arial" w:cs="Arial" w:eastAsia="Arial" w:hAnsi="Arial"/>
          <w:sz w:val="18"/>
          <w:szCs w:val="18"/>
          <w:color w:val="2C2C2C"/>
        </w:rPr>
        <w:t>the Company's COVID-19 product candidates.</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the full year 2020, net R&amp;D expense was $90.4 million, a decrease of $1.3 million or 1% as compared to 2019. The decrease primarily reflects a decline in spending associated with the Company's FLU-IGIV and CHIKV VLP product candidates and the change in the nature of operations from primarily R&amp;D to commercial CDMO manufacturing at the Company's Bayview facility, offset by an increase in costs associated with the Company's COVID-19 and other product candidates. The 2020 and 2019 net R&amp;D expense as a percentage of adjusted revenues was 6% and 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 of 15</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For the full year 2020, selling, general and administrative expenses were $303.3 million, an increase of $29.8 million or 11% as compared to 2019. The increase primarily reflects </w:t>
      </w:r>
      <w:r>
        <w:rPr>
          <w:rFonts w:ascii="Arial" w:cs="Arial" w:eastAsia="Arial" w:hAnsi="Arial"/>
          <w:sz w:val="18"/>
          <w:szCs w:val="18"/>
          <w:color w:val="2C2C2C"/>
        </w:rPr>
        <w:t>an increase in staffing costs to support the Company's growth as well as an increase in share-based</w:t>
      </w:r>
      <w:r>
        <w:rPr>
          <w:rFonts w:ascii="Arial" w:cs="Arial" w:eastAsia="Arial" w:hAnsi="Arial"/>
          <w:sz w:val="18"/>
          <w:szCs w:val="18"/>
          <w:color w:val="auto"/>
        </w:rPr>
        <w:t xml:space="preserve"> </w:t>
      </w:r>
      <w:r>
        <w:rPr>
          <w:rFonts w:ascii="Arial" w:cs="Arial" w:eastAsia="Arial" w:hAnsi="Arial"/>
          <w:sz w:val="18"/>
          <w:szCs w:val="18"/>
          <w:color w:val="2C2C2C"/>
        </w:rPr>
        <w:t>compensation due to a special broad-based, immediately vested equity award to employees</w:t>
      </w:r>
      <w:r>
        <w:rPr>
          <w:rFonts w:ascii="Arial" w:cs="Arial" w:eastAsia="Arial" w:hAnsi="Arial"/>
          <w:sz w:val="18"/>
          <w:szCs w:val="18"/>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(2)</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full year 2020, gross margin was $916.3 million or 64% of adjusted revenue, an increase of $366.3 million or 8% as compared to 2019. For the full year 2020, adjusted gross margin was $960.6 million or 67% of adjusted revenue, an increase of $385.8 million or 8% as compared to 2019. The improvement reflects the impact of product mix as well as improved contribution from CDMO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the full year 2020, operating cash flow was $536.0 million, an increase of $348.0 million as compared to 2019. The increase reflects the cash generating strength of the Company’s current diversified mix of product sales and CDMO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26"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For the full year 2020, capital expenditures were $ 141.0 million, an increase of $54.1 million or 62% as compared to 2019. Expressed as a percentage of total revenues, capital expenditures for the full year 2020 was 9%, versus 8% in 2019. The 2020 figure reflects investments in key areas of the Company’s operations, including technology, and capacity and capability expansions in service of the CDMO business. In 2020, the company was reimbursed for $41.8 million of capital expenditures pursuant to third-party funding arrangements, resulting in capital expenditures net of reimbursement of $99.2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FORECAST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For full year 2021, the Company reaffirms its forecast of the following financial metrics, originally announced on January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6978015" cy="1500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8015" cy="150050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shd w:val="clear" w:color="auto" w:fill="0F243E"/>
          </w:tcPr>
          <w:p>
            <w:pPr>
              <w:ind w:left="20"/>
              <w:spacing w:after="0"/>
              <w:rPr>
                <w:sz w:val="20"/>
                <w:szCs w:val="20"/>
                <w:color w:val="auto"/>
              </w:rPr>
            </w:pPr>
            <w:r>
              <w:rPr>
                <w:rFonts w:ascii="Arial" w:cs="Arial" w:eastAsia="Arial" w:hAnsi="Arial"/>
                <w:sz w:val="18"/>
                <w:szCs w:val="18"/>
                <w:b w:val="1"/>
                <w:bCs w:val="1"/>
                <w:color w:val="FFFFFF"/>
              </w:rPr>
              <w:t>(in millions)</w:t>
            </w:r>
          </w:p>
        </w:tc>
        <w:tc>
          <w:tcPr>
            <w:tcW w:w="6680" w:type="dxa"/>
            <w:vAlign w:val="bottom"/>
            <w:shd w:val="clear" w:color="auto" w:fill="0F243E"/>
          </w:tcPr>
          <w:p>
            <w:pPr>
              <w:jc w:val="center"/>
              <w:ind w:left="1150"/>
              <w:spacing w:after="0"/>
              <w:rPr>
                <w:sz w:val="20"/>
                <w:szCs w:val="20"/>
                <w:color w:val="auto"/>
              </w:rPr>
            </w:pPr>
            <w:r>
              <w:rPr>
                <w:rFonts w:ascii="Arial" w:cs="Arial" w:eastAsia="Arial" w:hAnsi="Arial"/>
                <w:sz w:val="18"/>
                <w:szCs w:val="18"/>
                <w:b w:val="1"/>
                <w:bCs w:val="1"/>
                <w:color w:val="FFFFFF"/>
                <w:w w:val="99"/>
              </w:rPr>
              <w:t>2021 Forecast</w:t>
            </w:r>
          </w:p>
        </w:tc>
        <w:tc>
          <w:tcPr>
            <w:tcW w:w="0" w:type="dxa"/>
            <w:vAlign w:val="bottom"/>
          </w:tcPr>
          <w:p>
            <w:pPr>
              <w:spacing w:after="0"/>
              <w:rPr>
                <w:sz w:val="1"/>
                <w:szCs w:val="1"/>
                <w:color w:val="auto"/>
              </w:rPr>
            </w:pPr>
          </w:p>
        </w:tc>
      </w:tr>
      <w:tr>
        <w:trPr>
          <w:trHeight w:val="135"/>
        </w:trPr>
        <w:tc>
          <w:tcPr>
            <w:tcW w:w="4280" w:type="dxa"/>
            <w:vAlign w:val="bottom"/>
            <w:vMerge w:val="continue"/>
            <w:shd w:val="clear" w:color="auto" w:fill="0F243E"/>
          </w:tcPr>
          <w:p>
            <w:pPr>
              <w:spacing w:after="0"/>
              <w:rPr>
                <w:sz w:val="11"/>
                <w:szCs w:val="11"/>
                <w:color w:val="auto"/>
              </w:rPr>
            </w:pPr>
          </w:p>
        </w:tc>
        <w:tc>
          <w:tcPr>
            <w:tcW w:w="6680" w:type="dxa"/>
            <w:vAlign w:val="bottom"/>
            <w:vMerge w:val="restart"/>
            <w:shd w:val="clear" w:color="auto" w:fill="0F243E"/>
          </w:tcPr>
          <w:p>
            <w:pPr>
              <w:jc w:val="center"/>
              <w:ind w:left="1130"/>
              <w:spacing w:after="0"/>
              <w:rPr>
                <w:sz w:val="20"/>
                <w:szCs w:val="20"/>
                <w:color w:val="auto"/>
              </w:rPr>
            </w:pPr>
            <w:r>
              <w:rPr>
                <w:rFonts w:ascii="Arial" w:cs="Arial" w:eastAsia="Arial" w:hAnsi="Arial"/>
                <w:sz w:val="18"/>
                <w:szCs w:val="18"/>
                <w:b w:val="1"/>
                <w:bCs w:val="1"/>
                <w:color w:val="FFFFFF"/>
                <w:w w:val="99"/>
              </w:rPr>
              <w:t>(As of 2/18/2021)</w:t>
            </w:r>
          </w:p>
        </w:tc>
        <w:tc>
          <w:tcPr>
            <w:tcW w:w="0" w:type="dxa"/>
            <w:vAlign w:val="bottom"/>
          </w:tcPr>
          <w:p>
            <w:pPr>
              <w:spacing w:after="0"/>
              <w:rPr>
                <w:sz w:val="1"/>
                <w:szCs w:val="1"/>
                <w:color w:val="auto"/>
              </w:rPr>
            </w:pPr>
          </w:p>
        </w:tc>
      </w:tr>
      <w:tr>
        <w:trPr>
          <w:trHeight w:val="95"/>
        </w:trPr>
        <w:tc>
          <w:tcPr>
            <w:tcW w:w="4280" w:type="dxa"/>
            <w:vAlign w:val="bottom"/>
            <w:shd w:val="clear" w:color="auto" w:fill="0F243E"/>
          </w:tcPr>
          <w:p>
            <w:pPr>
              <w:spacing w:after="0"/>
              <w:rPr>
                <w:sz w:val="8"/>
                <w:szCs w:val="8"/>
                <w:color w:val="auto"/>
              </w:rPr>
            </w:pPr>
          </w:p>
        </w:tc>
        <w:tc>
          <w:tcPr>
            <w:tcW w:w="6680" w:type="dxa"/>
            <w:vAlign w:val="bottom"/>
            <w:vMerge w:val="continue"/>
            <w:shd w:val="clear" w:color="auto" w:fill="0F243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$1,950</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$2,050</w:t>
            </w:r>
          </w:p>
        </w:tc>
      </w:tr>
      <w:tr>
        <w:trPr>
          <w:trHeight w:val="243"/>
        </w:trPr>
        <w:tc>
          <w:tcPr>
            <w:tcW w:w="4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5000" w:type="dxa"/>
            <w:vAlign w:val="bottom"/>
            <w:shd w:val="clear" w:color="auto" w:fill="CCCCCC"/>
          </w:tcPr>
          <w:p>
            <w:pPr>
              <w:ind w:left="140"/>
              <w:spacing w:after="0"/>
              <w:rPr>
                <w:sz w:val="20"/>
                <w:szCs w:val="20"/>
                <w:color w:val="auto"/>
              </w:rPr>
            </w:pPr>
            <w:r>
              <w:rPr>
                <w:rFonts w:ascii="Arial" w:cs="Arial" w:eastAsia="Arial" w:hAnsi="Arial"/>
                <w:sz w:val="18"/>
                <w:szCs w:val="18"/>
                <w:color w:val="auto"/>
              </w:rPr>
              <w:t>NARCAN® Nasal Spray</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$305</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$325</w:t>
            </w:r>
          </w:p>
        </w:tc>
      </w:tr>
      <w:tr>
        <w:trPr>
          <w:trHeight w:val="243"/>
        </w:trPr>
        <w:tc>
          <w:tcPr>
            <w:tcW w:w="4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5000" w:type="dxa"/>
            <w:vAlign w:val="bottom"/>
            <w:shd w:val="clear" w:color="auto" w:fill="CCCCCC"/>
          </w:tcPr>
          <w:p>
            <w:pPr>
              <w:ind w:left="140"/>
              <w:spacing w:after="0"/>
              <w:rPr>
                <w:sz w:val="20"/>
                <w:szCs w:val="20"/>
                <w:color w:val="auto"/>
              </w:rPr>
            </w:pPr>
            <w:r>
              <w:rPr>
                <w:rFonts w:ascii="Arial" w:cs="Arial" w:eastAsia="Arial" w:hAnsi="Arial"/>
                <w:sz w:val="18"/>
                <w:szCs w:val="18"/>
                <w:color w:val="auto"/>
              </w:rPr>
              <w:t>Anthrax Vaccines</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$280</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$310</w:t>
            </w:r>
          </w:p>
        </w:tc>
      </w:tr>
      <w:tr>
        <w:trPr>
          <w:trHeight w:val="243"/>
        </w:trPr>
        <w:tc>
          <w:tcPr>
            <w:tcW w:w="4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5000" w:type="dxa"/>
            <w:vAlign w:val="bottom"/>
            <w:shd w:val="clear" w:color="auto" w:fill="CCCCCC"/>
          </w:tcPr>
          <w:p>
            <w:pPr>
              <w:ind w:left="140"/>
              <w:spacing w:after="0"/>
              <w:rPr>
                <w:sz w:val="20"/>
                <w:szCs w:val="20"/>
                <w:color w:val="auto"/>
              </w:rPr>
            </w:pPr>
            <w:r>
              <w:rPr>
                <w:rFonts w:ascii="Arial" w:cs="Arial" w:eastAsia="Arial" w:hAnsi="Arial"/>
                <w:sz w:val="18"/>
                <w:szCs w:val="18"/>
                <w:color w:val="auto"/>
              </w:rPr>
              <w:t>ACAM2000®</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$205</w:t>
            </w:r>
          </w:p>
        </w:tc>
      </w:tr>
      <w:tr>
        <w:trPr>
          <w:trHeight w:val="243"/>
        </w:trPr>
        <w:tc>
          <w:tcPr>
            <w:tcW w:w="4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5000" w:type="dxa"/>
            <w:vAlign w:val="bottom"/>
            <w:shd w:val="clear" w:color="auto" w:fill="CCCCCC"/>
          </w:tcPr>
          <w:p>
            <w:pPr>
              <w:ind w:left="140"/>
              <w:spacing w:after="0"/>
              <w:rPr>
                <w:sz w:val="20"/>
                <w:szCs w:val="20"/>
                <w:color w:val="auto"/>
              </w:rPr>
            </w:pPr>
            <w:r>
              <w:rPr>
                <w:rFonts w:ascii="Arial" w:cs="Arial" w:eastAsia="Arial" w:hAnsi="Arial"/>
                <w:sz w:val="18"/>
                <w:szCs w:val="18"/>
                <w:color w:val="auto"/>
              </w:rPr>
              <w:t>CDMO</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$925</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$965</w:t>
            </w:r>
          </w:p>
        </w:tc>
      </w:tr>
      <w:tr>
        <w:trPr>
          <w:trHeight w:val="243"/>
        </w:trPr>
        <w:tc>
          <w:tcPr>
            <w:tcW w:w="5480" w:type="dxa"/>
            <w:vAlign w:val="bottom"/>
            <w:gridSpan w:val="2"/>
            <w:shd w:val="clear" w:color="auto" w:fill="CCCCCC"/>
          </w:tcPr>
          <w:p>
            <w:pPr>
              <w:ind w:left="260"/>
              <w:spacing w:after="0"/>
              <w:rPr>
                <w:sz w:val="20"/>
                <w:szCs w:val="20"/>
                <w:color w:val="auto"/>
              </w:rPr>
            </w:pPr>
            <w:r>
              <w:rPr>
                <w:rFonts w:ascii="Arial" w:cs="Arial" w:eastAsia="Arial" w:hAnsi="Arial"/>
                <w:sz w:val="18"/>
                <w:szCs w:val="18"/>
                <w:color w:val="auto"/>
              </w:rPr>
              <w:t>Adjusted EBITDA (2)</w:t>
            </w:r>
          </w:p>
        </w:tc>
        <w:tc>
          <w:tcPr>
            <w:tcW w:w="2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$750</w:t>
            </w:r>
          </w:p>
        </w:tc>
        <w:tc>
          <w:tcPr>
            <w:tcW w:w="27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$810</w:t>
            </w:r>
          </w:p>
        </w:tc>
      </w:tr>
      <w:tr>
        <w:trPr>
          <w:trHeight w:val="243"/>
        </w:trPr>
        <w:tc>
          <w:tcPr>
            <w:tcW w:w="5480" w:type="dxa"/>
            <w:vAlign w:val="bottom"/>
            <w:gridSpan w:val="2"/>
            <w:shd w:val="clear" w:color="auto" w:fill="CCCCCC"/>
          </w:tcPr>
          <w:p>
            <w:pPr>
              <w:ind w:left="260"/>
              <w:spacing w:after="0"/>
              <w:rPr>
                <w:sz w:val="20"/>
                <w:szCs w:val="20"/>
                <w:color w:val="auto"/>
              </w:rPr>
            </w:pPr>
            <w:r>
              <w:rPr>
                <w:rFonts w:ascii="Arial" w:cs="Arial" w:eastAsia="Arial" w:hAnsi="Arial"/>
                <w:sz w:val="18"/>
                <w:szCs w:val="18"/>
                <w:color w:val="auto"/>
              </w:rPr>
              <w:t>Adjusted Net Income (2)</w:t>
            </w:r>
          </w:p>
        </w:tc>
        <w:tc>
          <w:tcPr>
            <w:tcW w:w="5480" w:type="dxa"/>
            <w:vAlign w:val="bottom"/>
            <w:gridSpan w:val="2"/>
            <w:shd w:val="clear" w:color="auto" w:fill="CCCCCC"/>
          </w:tcPr>
          <w:p>
            <w:pPr>
              <w:jc w:val="right"/>
              <w:ind w:right="2130"/>
              <w:spacing w:after="0"/>
              <w:rPr>
                <w:sz w:val="20"/>
                <w:szCs w:val="20"/>
                <w:color w:val="auto"/>
              </w:rPr>
            </w:pPr>
            <w:r>
              <w:rPr>
                <w:rFonts w:ascii="Arial" w:cs="Arial" w:eastAsia="Arial" w:hAnsi="Arial"/>
                <w:sz w:val="18"/>
                <w:szCs w:val="18"/>
                <w:color w:val="auto"/>
              </w:rPr>
              <w:t>$475 -- $525</w:t>
            </w:r>
          </w:p>
        </w:tc>
      </w:tr>
      <w:tr>
        <w:trPr>
          <w:trHeight w:val="243"/>
        </w:trPr>
        <w:tc>
          <w:tcPr>
            <w:tcW w:w="5480" w:type="dxa"/>
            <w:vAlign w:val="bottom"/>
            <w:gridSpan w:val="2"/>
            <w:shd w:val="clear" w:color="auto" w:fill="CCCCCC"/>
          </w:tcPr>
          <w:p>
            <w:pPr>
              <w:ind w:left="260"/>
              <w:spacing w:after="0"/>
              <w:rPr>
                <w:sz w:val="20"/>
                <w:szCs w:val="20"/>
                <w:color w:val="auto"/>
              </w:rPr>
            </w:pPr>
            <w:r>
              <w:rPr>
                <w:rFonts w:ascii="Arial" w:cs="Arial" w:eastAsia="Arial" w:hAnsi="Arial"/>
                <w:sz w:val="18"/>
                <w:szCs w:val="18"/>
                <w:color w:val="auto"/>
              </w:rPr>
              <w:t>Gross Margin (2)</w:t>
            </w:r>
          </w:p>
        </w:tc>
        <w:tc>
          <w:tcPr>
            <w:tcW w:w="5480" w:type="dxa"/>
            <w:vAlign w:val="bottom"/>
            <w:gridSpan w:val="2"/>
            <w:shd w:val="clear" w:color="auto" w:fill="CCCCCC"/>
          </w:tcPr>
          <w:p>
            <w:pPr>
              <w:jc w:val="right"/>
              <w:ind w:right="2450"/>
              <w:spacing w:after="0"/>
              <w:rPr>
                <w:sz w:val="20"/>
                <w:szCs w:val="20"/>
                <w:color w:val="auto"/>
              </w:rPr>
            </w:pPr>
            <w:r>
              <w:rPr>
                <w:rFonts w:ascii="Arial" w:cs="Arial" w:eastAsia="Arial" w:hAnsi="Arial"/>
                <w:sz w:val="18"/>
                <w:szCs w:val="18"/>
                <w:color w:val="auto"/>
              </w:rPr>
              <w:t>65%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forecast for 2021 includes the following additional considerations:</w:t>
      </w:r>
    </w:p>
    <w:p>
      <w:pPr>
        <w:spacing w:after="0" w:line="252" w:lineRule="exact"/>
        <w:rPr>
          <w:sz w:val="20"/>
          <w:szCs w:val="20"/>
          <w:color w:val="auto"/>
        </w:rPr>
      </w:pPr>
    </w:p>
    <w:p>
      <w:pPr>
        <w:ind w:left="420" w:right="420" w:hanging="331"/>
        <w:spacing w:after="0" w:line="250" w:lineRule="auto"/>
        <w:tabs>
          <w:tab w:leader="none" w:pos="3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Anthrax vaccine revenues are expected at a more normalized annual level and continue to primarily reflect procurement of AV7909 (Anthrax Vaccine Adsorbed, adjuvanted) under the Company’s existing contract with the Biomedical Advanced Research and Development Authority (BARDA).</w:t>
      </w:r>
    </w:p>
    <w:p>
      <w:pPr>
        <w:spacing w:after="0" w:line="1" w:lineRule="exact"/>
        <w:rPr>
          <w:rFonts w:ascii="Arial" w:cs="Arial" w:eastAsia="Arial" w:hAnsi="Arial"/>
          <w:sz w:val="18"/>
          <w:szCs w:val="18"/>
          <w:b w:val="1"/>
          <w:bCs w:val="1"/>
          <w:i w:val="1"/>
          <w:iCs w:val="1"/>
          <w:color w:val="auto"/>
        </w:rPr>
      </w:pPr>
    </w:p>
    <w:p>
      <w:pPr>
        <w:ind w:left="420" w:hanging="331"/>
        <w:spacing w:after="0" w:line="261"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ACAM2000® (Smallpox (Vaccinia) Vaccine, Live) vaccine deliveries are expected to continue under the terms of the Company’s existing contract with the U.S. Department of Health and Human Services (HHS) at unit volume levels consistent with 2020 deliveries.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 of 15</w:t>
      </w:r>
    </w:p>
    <w:p>
      <w:pPr>
        <w:sectPr>
          <w:pgSz w:w="11900" w:h="16838" w:orient="portrait"/>
          <w:cols w:equalWidth="0" w:num="1">
            <w:col w:w="11180"/>
          </w:cols>
          <w:pgMar w:left="32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20" w:hanging="331"/>
        <w:spacing w:after="0" w:line="250"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Narcan® (naloxone HCl) Nasal Spray revenues assume an appellate decision related to its pending patent litigation in the second half of 2021 followed by the entry of at least one competitor.</w:t>
      </w:r>
    </w:p>
    <w:p>
      <w:pPr>
        <w:ind w:left="420" w:right="360" w:hanging="331"/>
        <w:spacing w:after="0" w:line="250"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CDMO Services assume continued performance of contracted services for Development Services (DVS), Drug Substance (DS) manufacturing, and Drug Product (DP) manufacturing and Packaging for both clinical- and commercial-stage projects on behalf of a growing list of pharmaceutical and biotechnology innovators and government/NGO customers.</w:t>
      </w:r>
    </w:p>
    <w:p>
      <w:pPr>
        <w:spacing w:after="0" w:line="1" w:lineRule="exact"/>
        <w:rPr>
          <w:rFonts w:ascii="Arial" w:cs="Arial" w:eastAsia="Arial" w:hAnsi="Arial"/>
          <w:sz w:val="18"/>
          <w:szCs w:val="18"/>
          <w:color w:val="auto"/>
        </w:rPr>
      </w:pPr>
    </w:p>
    <w:p>
      <w:pPr>
        <w:ind w:left="420" w:right="320" w:hanging="331"/>
        <w:spacing w:after="0" w:line="250"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Pipeline progress is expected across the vaccines, therapeutics, and devices portfolios, anticipating at least one Phase 3 launch and one Biologics License Application (BLA)/Emergency Use Authorization (EUA) filing.</w:t>
      </w:r>
    </w:p>
    <w:p>
      <w:pPr>
        <w:ind w:left="420" w:right="40" w:hanging="331"/>
        <w:spacing w:after="0" w:line="261"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net of reimbursement, are expected to be in a range of 8% to 9% of total revenues, reflecting ongoing investments in capacity and capability expansions in support of the Company's CDMO services business and product portfolio.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2021 REVENUE FORECAST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For Q1 2021, the Company expects total revenues of $330 million to $370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All financial information incorporated within this release is unaudited</w:t>
      </w:r>
    </w:p>
    <w:p>
      <w:pPr>
        <w:spacing w:after="0" w:line="27" w:lineRule="exact"/>
        <w:rPr>
          <w:rFonts w:ascii="Arial" w:cs="Arial" w:eastAsia="Arial" w:hAnsi="Arial"/>
          <w:sz w:val="18"/>
          <w:szCs w:val="18"/>
          <w:i w:val="1"/>
          <w:iCs w:val="1"/>
          <w:color w:val="auto"/>
        </w:rPr>
      </w:pPr>
    </w:p>
    <w:p>
      <w:pPr>
        <w:ind w:right="400" w:firstLine="8"/>
        <w:spacing w:after="0" w:line="261" w:lineRule="auto"/>
        <w:tabs>
          <w:tab w:leader="none" w:pos="27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Income to Adjusted Net Income and Adjusted EBITDA, Gross Margin and Adjusted Gross Margin and Net Research and Development Expenses" for a definition of terms and reconciliation tables.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Company management will host a conference call at 5:00 pm (Eastern Time) today, February 18, 2021, to discuss these financial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from the Company's website or through the following:</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Teleconference Information:</w:t>
      </w:r>
    </w:p>
    <w:p>
      <w:pPr>
        <w:ind w:left="520"/>
        <w:spacing w:after="0" w:line="219" w:lineRule="auto"/>
        <w:rPr>
          <w:sz w:val="20"/>
          <w:szCs w:val="20"/>
          <w:color w:val="auto"/>
        </w:rPr>
      </w:pPr>
      <w:r>
        <w:rPr>
          <w:rFonts w:ascii="Arial" w:cs="Arial" w:eastAsia="Arial" w:hAnsi="Arial"/>
          <w:sz w:val="18"/>
          <w:szCs w:val="18"/>
          <w:color w:val="auto"/>
        </w:rPr>
        <w:t>Dial in: [US] (855) 766-6521; [International] (262) 912-6157</w:t>
      </w:r>
    </w:p>
    <w:p>
      <w:pPr>
        <w:ind w:left="520"/>
        <w:spacing w:after="0"/>
        <w:rPr>
          <w:sz w:val="20"/>
          <w:szCs w:val="20"/>
          <w:color w:val="auto"/>
        </w:rPr>
      </w:pPr>
      <w:r>
        <w:rPr>
          <w:rFonts w:ascii="Arial" w:cs="Arial" w:eastAsia="Arial" w:hAnsi="Arial"/>
          <w:sz w:val="18"/>
          <w:szCs w:val="18"/>
          <w:color w:val="auto"/>
        </w:rPr>
        <w:t>Conference ID: 3948196</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Webcast Information:</w:t>
      </w:r>
    </w:p>
    <w:p>
      <w:pPr>
        <w:ind w:left="520"/>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color w:val="0563C1"/>
        </w:rPr>
        <w:t>https://edge.media-server.com/mmc/p/hmesjhe3</w:t>
      </w:r>
      <w:r>
        <w:rPr>
          <w:rFonts w:ascii="Arial" w:cs="Arial" w:eastAsia="Arial" w:hAnsi="Arial"/>
          <w:sz w:val="18"/>
          <w:szCs w:val="18"/>
          <w:color w:val="auto"/>
        </w:rPr>
        <w:t xml:space="preserve"> for the webcast.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at www.emergentbiosolutions.com under “Investors.”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 INC.</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www.emergentbiosolutions.com. Find us on LinkedIn and follow us on Twitter @emergentbiosolu and Instagram @life_at_emergent.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7"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This press release contains financial measures (</w:t>
      </w:r>
      <w:r>
        <w:rPr>
          <w:rFonts w:ascii="Arial" w:cs="Arial" w:eastAsia="Arial" w:hAnsi="Arial"/>
          <w:sz w:val="17"/>
          <w:szCs w:val="17"/>
          <w:b w:val="1"/>
          <w:bCs w:val="1"/>
          <w:color w:val="auto"/>
        </w:rPr>
        <w:t>Adjusted Net Income, Adjusted EBITDA (Earnings Before Depreciation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Amortization, Interest and Taxes, Gross Margin, Adjusted Gross Margin and Net Research and Development expenses</w:t>
      </w:r>
      <w:r>
        <w:rPr>
          <w:rFonts w:ascii="Arial" w:cs="Arial" w:eastAsia="Arial" w:hAnsi="Arial"/>
          <w:sz w:val="17"/>
          <w:szCs w:val="17"/>
          <w:color w:val="auto"/>
        </w:rPr>
        <w:t>)) that are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 of 15</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adjusts for specified items that can be highly variable or difficult to predict, or reflect the non-cash impact of charges. All adjustments are tax effected utilizing the federal statutory tax rate for the US, except for changes in the fair value of contingent consideration as the vast majority is non-deductible for tax purposes. Adjusted net income margin is defined as adjusted net income divided by total revenues. Adjusted EBITDA reflects net income excluding the impact of depreciation, amortization, interest expense and income tax provision (benefit), excluding specified items that can be highly variable and the non-cash impact of certain accounting adjustments. Adjusted EBITDA margin is defined as Adjusted EBITDA divided by total revenues. Gross margin reflects adjusted revenues minus cost of product sales and contract development and manufacturing services (COGS). Adjusted revenues is calculated as total revenues minus contracts and grants revenues. Gross margin percentage is calculated as gross margin divided by adjusted revenues. Adjusted gross margin adjusts COGS for specified items that can be highly variable or difficult to predict, or to reflect the non-cash impacts of charges (Adjusted COGS). Adjusted gross margin is calculated as adjusted revenues minus adjusted COGS. Adjusted gross margin percentage is calculated as adjusted gross margin divided by adjusted revenues. Net research and development expenses reflects research and development expenses adjusted to reflect expenses which are funded (contracts and grants revenue) and non-cash impairment of IPR&amp;D charges. Net research and development margin is calculated as net research and development divided by adjusted revenue.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23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2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statements regarding continuing to execute on our strategy across all four of our business units; remaining leaders in the market and creating long-term shareholder value; the effectiveness of COVID-HIG at treating adult patients hospitalized with COVID-19 and its effectiveness as potential post-exposure prophylaxis in individuals at high risk of exposure to COVID-19, such as front-line health care workers and military personnel; normalized annual anthrax vaccine revenue levels and continued procurement under the Company’s existing contract with BARDA; continued ACAM2000 vaccine deliveries consistent with 2020 deliveries; the results of the appellate decision related to pending patent litigation followed by the entry of at least one competitor for NARCAN® Nasal Spray 4mg/spray; continued performance of CDMO services for both clinical- and commercial-stage projects on behalf of a growing list of pharmaceutical and biotechnology innovators and government/NGO customers; pipeline progress and at least one BLA or EUA submission in 2021; the percentage of capital expenditures as a percentage of total revenues (net of reimbursement), ongoing investments in capacity and capability expansions in support of the Company's CDMO services business and product portfolio; our CDMO backlog and opportunity funnel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w:t>
      </w:r>
    </w:p>
    <w:p>
      <w:pPr>
        <w:spacing w:after="0" w:line="2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statements speak only as of the date of this press release, and, except as required by law, we do not undertake to update any forward-looking statement to reflect new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15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865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55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information, events or circumstances. There are a number of important factors that could cause our actual results to differ materially from those indicated by such forward-looking statements, including the impact of global economic conditions and public health crises and epidemics, such as the global pandemic that arose from COVID-19, on the markets, our operations, and employees as well as those of our customers and suppliers; availability of U.S. government funding for procurement for our products and certain product candidates and the future exercise of options under contracts related to such procurement; the negotiation of further commitments or contracts related to the collaboration and deployment of capacity toward future commercial manufacturing under our CDMO contracts; our ability to perform under our contracts with the U.S. government and our CDMO clients, including the timing of and specifications relating to deliveries; the continued exercise of discretion by BARDA to procure additional doses of AV7909 prior to approval by the FDA; our ability to secure licensure of AV7909 from the FDA within the anticipated timeframe, if at all; our ability to secure follow-on procurement contracts for our solutions to public health threats that are under procurement contracts that have expired or will be expiring; our ability to successfully appeal the patent litigation decision related to NARCAN® Nasal Spray 4mg/spray; our ability and the ability of our collaborators to enforce patents related to NARCAN® Nasal Spray against potential generic entrants; our ability to identify and acquire companies, businesses, products or product candidates that satisfy our selection criteria; our ability and the ability of our contractors and suppliers to maintain compliance with Current Good Manufacturing Practices and other regulatory obligations; our ability to obtain or maintain FDA approval or authorization for emergency or broader patient use of our COVID-19 treatment candidates and their actual safety and effectiveness; timing of and results of clinical trials; our ability to comply with the operating and financial covenants required by our senior secured credit facilities and the indenture governing our senior unsecured notes due 2028; our ability to obtain and maintain regulatory approvals for our other product candidates and the timing of any such approvals; 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success of our commercialization, marketing and manufacturing capabilities and strategy; and the accuracy of our estimates regarding future revenues, expenses, and capital requirements and needs for additional financing.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ind w:left="20"/>
        <w:spacing w:after="0" w:line="203" w:lineRule="auto"/>
        <w:rPr>
          <w:sz w:val="20"/>
          <w:szCs w:val="20"/>
          <w:color w:val="auto"/>
        </w:rPr>
      </w:pPr>
      <w:r>
        <w:rPr>
          <w:rFonts w:ascii="Arial" w:cs="Arial" w:eastAsia="Arial" w:hAnsi="Arial"/>
          <w:sz w:val="18"/>
          <w:szCs w:val="18"/>
          <w:color w:val="auto"/>
        </w:rPr>
        <w:t>Robert Burrows</w:t>
      </w:r>
    </w:p>
    <w:p>
      <w:pPr>
        <w:ind w:left="20"/>
        <w:spacing w:after="0" w:line="203" w:lineRule="auto"/>
        <w:rPr>
          <w:sz w:val="20"/>
          <w:szCs w:val="20"/>
          <w:color w:val="auto"/>
        </w:rPr>
      </w:pPr>
      <w:r>
        <w:rPr>
          <w:rFonts w:ascii="Arial" w:cs="Arial" w:eastAsia="Arial" w:hAnsi="Arial"/>
          <w:sz w:val="18"/>
          <w:szCs w:val="18"/>
          <w:color w:val="auto"/>
        </w:rPr>
        <w:t>Vice President, Investor Relations</w:t>
      </w:r>
    </w:p>
    <w:p>
      <w:pPr>
        <w:ind w:left="20"/>
        <w:spacing w:after="0" w:line="204" w:lineRule="auto"/>
        <w:rPr>
          <w:sz w:val="20"/>
          <w:szCs w:val="20"/>
          <w:color w:val="auto"/>
        </w:rPr>
      </w:pPr>
      <w:r>
        <w:rPr>
          <w:rFonts w:ascii="Arial" w:cs="Arial" w:eastAsia="Arial" w:hAnsi="Arial"/>
          <w:sz w:val="18"/>
          <w:szCs w:val="18"/>
          <w:color w:val="auto"/>
        </w:rPr>
        <w:t>(o) 240/631-3280; (m) 240/413-1917</w:t>
      </w:r>
    </w:p>
    <w:p>
      <w:pPr>
        <w:ind w:left="20"/>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3" w:lineRule="auto"/>
        <w:rPr>
          <w:sz w:val="20"/>
          <w:szCs w:val="20"/>
          <w:color w:val="auto"/>
        </w:rPr>
      </w:pPr>
      <w:r>
        <w:rPr>
          <w:rFonts w:ascii="Arial" w:cs="Arial" w:eastAsia="Arial" w:hAnsi="Arial"/>
          <w:sz w:val="18"/>
          <w:szCs w:val="18"/>
          <w:color w:val="auto"/>
        </w:rPr>
        <w:t>Nina DeLorenzo</w:t>
      </w:r>
    </w:p>
    <w:p>
      <w:pPr>
        <w:spacing w:after="0" w:line="216" w:lineRule="auto"/>
        <w:rPr>
          <w:sz w:val="20"/>
          <w:szCs w:val="20"/>
          <w:color w:val="auto"/>
        </w:rPr>
      </w:pPr>
      <w:r>
        <w:rPr>
          <w:rFonts w:ascii="Arial" w:cs="Arial" w:eastAsia="Arial" w:hAnsi="Arial"/>
          <w:sz w:val="17"/>
          <w:szCs w:val="17"/>
          <w:color w:val="auto"/>
        </w:rPr>
        <w:t>SVP, Global Communications &amp; Public Affairs</w:t>
      </w:r>
    </w:p>
    <w:p>
      <w:pPr>
        <w:spacing w:after="0"/>
        <w:rPr>
          <w:sz w:val="20"/>
          <w:szCs w:val="20"/>
          <w:color w:val="auto"/>
        </w:rPr>
      </w:pPr>
      <w:r>
        <w:rPr>
          <w:rFonts w:ascii="Arial" w:cs="Arial" w:eastAsia="Arial" w:hAnsi="Arial"/>
          <w:sz w:val="18"/>
          <w:szCs w:val="18"/>
          <w:color w:val="auto"/>
        </w:rPr>
        <w:t>mediarelations@ebsi.com</w:t>
      </w:r>
    </w:p>
    <w:p>
      <w:pPr>
        <w:spacing w:after="0" w:line="375" w:lineRule="exact"/>
        <w:rPr>
          <w:sz w:val="20"/>
          <w:szCs w:val="20"/>
          <w:color w:val="auto"/>
        </w:rPr>
      </w:pPr>
    </w:p>
    <w:p>
      <w:pPr>
        <w:sectPr>
          <w:pgSz w:w="11900" w:h="16838" w:orient="portrait"/>
          <w:cols w:equalWidth="0" w:num="2">
            <w:col w:w="4600" w:space="720"/>
            <w:col w:w="5900"/>
          </w:cols>
          <w:pgMar w:left="320" w:top="1440" w:right="35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 of 15</w:t>
      </w:r>
    </w:p>
    <w:p>
      <w:pPr>
        <w:sectPr>
          <w:pgSz w:w="11900" w:h="16838" w:orient="portrait"/>
          <w:cols w:equalWidth="0" w:num="1">
            <w:col w:w="11220"/>
          </w:cols>
          <w:pgMar w:left="320" w:top="1440" w:right="3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4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Emergent BioSolutions Inc.</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4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Consolidated Balance Sheets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4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 in millions, except per share data)</w:t>
            </w: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4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color w:val="auto"/>
              </w:rPr>
              <w:t>ASSETS</w:t>
            </w:r>
          </w:p>
        </w:tc>
        <w:tc>
          <w:tcPr>
            <w:tcW w:w="29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Current assets: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4300" w:type="dxa"/>
            <w:vAlign w:val="bottom"/>
            <w:gridSpan w:val="2"/>
          </w:tcPr>
          <w:p>
            <w:pPr>
              <w:jc w:val="right"/>
              <w:ind w:right="1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621.3</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Restricted cash</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230.9</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Inventories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307.0</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4"/>
        </w:trPr>
        <w:tc>
          <w:tcPr>
            <w:tcW w:w="3440" w:type="dxa"/>
            <w:vAlign w:val="bottom"/>
          </w:tcPr>
          <w:p>
            <w:pPr>
              <w:ind w:left="120"/>
              <w:spacing w:after="0"/>
              <w:rPr>
                <w:sz w:val="20"/>
                <w:szCs w:val="20"/>
                <w:color w:val="auto"/>
              </w:rPr>
            </w:pPr>
            <w:r>
              <w:rPr>
                <w:rFonts w:ascii="Arial" w:cs="Arial" w:eastAsia="Arial" w:hAnsi="Arial"/>
                <w:sz w:val="14"/>
                <w:szCs w:val="14"/>
                <w:color w:val="auto"/>
              </w:rPr>
              <w:t>Total current assets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1,195.9</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686.2</w:t>
            </w:r>
          </w:p>
        </w:tc>
        <w:tc>
          <w:tcPr>
            <w:tcW w:w="0" w:type="dxa"/>
            <w:vAlign w:val="bottom"/>
          </w:tcPr>
          <w:p>
            <w:pPr>
              <w:spacing w:after="0"/>
              <w:rPr>
                <w:sz w:val="1"/>
                <w:szCs w:val="1"/>
                <w:color w:val="auto"/>
              </w:rPr>
            </w:pPr>
          </w:p>
        </w:tc>
      </w:tr>
      <w:tr>
        <w:trPr>
          <w:trHeight w:val="405"/>
        </w:trPr>
        <w:tc>
          <w:tcPr>
            <w:tcW w:w="34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644.1</w:t>
            </w:r>
          </w:p>
        </w:tc>
        <w:tc>
          <w:tcPr>
            <w:tcW w:w="7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Intangible assets, net</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663.1</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712.9</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In-process research and development</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Goodwill</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266.7</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Other assets</w:t>
            </w: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113.4</w:t>
            </w: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3"/>
        </w:trPr>
        <w:tc>
          <w:tcPr>
            <w:tcW w:w="3440" w:type="dxa"/>
            <w:vAlign w:val="bottom"/>
          </w:tcPr>
          <w:p>
            <w:pPr>
              <w:ind w:left="120"/>
              <w:spacing w:after="0"/>
              <w:rPr>
                <w:sz w:val="20"/>
                <w:szCs w:val="20"/>
                <w:color w:val="auto"/>
              </w:rPr>
            </w:pPr>
            <w:r>
              <w:rPr>
                <w:rFonts w:ascii="Arial" w:cs="Arial" w:eastAsia="Arial" w:hAnsi="Arial"/>
                <w:sz w:val="14"/>
                <w:szCs w:val="14"/>
                <w:color w:val="auto"/>
              </w:rPr>
              <w:t>Total assets</w:t>
            </w:r>
          </w:p>
        </w:tc>
        <w:tc>
          <w:tcPr>
            <w:tcW w:w="4300" w:type="dxa"/>
            <w:vAlign w:val="bottom"/>
            <w:gridSpan w:val="2"/>
          </w:tcPr>
          <w:p>
            <w:pPr>
              <w:jc w:val="right"/>
              <w:ind w:right="1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2,883.2</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386"/>
        </w:trPr>
        <w:tc>
          <w:tcPr>
            <w:tcW w:w="3440" w:type="dxa"/>
            <w:vAlign w:val="bottom"/>
          </w:tcPr>
          <w:p>
            <w:pPr>
              <w:spacing w:after="0"/>
              <w:rPr>
                <w:sz w:val="20"/>
                <w:szCs w:val="20"/>
                <w:color w:val="auto"/>
              </w:rPr>
            </w:pPr>
            <w:r>
              <w:rPr>
                <w:rFonts w:ascii="Arial" w:cs="Arial" w:eastAsia="Arial" w:hAnsi="Arial"/>
                <w:sz w:val="14"/>
                <w:szCs w:val="14"/>
                <w:color w:val="auto"/>
              </w:rPr>
              <w:t>LIABILITIES AND STOCKHOLDERS' EQUITY</w:t>
            </w:r>
          </w:p>
        </w:tc>
        <w:tc>
          <w:tcPr>
            <w:tcW w:w="29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Current liabilities: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Accounts payable</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136.1</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Accrued expenses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46.9</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Accrued compensation</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84.6</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Debt, current portion</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33.8</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83.1</w:t>
            </w: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4"/>
        </w:trPr>
        <w:tc>
          <w:tcPr>
            <w:tcW w:w="3440" w:type="dxa"/>
            <w:vAlign w:val="bottom"/>
          </w:tcPr>
          <w:p>
            <w:pPr>
              <w:ind w:left="120"/>
              <w:spacing w:after="0"/>
              <w:rPr>
                <w:sz w:val="20"/>
                <w:szCs w:val="20"/>
                <w:color w:val="auto"/>
              </w:rPr>
            </w:pPr>
            <w:r>
              <w:rPr>
                <w:rFonts w:ascii="Arial" w:cs="Arial" w:eastAsia="Arial" w:hAnsi="Arial"/>
                <w:sz w:val="14"/>
                <w:szCs w:val="14"/>
                <w:color w:val="auto"/>
              </w:rPr>
              <w:t>Total current liabilities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384.5</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405"/>
        </w:trPr>
        <w:tc>
          <w:tcPr>
            <w:tcW w:w="3440" w:type="dxa"/>
            <w:vAlign w:val="bottom"/>
          </w:tcPr>
          <w:p>
            <w:pPr>
              <w:spacing w:after="0"/>
              <w:rPr>
                <w:sz w:val="20"/>
                <w:szCs w:val="20"/>
                <w:color w:val="auto"/>
              </w:rPr>
            </w:pPr>
            <w:r>
              <w:rPr>
                <w:rFonts w:ascii="Arial" w:cs="Arial" w:eastAsia="Arial" w:hAnsi="Arial"/>
                <w:sz w:val="14"/>
                <w:szCs w:val="14"/>
                <w:color w:val="auto"/>
              </w:rPr>
              <w:t>Contingent consideration, net of current portion</w:t>
            </w: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34.2</w:t>
            </w:r>
          </w:p>
        </w:tc>
        <w:tc>
          <w:tcPr>
            <w:tcW w:w="7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Debt, net of current portion</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841.0</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Deferred tax liability</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53.2</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Contract liabilities, net of current portion</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55.5</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Other liabilities</w:t>
            </w: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67.8</w:t>
            </w: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83"/>
        </w:trPr>
        <w:tc>
          <w:tcPr>
            <w:tcW w:w="3440" w:type="dxa"/>
            <w:vAlign w:val="bottom"/>
          </w:tcPr>
          <w:p>
            <w:pPr>
              <w:ind w:left="120"/>
              <w:spacing w:after="0"/>
              <w:rPr>
                <w:sz w:val="20"/>
                <w:szCs w:val="20"/>
                <w:color w:val="auto"/>
              </w:rPr>
            </w:pPr>
            <w:r>
              <w:rPr>
                <w:rFonts w:ascii="Arial" w:cs="Arial" w:eastAsia="Arial" w:hAnsi="Arial"/>
                <w:sz w:val="14"/>
                <w:szCs w:val="14"/>
                <w:color w:val="auto"/>
              </w:rPr>
              <w:t>Total liabilities</w:t>
            </w:r>
          </w:p>
        </w:tc>
        <w:tc>
          <w:tcPr>
            <w:tcW w:w="4300" w:type="dxa"/>
            <w:vAlign w:val="bottom"/>
            <w:gridSpan w:val="2"/>
          </w:tcPr>
          <w:p>
            <w:pPr>
              <w:jc w:val="right"/>
              <w:ind w:right="1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1,436.2</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1,238.8</w:t>
            </w:r>
          </w:p>
        </w:tc>
        <w:tc>
          <w:tcPr>
            <w:tcW w:w="0" w:type="dxa"/>
            <w:vAlign w:val="bottom"/>
          </w:tcPr>
          <w:p>
            <w:pPr>
              <w:spacing w:after="0"/>
              <w:rPr>
                <w:sz w:val="1"/>
                <w:szCs w:val="1"/>
                <w:color w:val="auto"/>
              </w:rPr>
            </w:pPr>
          </w:p>
        </w:tc>
      </w:tr>
      <w:tr>
        <w:trPr>
          <w:trHeight w:val="386"/>
        </w:trPr>
        <w:tc>
          <w:tcPr>
            <w:tcW w:w="3440" w:type="dxa"/>
            <w:vAlign w:val="bottom"/>
          </w:tcPr>
          <w:p>
            <w:pPr>
              <w:spacing w:after="0"/>
              <w:rPr>
                <w:sz w:val="20"/>
                <w:szCs w:val="20"/>
                <w:color w:val="auto"/>
              </w:rPr>
            </w:pPr>
            <w:r>
              <w:rPr>
                <w:rFonts w:ascii="Arial" w:cs="Arial" w:eastAsia="Arial" w:hAnsi="Arial"/>
                <w:sz w:val="14"/>
                <w:szCs w:val="14"/>
                <w:color w:val="auto"/>
              </w:rPr>
              <w:t>Stockholders’ equity:</w:t>
            </w:r>
          </w:p>
        </w:tc>
        <w:tc>
          <w:tcPr>
            <w:tcW w:w="29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40" w:type="dxa"/>
            <w:vAlign w:val="bottom"/>
            <w:gridSpan w:val="3"/>
          </w:tcPr>
          <w:p>
            <w:pPr>
              <w:spacing w:after="0"/>
              <w:rPr>
                <w:sz w:val="20"/>
                <w:szCs w:val="20"/>
                <w:color w:val="auto"/>
              </w:rPr>
            </w:pPr>
            <w:r>
              <w:rPr>
                <w:rFonts w:ascii="Arial" w:cs="Arial" w:eastAsia="Arial" w:hAnsi="Arial"/>
                <w:sz w:val="14"/>
                <w:szCs w:val="14"/>
                <w:color w:val="auto"/>
              </w:rPr>
              <w:t>Preferred stock, $0.001 par value; 15.0 shares authorized, no shares issued and outstanding</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7740" w:type="dxa"/>
            <w:vAlign w:val="bottom"/>
            <w:gridSpan w:val="3"/>
          </w:tcPr>
          <w:p>
            <w:pPr>
              <w:spacing w:after="0" w:line="152" w:lineRule="exact"/>
              <w:rPr>
                <w:sz w:val="20"/>
                <w:szCs w:val="20"/>
                <w:color w:val="auto"/>
              </w:rPr>
            </w:pPr>
            <w:r>
              <w:rPr>
                <w:rFonts w:ascii="Arial" w:cs="Arial" w:eastAsia="Arial" w:hAnsi="Arial"/>
                <w:sz w:val="14"/>
                <w:szCs w:val="14"/>
                <w:color w:val="auto"/>
              </w:rPr>
              <w:t>Common stock, $0.001 par value; 200.0 shares authorized, 54.3 and 53.0 shares issued; 53.1 and</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20"/>
                <w:szCs w:val="20"/>
                <w:color w:val="auto"/>
              </w:rPr>
            </w:pPr>
            <w:r>
              <w:rPr>
                <w:rFonts w:ascii="Arial" w:cs="Arial" w:eastAsia="Arial" w:hAnsi="Arial"/>
                <w:sz w:val="14"/>
                <w:szCs w:val="14"/>
                <w:color w:val="auto"/>
              </w:rPr>
              <w:t>51.7 shares outstanding, respectively.</w:t>
            </w:r>
          </w:p>
        </w:tc>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Treasury stock, at cost, 1.2 common shares</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(39.6)</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784.9</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716.1</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4"/>
                <w:szCs w:val="14"/>
                <w:color w:val="auto"/>
              </w:rPr>
              <w:t>Accumulated other comprehensive loss, net</w:t>
            </w:r>
          </w:p>
        </w:tc>
        <w:tc>
          <w:tcPr>
            <w:tcW w:w="2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(25.3)</w:t>
            </w:r>
          </w:p>
        </w:tc>
        <w:tc>
          <w:tcPr>
            <w:tcW w:w="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Retained earnings</w:t>
            </w:r>
          </w:p>
        </w:tc>
        <w:tc>
          <w:tcPr>
            <w:tcW w:w="29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726.9</w:t>
            </w: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9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1,447.0</w:t>
            </w:r>
          </w:p>
        </w:tc>
        <w:tc>
          <w:tcPr>
            <w:tcW w:w="7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1,088.5</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4300" w:type="dxa"/>
            <w:vAlign w:val="bottom"/>
            <w:gridSpan w:val="2"/>
          </w:tcPr>
          <w:p>
            <w:pPr>
              <w:jc w:val="right"/>
              <w:ind w:right="1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2,883.2</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 of 15</w:t>
      </w:r>
    </w:p>
    <w:p>
      <w:pPr>
        <w:sectPr>
          <w:pgSz w:w="11900" w:h="16838" w:orient="portrait"/>
          <w:cols w:equalWidth="0" w:num="1">
            <w:col w:w="10880"/>
          </w:cols>
          <w:pgMar w:left="340" w:top="1031" w:right="67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Emergent BioSolutions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29"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17780</wp:posOffset>
            </wp:positionV>
            <wp:extent cx="3017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 w:lineRule="exact"/>
        <w:rPr>
          <w:sz w:val="20"/>
          <w:szCs w:val="20"/>
          <w:color w:val="auto"/>
        </w:rPr>
      </w:pPr>
    </w:p>
    <w:p>
      <w:pPr>
        <w:jc w:val="both"/>
        <w:ind w:left="7300"/>
        <w:spacing w:after="0"/>
        <w:tabs>
          <w:tab w:leader="none" w:pos="9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17780</wp:posOffset>
            </wp:positionV>
            <wp:extent cx="3017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ectPr>
          <w:pgSz w:w="11900" w:h="16838" w:orient="portrait"/>
          <w:cols w:equalWidth="0" w:num="1">
            <w:col w:w="10860"/>
          </w:cols>
          <w:pgMar w:left="520" w:top="1031" w:right="51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Revenues: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Product sales,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Contract development and manufacturing services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Contracts and grants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revenues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Cost of product sales and contract development and manufacturing services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intangible assets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Income from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net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other income (expense), net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Net Income per common share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Basic</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Diluted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Shares used in computing income per share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Basic</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340.9</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310.8</w:t>
            </w:r>
          </w:p>
        </w:tc>
      </w:tr>
      <w:tr>
        <w:trPr>
          <w:trHeight w:val="189"/>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199.1</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188"/>
        </w:trPr>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43.0</w:t>
            </w: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r>
      <w:tr>
        <w:trPr>
          <w:trHeight w:val="184"/>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583.0</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360.4</w:t>
            </w:r>
          </w:p>
        </w:tc>
      </w:tr>
      <w:tr>
        <w:trPr>
          <w:trHeight w:val="581"/>
        </w:trPr>
        <w:tc>
          <w:tcPr>
            <w:tcW w:w="11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168.3</w:t>
            </w: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132.8</w:t>
            </w:r>
          </w:p>
        </w:tc>
      </w:tr>
      <w:tr>
        <w:trPr>
          <w:trHeight w:val="189"/>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62.8</w:t>
            </w:r>
          </w:p>
        </w:tc>
      </w:tr>
      <w:tr>
        <w:trPr>
          <w:trHeight w:val="189"/>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82.1</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72.2</w:t>
            </w:r>
          </w:p>
        </w:tc>
      </w:tr>
      <w:tr>
        <w:trPr>
          <w:trHeight w:val="188"/>
        </w:trPr>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84"/>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324.9</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282.6</w:t>
            </w:r>
          </w:p>
        </w:tc>
      </w:tr>
      <w:tr>
        <w:trPr>
          <w:trHeight w:val="392"/>
        </w:trPr>
        <w:tc>
          <w:tcPr>
            <w:tcW w:w="11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258.1</w:t>
            </w: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580"/>
        </w:trPr>
        <w:tc>
          <w:tcPr>
            <w:tcW w:w="11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88"/>
        </w:trPr>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84"/>
        </w:trPr>
        <w:tc>
          <w:tcPr>
            <w:tcW w:w="1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392"/>
        </w:trPr>
        <w:tc>
          <w:tcPr>
            <w:tcW w:w="11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252.8</w:t>
            </w: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88"/>
        </w:trPr>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67.4</w:t>
            </w: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r>
      <w:tr>
        <w:trPr>
          <w:trHeight w:val="183"/>
        </w:trPr>
        <w:tc>
          <w:tcPr>
            <w:tcW w:w="11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185.4</w:t>
            </w:r>
          </w:p>
        </w:tc>
        <w:tc>
          <w:tcPr>
            <w:tcW w:w="10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48"/>
        </w:trPr>
        <w:tc>
          <w:tcPr>
            <w:tcW w:w="11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0.91</w:t>
            </w:r>
          </w:p>
        </w:tc>
      </w:tr>
      <w:tr>
        <w:trPr>
          <w:trHeight w:val="189"/>
        </w:trPr>
        <w:tc>
          <w:tcPr>
            <w:tcW w:w="11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104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0.90</w:t>
            </w:r>
          </w:p>
        </w:tc>
      </w:tr>
      <w:tr>
        <w:trPr>
          <w:trHeight w:val="580"/>
        </w:trPr>
        <w:tc>
          <w:tcPr>
            <w:tcW w:w="11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53.1</w:t>
            </w: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89"/>
        </w:trPr>
        <w:tc>
          <w:tcPr>
            <w:tcW w:w="11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0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52.6</w:t>
            </w:r>
          </w:p>
        </w:tc>
      </w:tr>
    </w:tbl>
    <w:p>
      <w:pPr>
        <w:spacing w:after="0" w:line="200" w:lineRule="exact"/>
        <w:rPr>
          <w:sz w:val="20"/>
          <w:szCs w:val="20"/>
          <w:color w:val="auto"/>
        </w:rPr>
      </w:pPr>
    </w:p>
    <w:p>
      <w:pPr>
        <w:sectPr>
          <w:pgSz w:w="11900" w:h="16838" w:orient="portrait"/>
          <w:cols w:equalWidth="0" w:num="2">
            <w:col w:w="5400" w:space="720"/>
            <w:col w:w="4740"/>
          </w:cols>
          <w:pgMar w:left="520" w:top="1031" w:right="5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 of 15</w:t>
      </w:r>
    </w:p>
    <w:p>
      <w:pPr>
        <w:sectPr>
          <w:pgSz w:w="11900" w:h="16838" w:orient="portrait"/>
          <w:cols w:equalWidth="0" w:num="1">
            <w:col w:w="10860"/>
          </w:cols>
          <w:pgMar w:left="520" w:top="1031" w:right="51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4"/>
          <w:szCs w:val="14"/>
          <w:b w:val="1"/>
          <w:bCs w:val="1"/>
          <w:color w:val="auto"/>
        </w:rPr>
        <w:t>Emergent BioSolutions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29"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17780</wp:posOffset>
            </wp:positionV>
            <wp:extent cx="3034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 w:lineRule="exact"/>
        <w:rPr>
          <w:sz w:val="20"/>
          <w:szCs w:val="20"/>
          <w:color w:val="auto"/>
        </w:rPr>
      </w:pPr>
    </w:p>
    <w:p>
      <w:pPr>
        <w:jc w:val="both"/>
        <w:ind w:left="7320"/>
        <w:spacing w:after="0"/>
        <w:tabs>
          <w:tab w:leader="none" w:pos="9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17780</wp:posOffset>
            </wp:positionV>
            <wp:extent cx="30346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080"/>
          </w:cols>
          <w:pgMar w:left="340" w:top="1031" w:right="47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Revenues: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Product sales, net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Contract development and manufacturing services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Contracts and grants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revenues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Cost of product sales and contract development and manufacturing services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intangible assets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Income from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net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other income (expense), net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Net Income per common share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Basic</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Diluted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Shares used in computing income per share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Basic</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989.8</w:t>
            </w:r>
          </w:p>
        </w:tc>
        <w:tc>
          <w:tcPr>
            <w:tcW w:w="10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903.5</w:t>
            </w:r>
          </w:p>
        </w:tc>
      </w:tr>
      <w:tr>
        <w:trPr>
          <w:trHeight w:val="189"/>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450.5</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188"/>
        </w:trPr>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115.1</w:t>
            </w: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r>
      <w:tr>
        <w:trPr>
          <w:trHeight w:val="184"/>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1,555.4</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1,106.0</w:t>
            </w:r>
          </w:p>
        </w:tc>
      </w:tr>
      <w:tr>
        <w:trPr>
          <w:trHeight w:val="581"/>
        </w:trPr>
        <w:tc>
          <w:tcPr>
            <w:tcW w:w="104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524.0</w:t>
            </w:r>
          </w:p>
        </w:tc>
        <w:tc>
          <w:tcPr>
            <w:tcW w:w="10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433.5</w:t>
            </w:r>
          </w:p>
        </w:tc>
      </w:tr>
      <w:tr>
        <w:trPr>
          <w:trHeight w:val="189"/>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234.5</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226.2</w:t>
            </w:r>
          </w:p>
        </w:tc>
      </w:tr>
      <w:tr>
        <w:trPr>
          <w:trHeight w:val="189"/>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303.3</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273.5</w:t>
            </w:r>
          </w:p>
        </w:tc>
      </w:tr>
      <w:tr>
        <w:trPr>
          <w:trHeight w:val="188"/>
        </w:trPr>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r>
      <w:tr>
        <w:trPr>
          <w:trHeight w:val="184"/>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1,121.6</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991.9</w:t>
            </w:r>
          </w:p>
        </w:tc>
      </w:tr>
      <w:tr>
        <w:trPr>
          <w:trHeight w:val="392"/>
        </w:trPr>
        <w:tc>
          <w:tcPr>
            <w:tcW w:w="104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433.8</w:t>
            </w:r>
          </w:p>
        </w:tc>
        <w:tc>
          <w:tcPr>
            <w:tcW w:w="10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114.1</w:t>
            </w:r>
          </w:p>
        </w:tc>
      </w:tr>
      <w:tr>
        <w:trPr>
          <w:trHeight w:val="581"/>
        </w:trPr>
        <w:tc>
          <w:tcPr>
            <w:tcW w:w="104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10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88"/>
        </w:trPr>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84"/>
        </w:trPr>
        <w:tc>
          <w:tcPr>
            <w:tcW w:w="10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(36.7)</w:t>
            </w:r>
          </w:p>
        </w:tc>
      </w:tr>
      <w:tr>
        <w:trPr>
          <w:trHeight w:val="392"/>
        </w:trPr>
        <w:tc>
          <w:tcPr>
            <w:tcW w:w="104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407.2</w:t>
            </w:r>
          </w:p>
        </w:tc>
        <w:tc>
          <w:tcPr>
            <w:tcW w:w="10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188"/>
        </w:trPr>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102.1</w:t>
            </w: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183"/>
        </w:trPr>
        <w:tc>
          <w:tcPr>
            <w:tcW w:w="10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305.1</w:t>
            </w:r>
          </w:p>
        </w:tc>
        <w:tc>
          <w:tcPr>
            <w:tcW w:w="10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49"/>
        </w:trPr>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5.79</w:t>
            </w:r>
          </w:p>
        </w:tc>
        <w:tc>
          <w:tcPr>
            <w:tcW w:w="10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9"/>
        </w:trPr>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10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580"/>
        </w:trPr>
        <w:tc>
          <w:tcPr>
            <w:tcW w:w="1040" w:type="dxa"/>
            <w:vAlign w:val="bottom"/>
          </w:tcPr>
          <w:p>
            <w:pPr>
              <w:spacing w:after="0"/>
              <w:rPr>
                <w:sz w:val="24"/>
                <w:szCs w:val="2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00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51.5</w:t>
            </w:r>
          </w:p>
        </w:tc>
      </w:tr>
      <w:tr>
        <w:trPr>
          <w:trHeight w:val="189"/>
        </w:trPr>
        <w:tc>
          <w:tcPr>
            <w:tcW w:w="104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10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52.4</w:t>
            </w:r>
          </w:p>
        </w:tc>
      </w:tr>
    </w:tbl>
    <w:p>
      <w:pPr>
        <w:spacing w:after="0" w:line="200" w:lineRule="exact"/>
        <w:rPr>
          <w:sz w:val="20"/>
          <w:szCs w:val="20"/>
          <w:color w:val="auto"/>
        </w:rPr>
      </w:pPr>
    </w:p>
    <w:p>
      <w:pPr>
        <w:sectPr>
          <w:pgSz w:w="11900" w:h="16838" w:orient="portrait"/>
          <w:cols w:equalWidth="0" w:num="2">
            <w:col w:w="5580" w:space="720"/>
            <w:col w:w="4780"/>
          </w:cols>
          <w:pgMar w:left="340" w:top="103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 of 15</w:t>
      </w:r>
    </w:p>
    <w:p>
      <w:pPr>
        <w:sectPr>
          <w:pgSz w:w="11900" w:h="16838" w:orient="portrait"/>
          <w:cols w:equalWidth="0" w:num="1">
            <w:col w:w="11080"/>
          </w:cols>
          <w:pgMar w:left="340" w:top="1031" w:right="479" w:bottom="1440" w:gutter="0" w:footer="0" w:header="0"/>
          <w:type w:val="continuous"/>
        </w:sectPr>
      </w:pPr>
    </w:p>
    <w:bookmarkStart w:id="13" w:name="page14"/>
    <w:bookmarkEnd w:id="13"/>
    <w:p>
      <w:pPr>
        <w:jc w:val="center"/>
        <w:ind w:right="-79"/>
        <w:spacing w:after="0"/>
        <w:rPr>
          <w:sz w:val="20"/>
          <w:szCs w:val="20"/>
          <w:color w:val="auto"/>
        </w:rPr>
      </w:pPr>
      <w:r>
        <w:rPr>
          <w:rFonts w:ascii="Arial" w:cs="Arial" w:eastAsia="Arial" w:hAnsi="Arial"/>
          <w:sz w:val="14"/>
          <w:szCs w:val="14"/>
          <w:b w:val="1"/>
          <w:bCs w:val="1"/>
          <w:color w:val="auto"/>
        </w:rPr>
        <w:t>Emergent BioSolutions Inc.</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32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305.1</w:t>
            </w:r>
          </w:p>
        </w:tc>
        <w:tc>
          <w:tcPr>
            <w:tcW w:w="120" w:type="dxa"/>
            <w:vAlign w:val="bottom"/>
          </w:tcPr>
          <w:p>
            <w:pPr>
              <w:spacing w:after="0"/>
              <w:rPr>
                <w:sz w:val="16"/>
                <w:szCs w:val="16"/>
                <w:color w:val="auto"/>
              </w:rPr>
            </w:pPr>
          </w:p>
        </w:tc>
        <w:tc>
          <w:tcPr>
            <w:tcW w:w="1260" w:type="dxa"/>
            <w:vAlign w:val="bottom"/>
          </w:tcPr>
          <w:p>
            <w:pPr>
              <w:jc w:val="right"/>
              <w:ind w:right="11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Adjustments to reconcile to net cash provided by operating activities: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Impairment of intangible asset</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Change in fair value of contingent obligations, net</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Amortization of deferred financing costs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Other</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7160" w:type="dxa"/>
            <w:vAlign w:val="bottom"/>
          </w:tcPr>
          <w:p>
            <w:pPr>
              <w:ind w:left="460"/>
              <w:spacing w:after="0"/>
              <w:rPr>
                <w:sz w:val="20"/>
                <w:szCs w:val="20"/>
                <w:color w:val="auto"/>
              </w:rPr>
            </w:pPr>
            <w:r>
              <w:rPr>
                <w:rFonts w:ascii="Arial" w:cs="Arial" w:eastAsia="Arial" w:hAnsi="Arial"/>
                <w:sz w:val="14"/>
                <w:szCs w:val="14"/>
                <w:color w:val="auto"/>
              </w:rPr>
              <w:t>Accrued compensation</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8"/>
        </w:trPr>
        <w:tc>
          <w:tcPr>
            <w:tcW w:w="7160" w:type="dxa"/>
            <w:vAlign w:val="bottom"/>
          </w:tcPr>
          <w:p>
            <w:pPr>
              <w:ind w:left="460"/>
              <w:spacing w:after="0"/>
              <w:rPr>
                <w:sz w:val="20"/>
                <w:szCs w:val="20"/>
                <w:color w:val="auto"/>
              </w:rPr>
            </w:pPr>
            <w:r>
              <w:rPr>
                <w:rFonts w:ascii="Arial" w:cs="Arial" w:eastAsia="Arial" w:hAnsi="Arial"/>
                <w:sz w:val="14"/>
                <w:szCs w:val="14"/>
                <w:color w:val="auto"/>
              </w:rPr>
              <w:t>Contract liabilities</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3"/>
        </w:trPr>
        <w:tc>
          <w:tcPr>
            <w:tcW w:w="716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190"/>
        </w:trPr>
        <w:tc>
          <w:tcPr>
            <w:tcW w:w="71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 and other</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88"/>
        </w:trPr>
        <w:tc>
          <w:tcPr>
            <w:tcW w:w="7160" w:type="dxa"/>
            <w:vAlign w:val="bottom"/>
          </w:tcPr>
          <w:p>
            <w:pPr>
              <w:ind w:left="120"/>
              <w:spacing w:after="0"/>
              <w:rPr>
                <w:sz w:val="20"/>
                <w:szCs w:val="20"/>
                <w:color w:val="auto"/>
              </w:rPr>
            </w:pPr>
            <w:r>
              <w:rPr>
                <w:rFonts w:ascii="Arial" w:cs="Arial" w:eastAsia="Arial" w:hAnsi="Arial"/>
                <w:sz w:val="14"/>
                <w:szCs w:val="14"/>
                <w:color w:val="auto"/>
              </w:rPr>
              <w:t>Milestone payment from asset acquisition</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716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90"/>
        </w:trPr>
        <w:tc>
          <w:tcPr>
            <w:tcW w:w="71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Proceeds from revolving credit facility</w:t>
            </w:r>
          </w:p>
        </w:tc>
        <w:tc>
          <w:tcPr>
            <w:tcW w:w="1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Principal payments on revolving credit facility</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(373.0)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Proceeds from term loan facility</w:t>
            </w:r>
          </w:p>
        </w:tc>
        <w:tc>
          <w:tcPr>
            <w:tcW w:w="1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Principal payments on term loan facility</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Proceeds from senior unsecured notes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Debt issuance costs</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Proceeds from share-based compensation activity</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7160" w:type="dxa"/>
            <w:vAlign w:val="bottom"/>
          </w:tcPr>
          <w:p>
            <w:pPr>
              <w:ind w:left="120"/>
              <w:spacing w:after="0"/>
              <w:rPr>
                <w:sz w:val="20"/>
                <w:szCs w:val="20"/>
                <w:color w:val="auto"/>
              </w:rPr>
            </w:pPr>
            <w:r>
              <w:rPr>
                <w:rFonts w:ascii="Arial" w:cs="Arial" w:eastAsia="Arial" w:hAnsi="Arial"/>
                <w:sz w:val="14"/>
                <w:szCs w:val="14"/>
                <w:color w:val="auto"/>
              </w:rPr>
              <w:t>Taxes paid for share-based compensation activity</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8"/>
        </w:trPr>
        <w:tc>
          <w:tcPr>
            <w:tcW w:w="7160" w:type="dxa"/>
            <w:vAlign w:val="bottom"/>
          </w:tcPr>
          <w:p>
            <w:pPr>
              <w:ind w:left="120"/>
              <w:spacing w:after="0"/>
              <w:rPr>
                <w:sz w:val="20"/>
                <w:szCs w:val="20"/>
                <w:color w:val="auto"/>
              </w:rPr>
            </w:pPr>
            <w:r>
              <w:rPr>
                <w:rFonts w:ascii="Arial" w:cs="Arial" w:eastAsia="Arial" w:hAnsi="Arial"/>
                <w:sz w:val="14"/>
                <w:szCs w:val="14"/>
                <w:color w:val="auto"/>
              </w:rPr>
              <w:t>Contingent consideration payments</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3"/>
        </w:trPr>
        <w:tc>
          <w:tcPr>
            <w:tcW w:w="7160" w:type="dxa"/>
            <w:vAlign w:val="bottom"/>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3"/>
        </w:trPr>
        <w:tc>
          <w:tcPr>
            <w:tcW w:w="7160" w:type="dxa"/>
            <w:vAlign w:val="bottom"/>
          </w:tcPr>
          <w:p>
            <w:pPr>
              <w:ind w:left="120"/>
              <w:spacing w:after="0"/>
              <w:rPr>
                <w:sz w:val="20"/>
                <w:szCs w:val="20"/>
                <w:color w:val="auto"/>
              </w:rPr>
            </w:pPr>
            <w:r>
              <w:rPr>
                <w:rFonts w:ascii="Arial" w:cs="Arial" w:eastAsia="Arial" w:hAnsi="Arial"/>
                <w:sz w:val="14"/>
                <w:szCs w:val="14"/>
                <w:color w:val="auto"/>
              </w:rPr>
              <w:t>Effect of exchange rate changes on cash and cash equivalents</w:t>
            </w: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4"/>
        </w:trPr>
        <w:tc>
          <w:tcPr>
            <w:tcW w:w="7160" w:type="dxa"/>
            <w:vAlign w:val="bottom"/>
          </w:tcPr>
          <w:p>
            <w:pPr>
              <w:ind w:left="120"/>
              <w:spacing w:after="0"/>
              <w:rPr>
                <w:sz w:val="20"/>
                <w:szCs w:val="20"/>
                <w:color w:val="auto"/>
              </w:rPr>
            </w:pPr>
            <w:r>
              <w:rPr>
                <w:rFonts w:ascii="Arial" w:cs="Arial" w:eastAsia="Arial" w:hAnsi="Arial"/>
                <w:sz w:val="14"/>
                <w:szCs w:val="14"/>
                <w:color w:val="auto"/>
              </w:rPr>
              <w:t>Net change in cash and cash equivalents and restricted cash</w:t>
            </w: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88"/>
        </w:trPr>
        <w:tc>
          <w:tcPr>
            <w:tcW w:w="7160" w:type="dxa"/>
            <w:vAlign w:val="bottom"/>
          </w:tcPr>
          <w:p>
            <w:pPr>
              <w:ind w:left="1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83"/>
        </w:trPr>
        <w:tc>
          <w:tcPr>
            <w:tcW w:w="7160" w:type="dxa"/>
            <w:vAlign w:val="bottom"/>
          </w:tcPr>
          <w:p>
            <w:pPr>
              <w:ind w:left="120"/>
              <w:spacing w:after="0"/>
              <w:rPr>
                <w:sz w:val="20"/>
                <w:szCs w:val="20"/>
                <w:color w:val="auto"/>
              </w:rPr>
            </w:pPr>
            <w:r>
              <w:rPr>
                <w:rFonts w:ascii="Arial" w:cs="Arial" w:eastAsia="Arial" w:hAnsi="Arial"/>
                <w:sz w:val="14"/>
                <w:szCs w:val="14"/>
                <w:color w:val="auto"/>
              </w:rPr>
              <w:t>Cash and cash equivalents and restricted cash at end of year</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621.5</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60" w:top="103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 of 15</w:t>
      </w:r>
    </w:p>
    <w:p>
      <w:pPr>
        <w:sectPr>
          <w:pgSz w:w="11900" w:h="16838" w:orient="portrait"/>
          <w:cols w:equalWidth="0" w:num="1">
            <w:col w:w="11080"/>
          </w:cols>
          <w:pgMar w:left="360" w:top="1031"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40575" cy="2468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246888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0F243E"/>
          </w:tcPr>
          <w:p>
            <w:pPr>
              <w:spacing w:after="0"/>
              <w:rPr>
                <w:sz w:val="17"/>
                <w:szCs w:val="17"/>
                <w:color w:val="auto"/>
              </w:rPr>
            </w:pPr>
          </w:p>
        </w:tc>
        <w:tc>
          <w:tcPr>
            <w:tcW w:w="4860" w:type="dxa"/>
            <w:vAlign w:val="bottom"/>
            <w:gridSpan w:val="3"/>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Three Months Ended</w:t>
            </w:r>
          </w:p>
        </w:tc>
        <w:tc>
          <w:tcPr>
            <w:tcW w:w="0" w:type="dxa"/>
            <w:vAlign w:val="bottom"/>
          </w:tcPr>
          <w:p>
            <w:pPr>
              <w:spacing w:after="0"/>
              <w:rPr>
                <w:sz w:val="1"/>
                <w:szCs w:val="1"/>
                <w:color w:val="auto"/>
              </w:rPr>
            </w:pPr>
          </w:p>
        </w:tc>
      </w:tr>
      <w:tr>
        <w:trPr>
          <w:trHeight w:val="239"/>
        </w:trPr>
        <w:tc>
          <w:tcPr>
            <w:tcW w:w="6380" w:type="dxa"/>
            <w:vAlign w:val="bottom"/>
            <w:shd w:val="clear" w:color="auto" w:fill="0F243E"/>
          </w:tcPr>
          <w:p>
            <w:pPr>
              <w:spacing w:after="0"/>
              <w:rPr>
                <w:sz w:val="20"/>
                <w:szCs w:val="20"/>
                <w:color w:val="auto"/>
              </w:rPr>
            </w:pPr>
          </w:p>
        </w:tc>
        <w:tc>
          <w:tcPr>
            <w:tcW w:w="1610" w:type="dxa"/>
            <w:vAlign w:val="bottom"/>
            <w:shd w:val="clear" w:color="auto" w:fill="0F243E"/>
          </w:tcPr>
          <w:p>
            <w:pPr>
              <w:spacing w:after="0"/>
              <w:rPr>
                <w:sz w:val="20"/>
                <w:szCs w:val="20"/>
                <w:color w:val="auto"/>
              </w:rPr>
            </w:pPr>
          </w:p>
        </w:tc>
        <w:tc>
          <w:tcPr>
            <w:tcW w:w="165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December 31,</w:t>
            </w:r>
          </w:p>
        </w:tc>
        <w:tc>
          <w:tcPr>
            <w:tcW w:w="1600" w:type="dxa"/>
            <w:vAlign w:val="bottom"/>
            <w:shd w:val="clear" w:color="auto" w:fill="0F243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3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 except per share value)</w:t>
            </w:r>
          </w:p>
        </w:tc>
        <w:tc>
          <w:tcPr>
            <w:tcW w:w="1610" w:type="dxa"/>
            <w:vAlign w:val="bottom"/>
            <w:shd w:val="clear" w:color="auto" w:fill="0F243E"/>
          </w:tcPr>
          <w:p>
            <w:pPr>
              <w:jc w:val="right"/>
              <w:ind w:right="500"/>
              <w:spacing w:after="0"/>
              <w:rPr>
                <w:sz w:val="20"/>
                <w:szCs w:val="20"/>
                <w:color w:val="auto"/>
              </w:rPr>
            </w:pPr>
            <w:r>
              <w:rPr>
                <w:rFonts w:ascii="Arial" w:cs="Arial" w:eastAsia="Arial" w:hAnsi="Arial"/>
                <w:sz w:val="18"/>
                <w:szCs w:val="18"/>
                <w:b w:val="1"/>
                <w:bCs w:val="1"/>
                <w:color w:val="FFFFFF"/>
              </w:rPr>
              <w:t>2020</w:t>
            </w:r>
          </w:p>
        </w:tc>
        <w:tc>
          <w:tcPr>
            <w:tcW w:w="165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2019</w:t>
            </w:r>
          </w:p>
        </w:tc>
        <w:tc>
          <w:tcPr>
            <w:tcW w:w="160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Source</w:t>
            </w:r>
          </w:p>
        </w:tc>
        <w:tc>
          <w:tcPr>
            <w:tcW w:w="0" w:type="dxa"/>
            <w:vAlign w:val="bottom"/>
          </w:tcPr>
          <w:p>
            <w:pPr>
              <w:spacing w:after="0"/>
              <w:rPr>
                <w:sz w:val="1"/>
                <w:szCs w:val="1"/>
                <w:color w:val="auto"/>
              </w:rPr>
            </w:pPr>
          </w:p>
        </w:tc>
      </w:tr>
      <w:tr>
        <w:trPr>
          <w:trHeight w:val="229"/>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$185.4</w:t>
            </w:r>
          </w:p>
        </w:tc>
        <w:tc>
          <w:tcPr>
            <w:tcW w:w="165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$46.9</w:t>
            </w:r>
          </w:p>
        </w:tc>
        <w:tc>
          <w:tcPr>
            <w:tcW w:w="16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1610" w:type="dxa"/>
            <w:vAlign w:val="bottom"/>
            <w:shd w:val="clear" w:color="auto" w:fill="CCCCCC"/>
          </w:tcPr>
          <w:p>
            <w:pPr>
              <w:spacing w:after="0"/>
              <w:rPr>
                <w:sz w:val="21"/>
                <w:szCs w:val="21"/>
                <w:color w:val="auto"/>
              </w:rPr>
            </w:pPr>
          </w:p>
        </w:tc>
        <w:tc>
          <w:tcPr>
            <w:tcW w:w="1650" w:type="dxa"/>
            <w:vAlign w:val="bottom"/>
            <w:shd w:val="clear" w:color="auto" w:fill="CCCCCC"/>
          </w:tcPr>
          <w:p>
            <w:pPr>
              <w:spacing w:after="0"/>
              <w:rPr>
                <w:sz w:val="21"/>
                <w:szCs w:val="21"/>
                <w:color w:val="auto"/>
              </w:rPr>
            </w:pPr>
          </w:p>
        </w:tc>
        <w:tc>
          <w:tcPr>
            <w:tcW w:w="160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380" w:type="dxa"/>
            <w:vAlign w:val="bottom"/>
            <w:shd w:val="clear" w:color="auto" w:fill="CCCCCC"/>
          </w:tcPr>
          <w:p>
            <w:pPr>
              <w:spacing w:after="0"/>
              <w:rPr>
                <w:sz w:val="17"/>
                <w:szCs w:val="17"/>
                <w:color w:val="auto"/>
              </w:rPr>
            </w:pPr>
          </w:p>
        </w:tc>
        <w:tc>
          <w:tcPr>
            <w:tcW w:w="1610" w:type="dxa"/>
            <w:vAlign w:val="bottom"/>
            <w:shd w:val="clear" w:color="auto" w:fill="CCCCCC"/>
          </w:tcPr>
          <w:p>
            <w:pPr>
              <w:spacing w:after="0"/>
              <w:rPr>
                <w:sz w:val="17"/>
                <w:szCs w:val="17"/>
                <w:color w:val="auto"/>
              </w:rPr>
            </w:pPr>
          </w:p>
        </w:tc>
        <w:tc>
          <w:tcPr>
            <w:tcW w:w="1650" w:type="dxa"/>
            <w:vAlign w:val="bottom"/>
            <w:shd w:val="clear" w:color="auto" w:fill="CCCCCC"/>
          </w:tcPr>
          <w:p>
            <w:pPr>
              <w:spacing w:after="0"/>
              <w:rPr>
                <w:sz w:val="17"/>
                <w:szCs w:val="17"/>
                <w:color w:val="auto"/>
              </w:rPr>
            </w:pPr>
          </w:p>
        </w:tc>
        <w:tc>
          <w:tcPr>
            <w:tcW w:w="1600" w:type="dxa"/>
            <w:vAlign w:val="bottom"/>
            <w:shd w:val="clear" w:color="auto" w:fill="CCCCCC"/>
          </w:tcPr>
          <w:p>
            <w:pPr>
              <w:jc w:val="center"/>
              <w:spacing w:after="0" w:line="201" w:lineRule="exact"/>
              <w:rPr>
                <w:sz w:val="20"/>
                <w:szCs w:val="20"/>
                <w:color w:val="auto"/>
              </w:rPr>
            </w:pPr>
            <w:r>
              <w:rPr>
                <w:rFonts w:ascii="Arial" w:cs="Arial" w:eastAsia="Arial" w:hAnsi="Arial"/>
                <w:sz w:val="18"/>
                <w:szCs w:val="18"/>
                <w:color w:val="auto"/>
                <w:w w:val="99"/>
              </w:rPr>
              <w:t>Intangible Asset</w:t>
            </w:r>
          </w:p>
        </w:tc>
        <w:tc>
          <w:tcPr>
            <w:tcW w:w="0" w:type="dxa"/>
            <w:vAlign w:val="bottom"/>
          </w:tcPr>
          <w:p>
            <w:pPr>
              <w:spacing w:after="0"/>
              <w:rPr>
                <w:sz w:val="1"/>
                <w:szCs w:val="1"/>
                <w:color w:val="auto"/>
              </w:rPr>
            </w:pPr>
          </w:p>
        </w:tc>
      </w:tr>
      <w:tr>
        <w:trPr>
          <w:trHeight w:val="175"/>
        </w:trPr>
        <w:tc>
          <w:tcPr>
            <w:tcW w:w="6380" w:type="dxa"/>
            <w:vAlign w:val="bottom"/>
            <w:shd w:val="clear" w:color="auto" w:fill="CCCCCC"/>
          </w:tcPr>
          <w:p>
            <w:pPr>
              <w:ind w:left="260"/>
              <w:spacing w:after="0" w:line="176" w:lineRule="exact"/>
              <w:rPr>
                <w:sz w:val="20"/>
                <w:szCs w:val="20"/>
                <w:color w:val="auto"/>
              </w:rPr>
            </w:pPr>
            <w:r>
              <w:rPr>
                <w:rFonts w:ascii="Arial" w:cs="Arial" w:eastAsia="Arial" w:hAnsi="Arial"/>
                <w:sz w:val="18"/>
                <w:szCs w:val="18"/>
                <w:color w:val="auto"/>
              </w:rPr>
              <w:t>+ Non-cash amortization charges</w:t>
            </w:r>
          </w:p>
        </w:tc>
        <w:tc>
          <w:tcPr>
            <w:tcW w:w="1610" w:type="dxa"/>
            <w:vAlign w:val="bottom"/>
            <w:shd w:val="clear" w:color="auto" w:fill="CCCCCC"/>
          </w:tcPr>
          <w:p>
            <w:pPr>
              <w:jc w:val="right"/>
              <w:spacing w:after="0" w:line="176" w:lineRule="exact"/>
              <w:rPr>
                <w:sz w:val="20"/>
                <w:szCs w:val="20"/>
                <w:color w:val="auto"/>
              </w:rPr>
            </w:pPr>
            <w:r>
              <w:rPr>
                <w:rFonts w:ascii="Arial" w:cs="Arial" w:eastAsia="Arial" w:hAnsi="Arial"/>
                <w:sz w:val="18"/>
                <w:szCs w:val="18"/>
                <w:color w:val="auto"/>
              </w:rPr>
              <w:t>16.2</w:t>
            </w:r>
          </w:p>
        </w:tc>
        <w:tc>
          <w:tcPr>
            <w:tcW w:w="1650" w:type="dxa"/>
            <w:vAlign w:val="bottom"/>
            <w:shd w:val="clear" w:color="auto" w:fill="CCCCCC"/>
          </w:tcPr>
          <w:p>
            <w:pPr>
              <w:jc w:val="right"/>
              <w:ind w:right="10"/>
              <w:spacing w:after="0" w:line="176" w:lineRule="exact"/>
              <w:rPr>
                <w:sz w:val="20"/>
                <w:szCs w:val="20"/>
                <w:color w:val="auto"/>
              </w:rPr>
            </w:pPr>
            <w:r>
              <w:rPr>
                <w:rFonts w:ascii="Arial" w:cs="Arial" w:eastAsia="Arial" w:hAnsi="Arial"/>
                <w:sz w:val="18"/>
                <w:szCs w:val="18"/>
                <w:color w:val="auto"/>
              </w:rPr>
              <w:t>15.6</w:t>
            </w:r>
          </w:p>
        </w:tc>
        <w:tc>
          <w:tcPr>
            <w:tcW w:w="1600" w:type="dxa"/>
            <w:vAlign w:val="bottom"/>
            <w:shd w:val="clear" w:color="auto" w:fill="CCCCCC"/>
          </w:tcPr>
          <w:p>
            <w:pPr>
              <w:jc w:val="center"/>
              <w:spacing w:after="0" w:line="176" w:lineRule="exact"/>
              <w:rPr>
                <w:sz w:val="20"/>
                <w:szCs w:val="20"/>
                <w:color w:val="auto"/>
              </w:rPr>
            </w:pPr>
            <w:r>
              <w:rPr>
                <w:rFonts w:ascii="Arial" w:cs="Arial" w:eastAsia="Arial" w:hAnsi="Arial"/>
                <w:sz w:val="18"/>
                <w:szCs w:val="18"/>
                <w:color w:val="auto"/>
              </w:rPr>
              <w:t>Amortization, Other</w:t>
            </w:r>
          </w:p>
        </w:tc>
        <w:tc>
          <w:tcPr>
            <w:tcW w:w="0" w:type="dxa"/>
            <w:vAlign w:val="bottom"/>
          </w:tcPr>
          <w:p>
            <w:pPr>
              <w:spacing w:after="0"/>
              <w:rPr>
                <w:sz w:val="1"/>
                <w:szCs w:val="1"/>
                <w:color w:val="auto"/>
              </w:rPr>
            </w:pPr>
          </w:p>
        </w:tc>
      </w:tr>
      <w:tr>
        <w:trPr>
          <w:trHeight w:val="217"/>
        </w:trPr>
        <w:tc>
          <w:tcPr>
            <w:tcW w:w="6380" w:type="dxa"/>
            <w:vAlign w:val="bottom"/>
            <w:shd w:val="clear" w:color="auto" w:fill="CCCCCC"/>
          </w:tcPr>
          <w:p>
            <w:pPr>
              <w:spacing w:after="0"/>
              <w:rPr>
                <w:sz w:val="18"/>
                <w:szCs w:val="18"/>
                <w:color w:val="auto"/>
              </w:rPr>
            </w:pPr>
          </w:p>
        </w:tc>
        <w:tc>
          <w:tcPr>
            <w:tcW w:w="1610" w:type="dxa"/>
            <w:vAlign w:val="bottom"/>
            <w:shd w:val="clear" w:color="auto" w:fill="CCCCCC"/>
          </w:tcPr>
          <w:p>
            <w:pPr>
              <w:spacing w:after="0"/>
              <w:rPr>
                <w:sz w:val="18"/>
                <w:szCs w:val="18"/>
                <w:color w:val="auto"/>
              </w:rPr>
            </w:pPr>
          </w:p>
        </w:tc>
        <w:tc>
          <w:tcPr>
            <w:tcW w:w="1650" w:type="dxa"/>
            <w:vAlign w:val="bottom"/>
            <w:shd w:val="clear" w:color="auto" w:fill="CCCCCC"/>
          </w:tcPr>
          <w:p>
            <w:pPr>
              <w:spacing w:after="0"/>
              <w:rPr>
                <w:sz w:val="18"/>
                <w:szCs w:val="18"/>
                <w:color w:val="auto"/>
              </w:rPr>
            </w:pPr>
          </w:p>
        </w:tc>
        <w:tc>
          <w:tcPr>
            <w:tcW w:w="16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Changes in fair value of contingent consideration</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0.4</w:t>
            </w:r>
          </w:p>
        </w:tc>
        <w:tc>
          <w:tcPr>
            <w:tcW w:w="165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12.4</w:t>
            </w:r>
          </w:p>
        </w:tc>
        <w:tc>
          <w:tcPr>
            <w:tcW w:w="16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COGS</w:t>
            </w:r>
          </w:p>
        </w:tc>
        <w:tc>
          <w:tcPr>
            <w:tcW w:w="0" w:type="dxa"/>
            <w:vAlign w:val="bottom"/>
          </w:tcPr>
          <w:p>
            <w:pPr>
              <w:spacing w:after="0"/>
              <w:rPr>
                <w:sz w:val="1"/>
                <w:szCs w:val="1"/>
                <w:color w:val="auto"/>
              </w:rPr>
            </w:pPr>
          </w:p>
        </w:tc>
      </w:tr>
      <w:tr>
        <w:trPr>
          <w:trHeight w:val="202"/>
        </w:trPr>
        <w:tc>
          <w:tcPr>
            <w:tcW w:w="6380" w:type="dxa"/>
            <w:vAlign w:val="bottom"/>
            <w:vMerge w:val="restart"/>
            <w:shd w:val="clear" w:color="auto" w:fill="CCCCCC"/>
          </w:tcPr>
          <w:p>
            <w:pPr>
              <w:ind w:left="260"/>
              <w:spacing w:after="0"/>
              <w:rPr>
                <w:sz w:val="20"/>
                <w:szCs w:val="20"/>
                <w:color w:val="auto"/>
              </w:rPr>
            </w:pPr>
            <w:r>
              <w:rPr>
                <w:rFonts w:ascii="Arial" w:cs="Arial" w:eastAsia="Arial" w:hAnsi="Arial"/>
                <w:sz w:val="18"/>
                <w:szCs w:val="18"/>
                <w:color w:val="auto"/>
              </w:rPr>
              <w:t>+ Exit and disposal costs</w:t>
            </w:r>
          </w:p>
        </w:tc>
        <w:tc>
          <w:tcPr>
            <w:tcW w:w="161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0.1</w:t>
            </w:r>
          </w:p>
        </w:tc>
        <w:tc>
          <w:tcPr>
            <w:tcW w:w="165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CCCC"/>
          </w:tcPr>
          <w:p>
            <w:pPr>
              <w:jc w:val="center"/>
              <w:spacing w:after="0" w:line="201" w:lineRule="exact"/>
              <w:rPr>
                <w:sz w:val="20"/>
                <w:szCs w:val="20"/>
                <w:color w:val="auto"/>
              </w:rPr>
            </w:pPr>
            <w:r>
              <w:rPr>
                <w:rFonts w:ascii="Arial" w:cs="Arial" w:eastAsia="Arial" w:hAnsi="Arial"/>
                <w:sz w:val="18"/>
                <w:szCs w:val="18"/>
                <w:color w:val="auto"/>
                <w:w w:val="99"/>
              </w:rPr>
              <w:t>COGS, SG&amp;A,</w:t>
            </w:r>
          </w:p>
        </w:tc>
        <w:tc>
          <w:tcPr>
            <w:tcW w:w="0" w:type="dxa"/>
            <w:vAlign w:val="bottom"/>
          </w:tcPr>
          <w:p>
            <w:pPr>
              <w:spacing w:after="0"/>
              <w:rPr>
                <w:sz w:val="1"/>
                <w:szCs w:val="1"/>
                <w:color w:val="auto"/>
              </w:rPr>
            </w:pPr>
          </w:p>
        </w:tc>
      </w:tr>
      <w:tr>
        <w:trPr>
          <w:trHeight w:val="122"/>
        </w:trPr>
        <w:tc>
          <w:tcPr>
            <w:tcW w:w="6380" w:type="dxa"/>
            <w:vAlign w:val="bottom"/>
            <w:vMerge w:val="continue"/>
            <w:shd w:val="clear" w:color="auto" w:fill="CCCCCC"/>
          </w:tcPr>
          <w:p>
            <w:pPr>
              <w:spacing w:after="0"/>
              <w:rPr>
                <w:sz w:val="10"/>
                <w:szCs w:val="10"/>
                <w:color w:val="auto"/>
              </w:rPr>
            </w:pPr>
          </w:p>
        </w:tc>
        <w:tc>
          <w:tcPr>
            <w:tcW w:w="1610" w:type="dxa"/>
            <w:vAlign w:val="bottom"/>
            <w:vMerge w:val="continue"/>
            <w:shd w:val="clear" w:color="auto" w:fill="CCCCCC"/>
          </w:tcPr>
          <w:p>
            <w:pPr>
              <w:spacing w:after="0"/>
              <w:rPr>
                <w:sz w:val="10"/>
                <w:szCs w:val="10"/>
                <w:color w:val="auto"/>
              </w:rPr>
            </w:pPr>
          </w:p>
        </w:tc>
        <w:tc>
          <w:tcPr>
            <w:tcW w:w="1650" w:type="dxa"/>
            <w:vAlign w:val="bottom"/>
            <w:vMerge w:val="continue"/>
            <w:shd w:val="clear" w:color="auto" w:fill="CCCCCC"/>
          </w:tcPr>
          <w:p>
            <w:pPr>
              <w:spacing w:after="0"/>
              <w:rPr>
                <w:sz w:val="10"/>
                <w:szCs w:val="10"/>
                <w:color w:val="auto"/>
              </w:rPr>
            </w:pPr>
          </w:p>
        </w:tc>
        <w:tc>
          <w:tcPr>
            <w:tcW w:w="160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8"/>
              </w:rPr>
              <w:t>Other Income</w:t>
            </w:r>
          </w:p>
        </w:tc>
        <w:tc>
          <w:tcPr>
            <w:tcW w:w="0" w:type="dxa"/>
            <w:vAlign w:val="bottom"/>
          </w:tcPr>
          <w:p>
            <w:pPr>
              <w:spacing w:after="0"/>
              <w:rPr>
                <w:sz w:val="1"/>
                <w:szCs w:val="1"/>
                <w:color w:val="auto"/>
              </w:rPr>
            </w:pPr>
          </w:p>
        </w:tc>
      </w:tr>
      <w:tr>
        <w:trPr>
          <w:trHeight w:val="94"/>
        </w:trPr>
        <w:tc>
          <w:tcPr>
            <w:tcW w:w="6380" w:type="dxa"/>
            <w:vAlign w:val="bottom"/>
            <w:shd w:val="clear" w:color="auto" w:fill="CCCCCC"/>
          </w:tcPr>
          <w:p>
            <w:pPr>
              <w:spacing w:after="0"/>
              <w:rPr>
                <w:sz w:val="8"/>
                <w:szCs w:val="8"/>
                <w:color w:val="auto"/>
              </w:rPr>
            </w:pPr>
          </w:p>
        </w:tc>
        <w:tc>
          <w:tcPr>
            <w:tcW w:w="1610" w:type="dxa"/>
            <w:vAlign w:val="bottom"/>
            <w:shd w:val="clear" w:color="auto" w:fill="CCCCCC"/>
          </w:tcPr>
          <w:p>
            <w:pPr>
              <w:spacing w:after="0"/>
              <w:rPr>
                <w:sz w:val="8"/>
                <w:szCs w:val="8"/>
                <w:color w:val="auto"/>
              </w:rPr>
            </w:pPr>
          </w:p>
        </w:tc>
        <w:tc>
          <w:tcPr>
            <w:tcW w:w="1650" w:type="dxa"/>
            <w:vAlign w:val="bottom"/>
            <w:shd w:val="clear" w:color="auto" w:fill="CCCCCC"/>
          </w:tcPr>
          <w:p>
            <w:pPr>
              <w:spacing w:after="0"/>
              <w:rPr>
                <w:sz w:val="8"/>
                <w:szCs w:val="8"/>
                <w:color w:val="auto"/>
              </w:rPr>
            </w:pPr>
          </w:p>
        </w:tc>
        <w:tc>
          <w:tcPr>
            <w:tcW w:w="1600" w:type="dxa"/>
            <w:vAlign w:val="bottom"/>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Acquisition-related costs (transaction &amp; integration)</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0.1</w:t>
            </w:r>
          </w:p>
        </w:tc>
        <w:tc>
          <w:tcPr>
            <w:tcW w:w="165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2.0</w:t>
            </w:r>
          </w:p>
        </w:tc>
        <w:tc>
          <w:tcPr>
            <w:tcW w:w="16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SG&amp;A</w:t>
            </w:r>
          </w:p>
        </w:tc>
        <w:tc>
          <w:tcPr>
            <w:tcW w:w="0" w:type="dxa"/>
            <w:vAlign w:val="bottom"/>
          </w:tcPr>
          <w:p>
            <w:pPr>
              <w:spacing w:after="0"/>
              <w:rPr>
                <w:sz w:val="1"/>
                <w:szCs w:val="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Impairment of IPR&amp;D intangible asset</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65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12.0</w:t>
            </w:r>
          </w:p>
        </w:tc>
        <w:tc>
          <w:tcPr>
            <w:tcW w:w="16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R&amp;D</w:t>
            </w:r>
          </w:p>
        </w:tc>
        <w:tc>
          <w:tcPr>
            <w:tcW w:w="0" w:type="dxa"/>
            <w:vAlign w:val="bottom"/>
          </w:tcPr>
          <w:p>
            <w:pPr>
              <w:spacing w:after="0"/>
              <w:rPr>
                <w:sz w:val="1"/>
                <w:szCs w:val="1"/>
                <w:color w:val="auto"/>
              </w:rPr>
            </w:pPr>
          </w:p>
        </w:tc>
      </w:tr>
      <w:tr>
        <w:trPr>
          <w:trHeight w:val="24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Tax effect</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w:t>
            </w:r>
          </w:p>
        </w:tc>
        <w:tc>
          <w:tcPr>
            <w:tcW w:w="165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(6.2)</w:t>
            </w:r>
          </w:p>
        </w:tc>
        <w:tc>
          <w:tcPr>
            <w:tcW w:w="160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161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13.4</w:t>
            </w:r>
          </w:p>
        </w:tc>
        <w:tc>
          <w:tcPr>
            <w:tcW w:w="1650" w:type="dxa"/>
            <w:vAlign w:val="bottom"/>
            <w:tcBorders>
              <w:bottom w:val="single" w:sz="8" w:color="auto"/>
            </w:tcBorders>
            <w:shd w:val="clear" w:color="auto" w:fill="CCCCCC"/>
          </w:tcPr>
          <w:p>
            <w:pPr>
              <w:jc w:val="right"/>
              <w:ind w:right="10"/>
              <w:spacing w:after="0"/>
              <w:rPr>
                <w:sz w:val="20"/>
                <w:szCs w:val="20"/>
                <w:color w:val="auto"/>
              </w:rPr>
            </w:pPr>
            <w:r>
              <w:rPr>
                <w:rFonts w:ascii="Arial" w:cs="Arial" w:eastAsia="Arial" w:hAnsi="Arial"/>
                <w:sz w:val="18"/>
                <w:szCs w:val="18"/>
                <w:color w:val="auto"/>
              </w:rPr>
              <w:t>35.8</w:t>
            </w:r>
          </w:p>
        </w:tc>
        <w:tc>
          <w:tcPr>
            <w:tcW w:w="1600" w:type="dxa"/>
            <w:vAlign w:val="bottom"/>
            <w:tcBorders>
              <w:bottom w:val="single" w:sz="8" w:color="CCCCCC"/>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Adjusted Net Income</w:t>
            </w:r>
          </w:p>
        </w:tc>
        <w:tc>
          <w:tcPr>
            <w:tcW w:w="161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$198.8</w:t>
            </w:r>
          </w:p>
        </w:tc>
        <w:tc>
          <w:tcPr>
            <w:tcW w:w="1650" w:type="dxa"/>
            <w:vAlign w:val="bottom"/>
            <w:tcBorders>
              <w:bottom w:val="single" w:sz="8" w:color="auto"/>
            </w:tcBorders>
            <w:shd w:val="clear" w:color="auto" w:fill="CCCCCC"/>
          </w:tcPr>
          <w:p>
            <w:pPr>
              <w:jc w:val="right"/>
              <w:ind w:right="10"/>
              <w:spacing w:after="0"/>
              <w:rPr>
                <w:sz w:val="20"/>
                <w:szCs w:val="20"/>
                <w:color w:val="auto"/>
              </w:rPr>
            </w:pPr>
            <w:r>
              <w:rPr>
                <w:rFonts w:ascii="Arial" w:cs="Arial" w:eastAsia="Arial" w:hAnsi="Arial"/>
                <w:sz w:val="18"/>
                <w:szCs w:val="18"/>
                <w:color w:val="auto"/>
              </w:rPr>
              <w:t>$82.7</w:t>
            </w:r>
          </w:p>
        </w:tc>
        <w:tc>
          <w:tcPr>
            <w:tcW w:w="1600" w:type="dxa"/>
            <w:vAlign w:val="bottom"/>
            <w:tcBorders>
              <w:bottom w:val="single" w:sz="8" w:color="CCCCCC"/>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Net Income Per Diluted Share</w:t>
            </w:r>
          </w:p>
        </w:tc>
        <w:tc>
          <w:tcPr>
            <w:tcW w:w="161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$3.67</w:t>
            </w:r>
          </w:p>
        </w:tc>
        <w:tc>
          <w:tcPr>
            <w:tcW w:w="165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$1.57</w:t>
            </w:r>
          </w:p>
        </w:tc>
        <w:tc>
          <w:tcPr>
            <w:tcW w:w="16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85725</wp:posOffset>
            </wp:positionV>
            <wp:extent cx="7037705" cy="256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2562860"/>
                    </a:xfrm>
                    <a:prstGeom prst="rect">
                      <a:avLst/>
                    </a:prstGeom>
                    <a:noFill/>
                  </pic:spPr>
                </pic:pic>
              </a:graphicData>
            </a:graphic>
          </wp:anchor>
        </w:drawing>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300" w:type="dxa"/>
            <w:vAlign w:val="bottom"/>
            <w:shd w:val="clear" w:color="auto" w:fill="0F243E"/>
          </w:tcPr>
          <w:p>
            <w:pPr>
              <w:spacing w:after="0"/>
              <w:rPr>
                <w:sz w:val="24"/>
                <w:szCs w:val="24"/>
                <w:color w:val="auto"/>
              </w:rPr>
            </w:pPr>
          </w:p>
        </w:tc>
        <w:tc>
          <w:tcPr>
            <w:tcW w:w="4780" w:type="dxa"/>
            <w:vAlign w:val="bottom"/>
            <w:gridSpan w:val="5"/>
            <w:shd w:val="clear" w:color="auto" w:fill="0F243E"/>
          </w:tcPr>
          <w:p>
            <w:pPr>
              <w:ind w:left="1300"/>
              <w:spacing w:after="0"/>
              <w:rPr>
                <w:sz w:val="20"/>
                <w:szCs w:val="20"/>
                <w:color w:val="auto"/>
              </w:rPr>
            </w:pPr>
            <w:r>
              <w:rPr>
                <w:rFonts w:ascii="Arial" w:cs="Arial" w:eastAsia="Arial" w:hAnsi="Arial"/>
                <w:sz w:val="18"/>
                <w:szCs w:val="18"/>
                <w:b w:val="1"/>
                <w:bCs w:val="1"/>
                <w:color w:val="FFFFFF"/>
              </w:rPr>
              <w:t>Year Ended December 31,</w:t>
            </w:r>
          </w:p>
        </w:tc>
        <w:tc>
          <w:tcPr>
            <w:tcW w:w="0" w:type="dxa"/>
            <w:vAlign w:val="bottom"/>
          </w:tcPr>
          <w:p>
            <w:pPr>
              <w:spacing w:after="0"/>
              <w:rPr>
                <w:sz w:val="1"/>
                <w:szCs w:val="1"/>
                <w:color w:val="auto"/>
              </w:rPr>
            </w:pPr>
          </w:p>
        </w:tc>
      </w:tr>
      <w:tr>
        <w:trPr>
          <w:trHeight w:val="310"/>
        </w:trPr>
        <w:tc>
          <w:tcPr>
            <w:tcW w:w="630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 except per share value)</w:t>
            </w:r>
          </w:p>
        </w:tc>
        <w:tc>
          <w:tcPr>
            <w:tcW w:w="1560" w:type="dxa"/>
            <w:vAlign w:val="bottom"/>
            <w:shd w:val="clear" w:color="auto" w:fill="0F243E"/>
          </w:tcPr>
          <w:p>
            <w:pPr>
              <w:jc w:val="right"/>
              <w:ind w:right="470"/>
              <w:spacing w:after="0"/>
              <w:rPr>
                <w:sz w:val="20"/>
                <w:szCs w:val="20"/>
                <w:color w:val="auto"/>
              </w:rPr>
            </w:pPr>
            <w:r>
              <w:rPr>
                <w:rFonts w:ascii="Arial" w:cs="Arial" w:eastAsia="Arial" w:hAnsi="Arial"/>
                <w:sz w:val="18"/>
                <w:szCs w:val="18"/>
                <w:b w:val="1"/>
                <w:bCs w:val="1"/>
                <w:color w:val="FFFFFF"/>
              </w:rPr>
              <w:t>2020</w:t>
            </w:r>
          </w:p>
        </w:tc>
        <w:tc>
          <w:tcPr>
            <w:tcW w:w="40" w:type="dxa"/>
            <w:vAlign w:val="bottom"/>
            <w:shd w:val="clear" w:color="auto" w:fill="0F243E"/>
          </w:tcPr>
          <w:p>
            <w:pPr>
              <w:spacing w:after="0"/>
              <w:rPr>
                <w:sz w:val="24"/>
                <w:szCs w:val="24"/>
                <w:color w:val="auto"/>
              </w:rPr>
            </w:pPr>
          </w:p>
        </w:tc>
        <w:tc>
          <w:tcPr>
            <w:tcW w:w="1570" w:type="dxa"/>
            <w:vAlign w:val="bottom"/>
            <w:shd w:val="clear" w:color="auto" w:fill="0F243E"/>
          </w:tcPr>
          <w:p>
            <w:pPr>
              <w:jc w:val="right"/>
              <w:ind w:right="480"/>
              <w:spacing w:after="0"/>
              <w:rPr>
                <w:sz w:val="20"/>
                <w:szCs w:val="20"/>
                <w:color w:val="auto"/>
              </w:rPr>
            </w:pPr>
            <w:r>
              <w:rPr>
                <w:rFonts w:ascii="Arial" w:cs="Arial" w:eastAsia="Arial" w:hAnsi="Arial"/>
                <w:sz w:val="18"/>
                <w:szCs w:val="18"/>
                <w:b w:val="1"/>
                <w:bCs w:val="1"/>
                <w:color w:val="FFFFFF"/>
              </w:rPr>
              <w:t>2019</w:t>
            </w:r>
          </w:p>
        </w:tc>
        <w:tc>
          <w:tcPr>
            <w:tcW w:w="30" w:type="dxa"/>
            <w:vAlign w:val="bottom"/>
            <w:shd w:val="clear" w:color="auto" w:fill="0F243E"/>
          </w:tcPr>
          <w:p>
            <w:pPr>
              <w:spacing w:after="0"/>
              <w:rPr>
                <w:sz w:val="24"/>
                <w:szCs w:val="24"/>
                <w:color w:val="auto"/>
              </w:rPr>
            </w:pPr>
          </w:p>
        </w:tc>
        <w:tc>
          <w:tcPr>
            <w:tcW w:w="15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Source</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$305.1</w:t>
            </w: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$54.5</w:t>
            </w: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1560" w:type="dxa"/>
            <w:vAlign w:val="bottom"/>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spacing w:after="0"/>
              <w:rPr>
                <w:sz w:val="21"/>
                <w:szCs w:val="21"/>
                <w:color w:val="auto"/>
              </w:rPr>
            </w:pP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30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1570" w:type="dxa"/>
            <w:vAlign w:val="bottom"/>
            <w:shd w:val="clear" w:color="auto" w:fill="CCCCCC"/>
          </w:tcPr>
          <w:p>
            <w:pPr>
              <w:spacing w:after="0"/>
              <w:rPr>
                <w:sz w:val="17"/>
                <w:szCs w:val="17"/>
                <w:color w:val="auto"/>
              </w:rPr>
            </w:pPr>
          </w:p>
        </w:tc>
        <w:tc>
          <w:tcPr>
            <w:tcW w:w="30" w:type="dxa"/>
            <w:vAlign w:val="bottom"/>
            <w:shd w:val="clear" w:color="auto" w:fill="CCCCCC"/>
          </w:tcPr>
          <w:p>
            <w:pPr>
              <w:spacing w:after="0"/>
              <w:rPr>
                <w:sz w:val="17"/>
                <w:szCs w:val="17"/>
                <w:color w:val="auto"/>
              </w:rPr>
            </w:pPr>
          </w:p>
        </w:tc>
        <w:tc>
          <w:tcPr>
            <w:tcW w:w="1580" w:type="dxa"/>
            <w:vAlign w:val="bottom"/>
            <w:shd w:val="clear" w:color="auto" w:fill="CCCCCC"/>
          </w:tcPr>
          <w:p>
            <w:pPr>
              <w:jc w:val="center"/>
              <w:spacing w:after="0" w:line="201" w:lineRule="exact"/>
              <w:rPr>
                <w:sz w:val="20"/>
                <w:szCs w:val="20"/>
                <w:color w:val="auto"/>
              </w:rPr>
            </w:pPr>
            <w:r>
              <w:rPr>
                <w:rFonts w:ascii="Arial" w:cs="Arial" w:eastAsia="Arial" w:hAnsi="Arial"/>
                <w:sz w:val="18"/>
                <w:szCs w:val="18"/>
                <w:color w:val="auto"/>
                <w:w w:val="99"/>
              </w:rPr>
              <w:t>Intangible Asset</w:t>
            </w:r>
          </w:p>
        </w:tc>
        <w:tc>
          <w:tcPr>
            <w:tcW w:w="0" w:type="dxa"/>
            <w:vAlign w:val="bottom"/>
          </w:tcPr>
          <w:p>
            <w:pPr>
              <w:spacing w:after="0"/>
              <w:rPr>
                <w:sz w:val="1"/>
                <w:szCs w:val="1"/>
                <w:color w:val="auto"/>
              </w:rPr>
            </w:pPr>
          </w:p>
        </w:tc>
      </w:tr>
      <w:tr>
        <w:trPr>
          <w:trHeight w:val="175"/>
        </w:trPr>
        <w:tc>
          <w:tcPr>
            <w:tcW w:w="6300" w:type="dxa"/>
            <w:vAlign w:val="bottom"/>
            <w:shd w:val="clear" w:color="auto" w:fill="CCCCCC"/>
          </w:tcPr>
          <w:p>
            <w:pPr>
              <w:ind w:left="280"/>
              <w:spacing w:after="0" w:line="176" w:lineRule="exact"/>
              <w:rPr>
                <w:sz w:val="20"/>
                <w:szCs w:val="20"/>
                <w:color w:val="auto"/>
              </w:rPr>
            </w:pPr>
            <w:r>
              <w:rPr>
                <w:rFonts w:ascii="Arial" w:cs="Arial" w:eastAsia="Arial" w:hAnsi="Arial"/>
                <w:sz w:val="18"/>
                <w:szCs w:val="18"/>
                <w:color w:val="auto"/>
              </w:rPr>
              <w:t>+ Non-cash amortization charges</w:t>
            </w:r>
          </w:p>
        </w:tc>
        <w:tc>
          <w:tcPr>
            <w:tcW w:w="1560" w:type="dxa"/>
            <w:vAlign w:val="bottom"/>
            <w:shd w:val="clear" w:color="auto" w:fill="CCCCCC"/>
          </w:tcPr>
          <w:p>
            <w:pPr>
              <w:jc w:val="right"/>
              <w:spacing w:after="0" w:line="176" w:lineRule="exact"/>
              <w:rPr>
                <w:sz w:val="20"/>
                <w:szCs w:val="20"/>
                <w:color w:val="auto"/>
              </w:rPr>
            </w:pPr>
            <w:r>
              <w:rPr>
                <w:rFonts w:ascii="Arial" w:cs="Arial" w:eastAsia="Arial" w:hAnsi="Arial"/>
                <w:sz w:val="18"/>
                <w:szCs w:val="18"/>
                <w:color w:val="auto"/>
              </w:rPr>
              <w:t>63.4</w:t>
            </w:r>
          </w:p>
        </w:tc>
        <w:tc>
          <w:tcPr>
            <w:tcW w:w="40" w:type="dxa"/>
            <w:vAlign w:val="bottom"/>
            <w:shd w:val="clear" w:color="auto" w:fill="CCCCCC"/>
          </w:tcPr>
          <w:p>
            <w:pPr>
              <w:spacing w:after="0"/>
              <w:rPr>
                <w:sz w:val="15"/>
                <w:szCs w:val="15"/>
                <w:color w:val="auto"/>
              </w:rPr>
            </w:pPr>
          </w:p>
        </w:tc>
        <w:tc>
          <w:tcPr>
            <w:tcW w:w="1570" w:type="dxa"/>
            <w:vAlign w:val="bottom"/>
            <w:shd w:val="clear" w:color="auto" w:fill="CCCCCC"/>
          </w:tcPr>
          <w:p>
            <w:pPr>
              <w:jc w:val="right"/>
              <w:spacing w:after="0" w:line="176" w:lineRule="exact"/>
              <w:rPr>
                <w:sz w:val="20"/>
                <w:szCs w:val="20"/>
                <w:color w:val="auto"/>
              </w:rPr>
            </w:pPr>
            <w:r>
              <w:rPr>
                <w:rFonts w:ascii="Arial" w:cs="Arial" w:eastAsia="Arial" w:hAnsi="Arial"/>
                <w:sz w:val="18"/>
                <w:szCs w:val="18"/>
                <w:color w:val="auto"/>
              </w:rPr>
              <w:t>61.7</w:t>
            </w:r>
          </w:p>
        </w:tc>
        <w:tc>
          <w:tcPr>
            <w:tcW w:w="30" w:type="dxa"/>
            <w:vAlign w:val="bottom"/>
            <w:shd w:val="clear" w:color="auto" w:fill="CCCCCC"/>
          </w:tcPr>
          <w:p>
            <w:pPr>
              <w:spacing w:after="0"/>
              <w:rPr>
                <w:sz w:val="15"/>
                <w:szCs w:val="15"/>
                <w:color w:val="auto"/>
              </w:rPr>
            </w:pPr>
          </w:p>
        </w:tc>
        <w:tc>
          <w:tcPr>
            <w:tcW w:w="1580" w:type="dxa"/>
            <w:vAlign w:val="bottom"/>
            <w:shd w:val="clear" w:color="auto" w:fill="CCCCCC"/>
          </w:tcPr>
          <w:p>
            <w:pPr>
              <w:jc w:val="center"/>
              <w:spacing w:after="0" w:line="176"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17"/>
        </w:trPr>
        <w:tc>
          <w:tcPr>
            <w:tcW w:w="6300" w:type="dxa"/>
            <w:vAlign w:val="bottom"/>
            <w:shd w:val="clear" w:color="auto" w:fill="CCCCCC"/>
          </w:tcPr>
          <w:p>
            <w:pPr>
              <w:spacing w:after="0"/>
              <w:rPr>
                <w:sz w:val="18"/>
                <w:szCs w:val="18"/>
                <w:color w:val="auto"/>
              </w:rPr>
            </w:pPr>
          </w:p>
        </w:tc>
        <w:tc>
          <w:tcPr>
            <w:tcW w:w="15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1570" w:type="dxa"/>
            <w:vAlign w:val="bottom"/>
            <w:shd w:val="clear" w:color="auto" w:fill="CCCCCC"/>
          </w:tcPr>
          <w:p>
            <w:pPr>
              <w:spacing w:after="0"/>
              <w:rPr>
                <w:sz w:val="18"/>
                <w:szCs w:val="18"/>
                <w:color w:val="auto"/>
              </w:rPr>
            </w:pPr>
          </w:p>
        </w:tc>
        <w:tc>
          <w:tcPr>
            <w:tcW w:w="30" w:type="dxa"/>
            <w:vAlign w:val="bottom"/>
            <w:shd w:val="clear" w:color="auto" w:fill="CCCCCC"/>
          </w:tcPr>
          <w:p>
            <w:pPr>
              <w:spacing w:after="0"/>
              <w:rPr>
                <w:sz w:val="18"/>
                <w:szCs w:val="18"/>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Change in fair value of contingent consideration</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24.8</w:t>
            </w: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COGS</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Impairment of IPR&amp;D</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12.0</w:t>
            </w: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R&amp;D</w:t>
            </w:r>
          </w:p>
        </w:tc>
        <w:tc>
          <w:tcPr>
            <w:tcW w:w="0" w:type="dxa"/>
            <w:vAlign w:val="bottom"/>
          </w:tcPr>
          <w:p>
            <w:pPr>
              <w:spacing w:after="0"/>
              <w:rPr>
                <w:sz w:val="1"/>
                <w:szCs w:val="1"/>
                <w:color w:val="auto"/>
              </w:rPr>
            </w:pPr>
          </w:p>
        </w:tc>
      </w:tr>
      <w:tr>
        <w:trPr>
          <w:trHeight w:val="202"/>
        </w:trPr>
        <w:tc>
          <w:tcPr>
            <w:tcW w:w="6300" w:type="dxa"/>
            <w:vAlign w:val="bottom"/>
            <w:vMerge w:val="restart"/>
            <w:shd w:val="clear" w:color="auto" w:fill="CCCCCC"/>
          </w:tcPr>
          <w:p>
            <w:pPr>
              <w:ind w:left="280"/>
              <w:spacing w:after="0"/>
              <w:rPr>
                <w:sz w:val="20"/>
                <w:szCs w:val="20"/>
                <w:color w:val="auto"/>
              </w:rPr>
            </w:pPr>
            <w:r>
              <w:rPr>
                <w:rFonts w:ascii="Arial" w:cs="Arial" w:eastAsia="Arial" w:hAnsi="Arial"/>
                <w:sz w:val="18"/>
                <w:szCs w:val="18"/>
                <w:color w:val="auto"/>
              </w:rPr>
              <w:t>+ Exit and disposal costs</w:t>
            </w:r>
          </w:p>
        </w:tc>
        <w:tc>
          <w:tcPr>
            <w:tcW w:w="156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CCCC"/>
          </w:tcPr>
          <w:p>
            <w:pPr>
              <w:spacing w:after="0"/>
              <w:rPr>
                <w:sz w:val="17"/>
                <w:szCs w:val="17"/>
                <w:color w:val="auto"/>
              </w:rPr>
            </w:pPr>
          </w:p>
        </w:tc>
        <w:tc>
          <w:tcPr>
            <w:tcW w:w="157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0" w:type="dxa"/>
            <w:vAlign w:val="bottom"/>
            <w:shd w:val="clear" w:color="auto" w:fill="CCCCCC"/>
          </w:tcPr>
          <w:p>
            <w:pPr>
              <w:spacing w:after="0"/>
              <w:rPr>
                <w:sz w:val="17"/>
                <w:szCs w:val="17"/>
                <w:color w:val="auto"/>
              </w:rPr>
            </w:pPr>
          </w:p>
        </w:tc>
        <w:tc>
          <w:tcPr>
            <w:tcW w:w="1580" w:type="dxa"/>
            <w:vAlign w:val="bottom"/>
            <w:shd w:val="clear" w:color="auto" w:fill="CCCCCC"/>
          </w:tcPr>
          <w:p>
            <w:pPr>
              <w:jc w:val="center"/>
              <w:spacing w:after="0" w:line="201" w:lineRule="exact"/>
              <w:rPr>
                <w:sz w:val="20"/>
                <w:szCs w:val="20"/>
                <w:color w:val="auto"/>
              </w:rPr>
            </w:pPr>
            <w:r>
              <w:rPr>
                <w:rFonts w:ascii="Arial" w:cs="Arial" w:eastAsia="Arial" w:hAnsi="Arial"/>
                <w:sz w:val="18"/>
                <w:szCs w:val="18"/>
                <w:color w:val="auto"/>
                <w:w w:val="99"/>
              </w:rPr>
              <w:t>COGS, SG&amp;A,</w:t>
            </w:r>
          </w:p>
        </w:tc>
        <w:tc>
          <w:tcPr>
            <w:tcW w:w="0" w:type="dxa"/>
            <w:vAlign w:val="bottom"/>
          </w:tcPr>
          <w:p>
            <w:pPr>
              <w:spacing w:after="0"/>
              <w:rPr>
                <w:sz w:val="1"/>
                <w:szCs w:val="1"/>
                <w:color w:val="auto"/>
              </w:rPr>
            </w:pPr>
          </w:p>
        </w:tc>
      </w:tr>
      <w:tr>
        <w:trPr>
          <w:trHeight w:val="122"/>
        </w:trPr>
        <w:tc>
          <w:tcPr>
            <w:tcW w:w="6300" w:type="dxa"/>
            <w:vAlign w:val="bottom"/>
            <w:vMerge w:val="continue"/>
            <w:shd w:val="clear" w:color="auto" w:fill="CCCCCC"/>
          </w:tcPr>
          <w:p>
            <w:pPr>
              <w:spacing w:after="0"/>
              <w:rPr>
                <w:sz w:val="10"/>
                <w:szCs w:val="10"/>
                <w:color w:val="auto"/>
              </w:rPr>
            </w:pPr>
          </w:p>
        </w:tc>
        <w:tc>
          <w:tcPr>
            <w:tcW w:w="156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1570" w:type="dxa"/>
            <w:vAlign w:val="bottom"/>
            <w:vMerge w:val="continue"/>
            <w:shd w:val="clear" w:color="auto" w:fill="CCCCCC"/>
          </w:tcPr>
          <w:p>
            <w:pPr>
              <w:spacing w:after="0"/>
              <w:rPr>
                <w:sz w:val="10"/>
                <w:szCs w:val="10"/>
                <w:color w:val="auto"/>
              </w:rPr>
            </w:pPr>
          </w:p>
        </w:tc>
        <w:tc>
          <w:tcPr>
            <w:tcW w:w="30" w:type="dxa"/>
            <w:vAlign w:val="bottom"/>
            <w:shd w:val="clear" w:color="auto" w:fill="CCCCCC"/>
          </w:tcPr>
          <w:p>
            <w:pPr>
              <w:spacing w:after="0"/>
              <w:rPr>
                <w:sz w:val="10"/>
                <w:szCs w:val="10"/>
                <w:color w:val="auto"/>
              </w:rPr>
            </w:pPr>
          </w:p>
        </w:tc>
        <w:tc>
          <w:tcPr>
            <w:tcW w:w="158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94"/>
        </w:trPr>
        <w:tc>
          <w:tcPr>
            <w:tcW w:w="6300" w:type="dxa"/>
            <w:vAlign w:val="bottom"/>
            <w:shd w:val="clear" w:color="auto" w:fill="CCCCCC"/>
          </w:tcPr>
          <w:p>
            <w:pPr>
              <w:spacing w:after="0"/>
              <w:rPr>
                <w:sz w:val="8"/>
                <w:szCs w:val="8"/>
                <w:color w:val="auto"/>
              </w:rPr>
            </w:pPr>
          </w:p>
        </w:tc>
        <w:tc>
          <w:tcPr>
            <w:tcW w:w="156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1570" w:type="dxa"/>
            <w:vAlign w:val="bottom"/>
            <w:shd w:val="clear" w:color="auto" w:fill="CCCCCC"/>
          </w:tcPr>
          <w:p>
            <w:pPr>
              <w:spacing w:after="0"/>
              <w:rPr>
                <w:sz w:val="8"/>
                <w:szCs w:val="8"/>
                <w:color w:val="auto"/>
              </w:rPr>
            </w:pPr>
          </w:p>
        </w:tc>
        <w:tc>
          <w:tcPr>
            <w:tcW w:w="30" w:type="dxa"/>
            <w:vAlign w:val="bottom"/>
            <w:shd w:val="clear" w:color="auto" w:fill="CCCCCC"/>
          </w:tcPr>
          <w:p>
            <w:pPr>
              <w:spacing w:after="0"/>
              <w:rPr>
                <w:sz w:val="8"/>
                <w:szCs w:val="8"/>
                <w:color w:val="auto"/>
              </w:rPr>
            </w:pPr>
          </w:p>
        </w:tc>
        <w:tc>
          <w:tcPr>
            <w:tcW w:w="1580" w:type="dxa"/>
            <w:vAlign w:val="bottom"/>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Acquisition-related costs (transaction &amp; integration)</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12.6</w:t>
            </w: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SG&amp;A</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Impact of purchase accounting on inventory step-up</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21"/>
                <w:szCs w:val="21"/>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6.1</w:t>
            </w:r>
          </w:p>
        </w:tc>
        <w:tc>
          <w:tcPr>
            <w:tcW w:w="30" w:type="dxa"/>
            <w:vAlign w:val="bottom"/>
            <w:shd w:val="clear" w:color="auto" w:fill="CCCCCC"/>
          </w:tcPr>
          <w:p>
            <w:pPr>
              <w:spacing w:after="0"/>
              <w:rPr>
                <w:sz w:val="21"/>
                <w:szCs w:val="21"/>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COGS</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color w:val="auto"/>
              </w:rPr>
              <w:t>Tax effect</w:t>
            </w:r>
          </w:p>
        </w:tc>
        <w:tc>
          <w:tcPr>
            <w:tcW w:w="15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auto"/>
            </w:tcBorders>
            <w:shd w:val="clear" w:color="auto" w:fill="CCCCCC"/>
          </w:tcPr>
          <w:p>
            <w:pPr>
              <w:spacing w:after="0"/>
              <w:rPr>
                <w:sz w:val="21"/>
                <w:szCs w:val="21"/>
                <w:color w:val="auto"/>
              </w:rPr>
            </w:pPr>
          </w:p>
        </w:tc>
        <w:tc>
          <w:tcPr>
            <w:tcW w:w="157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(19.4)</w:t>
            </w:r>
          </w:p>
        </w:tc>
        <w:tc>
          <w:tcPr>
            <w:tcW w:w="30" w:type="dxa"/>
            <w:vAlign w:val="bottom"/>
            <w:tcBorders>
              <w:bottom w:val="single" w:sz="8" w:color="auto"/>
            </w:tcBorders>
            <w:shd w:val="clear" w:color="auto" w:fill="CCCCCC"/>
          </w:tcPr>
          <w:p>
            <w:pPr>
              <w:spacing w:after="0"/>
              <w:rPr>
                <w:sz w:val="21"/>
                <w:szCs w:val="21"/>
                <w:color w:val="auto"/>
              </w:rPr>
            </w:pPr>
          </w:p>
        </w:tc>
        <w:tc>
          <w:tcPr>
            <w:tcW w:w="1580" w:type="dxa"/>
            <w:vAlign w:val="bottom"/>
            <w:tcBorders>
              <w:bottom w:val="single" w:sz="8" w:color="CCCCCC"/>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15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Borders>
              <w:bottom w:val="single" w:sz="8" w:color="auto"/>
            </w:tcBorders>
            <w:shd w:val="clear" w:color="auto" w:fill="CCCCCC"/>
          </w:tcPr>
          <w:p>
            <w:pPr>
              <w:spacing w:after="0"/>
              <w:rPr>
                <w:sz w:val="19"/>
                <w:szCs w:val="19"/>
                <w:color w:val="auto"/>
              </w:rPr>
            </w:pPr>
          </w:p>
        </w:tc>
        <w:tc>
          <w:tcPr>
            <w:tcW w:w="157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97.8</w:t>
            </w:r>
          </w:p>
        </w:tc>
        <w:tc>
          <w:tcPr>
            <w:tcW w:w="30" w:type="dxa"/>
            <w:vAlign w:val="bottom"/>
            <w:tcBorders>
              <w:bottom w:val="single" w:sz="8" w:color="auto"/>
            </w:tcBorders>
            <w:shd w:val="clear" w:color="auto" w:fill="CCCCCC"/>
          </w:tcPr>
          <w:p>
            <w:pPr>
              <w:spacing w:after="0"/>
              <w:rPr>
                <w:sz w:val="19"/>
                <w:szCs w:val="19"/>
                <w:color w:val="auto"/>
              </w:rPr>
            </w:pPr>
          </w:p>
        </w:tc>
        <w:tc>
          <w:tcPr>
            <w:tcW w:w="1580" w:type="dxa"/>
            <w:vAlign w:val="bottom"/>
            <w:tcBorders>
              <w:bottom w:val="single" w:sz="8" w:color="CCCCCC"/>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Adjusted Net Income</w:t>
            </w:r>
          </w:p>
        </w:tc>
        <w:tc>
          <w:tcPr>
            <w:tcW w:w="15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$423.9</w:t>
            </w:r>
          </w:p>
        </w:tc>
        <w:tc>
          <w:tcPr>
            <w:tcW w:w="40" w:type="dxa"/>
            <w:vAlign w:val="bottom"/>
            <w:tcBorders>
              <w:bottom w:val="single" w:sz="8" w:color="auto"/>
            </w:tcBorders>
            <w:shd w:val="clear" w:color="auto" w:fill="CCCCCC"/>
          </w:tcPr>
          <w:p>
            <w:pPr>
              <w:spacing w:after="0"/>
              <w:rPr>
                <w:sz w:val="19"/>
                <w:szCs w:val="19"/>
                <w:color w:val="auto"/>
              </w:rPr>
            </w:pPr>
          </w:p>
        </w:tc>
        <w:tc>
          <w:tcPr>
            <w:tcW w:w="157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$152.3</w:t>
            </w:r>
          </w:p>
        </w:tc>
        <w:tc>
          <w:tcPr>
            <w:tcW w:w="30" w:type="dxa"/>
            <w:vAlign w:val="bottom"/>
            <w:tcBorders>
              <w:bottom w:val="single" w:sz="8" w:color="auto"/>
            </w:tcBorders>
            <w:shd w:val="clear" w:color="auto" w:fill="CCCCCC"/>
          </w:tcPr>
          <w:p>
            <w:pPr>
              <w:spacing w:after="0"/>
              <w:rPr>
                <w:sz w:val="19"/>
                <w:szCs w:val="19"/>
                <w:color w:val="auto"/>
              </w:rPr>
            </w:pPr>
          </w:p>
        </w:tc>
        <w:tc>
          <w:tcPr>
            <w:tcW w:w="1580" w:type="dxa"/>
            <w:vAlign w:val="bottom"/>
            <w:tcBorders>
              <w:bottom w:val="single" w:sz="8" w:color="CCCCCC"/>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Net Income Per Diluted Share</w:t>
            </w:r>
          </w:p>
        </w:tc>
        <w:tc>
          <w:tcPr>
            <w:tcW w:w="1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$7.88</w:t>
            </w:r>
          </w:p>
        </w:tc>
        <w:tc>
          <w:tcPr>
            <w:tcW w:w="40" w:type="dxa"/>
            <w:vAlign w:val="bottom"/>
            <w:shd w:val="clear" w:color="auto" w:fill="CCCCCC"/>
          </w:tcPr>
          <w:p>
            <w:pPr>
              <w:spacing w:after="0"/>
              <w:rPr>
                <w:sz w:val="19"/>
                <w:szCs w:val="19"/>
                <w:color w:val="auto"/>
              </w:rPr>
            </w:pPr>
          </w:p>
        </w:tc>
        <w:tc>
          <w:tcPr>
            <w:tcW w:w="157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$2.91</w:t>
            </w:r>
          </w:p>
        </w:tc>
        <w:tc>
          <w:tcPr>
            <w:tcW w:w="30" w:type="dxa"/>
            <w:vAlign w:val="bottom"/>
            <w:shd w:val="clear" w:color="auto" w:fill="CCCCCC"/>
          </w:tcPr>
          <w:p>
            <w:pPr>
              <w:spacing w:after="0"/>
              <w:rPr>
                <w:sz w:val="19"/>
                <w:szCs w:val="19"/>
                <w:color w:val="auto"/>
              </w:rPr>
            </w:pPr>
          </w:p>
        </w:tc>
        <w:tc>
          <w:tcPr>
            <w:tcW w:w="158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68580</wp:posOffset>
            </wp:positionV>
            <wp:extent cx="7037705" cy="184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1843405"/>
                    </a:xfrm>
                    <a:prstGeom prst="rect">
                      <a:avLst/>
                    </a:prstGeom>
                    <a:noFill/>
                  </pic:spPr>
                </pic:pic>
              </a:graphicData>
            </a:graphic>
          </wp:anchor>
        </w:drawing>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6300" w:type="dxa"/>
            <w:vAlign w:val="bottom"/>
            <w:shd w:val="clear" w:color="auto" w:fill="0F243E"/>
          </w:tcPr>
          <w:p>
            <w:pPr>
              <w:spacing w:after="0"/>
              <w:rPr>
                <w:sz w:val="24"/>
                <w:szCs w:val="24"/>
                <w:color w:val="auto"/>
              </w:rPr>
            </w:pPr>
          </w:p>
        </w:tc>
        <w:tc>
          <w:tcPr>
            <w:tcW w:w="3200" w:type="dxa"/>
            <w:vAlign w:val="bottom"/>
            <w:shd w:val="clear" w:color="auto" w:fill="0F243E"/>
          </w:tcPr>
          <w:p>
            <w:pPr>
              <w:jc w:val="right"/>
              <w:ind w:right="730"/>
              <w:spacing w:after="0"/>
              <w:rPr>
                <w:sz w:val="20"/>
                <w:szCs w:val="20"/>
                <w:color w:val="auto"/>
              </w:rPr>
            </w:pPr>
            <w:r>
              <w:rPr>
                <w:rFonts w:ascii="Arial" w:cs="Arial" w:eastAsia="Arial" w:hAnsi="Arial"/>
                <w:sz w:val="18"/>
                <w:szCs w:val="18"/>
                <w:b w:val="1"/>
                <w:bCs w:val="1"/>
                <w:color w:val="FFFFFF"/>
              </w:rPr>
              <w:t>Full Year Forecast</w:t>
            </w:r>
          </w:p>
        </w:tc>
        <w:tc>
          <w:tcPr>
            <w:tcW w:w="1580" w:type="dxa"/>
            <w:vAlign w:val="bottom"/>
            <w:shd w:val="clear" w:color="auto" w:fill="0F243E"/>
          </w:tcPr>
          <w:p>
            <w:pPr>
              <w:spacing w:after="0"/>
              <w:rPr>
                <w:sz w:val="24"/>
                <w:szCs w:val="24"/>
                <w:color w:val="auto"/>
              </w:rPr>
            </w:pPr>
          </w:p>
        </w:tc>
      </w:tr>
      <w:tr>
        <w:trPr>
          <w:trHeight w:val="310"/>
        </w:trPr>
        <w:tc>
          <w:tcPr>
            <w:tcW w:w="630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3200" w:type="dxa"/>
            <w:vAlign w:val="bottom"/>
            <w:shd w:val="clear" w:color="auto" w:fill="0F243E"/>
          </w:tcPr>
          <w:p>
            <w:pPr>
              <w:jc w:val="right"/>
              <w:ind w:right="1250"/>
              <w:spacing w:after="0"/>
              <w:rPr>
                <w:sz w:val="20"/>
                <w:szCs w:val="20"/>
                <w:color w:val="auto"/>
              </w:rPr>
            </w:pPr>
            <w:r>
              <w:rPr>
                <w:rFonts w:ascii="Arial" w:cs="Arial" w:eastAsia="Arial" w:hAnsi="Arial"/>
                <w:sz w:val="18"/>
                <w:szCs w:val="18"/>
                <w:b w:val="1"/>
                <w:bCs w:val="1"/>
                <w:color w:val="FFFFFF"/>
              </w:rPr>
              <w:t>2021F</w:t>
            </w:r>
          </w:p>
        </w:tc>
        <w:tc>
          <w:tcPr>
            <w:tcW w:w="15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Source</w:t>
            </w:r>
          </w:p>
        </w:tc>
      </w:tr>
      <w:tr>
        <w:trPr>
          <w:trHeight w:val="24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3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$420.0 - $470.0</w:t>
            </w:r>
          </w:p>
        </w:tc>
        <w:tc>
          <w:tcPr>
            <w:tcW w:w="1580" w:type="dxa"/>
            <w:vAlign w:val="bottom"/>
            <w:shd w:val="clear" w:color="auto" w:fill="CCCCCC"/>
          </w:tcPr>
          <w:p>
            <w:pPr>
              <w:spacing w:after="0"/>
              <w:rPr>
                <w:sz w:val="21"/>
                <w:szCs w:val="21"/>
                <w:color w:val="auto"/>
              </w:rPr>
            </w:pPr>
          </w:p>
        </w:tc>
      </w:tr>
      <w:tr>
        <w:trPr>
          <w:trHeight w:val="24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3200" w:type="dxa"/>
            <w:vAlign w:val="bottom"/>
            <w:shd w:val="clear" w:color="auto" w:fill="CCCCCC"/>
          </w:tcPr>
          <w:p>
            <w:pPr>
              <w:spacing w:after="0"/>
              <w:rPr>
                <w:sz w:val="21"/>
                <w:szCs w:val="21"/>
                <w:color w:val="auto"/>
              </w:rPr>
            </w:pPr>
          </w:p>
        </w:tc>
        <w:tc>
          <w:tcPr>
            <w:tcW w:w="1580" w:type="dxa"/>
            <w:vAlign w:val="bottom"/>
            <w:shd w:val="clear" w:color="auto" w:fill="CCCCCC"/>
          </w:tcPr>
          <w:p>
            <w:pPr>
              <w:spacing w:after="0"/>
              <w:rPr>
                <w:sz w:val="21"/>
                <w:szCs w:val="21"/>
                <w:color w:val="auto"/>
              </w:rPr>
            </w:pPr>
          </w:p>
        </w:tc>
      </w:tr>
      <w:tr>
        <w:trPr>
          <w:trHeight w:val="202"/>
        </w:trPr>
        <w:tc>
          <w:tcPr>
            <w:tcW w:w="6300" w:type="dxa"/>
            <w:vAlign w:val="bottom"/>
            <w:shd w:val="clear" w:color="auto" w:fill="CCCCCC"/>
          </w:tcPr>
          <w:p>
            <w:pPr>
              <w:spacing w:after="0"/>
              <w:rPr>
                <w:sz w:val="17"/>
                <w:szCs w:val="17"/>
                <w:color w:val="auto"/>
              </w:rPr>
            </w:pPr>
          </w:p>
        </w:tc>
        <w:tc>
          <w:tcPr>
            <w:tcW w:w="3200" w:type="dxa"/>
            <w:vAlign w:val="bottom"/>
            <w:shd w:val="clear" w:color="auto" w:fill="CCCCCC"/>
          </w:tcPr>
          <w:p>
            <w:pPr>
              <w:spacing w:after="0"/>
              <w:rPr>
                <w:sz w:val="17"/>
                <w:szCs w:val="17"/>
                <w:color w:val="auto"/>
              </w:rPr>
            </w:pPr>
          </w:p>
        </w:tc>
        <w:tc>
          <w:tcPr>
            <w:tcW w:w="1580" w:type="dxa"/>
            <w:vAlign w:val="bottom"/>
            <w:shd w:val="clear" w:color="auto" w:fill="CCCCCC"/>
          </w:tcPr>
          <w:p>
            <w:pPr>
              <w:jc w:val="center"/>
              <w:spacing w:after="0" w:line="201" w:lineRule="exact"/>
              <w:rPr>
                <w:sz w:val="20"/>
                <w:szCs w:val="20"/>
                <w:color w:val="auto"/>
              </w:rPr>
            </w:pPr>
            <w:r>
              <w:rPr>
                <w:rFonts w:ascii="Arial" w:cs="Arial" w:eastAsia="Arial" w:hAnsi="Arial"/>
                <w:sz w:val="18"/>
                <w:szCs w:val="18"/>
                <w:color w:val="auto"/>
                <w:w w:val="99"/>
              </w:rPr>
              <w:t>Intangible Asset</w:t>
            </w:r>
          </w:p>
        </w:tc>
      </w:tr>
      <w:tr>
        <w:trPr>
          <w:trHeight w:val="175"/>
        </w:trPr>
        <w:tc>
          <w:tcPr>
            <w:tcW w:w="6300" w:type="dxa"/>
            <w:vAlign w:val="bottom"/>
            <w:shd w:val="clear" w:color="auto" w:fill="CCCCCC"/>
          </w:tcPr>
          <w:p>
            <w:pPr>
              <w:ind w:left="280"/>
              <w:spacing w:after="0" w:line="176" w:lineRule="exact"/>
              <w:rPr>
                <w:sz w:val="20"/>
                <w:szCs w:val="20"/>
                <w:color w:val="auto"/>
              </w:rPr>
            </w:pPr>
            <w:r>
              <w:rPr>
                <w:rFonts w:ascii="Arial" w:cs="Arial" w:eastAsia="Arial" w:hAnsi="Arial"/>
                <w:sz w:val="18"/>
                <w:szCs w:val="18"/>
                <w:color w:val="auto"/>
              </w:rPr>
              <w:t>+ Non-cash amortization charges</w:t>
            </w:r>
          </w:p>
        </w:tc>
        <w:tc>
          <w:tcPr>
            <w:tcW w:w="3200" w:type="dxa"/>
            <w:vAlign w:val="bottom"/>
            <w:shd w:val="clear" w:color="auto" w:fill="CCCCCC"/>
          </w:tcPr>
          <w:p>
            <w:pPr>
              <w:jc w:val="right"/>
              <w:spacing w:after="0" w:line="176" w:lineRule="exact"/>
              <w:rPr>
                <w:sz w:val="20"/>
                <w:szCs w:val="20"/>
                <w:color w:val="auto"/>
              </w:rPr>
            </w:pPr>
            <w:r>
              <w:rPr>
                <w:rFonts w:ascii="Arial" w:cs="Arial" w:eastAsia="Arial" w:hAnsi="Arial"/>
                <w:sz w:val="18"/>
                <w:szCs w:val="18"/>
                <w:color w:val="auto"/>
              </w:rPr>
              <w:t>64.0</w:t>
            </w:r>
          </w:p>
        </w:tc>
        <w:tc>
          <w:tcPr>
            <w:tcW w:w="1580" w:type="dxa"/>
            <w:vAlign w:val="bottom"/>
            <w:shd w:val="clear" w:color="auto" w:fill="CCCCCC"/>
          </w:tcPr>
          <w:p>
            <w:pPr>
              <w:jc w:val="center"/>
              <w:spacing w:after="0" w:line="176" w:lineRule="exact"/>
              <w:rPr>
                <w:sz w:val="20"/>
                <w:szCs w:val="20"/>
                <w:color w:val="auto"/>
              </w:rPr>
            </w:pPr>
            <w:r>
              <w:rPr>
                <w:rFonts w:ascii="Arial" w:cs="Arial" w:eastAsia="Arial" w:hAnsi="Arial"/>
                <w:sz w:val="18"/>
                <w:szCs w:val="18"/>
                <w:color w:val="auto"/>
              </w:rPr>
              <w:t>Amortization,</w:t>
            </w:r>
          </w:p>
        </w:tc>
      </w:tr>
      <w:tr>
        <w:trPr>
          <w:trHeight w:val="217"/>
        </w:trPr>
        <w:tc>
          <w:tcPr>
            <w:tcW w:w="6300" w:type="dxa"/>
            <w:vAlign w:val="bottom"/>
            <w:shd w:val="clear" w:color="auto" w:fill="CCCCCC"/>
          </w:tcPr>
          <w:p>
            <w:pPr>
              <w:spacing w:after="0"/>
              <w:rPr>
                <w:sz w:val="18"/>
                <w:szCs w:val="18"/>
                <w:color w:val="auto"/>
              </w:rPr>
            </w:pPr>
          </w:p>
        </w:tc>
        <w:tc>
          <w:tcPr>
            <w:tcW w:w="3200" w:type="dxa"/>
            <w:vAlign w:val="bottom"/>
            <w:shd w:val="clear" w:color="auto" w:fill="CCCCCC"/>
          </w:tcPr>
          <w:p>
            <w:pPr>
              <w:spacing w:after="0"/>
              <w:rPr>
                <w:sz w:val="18"/>
                <w:szCs w:val="18"/>
                <w:color w:val="auto"/>
              </w:rPr>
            </w:pP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Other Income</w:t>
            </w: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Changes in fair value of contingent consideration</w:t>
            </w:r>
          </w:p>
        </w:tc>
        <w:tc>
          <w:tcPr>
            <w:tcW w:w="3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w:t>
            </w: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COGS</w:t>
            </w: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Acquisition-related costs (transaction &amp; integration)</w:t>
            </w:r>
          </w:p>
        </w:tc>
        <w:tc>
          <w:tcPr>
            <w:tcW w:w="3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SG&amp;A</w:t>
            </w:r>
          </w:p>
        </w:tc>
      </w:tr>
      <w:tr>
        <w:trPr>
          <w:trHeight w:val="243"/>
        </w:trPr>
        <w:tc>
          <w:tcPr>
            <w:tcW w:w="6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Tax effect</w:t>
            </w:r>
          </w:p>
        </w:tc>
        <w:tc>
          <w:tcPr>
            <w:tcW w:w="3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(14.0)</w:t>
            </w:r>
          </w:p>
        </w:tc>
        <w:tc>
          <w:tcPr>
            <w:tcW w:w="1580" w:type="dxa"/>
            <w:vAlign w:val="bottom"/>
            <w:tcBorders>
              <w:bottom w:val="single" w:sz="8" w:color="CCCCCC"/>
            </w:tcBorders>
            <w:shd w:val="clear" w:color="auto" w:fill="CCCCCC"/>
          </w:tcPr>
          <w:p>
            <w:pPr>
              <w:spacing w:after="0"/>
              <w:rPr>
                <w:sz w:val="21"/>
                <w:szCs w:val="21"/>
                <w:color w:val="auto"/>
              </w:rPr>
            </w:pPr>
          </w:p>
        </w:tc>
      </w:tr>
      <w:tr>
        <w:trPr>
          <w:trHeight w:val="223"/>
        </w:trPr>
        <w:tc>
          <w:tcPr>
            <w:tcW w:w="6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3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55.0</w:t>
            </w:r>
          </w:p>
        </w:tc>
        <w:tc>
          <w:tcPr>
            <w:tcW w:w="1580" w:type="dxa"/>
            <w:vAlign w:val="bottom"/>
            <w:tcBorders>
              <w:bottom w:val="single" w:sz="8" w:color="CCCCCC"/>
            </w:tcBorders>
            <w:shd w:val="clear" w:color="auto" w:fill="CCCCCC"/>
          </w:tcPr>
          <w:p>
            <w:pPr>
              <w:spacing w:after="0"/>
              <w:rPr>
                <w:sz w:val="19"/>
                <w:szCs w:val="19"/>
                <w:color w:val="auto"/>
              </w:rPr>
            </w:pPr>
          </w:p>
        </w:tc>
      </w:tr>
      <w:tr>
        <w:trPr>
          <w:trHeight w:val="223"/>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Net Income</w:t>
            </w:r>
          </w:p>
        </w:tc>
        <w:tc>
          <w:tcPr>
            <w:tcW w:w="3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$475.0 - $525.0</w:t>
            </w:r>
          </w:p>
        </w:tc>
        <w:tc>
          <w:tcPr>
            <w:tcW w:w="1580" w:type="dxa"/>
            <w:vAlign w:val="bottom"/>
            <w:shd w:val="clear" w:color="auto" w:fill="CCCCC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 of 15</w:t>
      </w:r>
    </w:p>
    <w:p>
      <w:pPr>
        <w:sectPr>
          <w:pgSz w:w="11900" w:h="16838" w:orient="portrait"/>
          <w:cols w:equalWidth="0" w:num="1">
            <w:col w:w="11240"/>
          </w:cols>
          <w:pgMar w:left="320" w:top="99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2202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2202815"/>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FFFFFF"/>
        </w:rPr>
        <w:t>Three Months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320" w:type="dxa"/>
            <w:vAlign w:val="bottom"/>
          </w:tcPr>
          <w:p>
            <w:pPr>
              <w:ind w:left="40"/>
              <w:spacing w:after="0"/>
              <w:rPr>
                <w:sz w:val="20"/>
                <w:szCs w:val="20"/>
                <w:color w:val="auto"/>
              </w:rPr>
            </w:pPr>
            <w:r>
              <w:rPr>
                <w:rFonts w:ascii="Arial" w:cs="Arial" w:eastAsia="Arial" w:hAnsi="Arial"/>
                <w:sz w:val="16"/>
                <w:szCs w:val="16"/>
                <w:i w:val="1"/>
                <w:iCs w:val="1"/>
                <w:color w:val="FFFFFF"/>
              </w:rPr>
              <w:t>(in millions)</w:t>
            </w:r>
          </w:p>
        </w:tc>
        <w:tc>
          <w:tcPr>
            <w:tcW w:w="2440" w:type="dxa"/>
            <w:vAlign w:val="bottom"/>
          </w:tcPr>
          <w:p>
            <w:pPr>
              <w:jc w:val="right"/>
              <w:ind w:right="910"/>
              <w:spacing w:after="0"/>
              <w:rPr>
                <w:sz w:val="20"/>
                <w:szCs w:val="20"/>
                <w:color w:val="auto"/>
              </w:rPr>
            </w:pPr>
            <w:r>
              <w:rPr>
                <w:rFonts w:ascii="Arial" w:cs="Arial" w:eastAsia="Arial" w:hAnsi="Arial"/>
                <w:sz w:val="18"/>
                <w:szCs w:val="18"/>
                <w:b w:val="1"/>
                <w:bCs w:val="1"/>
                <w:color w:val="FFFFFF"/>
              </w:rPr>
              <w:t>2020</w:t>
            </w:r>
          </w:p>
        </w:tc>
        <w:tc>
          <w:tcPr>
            <w:tcW w:w="2480" w:type="dxa"/>
            <w:vAlign w:val="bottom"/>
          </w:tcPr>
          <w:p>
            <w:pPr>
              <w:jc w:val="right"/>
              <w:ind w:right="930"/>
              <w:spacing w:after="0"/>
              <w:rPr>
                <w:sz w:val="20"/>
                <w:szCs w:val="20"/>
                <w:color w:val="auto"/>
              </w:rPr>
            </w:pPr>
            <w:r>
              <w:rPr>
                <w:rFonts w:ascii="Arial" w:cs="Arial" w:eastAsia="Arial" w:hAnsi="Arial"/>
                <w:sz w:val="18"/>
                <w:szCs w:val="18"/>
                <w:b w:val="1"/>
                <w:bCs w:val="1"/>
                <w:color w:val="FFFFFF"/>
              </w:rPr>
              <w:t>2019</w:t>
            </w:r>
          </w:p>
        </w:tc>
      </w:tr>
      <w:tr>
        <w:trPr>
          <w:trHeight w:val="246"/>
        </w:trPr>
        <w:tc>
          <w:tcPr>
            <w:tcW w:w="632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$185.4</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632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2440" w:type="dxa"/>
            <w:vAlign w:val="bottom"/>
            <w:shd w:val="clear" w:color="auto" w:fill="CCCCCC"/>
          </w:tcPr>
          <w:p>
            <w:pPr>
              <w:spacing w:after="0"/>
              <w:rPr>
                <w:sz w:val="21"/>
                <w:szCs w:val="21"/>
                <w:color w:val="auto"/>
              </w:rPr>
            </w:pPr>
          </w:p>
        </w:tc>
        <w:tc>
          <w:tcPr>
            <w:tcW w:w="2480" w:type="dxa"/>
            <w:vAlign w:val="bottom"/>
            <w:shd w:val="clear" w:color="auto" w:fill="CCCCCC"/>
          </w:tcPr>
          <w:p>
            <w:pPr>
              <w:spacing w:after="0"/>
              <w:rPr>
                <w:sz w:val="21"/>
                <w:szCs w:val="21"/>
                <w:color w:val="auto"/>
              </w:rPr>
            </w:pP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Depreciation &amp; amortization</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28.9</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Income Taxes</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67.4</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Total interest expense, net*</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8.6</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Change in fair value of contingent consideration</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0.4</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Exit and disposal costs*</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0.1</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Acquisition-related costs (transaction &amp; integration)</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0.1</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32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color w:val="auto"/>
              </w:rPr>
              <w:t>+ Impairment of IPR&amp;D intangible asset</w:t>
            </w:r>
          </w:p>
        </w:tc>
        <w:tc>
          <w:tcPr>
            <w:tcW w:w="2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63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2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105.5</w:t>
            </w:r>
          </w:p>
        </w:tc>
        <w:tc>
          <w:tcPr>
            <w:tcW w:w="2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87.4</w:t>
            </w:r>
          </w:p>
        </w:tc>
      </w:tr>
      <w:tr>
        <w:trPr>
          <w:trHeight w:val="223"/>
        </w:trPr>
        <w:tc>
          <w:tcPr>
            <w:tcW w:w="632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EBITDA</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$290.9</w:t>
            </w:r>
          </w:p>
        </w:tc>
        <w:tc>
          <w:tcPr>
            <w:tcW w:w="2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$134.3</w:t>
            </w:r>
          </w:p>
        </w:tc>
      </w:tr>
      <w:tr>
        <w:trPr>
          <w:trHeight w:val="243"/>
        </w:trPr>
        <w:tc>
          <w:tcPr>
            <w:tcW w:w="6320" w:type="dxa"/>
            <w:vAlign w:val="bottom"/>
            <w:shd w:val="clear" w:color="auto" w:fill="DBDBDB"/>
          </w:tcPr>
          <w:p>
            <w:pPr>
              <w:ind w:left="40"/>
              <w:spacing w:after="0"/>
              <w:rPr>
                <w:sz w:val="20"/>
                <w:szCs w:val="20"/>
                <w:color w:val="auto"/>
              </w:rPr>
            </w:pPr>
            <w:r>
              <w:rPr>
                <w:rFonts w:ascii="Arial" w:cs="Arial" w:eastAsia="Arial" w:hAnsi="Arial"/>
                <w:sz w:val="18"/>
                <w:szCs w:val="18"/>
                <w:color w:val="auto"/>
              </w:rPr>
              <w:t>* Includes interest income of $0.1 million in 2020 and $0.7 million in 2019</w:t>
            </w:r>
          </w:p>
        </w:tc>
        <w:tc>
          <w:tcPr>
            <w:tcW w:w="2440" w:type="dxa"/>
            <w:vAlign w:val="bottom"/>
            <w:shd w:val="clear" w:color="auto" w:fill="DBDBDB"/>
          </w:tcPr>
          <w:p>
            <w:pPr>
              <w:spacing w:after="0"/>
              <w:rPr>
                <w:sz w:val="21"/>
                <w:szCs w:val="21"/>
                <w:color w:val="auto"/>
              </w:rPr>
            </w:pPr>
          </w:p>
        </w:tc>
        <w:tc>
          <w:tcPr>
            <w:tcW w:w="2480" w:type="dxa"/>
            <w:vAlign w:val="bottom"/>
            <w:shd w:val="clear" w:color="auto" w:fill="DBDBDB"/>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291465</wp:posOffset>
            </wp:positionV>
            <wp:extent cx="7054850" cy="2374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23749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6280" w:type="dxa"/>
            <w:vAlign w:val="bottom"/>
            <w:shd w:val="clear" w:color="auto" w:fill="0F243E"/>
          </w:tcPr>
          <w:p>
            <w:pPr>
              <w:spacing w:after="0"/>
              <w:rPr>
                <w:sz w:val="22"/>
                <w:szCs w:val="22"/>
                <w:color w:val="auto"/>
              </w:rPr>
            </w:pPr>
          </w:p>
        </w:tc>
        <w:tc>
          <w:tcPr>
            <w:tcW w:w="4820" w:type="dxa"/>
            <w:vAlign w:val="bottom"/>
            <w:gridSpan w:val="2"/>
            <w:shd w:val="clear" w:color="auto" w:fill="0F243E"/>
          </w:tcPr>
          <w:p>
            <w:pPr>
              <w:jc w:val="right"/>
              <w:ind w:right="1210"/>
              <w:spacing w:after="0"/>
              <w:rPr>
                <w:sz w:val="20"/>
                <w:szCs w:val="20"/>
                <w:color w:val="auto"/>
              </w:rPr>
            </w:pPr>
            <w:r>
              <w:rPr>
                <w:rFonts w:ascii="Arial" w:cs="Arial" w:eastAsia="Arial" w:hAnsi="Arial"/>
                <w:sz w:val="18"/>
                <w:szCs w:val="18"/>
                <w:b w:val="1"/>
                <w:bCs w:val="1"/>
                <w:color w:val="FFFFFF"/>
              </w:rPr>
              <w:t>Year Ended December 31,</w:t>
            </w:r>
          </w:p>
        </w:tc>
      </w:tr>
      <w:tr>
        <w:trPr>
          <w:trHeight w:val="281"/>
        </w:trPr>
        <w:tc>
          <w:tcPr>
            <w:tcW w:w="6280" w:type="dxa"/>
            <w:vAlign w:val="bottom"/>
            <w:shd w:val="clear" w:color="auto" w:fill="0F243E"/>
          </w:tcPr>
          <w:p>
            <w:pPr>
              <w:ind w:left="20"/>
              <w:spacing w:after="0"/>
              <w:rPr>
                <w:sz w:val="20"/>
                <w:szCs w:val="20"/>
                <w:color w:val="auto"/>
              </w:rPr>
            </w:pPr>
            <w:r>
              <w:rPr>
                <w:rFonts w:ascii="Arial" w:cs="Arial" w:eastAsia="Arial" w:hAnsi="Arial"/>
                <w:sz w:val="16"/>
                <w:szCs w:val="16"/>
                <w:b w:val="1"/>
                <w:bCs w:val="1"/>
                <w:i w:val="1"/>
                <w:iCs w:val="1"/>
                <w:color w:val="FFFFFF"/>
              </w:rPr>
              <w:t>(in millions)</w:t>
            </w:r>
          </w:p>
        </w:tc>
        <w:tc>
          <w:tcPr>
            <w:tcW w:w="2380" w:type="dxa"/>
            <w:vAlign w:val="bottom"/>
            <w:shd w:val="clear" w:color="auto" w:fill="0F243E"/>
          </w:tcPr>
          <w:p>
            <w:pPr>
              <w:jc w:val="right"/>
              <w:ind w:right="870"/>
              <w:spacing w:after="0"/>
              <w:rPr>
                <w:sz w:val="20"/>
                <w:szCs w:val="20"/>
                <w:color w:val="auto"/>
              </w:rPr>
            </w:pPr>
            <w:r>
              <w:rPr>
                <w:rFonts w:ascii="Arial" w:cs="Arial" w:eastAsia="Arial" w:hAnsi="Arial"/>
                <w:sz w:val="18"/>
                <w:szCs w:val="18"/>
                <w:b w:val="1"/>
                <w:bCs w:val="1"/>
                <w:color w:val="FFFFFF"/>
              </w:rPr>
              <w:t>2020</w:t>
            </w:r>
          </w:p>
        </w:tc>
        <w:tc>
          <w:tcPr>
            <w:tcW w:w="2440" w:type="dxa"/>
            <w:vAlign w:val="bottom"/>
            <w:shd w:val="clear" w:color="auto" w:fill="0F243E"/>
          </w:tcPr>
          <w:p>
            <w:pPr>
              <w:jc w:val="right"/>
              <w:ind w:right="910"/>
              <w:spacing w:after="0"/>
              <w:rPr>
                <w:sz w:val="20"/>
                <w:szCs w:val="20"/>
                <w:color w:val="auto"/>
              </w:rPr>
            </w:pPr>
            <w:r>
              <w:rPr>
                <w:rFonts w:ascii="Arial" w:cs="Arial" w:eastAsia="Arial" w:hAnsi="Arial"/>
                <w:sz w:val="18"/>
                <w:szCs w:val="18"/>
                <w:b w:val="1"/>
                <w:bCs w:val="1"/>
                <w:color w:val="FFFFFF"/>
              </w:rPr>
              <w:t>2019</w:t>
            </w:r>
          </w:p>
        </w:tc>
      </w:tr>
      <w:tr>
        <w:trPr>
          <w:trHeight w:val="230"/>
        </w:trPr>
        <w:tc>
          <w:tcPr>
            <w:tcW w:w="628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$305.1</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62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2380" w:type="dxa"/>
            <w:vAlign w:val="bottom"/>
            <w:shd w:val="clear" w:color="auto" w:fill="CCCCCC"/>
          </w:tcPr>
          <w:p>
            <w:pPr>
              <w:spacing w:after="0"/>
              <w:rPr>
                <w:sz w:val="21"/>
                <w:szCs w:val="21"/>
                <w:color w:val="auto"/>
              </w:rPr>
            </w:pPr>
          </w:p>
        </w:tc>
        <w:tc>
          <w:tcPr>
            <w:tcW w:w="2440" w:type="dxa"/>
            <w:vAlign w:val="bottom"/>
            <w:shd w:val="clear" w:color="auto" w:fill="CCCCCC"/>
          </w:tcPr>
          <w:p>
            <w:pPr>
              <w:spacing w:after="0"/>
              <w:rPr>
                <w:sz w:val="21"/>
                <w:szCs w:val="21"/>
                <w:color w:val="auto"/>
              </w:rPr>
            </w:pP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Depreciation &amp; amortization</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114.5</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110.7</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Total interest expense, net*</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30.2</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Income tax expense</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102.1</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Change in fair value of contingent consideration</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31.7</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Impairment of IPR&amp;D intangible asset</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29.0</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Exit and disposal costs</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17.2</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Acquisition-related costs (transaction &amp; integration)</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0.6</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2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8"/>
                <w:szCs w:val="18"/>
                <w:color w:val="auto"/>
              </w:rPr>
              <w:t>+ Impact of purchase accounting on inventory step-up</w:t>
            </w:r>
          </w:p>
        </w:tc>
        <w:tc>
          <w:tcPr>
            <w:tcW w:w="2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2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325.3</w:t>
            </w:r>
          </w:p>
        </w:tc>
        <w:tc>
          <w:tcPr>
            <w:tcW w:w="2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225.2</w:t>
            </w:r>
          </w:p>
        </w:tc>
      </w:tr>
      <w:tr>
        <w:trPr>
          <w:trHeight w:val="223"/>
        </w:trPr>
        <w:tc>
          <w:tcPr>
            <w:tcW w:w="62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EBITDA</w:t>
            </w:r>
          </w:p>
        </w:tc>
        <w:tc>
          <w:tcPr>
            <w:tcW w:w="2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$630.4</w:t>
            </w:r>
          </w:p>
        </w:tc>
        <w:tc>
          <w:tcPr>
            <w:tcW w:w="2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$279.7</w:t>
            </w:r>
          </w:p>
        </w:tc>
      </w:tr>
      <w:tr>
        <w:trPr>
          <w:trHeight w:val="54"/>
        </w:trPr>
        <w:tc>
          <w:tcPr>
            <w:tcW w:w="62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43"/>
        </w:trPr>
        <w:tc>
          <w:tcPr>
            <w:tcW w:w="6280" w:type="dxa"/>
            <w:vAlign w:val="bottom"/>
            <w:shd w:val="clear" w:color="auto" w:fill="CCCCCC"/>
          </w:tcPr>
          <w:p>
            <w:pPr>
              <w:ind w:left="20"/>
              <w:spacing w:after="0"/>
              <w:rPr>
                <w:sz w:val="20"/>
                <w:szCs w:val="20"/>
                <w:color w:val="auto"/>
              </w:rPr>
            </w:pPr>
            <w:r>
              <w:rPr>
                <w:rFonts w:ascii="Arial" w:cs="Arial" w:eastAsia="Arial" w:hAnsi="Arial"/>
                <w:sz w:val="18"/>
                <w:szCs w:val="18"/>
                <w:color w:val="auto"/>
              </w:rPr>
              <w:t>* Includes interest income of $1.1 million in 2020 and $2.4 million in 2019</w:t>
            </w:r>
          </w:p>
        </w:tc>
        <w:tc>
          <w:tcPr>
            <w:tcW w:w="2380" w:type="dxa"/>
            <w:vAlign w:val="bottom"/>
            <w:shd w:val="clear" w:color="auto" w:fill="CCCCCC"/>
          </w:tcPr>
          <w:p>
            <w:pPr>
              <w:spacing w:after="0"/>
              <w:rPr>
                <w:sz w:val="21"/>
                <w:szCs w:val="21"/>
                <w:color w:val="auto"/>
              </w:rPr>
            </w:pPr>
          </w:p>
        </w:tc>
        <w:tc>
          <w:tcPr>
            <w:tcW w:w="2440" w:type="dxa"/>
            <w:vAlign w:val="bottom"/>
            <w:shd w:val="clear" w:color="auto" w:fill="CCCC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23430" cy="1731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731645"/>
                    </a:xfrm>
                    <a:prstGeom prst="rect">
                      <a:avLst/>
                    </a:prstGeom>
                    <a:noFill/>
                  </pic:spPr>
                </pic:pic>
              </a:graphicData>
            </a:graphic>
          </wp:anchor>
        </w:drawing>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6380" w:type="dxa"/>
            <w:vAlign w:val="bottom"/>
            <w:shd w:val="clear" w:color="auto" w:fill="0F243E"/>
          </w:tcPr>
          <w:p>
            <w:pPr>
              <w:spacing w:after="0"/>
              <w:rPr>
                <w:sz w:val="22"/>
                <w:szCs w:val="22"/>
                <w:color w:val="auto"/>
              </w:rPr>
            </w:pPr>
          </w:p>
        </w:tc>
        <w:tc>
          <w:tcPr>
            <w:tcW w:w="4820" w:type="dxa"/>
            <w:vAlign w:val="bottom"/>
            <w:shd w:val="clear" w:color="auto" w:fill="0F243E"/>
          </w:tcPr>
          <w:p>
            <w:pPr>
              <w:jc w:val="right"/>
              <w:ind w:right="1530"/>
              <w:spacing w:after="0"/>
              <w:rPr>
                <w:sz w:val="20"/>
                <w:szCs w:val="20"/>
                <w:color w:val="auto"/>
              </w:rPr>
            </w:pPr>
            <w:r>
              <w:rPr>
                <w:rFonts w:ascii="Arial" w:cs="Arial" w:eastAsia="Arial" w:hAnsi="Arial"/>
                <w:sz w:val="18"/>
                <w:szCs w:val="18"/>
                <w:b w:val="1"/>
                <w:bCs w:val="1"/>
                <w:color w:val="FFFFFF"/>
              </w:rPr>
              <w:t>Full Year Forecast</w:t>
            </w:r>
          </w:p>
        </w:tc>
        <w:tc>
          <w:tcPr>
            <w:tcW w:w="20" w:type="dxa"/>
            <w:vAlign w:val="bottom"/>
          </w:tcPr>
          <w:p>
            <w:pPr>
              <w:spacing w:after="0"/>
              <w:rPr>
                <w:sz w:val="22"/>
                <w:szCs w:val="22"/>
                <w:color w:val="auto"/>
              </w:rPr>
            </w:pPr>
          </w:p>
        </w:tc>
      </w:tr>
      <w:tr>
        <w:trPr>
          <w:trHeight w:val="268"/>
        </w:trPr>
        <w:tc>
          <w:tcPr>
            <w:tcW w:w="63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4820" w:type="dxa"/>
            <w:vAlign w:val="bottom"/>
            <w:shd w:val="clear" w:color="auto" w:fill="0F243E"/>
          </w:tcPr>
          <w:p>
            <w:pPr>
              <w:jc w:val="right"/>
              <w:ind w:right="2050"/>
              <w:spacing w:after="0"/>
              <w:rPr>
                <w:sz w:val="20"/>
                <w:szCs w:val="20"/>
                <w:color w:val="auto"/>
              </w:rPr>
            </w:pPr>
            <w:r>
              <w:rPr>
                <w:rFonts w:ascii="Arial" w:cs="Arial" w:eastAsia="Arial" w:hAnsi="Arial"/>
                <w:sz w:val="18"/>
                <w:szCs w:val="18"/>
                <w:b w:val="1"/>
                <w:bCs w:val="1"/>
                <w:color w:val="FFFFFF"/>
              </w:rPr>
              <w:t>2021F</w:t>
            </w:r>
          </w:p>
        </w:tc>
        <w:tc>
          <w:tcPr>
            <w:tcW w:w="20" w:type="dxa"/>
            <w:vAlign w:val="bottom"/>
          </w:tcPr>
          <w:p>
            <w:pPr>
              <w:spacing w:after="0"/>
              <w:rPr>
                <w:sz w:val="23"/>
                <w:szCs w:val="23"/>
                <w:color w:val="auto"/>
              </w:rPr>
            </w:pPr>
          </w:p>
        </w:tc>
      </w:tr>
      <w:tr>
        <w:trPr>
          <w:trHeight w:val="24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Income</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$420.0 - $470.0</w:t>
            </w:r>
          </w:p>
        </w:tc>
        <w:tc>
          <w:tcPr>
            <w:tcW w:w="20" w:type="dxa"/>
            <w:vAlign w:val="bottom"/>
          </w:tcPr>
          <w:p>
            <w:pPr>
              <w:spacing w:after="0"/>
              <w:rPr>
                <w:sz w:val="21"/>
                <w:szCs w:val="21"/>
                <w:color w:val="auto"/>
              </w:rPr>
            </w:pPr>
          </w:p>
        </w:tc>
      </w:tr>
      <w:tr>
        <w:trPr>
          <w:trHeight w:val="24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Adjustments:</w:t>
            </w:r>
          </w:p>
        </w:tc>
        <w:tc>
          <w:tcPr>
            <w:tcW w:w="4820" w:type="dxa"/>
            <w:vAlign w:val="bottom"/>
            <w:shd w:val="clear" w:color="auto" w:fill="CCCCC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Depreciation &amp; amortization</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21"/>
                <w:szCs w:val="2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Income taxes</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161.0 - 171.0</w:t>
            </w:r>
          </w:p>
        </w:tc>
        <w:tc>
          <w:tcPr>
            <w:tcW w:w="20" w:type="dxa"/>
            <w:vAlign w:val="bottom"/>
          </w:tcPr>
          <w:p>
            <w:pPr>
              <w:spacing w:after="0"/>
              <w:rPr>
                <w:sz w:val="21"/>
                <w:szCs w:val="2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Total interest expense</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1"/>
                <w:szCs w:val="21"/>
                <w:color w:val="auto"/>
              </w:rPr>
            </w:pPr>
          </w:p>
        </w:tc>
      </w:tr>
      <w:tr>
        <w:trPr>
          <w:trHeight w:val="243"/>
        </w:trPr>
        <w:tc>
          <w:tcPr>
            <w:tcW w:w="63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 Acquisition-related costs (transaction &amp; integration)</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43"/>
        </w:trPr>
        <w:tc>
          <w:tcPr>
            <w:tcW w:w="63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8"/>
                <w:szCs w:val="18"/>
                <w:color w:val="auto"/>
              </w:rPr>
              <w:t>+ Change in fair value of contingent consideration</w:t>
            </w:r>
          </w:p>
        </w:tc>
        <w:tc>
          <w:tcPr>
            <w:tcW w:w="4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21"/>
                <w:szCs w:val="21"/>
                <w:color w:val="auto"/>
              </w:rPr>
            </w:pPr>
          </w:p>
        </w:tc>
      </w:tr>
      <w:tr>
        <w:trPr>
          <w:trHeight w:val="223"/>
        </w:trPr>
        <w:tc>
          <w:tcPr>
            <w:tcW w:w="63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Total Adjustments</w:t>
            </w:r>
          </w:p>
        </w:tc>
        <w:tc>
          <w:tcPr>
            <w:tcW w:w="4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330.0 - 340.0</w:t>
            </w:r>
          </w:p>
        </w:tc>
        <w:tc>
          <w:tcPr>
            <w:tcW w:w="20" w:type="dxa"/>
            <w:vAlign w:val="bottom"/>
            <w:tcBorders>
              <w:bottom w:val="single" w:sz="8" w:color="auto"/>
            </w:tcBorders>
          </w:tcPr>
          <w:p>
            <w:pPr>
              <w:spacing w:after="0"/>
              <w:rPr>
                <w:sz w:val="19"/>
                <w:szCs w:val="19"/>
                <w:color w:val="auto"/>
              </w:rPr>
            </w:pPr>
          </w:p>
        </w:tc>
      </w:tr>
      <w:tr>
        <w:trPr>
          <w:trHeight w:val="223"/>
        </w:trPr>
        <w:tc>
          <w:tcPr>
            <w:tcW w:w="6380" w:type="dxa"/>
            <w:vAlign w:val="bottom"/>
            <w:shd w:val="clear" w:color="auto" w:fill="CCCCCC"/>
          </w:tcPr>
          <w:p>
            <w:pPr>
              <w:ind w:left="20"/>
              <w:spacing w:after="0"/>
              <w:rPr>
                <w:sz w:val="20"/>
                <w:szCs w:val="20"/>
                <w:color w:val="auto"/>
              </w:rPr>
            </w:pPr>
            <w:r>
              <w:rPr>
                <w:rFonts w:ascii="Arial" w:cs="Arial" w:eastAsia="Arial" w:hAnsi="Arial"/>
                <w:sz w:val="18"/>
                <w:szCs w:val="18"/>
                <w:color w:val="auto"/>
              </w:rPr>
              <w:t>Adjusted EBITDA</w:t>
            </w:r>
          </w:p>
        </w:tc>
        <w:tc>
          <w:tcPr>
            <w:tcW w:w="4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$750.0 - $810.0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 of 15</w:t>
      </w:r>
    </w:p>
    <w:p>
      <w:pPr>
        <w:sectPr>
          <w:pgSz w:w="11900" w:h="16838" w:orient="portrait"/>
          <w:cols w:equalWidth="0" w:num="1">
            <w:col w:w="11240"/>
          </w:cols>
          <w:pgMar w:left="320" w:top="88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Reconciliation of Gross Margin and Adjusted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883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8328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shd w:val="clear" w:color="auto" w:fill="0F243E"/>
          </w:tcPr>
          <w:p>
            <w:pPr>
              <w:spacing w:after="0"/>
              <w:rPr>
                <w:sz w:val="22"/>
                <w:szCs w:val="22"/>
                <w:color w:val="auto"/>
              </w:rPr>
            </w:pPr>
          </w:p>
        </w:tc>
        <w:tc>
          <w:tcPr>
            <w:tcW w:w="3320" w:type="dxa"/>
            <w:vAlign w:val="bottom"/>
            <w:gridSpan w:val="6"/>
            <w:shd w:val="clear" w:color="auto" w:fill="0F243E"/>
          </w:tcPr>
          <w:p>
            <w:pPr>
              <w:jc w:val="right"/>
              <w:ind w:right="230"/>
              <w:spacing w:after="0"/>
              <w:rPr>
                <w:sz w:val="20"/>
                <w:szCs w:val="20"/>
                <w:color w:val="auto"/>
              </w:rPr>
            </w:pPr>
            <w:r>
              <w:rPr>
                <w:rFonts w:ascii="Arial" w:cs="Arial" w:eastAsia="Arial" w:hAnsi="Arial"/>
                <w:sz w:val="16"/>
                <w:szCs w:val="16"/>
                <w:b w:val="1"/>
                <w:bCs w:val="1"/>
                <w:color w:val="FFFFFF"/>
              </w:rPr>
              <w:t>Three Months Ended December 31,</w:t>
            </w:r>
          </w:p>
        </w:tc>
        <w:tc>
          <w:tcPr>
            <w:tcW w:w="3320" w:type="dxa"/>
            <w:vAlign w:val="bottom"/>
            <w:gridSpan w:val="6"/>
            <w:shd w:val="clear" w:color="auto" w:fill="0F243E"/>
          </w:tcPr>
          <w:p>
            <w:pPr>
              <w:ind w:left="260"/>
              <w:spacing w:after="0"/>
              <w:rPr>
                <w:sz w:val="20"/>
                <w:szCs w:val="20"/>
                <w:color w:val="auto"/>
              </w:rPr>
            </w:pPr>
            <w:r>
              <w:rPr>
                <w:rFonts w:ascii="Arial" w:cs="Arial" w:eastAsia="Arial" w:hAnsi="Arial"/>
                <w:sz w:val="16"/>
                <w:szCs w:val="16"/>
                <w:b w:val="1"/>
                <w:bCs w:val="1"/>
                <w:color w:val="FFFFFF"/>
              </w:rPr>
              <w:t>Twelve Months Ended December 31,</w:t>
            </w:r>
          </w:p>
        </w:tc>
        <w:tc>
          <w:tcPr>
            <w:tcW w:w="0" w:type="dxa"/>
            <w:vAlign w:val="bottom"/>
          </w:tcPr>
          <w:p>
            <w:pPr>
              <w:spacing w:after="0"/>
              <w:rPr>
                <w:sz w:val="1"/>
                <w:szCs w:val="1"/>
                <w:color w:val="auto"/>
              </w:rPr>
            </w:pPr>
          </w:p>
        </w:tc>
      </w:tr>
      <w:tr>
        <w:trPr>
          <w:trHeight w:val="364"/>
        </w:trPr>
        <w:tc>
          <w:tcPr>
            <w:tcW w:w="4580" w:type="dxa"/>
            <w:vAlign w:val="bottom"/>
            <w:tcBorders>
              <w:bottom w:val="single" w:sz="8" w:color="0F243E"/>
            </w:tcBorders>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1540" w:type="dxa"/>
            <w:vAlign w:val="bottom"/>
            <w:tcBorders>
              <w:bottom w:val="single" w:sz="8" w:color="0F243E"/>
            </w:tcBorders>
            <w:shd w:val="clear" w:color="auto" w:fill="0F243E"/>
          </w:tcPr>
          <w:p>
            <w:pPr>
              <w:jc w:val="right"/>
              <w:ind w:right="452"/>
              <w:spacing w:after="0"/>
              <w:rPr>
                <w:sz w:val="20"/>
                <w:szCs w:val="20"/>
                <w:color w:val="auto"/>
              </w:rPr>
            </w:pPr>
            <w:r>
              <w:rPr>
                <w:rFonts w:ascii="Arial" w:cs="Arial" w:eastAsia="Arial" w:hAnsi="Arial"/>
                <w:sz w:val="16"/>
                <w:szCs w:val="16"/>
                <w:b w:val="1"/>
                <w:bCs w:val="1"/>
                <w:color w:val="FFFFFF"/>
              </w:rPr>
              <w:t>2020</w:t>
            </w:r>
          </w:p>
        </w:tc>
        <w:tc>
          <w:tcPr>
            <w:tcW w:w="1260" w:type="dxa"/>
            <w:vAlign w:val="bottom"/>
            <w:tcBorders>
              <w:bottom w:val="single" w:sz="8" w:color="0F243E"/>
            </w:tcBorders>
            <w:gridSpan w:val="4"/>
            <w:shd w:val="clear" w:color="auto" w:fill="0F243E"/>
          </w:tcPr>
          <w:p>
            <w:pPr>
              <w:jc w:val="right"/>
              <w:ind w:right="50"/>
              <w:spacing w:after="0"/>
              <w:rPr>
                <w:sz w:val="20"/>
                <w:szCs w:val="20"/>
                <w:color w:val="auto"/>
              </w:rPr>
            </w:pPr>
            <w:r>
              <w:rPr>
                <w:rFonts w:ascii="Arial" w:cs="Arial" w:eastAsia="Arial" w:hAnsi="Arial"/>
                <w:sz w:val="16"/>
                <w:szCs w:val="16"/>
                <w:b w:val="1"/>
                <w:bCs w:val="1"/>
                <w:color w:val="FFFFFF"/>
              </w:rPr>
              <w:t>2019</w:t>
            </w:r>
          </w:p>
        </w:tc>
        <w:tc>
          <w:tcPr>
            <w:tcW w:w="520" w:type="dxa"/>
            <w:vAlign w:val="bottom"/>
            <w:tcBorders>
              <w:bottom w:val="single" w:sz="8" w:color="0F243E"/>
            </w:tcBorders>
            <w:shd w:val="clear" w:color="auto" w:fill="0F243E"/>
          </w:tcPr>
          <w:p>
            <w:pPr>
              <w:spacing w:after="0"/>
              <w:rPr>
                <w:sz w:val="24"/>
                <w:szCs w:val="24"/>
                <w:color w:val="auto"/>
              </w:rPr>
            </w:pPr>
          </w:p>
        </w:tc>
        <w:tc>
          <w:tcPr>
            <w:tcW w:w="1220" w:type="dxa"/>
            <w:vAlign w:val="bottom"/>
            <w:tcBorders>
              <w:bottom w:val="single" w:sz="8" w:color="0F243E"/>
            </w:tcBorders>
            <w:shd w:val="clear" w:color="auto" w:fill="0F243E"/>
          </w:tcPr>
          <w:p>
            <w:pPr>
              <w:jc w:val="right"/>
              <w:ind w:right="131"/>
              <w:spacing w:after="0"/>
              <w:rPr>
                <w:sz w:val="20"/>
                <w:szCs w:val="20"/>
                <w:color w:val="auto"/>
              </w:rPr>
            </w:pPr>
            <w:r>
              <w:rPr>
                <w:rFonts w:ascii="Arial" w:cs="Arial" w:eastAsia="Arial" w:hAnsi="Arial"/>
                <w:sz w:val="16"/>
                <w:szCs w:val="16"/>
                <w:b w:val="1"/>
                <w:bCs w:val="1"/>
                <w:color w:val="FFFFFF"/>
              </w:rPr>
              <w:t>2020</w:t>
            </w:r>
          </w:p>
        </w:tc>
        <w:tc>
          <w:tcPr>
            <w:tcW w:w="180" w:type="dxa"/>
            <w:vAlign w:val="bottom"/>
            <w:tcBorders>
              <w:bottom w:val="single" w:sz="8" w:color="0F243E"/>
            </w:tcBorders>
            <w:shd w:val="clear" w:color="auto" w:fill="0F243E"/>
          </w:tcPr>
          <w:p>
            <w:pPr>
              <w:spacing w:after="0"/>
              <w:rPr>
                <w:sz w:val="24"/>
                <w:szCs w:val="24"/>
                <w:color w:val="auto"/>
              </w:rPr>
            </w:pPr>
          </w:p>
        </w:tc>
        <w:tc>
          <w:tcPr>
            <w:tcW w:w="260" w:type="dxa"/>
            <w:vAlign w:val="bottom"/>
            <w:tcBorders>
              <w:bottom w:val="single" w:sz="8" w:color="0F243E"/>
            </w:tcBorders>
            <w:shd w:val="clear" w:color="auto" w:fill="0F243E"/>
          </w:tcPr>
          <w:p>
            <w:pPr>
              <w:spacing w:after="0"/>
              <w:rPr>
                <w:sz w:val="24"/>
                <w:szCs w:val="24"/>
                <w:color w:val="auto"/>
              </w:rPr>
            </w:pPr>
          </w:p>
        </w:tc>
        <w:tc>
          <w:tcPr>
            <w:tcW w:w="220" w:type="dxa"/>
            <w:vAlign w:val="bottom"/>
            <w:tcBorders>
              <w:bottom w:val="single" w:sz="8" w:color="0F243E"/>
            </w:tcBorders>
            <w:shd w:val="clear" w:color="auto" w:fill="0F243E"/>
          </w:tcPr>
          <w:p>
            <w:pPr>
              <w:spacing w:after="0"/>
              <w:rPr>
                <w:sz w:val="24"/>
                <w:szCs w:val="24"/>
                <w:color w:val="auto"/>
              </w:rPr>
            </w:pPr>
          </w:p>
        </w:tc>
        <w:tc>
          <w:tcPr>
            <w:tcW w:w="1400" w:type="dxa"/>
            <w:vAlign w:val="bottom"/>
            <w:tcBorders>
              <w:bottom w:val="single" w:sz="8" w:color="0F243E"/>
            </w:tcBorders>
            <w:shd w:val="clear" w:color="auto" w:fill="0F243E"/>
          </w:tcPr>
          <w:p>
            <w:pPr>
              <w:jc w:val="right"/>
              <w:ind w:right="530"/>
              <w:spacing w:after="0"/>
              <w:rPr>
                <w:sz w:val="20"/>
                <w:szCs w:val="20"/>
                <w:color w:val="auto"/>
              </w:rPr>
            </w:pPr>
            <w:r>
              <w:rPr>
                <w:rFonts w:ascii="Arial" w:cs="Arial" w:eastAsia="Arial" w:hAnsi="Arial"/>
                <w:sz w:val="16"/>
                <w:szCs w:val="16"/>
                <w:b w:val="1"/>
                <w:bCs w:val="1"/>
                <w:color w:val="FFFFFF"/>
              </w:rPr>
              <w:t>2019</w:t>
            </w:r>
          </w:p>
        </w:tc>
        <w:tc>
          <w:tcPr>
            <w:tcW w:w="40" w:type="dxa"/>
            <w:vAlign w:val="bottom"/>
            <w:tcBorders>
              <w:bottom w:val="single" w:sz="8" w:color="0F243E"/>
            </w:tcBorders>
            <w:shd w:val="clear" w:color="auto" w:fill="0F243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Total revenues</w:t>
            </w:r>
          </w:p>
        </w:tc>
        <w:tc>
          <w:tcPr>
            <w:tcW w:w="1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$583.0</w:t>
            </w:r>
          </w:p>
        </w:tc>
        <w:tc>
          <w:tcPr>
            <w:tcW w:w="1780" w:type="dxa"/>
            <w:vAlign w:val="bottom"/>
            <w:gridSpan w:val="5"/>
            <w:shd w:val="clear" w:color="auto" w:fill="CCCCCC"/>
          </w:tcPr>
          <w:p>
            <w:pPr>
              <w:jc w:val="right"/>
              <w:ind w:right="50"/>
              <w:spacing w:after="0"/>
              <w:rPr>
                <w:sz w:val="20"/>
                <w:szCs w:val="20"/>
                <w:color w:val="auto"/>
              </w:rPr>
            </w:pPr>
            <w:r>
              <w:rPr>
                <w:rFonts w:ascii="Arial" w:cs="Arial" w:eastAsia="Arial" w:hAnsi="Arial"/>
                <w:sz w:val="18"/>
                <w:szCs w:val="18"/>
                <w:color w:val="auto"/>
              </w:rPr>
              <w:t>$360.4</w:t>
            </w:r>
          </w:p>
        </w:tc>
        <w:tc>
          <w:tcPr>
            <w:tcW w:w="1660" w:type="dxa"/>
            <w:vAlign w:val="bottom"/>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$1,555.4</w:t>
            </w: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$1,106.0</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color w:val="auto"/>
              </w:rPr>
              <w:t>Less: Contract and grants revenues</w:t>
            </w:r>
          </w:p>
        </w:tc>
        <w:tc>
          <w:tcPr>
            <w:tcW w:w="1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auto"/>
            </w:tcBorders>
            <w:shd w:val="clear" w:color="auto" w:fill="CCCCCC"/>
          </w:tcPr>
          <w:p>
            <w:pPr>
              <w:spacing w:after="0"/>
              <w:rPr>
                <w:sz w:val="21"/>
                <w:szCs w:val="21"/>
                <w:color w:val="auto"/>
              </w:rPr>
            </w:pPr>
          </w:p>
        </w:tc>
        <w:tc>
          <w:tcPr>
            <w:tcW w:w="1660" w:type="dxa"/>
            <w:vAlign w:val="bottom"/>
            <w:tcBorders>
              <w:bottom w:val="single" w:sz="8" w:color="auto"/>
            </w:tcBorders>
            <w:gridSpan w:val="4"/>
            <w:shd w:val="clear" w:color="auto" w:fill="CCCCCC"/>
          </w:tcPr>
          <w:p>
            <w:pPr>
              <w:jc w:val="right"/>
              <w:ind w:right="50"/>
              <w:spacing w:after="0"/>
              <w:rPr>
                <w:sz w:val="20"/>
                <w:szCs w:val="20"/>
                <w:color w:val="auto"/>
              </w:rPr>
            </w:pPr>
            <w:r>
              <w:rPr>
                <w:rFonts w:ascii="Arial" w:cs="Arial" w:eastAsia="Arial" w:hAnsi="Arial"/>
                <w:sz w:val="18"/>
                <w:szCs w:val="18"/>
                <w:color w:val="auto"/>
              </w:rPr>
              <w:t>(24.1)</w:t>
            </w:r>
          </w:p>
        </w:tc>
        <w:tc>
          <w:tcPr>
            <w:tcW w:w="1660" w:type="dxa"/>
            <w:vAlign w:val="bottom"/>
            <w:tcBorders>
              <w:bottom w:val="single" w:sz="8" w:color="auto"/>
            </w:tcBorders>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auto"/>
            </w:tcBorders>
            <w:shd w:val="clear" w:color="auto" w:fill="CCCCCC"/>
          </w:tcPr>
          <w:p>
            <w:pPr>
              <w:spacing w:after="0"/>
              <w:rPr>
                <w:sz w:val="21"/>
                <w:szCs w:val="21"/>
                <w:color w:val="auto"/>
              </w:rPr>
            </w:pPr>
          </w:p>
        </w:tc>
        <w:tc>
          <w:tcPr>
            <w:tcW w:w="1400" w:type="dxa"/>
            <w:vAlign w:val="bottom"/>
            <w:tcBorders>
              <w:bottom w:val="single" w:sz="8" w:color="auto"/>
            </w:tcBorders>
            <w:shd w:val="clear" w:color="auto" w:fill="CCCCCC"/>
          </w:tcPr>
          <w:p>
            <w:pPr>
              <w:jc w:val="right"/>
              <w:ind w:right="10"/>
              <w:spacing w:after="0"/>
              <w:rPr>
                <w:sz w:val="20"/>
                <w:szCs w:val="20"/>
                <w:color w:val="auto"/>
              </w:rPr>
            </w:pPr>
            <w:r>
              <w:rPr>
                <w:rFonts w:ascii="Arial" w:cs="Arial" w:eastAsia="Arial" w:hAnsi="Arial"/>
                <w:sz w:val="18"/>
                <w:szCs w:val="18"/>
                <w:color w:val="auto"/>
              </w:rPr>
              <w:t>(122.5)</w:t>
            </w:r>
          </w:p>
        </w:tc>
        <w:tc>
          <w:tcPr>
            <w:tcW w:w="40" w:type="dxa"/>
            <w:vAlign w:val="bottom"/>
            <w:tcBorders>
              <w:bottom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revenues</w:t>
            </w:r>
          </w:p>
        </w:tc>
        <w:tc>
          <w:tcPr>
            <w:tcW w:w="1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CCCC"/>
          </w:tcPr>
          <w:p>
            <w:pPr>
              <w:spacing w:after="0"/>
              <w:rPr>
                <w:sz w:val="19"/>
                <w:szCs w:val="19"/>
                <w:color w:val="auto"/>
              </w:rPr>
            </w:pPr>
          </w:p>
        </w:tc>
        <w:tc>
          <w:tcPr>
            <w:tcW w:w="1660" w:type="dxa"/>
            <w:vAlign w:val="bottom"/>
            <w:gridSpan w:val="4"/>
            <w:shd w:val="clear" w:color="auto" w:fill="CCCCCC"/>
          </w:tcPr>
          <w:p>
            <w:pPr>
              <w:jc w:val="right"/>
              <w:ind w:right="50"/>
              <w:spacing w:after="0"/>
              <w:rPr>
                <w:sz w:val="20"/>
                <w:szCs w:val="20"/>
                <w:color w:val="auto"/>
              </w:rPr>
            </w:pPr>
            <w:r>
              <w:rPr>
                <w:rFonts w:ascii="Arial" w:cs="Arial" w:eastAsia="Arial" w:hAnsi="Arial"/>
                <w:sz w:val="18"/>
                <w:szCs w:val="18"/>
                <w:color w:val="auto"/>
              </w:rPr>
              <w:t>$336.3</w:t>
            </w:r>
          </w:p>
        </w:tc>
        <w:tc>
          <w:tcPr>
            <w:tcW w:w="1660" w:type="dxa"/>
            <w:vAlign w:val="bottom"/>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$1440.3</w:t>
            </w:r>
          </w:p>
        </w:tc>
        <w:tc>
          <w:tcPr>
            <w:tcW w:w="220" w:type="dxa"/>
            <w:vAlign w:val="bottom"/>
            <w:shd w:val="clear" w:color="auto" w:fill="CCCCCC"/>
          </w:tcPr>
          <w:p>
            <w:pPr>
              <w:spacing w:after="0"/>
              <w:rPr>
                <w:sz w:val="19"/>
                <w:szCs w:val="19"/>
                <w:color w:val="auto"/>
              </w:rPr>
            </w:pPr>
          </w:p>
        </w:tc>
        <w:tc>
          <w:tcPr>
            <w:tcW w:w="1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$983.5</w:t>
            </w:r>
          </w:p>
        </w:tc>
        <w:tc>
          <w:tcPr>
            <w:tcW w:w="4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Cost of product sales and contract development and</w:t>
            </w:r>
          </w:p>
        </w:tc>
        <w:tc>
          <w:tcPr>
            <w:tcW w:w="15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$168.3</w:t>
            </w:r>
          </w:p>
        </w:tc>
        <w:tc>
          <w:tcPr>
            <w:tcW w:w="1780" w:type="dxa"/>
            <w:vAlign w:val="bottom"/>
            <w:gridSpan w:val="5"/>
            <w:vMerge w:val="restart"/>
            <w:shd w:val="clear" w:color="auto" w:fill="CCCCCC"/>
          </w:tcPr>
          <w:p>
            <w:pPr>
              <w:jc w:val="right"/>
              <w:ind w:right="50"/>
              <w:spacing w:after="0"/>
              <w:rPr>
                <w:sz w:val="20"/>
                <w:szCs w:val="20"/>
                <w:color w:val="auto"/>
              </w:rPr>
            </w:pPr>
            <w:r>
              <w:rPr>
                <w:rFonts w:ascii="Arial" w:cs="Arial" w:eastAsia="Arial" w:hAnsi="Arial"/>
                <w:sz w:val="18"/>
                <w:szCs w:val="18"/>
                <w:color w:val="auto"/>
              </w:rPr>
              <w:t>$132.8</w:t>
            </w:r>
          </w:p>
        </w:tc>
        <w:tc>
          <w:tcPr>
            <w:tcW w:w="1660" w:type="dxa"/>
            <w:vAlign w:val="bottom"/>
            <w:gridSpan w:val="3"/>
            <w:vMerge w:val="restart"/>
            <w:shd w:val="clear" w:color="auto" w:fill="CCCCCC"/>
          </w:tcPr>
          <w:p>
            <w:pPr>
              <w:jc w:val="right"/>
              <w:ind w:right="140"/>
              <w:spacing w:after="0"/>
              <w:rPr>
                <w:sz w:val="20"/>
                <w:szCs w:val="20"/>
                <w:color w:val="auto"/>
              </w:rPr>
            </w:pPr>
            <w:r>
              <w:rPr>
                <w:rFonts w:ascii="Arial" w:cs="Arial" w:eastAsia="Arial" w:hAnsi="Arial"/>
                <w:sz w:val="18"/>
                <w:szCs w:val="18"/>
                <w:color w:val="auto"/>
              </w:rPr>
              <w:t>$524.0</w:t>
            </w:r>
          </w:p>
        </w:tc>
        <w:tc>
          <w:tcPr>
            <w:tcW w:w="220" w:type="dxa"/>
            <w:vAlign w:val="bottom"/>
            <w:shd w:val="clear" w:color="auto" w:fill="CCCCCC"/>
          </w:tcPr>
          <w:p>
            <w:pPr>
              <w:spacing w:after="0"/>
              <w:rPr>
                <w:sz w:val="24"/>
                <w:szCs w:val="24"/>
                <w:color w:val="auto"/>
              </w:rPr>
            </w:pPr>
          </w:p>
        </w:tc>
        <w:tc>
          <w:tcPr>
            <w:tcW w:w="140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$433.5</w:t>
            </w:r>
          </w:p>
        </w:tc>
        <w:tc>
          <w:tcPr>
            <w:tcW w:w="4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manufacturing services ("COGS")</w:t>
            </w:r>
          </w:p>
        </w:tc>
        <w:tc>
          <w:tcPr>
            <w:tcW w:w="1540" w:type="dxa"/>
            <w:vAlign w:val="bottom"/>
            <w:vMerge w:val="continue"/>
            <w:shd w:val="clear" w:color="auto" w:fill="CCCCCC"/>
          </w:tcPr>
          <w:p>
            <w:pPr>
              <w:spacing w:after="0"/>
              <w:rPr>
                <w:sz w:val="10"/>
                <w:szCs w:val="10"/>
                <w:color w:val="auto"/>
              </w:rPr>
            </w:pPr>
          </w:p>
        </w:tc>
        <w:tc>
          <w:tcPr>
            <w:tcW w:w="1780" w:type="dxa"/>
            <w:vAlign w:val="bottom"/>
            <w:gridSpan w:val="5"/>
            <w:vMerge w:val="continue"/>
            <w:shd w:val="clear" w:color="auto" w:fill="CCCCCC"/>
          </w:tcPr>
          <w:p>
            <w:pPr>
              <w:spacing w:after="0"/>
              <w:rPr>
                <w:sz w:val="10"/>
                <w:szCs w:val="10"/>
                <w:color w:val="auto"/>
              </w:rPr>
            </w:pPr>
          </w:p>
        </w:tc>
        <w:tc>
          <w:tcPr>
            <w:tcW w:w="1660" w:type="dxa"/>
            <w:vAlign w:val="bottom"/>
            <w:gridSpan w:val="3"/>
            <w:vMerge w:val="continue"/>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 Changes in fair value of contingent consideration</w:t>
            </w:r>
          </w:p>
        </w:tc>
        <w:tc>
          <w:tcPr>
            <w:tcW w:w="1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CCCC"/>
          </w:tcPr>
          <w:p>
            <w:pPr>
              <w:spacing w:after="0"/>
              <w:rPr>
                <w:sz w:val="21"/>
                <w:szCs w:val="21"/>
                <w:color w:val="auto"/>
              </w:rPr>
            </w:pPr>
          </w:p>
        </w:tc>
        <w:tc>
          <w:tcPr>
            <w:tcW w:w="1660" w:type="dxa"/>
            <w:vAlign w:val="bottom"/>
            <w:gridSpan w:val="4"/>
            <w:shd w:val="clear" w:color="auto" w:fill="CCCCCC"/>
          </w:tcPr>
          <w:p>
            <w:pPr>
              <w:jc w:val="right"/>
              <w:ind w:right="50"/>
              <w:spacing w:after="0"/>
              <w:rPr>
                <w:sz w:val="20"/>
                <w:szCs w:val="20"/>
                <w:color w:val="auto"/>
              </w:rPr>
            </w:pPr>
            <w:r>
              <w:rPr>
                <w:rFonts w:ascii="Arial" w:cs="Arial" w:eastAsia="Arial" w:hAnsi="Arial"/>
                <w:sz w:val="18"/>
                <w:szCs w:val="18"/>
                <w:color w:val="auto"/>
              </w:rPr>
              <w:t>(12.4)</w:t>
            </w:r>
          </w:p>
        </w:tc>
        <w:tc>
          <w:tcPr>
            <w:tcW w:w="1660" w:type="dxa"/>
            <w:vAlign w:val="bottom"/>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color w:val="auto"/>
              </w:rPr>
              <w:t>- Inventory reserves related to Travel Health vaccines</w:t>
            </w:r>
          </w:p>
        </w:tc>
        <w:tc>
          <w:tcPr>
            <w:tcW w:w="1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CCCCCC"/>
          </w:tcPr>
          <w:p>
            <w:pPr>
              <w:spacing w:after="0"/>
              <w:rPr>
                <w:sz w:val="21"/>
                <w:szCs w:val="21"/>
                <w:color w:val="auto"/>
              </w:rPr>
            </w:pPr>
          </w:p>
        </w:tc>
        <w:tc>
          <w:tcPr>
            <w:tcW w:w="820" w:type="dxa"/>
            <w:vAlign w:val="bottom"/>
            <w:tcBorders>
              <w:bottom w:val="single" w:sz="8" w:color="auto"/>
            </w:tcBorders>
            <w:shd w:val="clear" w:color="auto" w:fill="CCCCCC"/>
          </w:tcPr>
          <w:p>
            <w:pPr>
              <w:spacing w:after="0"/>
              <w:rPr>
                <w:sz w:val="21"/>
                <w:szCs w:val="21"/>
                <w:color w:val="auto"/>
              </w:rPr>
            </w:pPr>
          </w:p>
        </w:tc>
        <w:tc>
          <w:tcPr>
            <w:tcW w:w="120" w:type="dxa"/>
            <w:vAlign w:val="bottom"/>
            <w:tcBorders>
              <w:bottom w:val="single" w:sz="8" w:color="auto"/>
            </w:tcBorders>
            <w:shd w:val="clear" w:color="auto" w:fill="CCCCCC"/>
          </w:tcPr>
          <w:p>
            <w:pPr>
              <w:spacing w:after="0"/>
              <w:rPr>
                <w:sz w:val="21"/>
                <w:szCs w:val="21"/>
                <w:color w:val="auto"/>
              </w:rPr>
            </w:pPr>
          </w:p>
        </w:tc>
        <w:tc>
          <w:tcPr>
            <w:tcW w:w="200" w:type="dxa"/>
            <w:vAlign w:val="bottom"/>
            <w:tcBorders>
              <w:bottom w:val="single" w:sz="8" w:color="auto"/>
            </w:tcBorders>
            <w:shd w:val="clear" w:color="auto" w:fill="CCCCCC"/>
          </w:tcPr>
          <w:p>
            <w:pPr>
              <w:spacing w:after="0"/>
              <w:rPr>
                <w:sz w:val="21"/>
                <w:szCs w:val="21"/>
                <w:color w:val="auto"/>
              </w:rPr>
            </w:pPr>
          </w:p>
        </w:tc>
        <w:tc>
          <w:tcPr>
            <w:tcW w:w="520" w:type="dxa"/>
            <w:vAlign w:val="bottom"/>
            <w:tcBorders>
              <w:bottom w:val="single" w:sz="8" w:color="auto"/>
            </w:tcBorders>
            <w:shd w:val="clear" w:color="auto" w:fill="CCCCCC"/>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shd w:val="clear" w:color="auto" w:fill="CCCCCC"/>
          </w:tcPr>
          <w:p>
            <w:pPr>
              <w:spacing w:after="0"/>
              <w:rPr>
                <w:sz w:val="21"/>
                <w:szCs w:val="21"/>
                <w:color w:val="auto"/>
              </w:rPr>
            </w:pPr>
          </w:p>
        </w:tc>
        <w:tc>
          <w:tcPr>
            <w:tcW w:w="1440" w:type="dxa"/>
            <w:vAlign w:val="bottom"/>
            <w:tcBorders>
              <w:bottom w:val="single" w:sz="8" w:color="auto"/>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COGS</w:t>
            </w:r>
          </w:p>
        </w:tc>
        <w:tc>
          <w:tcPr>
            <w:tcW w:w="1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CCCC"/>
          </w:tcPr>
          <w:p>
            <w:pPr>
              <w:spacing w:after="0"/>
              <w:rPr>
                <w:sz w:val="19"/>
                <w:szCs w:val="19"/>
                <w:color w:val="auto"/>
              </w:rPr>
            </w:pPr>
          </w:p>
        </w:tc>
        <w:tc>
          <w:tcPr>
            <w:tcW w:w="1660" w:type="dxa"/>
            <w:vAlign w:val="bottom"/>
            <w:gridSpan w:val="4"/>
            <w:shd w:val="clear" w:color="auto" w:fill="CCCCCC"/>
          </w:tcPr>
          <w:p>
            <w:pPr>
              <w:jc w:val="right"/>
              <w:ind w:right="50"/>
              <w:spacing w:after="0"/>
              <w:rPr>
                <w:sz w:val="20"/>
                <w:szCs w:val="20"/>
                <w:color w:val="auto"/>
              </w:rPr>
            </w:pPr>
            <w:r>
              <w:rPr>
                <w:rFonts w:ascii="Arial" w:cs="Arial" w:eastAsia="Arial" w:hAnsi="Arial"/>
                <w:sz w:val="18"/>
                <w:szCs w:val="18"/>
                <w:color w:val="auto"/>
              </w:rPr>
              <w:t>$120.4</w:t>
            </w:r>
          </w:p>
        </w:tc>
        <w:tc>
          <w:tcPr>
            <w:tcW w:w="1660" w:type="dxa"/>
            <w:vAlign w:val="bottom"/>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$479.7</w:t>
            </w:r>
          </w:p>
        </w:tc>
        <w:tc>
          <w:tcPr>
            <w:tcW w:w="220" w:type="dxa"/>
            <w:vAlign w:val="bottom"/>
            <w:shd w:val="clear" w:color="auto" w:fill="CCCCCC"/>
          </w:tcPr>
          <w:p>
            <w:pPr>
              <w:spacing w:after="0"/>
              <w:rPr>
                <w:sz w:val="19"/>
                <w:szCs w:val="19"/>
                <w:color w:val="auto"/>
              </w:rPr>
            </w:pPr>
          </w:p>
        </w:tc>
        <w:tc>
          <w:tcPr>
            <w:tcW w:w="1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$408.7</w:t>
            </w:r>
          </w:p>
        </w:tc>
        <w:tc>
          <w:tcPr>
            <w:tcW w:w="4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Gross margin (adjusted revenues minus COGS)</w:t>
            </w:r>
          </w:p>
        </w:tc>
        <w:tc>
          <w:tcPr>
            <w:tcW w:w="1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$371.7</w:t>
            </w:r>
          </w:p>
        </w:tc>
        <w:tc>
          <w:tcPr>
            <w:tcW w:w="1780" w:type="dxa"/>
            <w:vAlign w:val="bottom"/>
            <w:gridSpan w:val="5"/>
            <w:shd w:val="clear" w:color="auto" w:fill="CCCCCC"/>
          </w:tcPr>
          <w:p>
            <w:pPr>
              <w:jc w:val="right"/>
              <w:ind w:right="50"/>
              <w:spacing w:after="0"/>
              <w:rPr>
                <w:sz w:val="20"/>
                <w:szCs w:val="20"/>
                <w:color w:val="auto"/>
              </w:rPr>
            </w:pPr>
            <w:r>
              <w:rPr>
                <w:rFonts w:ascii="Arial" w:cs="Arial" w:eastAsia="Arial" w:hAnsi="Arial"/>
                <w:sz w:val="18"/>
                <w:szCs w:val="18"/>
                <w:color w:val="auto"/>
              </w:rPr>
              <w:t>$203.5</w:t>
            </w:r>
          </w:p>
        </w:tc>
        <w:tc>
          <w:tcPr>
            <w:tcW w:w="1660" w:type="dxa"/>
            <w:vAlign w:val="bottom"/>
            <w:gridSpan w:val="3"/>
            <w:shd w:val="clear" w:color="auto" w:fill="CCCCCC"/>
          </w:tcPr>
          <w:p>
            <w:pPr>
              <w:jc w:val="right"/>
              <w:ind w:right="140"/>
              <w:spacing w:after="0"/>
              <w:rPr>
                <w:sz w:val="20"/>
                <w:szCs w:val="20"/>
                <w:color w:val="auto"/>
              </w:rPr>
            </w:pPr>
            <w:r>
              <w:rPr>
                <w:rFonts w:ascii="Arial" w:cs="Arial" w:eastAsia="Arial" w:hAnsi="Arial"/>
                <w:sz w:val="18"/>
                <w:szCs w:val="18"/>
                <w:color w:val="auto"/>
              </w:rPr>
              <w:t>$916.3</w:t>
            </w:r>
          </w:p>
        </w:tc>
        <w:tc>
          <w:tcPr>
            <w:tcW w:w="220" w:type="dxa"/>
            <w:vAlign w:val="bottom"/>
            <w:shd w:val="clear" w:color="auto" w:fill="CCCCCC"/>
          </w:tcPr>
          <w:p>
            <w:pPr>
              <w:spacing w:after="0"/>
              <w:rPr>
                <w:sz w:val="24"/>
                <w:szCs w:val="24"/>
                <w:color w:val="auto"/>
              </w:rPr>
            </w:pPr>
          </w:p>
        </w:tc>
        <w:tc>
          <w:tcPr>
            <w:tcW w:w="1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$550.0</w:t>
            </w:r>
          </w:p>
        </w:tc>
        <w:tc>
          <w:tcPr>
            <w:tcW w:w="4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CCCC"/>
          </w:tcPr>
          <w:p>
            <w:pPr>
              <w:ind w:left="40"/>
              <w:spacing w:after="0" w:line="201" w:lineRule="exact"/>
              <w:rPr>
                <w:sz w:val="20"/>
                <w:szCs w:val="20"/>
                <w:color w:val="auto"/>
              </w:rPr>
            </w:pPr>
            <w:r>
              <w:rPr>
                <w:rFonts w:ascii="Arial" w:cs="Arial" w:eastAsia="Arial" w:hAnsi="Arial"/>
                <w:sz w:val="18"/>
                <w:szCs w:val="18"/>
                <w:color w:val="auto"/>
              </w:rPr>
              <w:t>Gross margin % (gross margin divided by adjusted</w:t>
            </w:r>
          </w:p>
        </w:tc>
        <w:tc>
          <w:tcPr>
            <w:tcW w:w="15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CCCC"/>
          </w:tcPr>
          <w:p>
            <w:pPr>
              <w:spacing w:after="0"/>
              <w:rPr>
                <w:sz w:val="17"/>
                <w:szCs w:val="17"/>
                <w:color w:val="auto"/>
              </w:rPr>
            </w:pPr>
          </w:p>
        </w:tc>
        <w:tc>
          <w:tcPr>
            <w:tcW w:w="1660" w:type="dxa"/>
            <w:vAlign w:val="bottom"/>
            <w:gridSpan w:val="4"/>
            <w:vMerge w:val="restart"/>
            <w:shd w:val="clear" w:color="auto" w:fill="CCCCCC"/>
          </w:tcPr>
          <w:p>
            <w:pPr>
              <w:jc w:val="right"/>
              <w:ind w:right="50"/>
              <w:spacing w:after="0"/>
              <w:rPr>
                <w:sz w:val="20"/>
                <w:szCs w:val="20"/>
                <w:color w:val="auto"/>
              </w:rPr>
            </w:pPr>
            <w:r>
              <w:rPr>
                <w:rFonts w:ascii="Arial" w:cs="Arial" w:eastAsia="Arial" w:hAnsi="Arial"/>
                <w:sz w:val="18"/>
                <w:szCs w:val="18"/>
                <w:color w:val="auto"/>
              </w:rPr>
              <w:t>61%</w:t>
            </w:r>
          </w:p>
        </w:tc>
        <w:tc>
          <w:tcPr>
            <w:tcW w:w="1660" w:type="dxa"/>
            <w:vAlign w:val="bottom"/>
            <w:gridSpan w:val="3"/>
            <w:vMerge w:val="restart"/>
            <w:shd w:val="clear" w:color="auto" w:fill="CCCCCC"/>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CCCC"/>
          </w:tcPr>
          <w:p>
            <w:pPr>
              <w:spacing w:after="0"/>
              <w:rPr>
                <w:sz w:val="17"/>
                <w:szCs w:val="17"/>
                <w:color w:val="auto"/>
              </w:rPr>
            </w:pPr>
          </w:p>
        </w:tc>
        <w:tc>
          <w:tcPr>
            <w:tcW w:w="140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revenues)</w:t>
            </w:r>
          </w:p>
        </w:tc>
        <w:tc>
          <w:tcPr>
            <w:tcW w:w="1540" w:type="dxa"/>
            <w:vAlign w:val="bottom"/>
            <w:vMerge w:val="continue"/>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1660" w:type="dxa"/>
            <w:vAlign w:val="bottom"/>
            <w:gridSpan w:val="4"/>
            <w:vMerge w:val="continue"/>
            <w:shd w:val="clear" w:color="auto" w:fill="CCCCCC"/>
          </w:tcPr>
          <w:p>
            <w:pPr>
              <w:spacing w:after="0"/>
              <w:rPr>
                <w:sz w:val="10"/>
                <w:szCs w:val="10"/>
                <w:color w:val="auto"/>
              </w:rPr>
            </w:pPr>
          </w:p>
        </w:tc>
        <w:tc>
          <w:tcPr>
            <w:tcW w:w="1660" w:type="dxa"/>
            <w:vAlign w:val="bottom"/>
            <w:gridSpan w:val="3"/>
            <w:vMerge w:val="continue"/>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Adjusted gross margin (adjusted revenues minus</w:t>
            </w:r>
          </w:p>
        </w:tc>
        <w:tc>
          <w:tcPr>
            <w:tcW w:w="15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$370.6</w:t>
            </w:r>
          </w:p>
        </w:tc>
        <w:tc>
          <w:tcPr>
            <w:tcW w:w="120" w:type="dxa"/>
            <w:vAlign w:val="bottom"/>
            <w:shd w:val="clear" w:color="auto" w:fill="CCCCCC"/>
          </w:tcPr>
          <w:p>
            <w:pPr>
              <w:spacing w:after="0"/>
              <w:rPr>
                <w:sz w:val="24"/>
                <w:szCs w:val="24"/>
                <w:color w:val="auto"/>
              </w:rPr>
            </w:pPr>
          </w:p>
        </w:tc>
        <w:tc>
          <w:tcPr>
            <w:tcW w:w="1660" w:type="dxa"/>
            <w:vAlign w:val="bottom"/>
            <w:gridSpan w:val="4"/>
            <w:vMerge w:val="restart"/>
            <w:shd w:val="clear" w:color="auto" w:fill="CCCCCC"/>
          </w:tcPr>
          <w:p>
            <w:pPr>
              <w:jc w:val="right"/>
              <w:ind w:right="50"/>
              <w:spacing w:after="0"/>
              <w:rPr>
                <w:sz w:val="20"/>
                <w:szCs w:val="20"/>
                <w:color w:val="auto"/>
              </w:rPr>
            </w:pPr>
            <w:r>
              <w:rPr>
                <w:rFonts w:ascii="Arial" w:cs="Arial" w:eastAsia="Arial" w:hAnsi="Arial"/>
                <w:sz w:val="18"/>
                <w:szCs w:val="18"/>
                <w:color w:val="auto"/>
              </w:rPr>
              <w:t>$215.9</w:t>
            </w:r>
          </w:p>
        </w:tc>
        <w:tc>
          <w:tcPr>
            <w:tcW w:w="1660" w:type="dxa"/>
            <w:vAlign w:val="bottom"/>
            <w:gridSpan w:val="3"/>
            <w:vMerge w:val="restart"/>
            <w:shd w:val="clear" w:color="auto" w:fill="CCCCCC"/>
          </w:tcPr>
          <w:p>
            <w:pPr>
              <w:jc w:val="right"/>
              <w:ind w:right="140"/>
              <w:spacing w:after="0"/>
              <w:rPr>
                <w:sz w:val="20"/>
                <w:szCs w:val="20"/>
                <w:color w:val="auto"/>
              </w:rPr>
            </w:pPr>
            <w:r>
              <w:rPr>
                <w:rFonts w:ascii="Arial" w:cs="Arial" w:eastAsia="Arial" w:hAnsi="Arial"/>
                <w:sz w:val="18"/>
                <w:szCs w:val="18"/>
                <w:color w:val="auto"/>
              </w:rPr>
              <w:t>$960.6</w:t>
            </w:r>
          </w:p>
        </w:tc>
        <w:tc>
          <w:tcPr>
            <w:tcW w:w="220" w:type="dxa"/>
            <w:vAlign w:val="bottom"/>
            <w:shd w:val="clear" w:color="auto" w:fill="CCCCCC"/>
          </w:tcPr>
          <w:p>
            <w:pPr>
              <w:spacing w:after="0"/>
              <w:rPr>
                <w:sz w:val="24"/>
                <w:szCs w:val="24"/>
                <w:color w:val="auto"/>
              </w:rPr>
            </w:pPr>
          </w:p>
        </w:tc>
        <w:tc>
          <w:tcPr>
            <w:tcW w:w="140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$574.8</w:t>
            </w:r>
          </w:p>
        </w:tc>
        <w:tc>
          <w:tcPr>
            <w:tcW w:w="4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adjusted COGS)</w:t>
            </w:r>
          </w:p>
        </w:tc>
        <w:tc>
          <w:tcPr>
            <w:tcW w:w="1540" w:type="dxa"/>
            <w:vAlign w:val="bottom"/>
            <w:vMerge w:val="continue"/>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1660" w:type="dxa"/>
            <w:vAlign w:val="bottom"/>
            <w:gridSpan w:val="4"/>
            <w:vMerge w:val="continue"/>
            <w:shd w:val="clear" w:color="auto" w:fill="CCCCCC"/>
          </w:tcPr>
          <w:p>
            <w:pPr>
              <w:spacing w:after="0"/>
              <w:rPr>
                <w:sz w:val="10"/>
                <w:szCs w:val="10"/>
                <w:color w:val="auto"/>
              </w:rPr>
            </w:pPr>
          </w:p>
        </w:tc>
        <w:tc>
          <w:tcPr>
            <w:tcW w:w="1660" w:type="dxa"/>
            <w:vAlign w:val="bottom"/>
            <w:gridSpan w:val="3"/>
            <w:vMerge w:val="continue"/>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CCCC"/>
          </w:tcPr>
          <w:p>
            <w:pPr>
              <w:ind w:left="40"/>
              <w:spacing w:after="0" w:line="201" w:lineRule="exact"/>
              <w:rPr>
                <w:sz w:val="20"/>
                <w:szCs w:val="20"/>
                <w:color w:val="auto"/>
              </w:rPr>
            </w:pPr>
            <w:r>
              <w:rPr>
                <w:rFonts w:ascii="Arial" w:cs="Arial" w:eastAsia="Arial" w:hAnsi="Arial"/>
                <w:sz w:val="18"/>
                <w:szCs w:val="18"/>
                <w:color w:val="auto"/>
              </w:rPr>
              <w:t>Adjusted gross margin % (adjusted gross margin divided</w:t>
            </w:r>
          </w:p>
        </w:tc>
        <w:tc>
          <w:tcPr>
            <w:tcW w:w="15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CCCC"/>
          </w:tcPr>
          <w:p>
            <w:pPr>
              <w:spacing w:after="0"/>
              <w:rPr>
                <w:sz w:val="17"/>
                <w:szCs w:val="17"/>
                <w:color w:val="auto"/>
              </w:rPr>
            </w:pPr>
          </w:p>
        </w:tc>
        <w:tc>
          <w:tcPr>
            <w:tcW w:w="1660" w:type="dxa"/>
            <w:vAlign w:val="bottom"/>
            <w:gridSpan w:val="4"/>
            <w:vMerge w:val="restart"/>
            <w:shd w:val="clear" w:color="auto" w:fill="CCCCCC"/>
          </w:tcPr>
          <w:p>
            <w:pPr>
              <w:jc w:val="right"/>
              <w:ind w:right="50"/>
              <w:spacing w:after="0"/>
              <w:rPr>
                <w:sz w:val="20"/>
                <w:szCs w:val="20"/>
                <w:color w:val="auto"/>
              </w:rPr>
            </w:pPr>
            <w:r>
              <w:rPr>
                <w:rFonts w:ascii="Arial" w:cs="Arial" w:eastAsia="Arial" w:hAnsi="Arial"/>
                <w:sz w:val="18"/>
                <w:szCs w:val="18"/>
                <w:color w:val="auto"/>
              </w:rPr>
              <w:t>64%</w:t>
            </w:r>
          </w:p>
        </w:tc>
        <w:tc>
          <w:tcPr>
            <w:tcW w:w="1660" w:type="dxa"/>
            <w:vAlign w:val="bottom"/>
            <w:gridSpan w:val="3"/>
            <w:vMerge w:val="restart"/>
            <w:shd w:val="clear" w:color="auto" w:fill="CCCCCC"/>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CCCC"/>
          </w:tcPr>
          <w:p>
            <w:pPr>
              <w:spacing w:after="0"/>
              <w:rPr>
                <w:sz w:val="17"/>
                <w:szCs w:val="17"/>
                <w:color w:val="auto"/>
              </w:rPr>
            </w:pPr>
          </w:p>
        </w:tc>
        <w:tc>
          <w:tcPr>
            <w:tcW w:w="140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by adjusted revenues)</w:t>
            </w:r>
          </w:p>
        </w:tc>
        <w:tc>
          <w:tcPr>
            <w:tcW w:w="1540" w:type="dxa"/>
            <w:vAlign w:val="bottom"/>
            <w:vMerge w:val="continue"/>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1660" w:type="dxa"/>
            <w:vAlign w:val="bottom"/>
            <w:gridSpan w:val="4"/>
            <w:vMerge w:val="continue"/>
            <w:shd w:val="clear" w:color="auto" w:fill="CCCCCC"/>
          </w:tcPr>
          <w:p>
            <w:pPr>
              <w:spacing w:after="0"/>
              <w:rPr>
                <w:sz w:val="10"/>
                <w:szCs w:val="10"/>
                <w:color w:val="auto"/>
              </w:rPr>
            </w:pPr>
          </w:p>
        </w:tc>
        <w:tc>
          <w:tcPr>
            <w:tcW w:w="1660" w:type="dxa"/>
            <w:vAlign w:val="bottom"/>
            <w:gridSpan w:val="3"/>
            <w:vMerge w:val="continue"/>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6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Reconciliation of Net Research and Development Expenses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0F243E"/>
          </w:tcPr>
          <w:p>
            <w:pPr>
              <w:spacing w:after="0"/>
              <w:rPr>
                <w:sz w:val="21"/>
                <w:szCs w:val="21"/>
                <w:color w:val="auto"/>
              </w:rPr>
            </w:pPr>
          </w:p>
        </w:tc>
        <w:tc>
          <w:tcPr>
            <w:tcW w:w="1540" w:type="dxa"/>
            <w:vAlign w:val="bottom"/>
            <w:shd w:val="clear" w:color="auto" w:fill="0F243E"/>
          </w:tcPr>
          <w:p>
            <w:pPr>
              <w:spacing w:after="0"/>
              <w:rPr>
                <w:sz w:val="21"/>
                <w:szCs w:val="21"/>
                <w:color w:val="auto"/>
              </w:rPr>
            </w:pPr>
          </w:p>
        </w:tc>
        <w:tc>
          <w:tcPr>
            <w:tcW w:w="120" w:type="dxa"/>
            <w:vAlign w:val="bottom"/>
            <w:shd w:val="clear" w:color="auto" w:fill="0F243E"/>
          </w:tcPr>
          <w:p>
            <w:pPr>
              <w:spacing w:after="0"/>
              <w:rPr>
                <w:sz w:val="21"/>
                <w:szCs w:val="21"/>
                <w:color w:val="auto"/>
              </w:rPr>
            </w:pPr>
          </w:p>
        </w:tc>
        <w:tc>
          <w:tcPr>
            <w:tcW w:w="3540" w:type="dxa"/>
            <w:vAlign w:val="bottom"/>
            <w:gridSpan w:val="8"/>
            <w:shd w:val="clear" w:color="auto" w:fill="0F243E"/>
          </w:tcPr>
          <w:p>
            <w:pPr>
              <w:ind w:left="500"/>
              <w:spacing w:after="0"/>
              <w:rPr>
                <w:sz w:val="20"/>
                <w:szCs w:val="20"/>
                <w:color w:val="auto"/>
              </w:rPr>
            </w:pPr>
            <w:r>
              <w:rPr>
                <w:rFonts w:ascii="Arial" w:cs="Arial" w:eastAsia="Arial" w:hAnsi="Arial"/>
                <w:sz w:val="18"/>
                <w:szCs w:val="18"/>
                <w:b w:val="1"/>
                <w:bCs w:val="1"/>
                <w:color w:val="FFFFFF"/>
              </w:rPr>
              <w:t>Three Months Ended December 31,</w:t>
            </w:r>
          </w:p>
        </w:tc>
        <w:tc>
          <w:tcPr>
            <w:tcW w:w="1400" w:type="dxa"/>
            <w:vAlign w:val="bottom"/>
            <w:shd w:val="clear" w:color="auto" w:fill="0F243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1540" w:type="dxa"/>
            <w:vAlign w:val="bottom"/>
            <w:shd w:val="clear" w:color="auto" w:fill="0F243E"/>
          </w:tcPr>
          <w:p>
            <w:pPr>
              <w:spacing w:after="0"/>
              <w:rPr>
                <w:sz w:val="23"/>
                <w:szCs w:val="23"/>
                <w:color w:val="auto"/>
              </w:rPr>
            </w:pPr>
          </w:p>
        </w:tc>
        <w:tc>
          <w:tcPr>
            <w:tcW w:w="940" w:type="dxa"/>
            <w:vAlign w:val="bottom"/>
            <w:gridSpan w:val="2"/>
            <w:shd w:val="clear" w:color="auto" w:fill="0F243E"/>
          </w:tcPr>
          <w:p>
            <w:pPr>
              <w:jc w:val="right"/>
              <w:ind w:right="430"/>
              <w:spacing w:after="0"/>
              <w:rPr>
                <w:sz w:val="20"/>
                <w:szCs w:val="20"/>
                <w:color w:val="auto"/>
              </w:rPr>
            </w:pPr>
            <w:r>
              <w:rPr>
                <w:rFonts w:ascii="Arial" w:cs="Arial" w:eastAsia="Arial" w:hAnsi="Arial"/>
                <w:sz w:val="18"/>
                <w:szCs w:val="18"/>
                <w:b w:val="1"/>
                <w:bCs w:val="1"/>
                <w:color w:val="FFFFFF"/>
                <w:w w:val="99"/>
              </w:rPr>
              <w:t>2020</w:t>
            </w:r>
          </w:p>
        </w:tc>
        <w:tc>
          <w:tcPr>
            <w:tcW w:w="120" w:type="dxa"/>
            <w:vAlign w:val="bottom"/>
            <w:shd w:val="clear" w:color="auto" w:fill="0F243E"/>
          </w:tcPr>
          <w:p>
            <w:pPr>
              <w:spacing w:after="0"/>
              <w:rPr>
                <w:sz w:val="23"/>
                <w:szCs w:val="23"/>
                <w:color w:val="auto"/>
              </w:rPr>
            </w:pPr>
          </w:p>
        </w:tc>
        <w:tc>
          <w:tcPr>
            <w:tcW w:w="200" w:type="dxa"/>
            <w:vAlign w:val="bottom"/>
            <w:shd w:val="clear" w:color="auto" w:fill="0F243E"/>
          </w:tcPr>
          <w:p>
            <w:pPr>
              <w:spacing w:after="0"/>
              <w:rPr>
                <w:sz w:val="23"/>
                <w:szCs w:val="23"/>
                <w:color w:val="auto"/>
              </w:rPr>
            </w:pPr>
          </w:p>
        </w:tc>
        <w:tc>
          <w:tcPr>
            <w:tcW w:w="520" w:type="dxa"/>
            <w:vAlign w:val="bottom"/>
            <w:shd w:val="clear" w:color="auto" w:fill="0F243E"/>
          </w:tcPr>
          <w:p>
            <w:pPr>
              <w:spacing w:after="0"/>
              <w:rPr>
                <w:sz w:val="23"/>
                <w:szCs w:val="23"/>
                <w:color w:val="auto"/>
              </w:rPr>
            </w:pPr>
          </w:p>
        </w:tc>
        <w:tc>
          <w:tcPr>
            <w:tcW w:w="1220" w:type="dxa"/>
            <w:vAlign w:val="bottom"/>
            <w:shd w:val="clear" w:color="auto" w:fill="0F243E"/>
          </w:tcPr>
          <w:p>
            <w:pPr>
              <w:jc w:val="right"/>
              <w:ind w:right="491"/>
              <w:spacing w:after="0"/>
              <w:rPr>
                <w:sz w:val="20"/>
                <w:szCs w:val="20"/>
                <w:color w:val="auto"/>
              </w:rPr>
            </w:pPr>
            <w:r>
              <w:rPr>
                <w:rFonts w:ascii="Arial" w:cs="Arial" w:eastAsia="Arial" w:hAnsi="Arial"/>
                <w:sz w:val="18"/>
                <w:szCs w:val="18"/>
                <w:b w:val="1"/>
                <w:bCs w:val="1"/>
                <w:color w:val="FFFFFF"/>
              </w:rPr>
              <w:t>2019</w:t>
            </w:r>
          </w:p>
        </w:tc>
        <w:tc>
          <w:tcPr>
            <w:tcW w:w="180" w:type="dxa"/>
            <w:vAlign w:val="bottom"/>
            <w:shd w:val="clear" w:color="auto" w:fill="0F243E"/>
          </w:tcPr>
          <w:p>
            <w:pPr>
              <w:spacing w:after="0"/>
              <w:rPr>
                <w:sz w:val="23"/>
                <w:szCs w:val="23"/>
                <w:color w:val="auto"/>
              </w:rPr>
            </w:pPr>
          </w:p>
        </w:tc>
        <w:tc>
          <w:tcPr>
            <w:tcW w:w="260" w:type="dxa"/>
            <w:vAlign w:val="bottom"/>
            <w:shd w:val="clear" w:color="auto" w:fill="0F243E"/>
          </w:tcPr>
          <w:p>
            <w:pPr>
              <w:spacing w:after="0"/>
              <w:rPr>
                <w:sz w:val="23"/>
                <w:szCs w:val="23"/>
                <w:color w:val="auto"/>
              </w:rPr>
            </w:pPr>
          </w:p>
        </w:tc>
        <w:tc>
          <w:tcPr>
            <w:tcW w:w="220" w:type="dxa"/>
            <w:vAlign w:val="bottom"/>
            <w:shd w:val="clear" w:color="auto" w:fill="0F243E"/>
          </w:tcPr>
          <w:p>
            <w:pPr>
              <w:spacing w:after="0"/>
              <w:rPr>
                <w:sz w:val="23"/>
                <w:szCs w:val="23"/>
                <w:color w:val="auto"/>
              </w:rPr>
            </w:pPr>
          </w:p>
        </w:tc>
        <w:tc>
          <w:tcPr>
            <w:tcW w:w="1400" w:type="dxa"/>
            <w:vAlign w:val="bottom"/>
            <w:shd w:val="clear" w:color="auto" w:fill="0F243E"/>
          </w:tcPr>
          <w:p>
            <w:pPr>
              <w:jc w:val="center"/>
              <w:ind w:right="390"/>
              <w:spacing w:after="0"/>
              <w:rPr>
                <w:sz w:val="20"/>
                <w:szCs w:val="20"/>
                <w:color w:val="auto"/>
              </w:rPr>
            </w:pPr>
            <w:r>
              <w:rPr>
                <w:rFonts w:ascii="Arial" w:cs="Arial" w:eastAsia="Arial" w:hAnsi="Arial"/>
                <w:sz w:val="18"/>
                <w:szCs w:val="18"/>
                <w:b w:val="1"/>
                <w:bCs w:val="1"/>
                <w:color w:val="FFFFFF"/>
              </w:rPr>
              <w:t>% 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shd w:val="clear" w:color="auto" w:fill="CCCCCC"/>
          </w:tcPr>
          <w:p>
            <w:pPr>
              <w:spacing w:after="0"/>
              <w:rPr>
                <w:sz w:val="19"/>
                <w:szCs w:val="19"/>
                <w:color w:val="auto"/>
              </w:rPr>
            </w:pPr>
          </w:p>
        </w:tc>
        <w:tc>
          <w:tcPr>
            <w:tcW w:w="1260" w:type="dxa"/>
            <w:vAlign w:val="bottom"/>
            <w:gridSpan w:val="4"/>
            <w:shd w:val="clear" w:color="auto" w:fill="CCCCCC"/>
          </w:tcPr>
          <w:p>
            <w:pPr>
              <w:jc w:val="right"/>
              <w:ind w:right="30"/>
              <w:spacing w:after="0"/>
              <w:rPr>
                <w:sz w:val="20"/>
                <w:szCs w:val="20"/>
                <w:color w:val="auto"/>
              </w:rPr>
            </w:pPr>
            <w:r>
              <w:rPr>
                <w:rFonts w:ascii="Arial" w:cs="Arial" w:eastAsia="Arial" w:hAnsi="Arial"/>
                <w:sz w:val="18"/>
                <w:szCs w:val="18"/>
                <w:color w:val="auto"/>
              </w:rPr>
              <w:t>$59.5</w:t>
            </w:r>
          </w:p>
        </w:tc>
        <w:tc>
          <w:tcPr>
            <w:tcW w:w="520" w:type="dxa"/>
            <w:vAlign w:val="bottom"/>
            <w:shd w:val="clear" w:color="auto" w:fill="CCCCCC"/>
          </w:tcPr>
          <w:p>
            <w:pPr>
              <w:spacing w:after="0"/>
              <w:rPr>
                <w:sz w:val="19"/>
                <w:szCs w:val="19"/>
                <w:color w:val="auto"/>
              </w:rPr>
            </w:pPr>
          </w:p>
        </w:tc>
        <w:tc>
          <w:tcPr>
            <w:tcW w:w="140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1400" w:type="dxa"/>
            <w:vAlign w:val="bottom"/>
            <w:shd w:val="clear" w:color="auto" w:fill="CCCCCC"/>
          </w:tcPr>
          <w:p>
            <w:pPr>
              <w:jc w:val="center"/>
              <w:ind w:right="370"/>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4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82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Contracts and Grants Revenue</w:t>
            </w:r>
          </w:p>
        </w:tc>
        <w:tc>
          <w:tcPr>
            <w:tcW w:w="1540" w:type="dxa"/>
            <w:vAlign w:val="bottom"/>
            <w:shd w:val="clear" w:color="auto" w:fill="CCCCCC"/>
          </w:tcPr>
          <w:p>
            <w:pPr>
              <w:spacing w:after="0"/>
              <w:rPr>
                <w:sz w:val="21"/>
                <w:szCs w:val="21"/>
                <w:color w:val="auto"/>
              </w:rPr>
            </w:pPr>
          </w:p>
        </w:tc>
        <w:tc>
          <w:tcPr>
            <w:tcW w:w="10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40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right"/>
              <w:ind w:right="67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Impairment of IPR&amp;D</w:t>
            </w:r>
          </w:p>
        </w:tc>
        <w:tc>
          <w:tcPr>
            <w:tcW w:w="154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40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center"/>
              <w:ind w:right="410"/>
              <w:spacing w:after="0"/>
              <w:rPr>
                <w:sz w:val="20"/>
                <w:szCs w:val="20"/>
                <w:color w:val="auto"/>
              </w:rPr>
            </w:pPr>
            <w:r>
              <w:rPr>
                <w:rFonts w:ascii="Arial" w:cs="Arial" w:eastAsia="Arial" w:hAnsi="Arial"/>
                <w:sz w:val="18"/>
                <w:szCs w:val="18"/>
                <w:color w:val="auto"/>
                <w:w w:val="84"/>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Research and Development Expenses</w:t>
            </w:r>
          </w:p>
        </w:tc>
        <w:tc>
          <w:tcPr>
            <w:tcW w:w="1540" w:type="dxa"/>
            <w:vAlign w:val="bottom"/>
            <w:shd w:val="clear" w:color="auto" w:fill="CCCCCC"/>
          </w:tcPr>
          <w:p>
            <w:pPr>
              <w:spacing w:after="0"/>
              <w:rPr>
                <w:sz w:val="21"/>
                <w:szCs w:val="21"/>
                <w:color w:val="auto"/>
              </w:rPr>
            </w:pPr>
          </w:p>
        </w:tc>
        <w:tc>
          <w:tcPr>
            <w:tcW w:w="10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40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right"/>
              <w:ind w:right="61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CCCC"/>
          </w:tcPr>
          <w:p>
            <w:pPr>
              <w:ind w:left="40"/>
              <w:spacing w:after="0" w:line="201" w:lineRule="exact"/>
              <w:rPr>
                <w:sz w:val="20"/>
                <w:szCs w:val="20"/>
                <w:color w:val="auto"/>
              </w:rPr>
            </w:pPr>
            <w:r>
              <w:rPr>
                <w:rFonts w:ascii="Arial" w:cs="Arial" w:eastAsia="Arial" w:hAnsi="Arial"/>
                <w:sz w:val="18"/>
                <w:szCs w:val="18"/>
                <w:color w:val="auto"/>
              </w:rPr>
              <w:t>Adjusted Revenue</w:t>
            </w:r>
          </w:p>
        </w:tc>
        <w:tc>
          <w:tcPr>
            <w:tcW w:w="1540" w:type="dxa"/>
            <w:vAlign w:val="bottom"/>
            <w:shd w:val="clear" w:color="auto" w:fill="CCCCCC"/>
          </w:tcPr>
          <w:p>
            <w:pPr>
              <w:spacing w:after="0"/>
              <w:rPr>
                <w:sz w:val="17"/>
                <w:szCs w:val="17"/>
                <w:color w:val="auto"/>
              </w:rPr>
            </w:pPr>
          </w:p>
        </w:tc>
        <w:tc>
          <w:tcPr>
            <w:tcW w:w="1060" w:type="dxa"/>
            <w:vAlign w:val="bottom"/>
            <w:gridSpan w:val="3"/>
            <w:vMerge w:val="restart"/>
            <w:shd w:val="clear" w:color="auto" w:fill="CCCCCC"/>
          </w:tcPr>
          <w:p>
            <w:pPr>
              <w:jc w:val="right"/>
              <w:spacing w:after="0"/>
              <w:rPr>
                <w:sz w:val="20"/>
                <w:szCs w:val="20"/>
                <w:color w:val="auto"/>
              </w:rPr>
            </w:pPr>
            <w:r>
              <w:rPr>
                <w:rFonts w:ascii="Arial" w:cs="Arial" w:eastAsia="Arial" w:hAnsi="Arial"/>
                <w:sz w:val="18"/>
                <w:szCs w:val="18"/>
                <w:color w:val="auto"/>
              </w:rPr>
              <w:t>$540.0</w:t>
            </w:r>
          </w:p>
        </w:tc>
        <w:tc>
          <w:tcPr>
            <w:tcW w:w="2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400" w:type="dxa"/>
            <w:vAlign w:val="bottom"/>
            <w:gridSpan w:val="2"/>
            <w:vMerge w:val="restart"/>
            <w:shd w:val="clear" w:color="auto" w:fill="CCCCCC"/>
          </w:tcPr>
          <w:p>
            <w:pPr>
              <w:jc w:val="right"/>
              <w:ind w:right="30"/>
              <w:spacing w:after="0"/>
              <w:rPr>
                <w:sz w:val="20"/>
                <w:szCs w:val="20"/>
                <w:color w:val="auto"/>
              </w:rPr>
            </w:pPr>
            <w:r>
              <w:rPr>
                <w:rFonts w:ascii="Arial" w:cs="Arial" w:eastAsia="Arial" w:hAnsi="Arial"/>
                <w:sz w:val="18"/>
                <w:szCs w:val="18"/>
                <w:color w:val="auto"/>
              </w:rPr>
              <w:t>$336.3</w:t>
            </w:r>
          </w:p>
        </w:tc>
        <w:tc>
          <w:tcPr>
            <w:tcW w:w="26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1400" w:type="dxa"/>
            <w:vAlign w:val="bottom"/>
            <w:vMerge w:val="restart"/>
            <w:shd w:val="clear" w:color="auto" w:fill="CCCCCC"/>
          </w:tcPr>
          <w:p>
            <w:pPr>
              <w:jc w:val="right"/>
              <w:ind w:right="67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540" w:type="dxa"/>
            <w:vAlign w:val="bottom"/>
            <w:shd w:val="clear" w:color="auto" w:fill="CCCCCC"/>
          </w:tcPr>
          <w:p>
            <w:pPr>
              <w:spacing w:after="0"/>
              <w:rPr>
                <w:sz w:val="10"/>
                <w:szCs w:val="10"/>
                <w:color w:val="auto"/>
              </w:rPr>
            </w:pPr>
          </w:p>
        </w:tc>
        <w:tc>
          <w:tcPr>
            <w:tcW w:w="1060" w:type="dxa"/>
            <w:vAlign w:val="bottom"/>
            <w:gridSpan w:val="3"/>
            <w:vMerge w:val="continue"/>
            <w:shd w:val="clear" w:color="auto" w:fill="CCCCCC"/>
          </w:tcPr>
          <w:p>
            <w:pPr>
              <w:spacing w:after="0"/>
              <w:rPr>
                <w:sz w:val="10"/>
                <w:szCs w:val="10"/>
                <w:color w:val="auto"/>
              </w:rPr>
            </w:pPr>
          </w:p>
        </w:tc>
        <w:tc>
          <w:tcPr>
            <w:tcW w:w="200" w:type="dxa"/>
            <w:vAlign w:val="bottom"/>
            <w:shd w:val="clear" w:color="auto" w:fill="CCCCCC"/>
          </w:tcPr>
          <w:p>
            <w:pPr>
              <w:spacing w:after="0"/>
              <w:rPr>
                <w:sz w:val="10"/>
                <w:szCs w:val="10"/>
                <w:color w:val="auto"/>
              </w:rPr>
            </w:pPr>
          </w:p>
        </w:tc>
        <w:tc>
          <w:tcPr>
            <w:tcW w:w="520" w:type="dxa"/>
            <w:vAlign w:val="bottom"/>
            <w:shd w:val="clear" w:color="auto" w:fill="CCCCCC"/>
          </w:tcPr>
          <w:p>
            <w:pPr>
              <w:spacing w:after="0"/>
              <w:rPr>
                <w:sz w:val="10"/>
                <w:szCs w:val="10"/>
                <w:color w:val="auto"/>
              </w:rPr>
            </w:pPr>
          </w:p>
        </w:tc>
        <w:tc>
          <w:tcPr>
            <w:tcW w:w="1400" w:type="dxa"/>
            <w:vAlign w:val="bottom"/>
            <w:gridSpan w:val="2"/>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R&amp;D as % of Adjusted Revenue (Net R&amp;D Margin)</w:t>
            </w:r>
          </w:p>
        </w:tc>
        <w:tc>
          <w:tcPr>
            <w:tcW w:w="1540" w:type="dxa"/>
            <w:vAlign w:val="bottom"/>
            <w:shd w:val="clear" w:color="auto" w:fill="CCCCCC"/>
          </w:tcPr>
          <w:p>
            <w:pPr>
              <w:spacing w:after="0"/>
              <w:rPr>
                <w:sz w:val="21"/>
                <w:szCs w:val="21"/>
                <w:color w:val="auto"/>
              </w:rPr>
            </w:pPr>
          </w:p>
        </w:tc>
        <w:tc>
          <w:tcPr>
            <w:tcW w:w="10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CCCC"/>
          </w:tcPr>
          <w:p>
            <w:pPr>
              <w:spacing w:after="0"/>
              <w:rPr>
                <w:sz w:val="21"/>
                <w:szCs w:val="21"/>
                <w:color w:val="auto"/>
              </w:rPr>
            </w:pPr>
          </w:p>
        </w:tc>
        <w:tc>
          <w:tcPr>
            <w:tcW w:w="140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right"/>
              <w:ind w:right="61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1740" w:type="dxa"/>
            <w:vAlign w:val="bottom"/>
            <w:gridSpan w:val="2"/>
          </w:tcPr>
          <w:p>
            <w:pPr>
              <w:spacing w:after="0"/>
              <w:rPr>
                <w:sz w:val="10"/>
                <w:szCs w:val="10"/>
                <w:color w:val="auto"/>
              </w:rPr>
            </w:pPr>
          </w:p>
        </w:tc>
        <w:tc>
          <w:tcPr>
            <w:tcW w:w="660" w:type="dxa"/>
            <w:vAlign w:val="bottom"/>
            <w:gridSpan w:val="3"/>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580" w:type="dxa"/>
            <w:vAlign w:val="bottom"/>
            <w:shd w:val="clear" w:color="auto" w:fill="0F243E"/>
          </w:tcPr>
          <w:p>
            <w:pPr>
              <w:spacing w:after="0"/>
              <w:rPr>
                <w:sz w:val="24"/>
                <w:szCs w:val="24"/>
                <w:color w:val="auto"/>
              </w:rPr>
            </w:pPr>
          </w:p>
        </w:tc>
        <w:tc>
          <w:tcPr>
            <w:tcW w:w="1540" w:type="dxa"/>
            <w:vAlign w:val="bottom"/>
            <w:shd w:val="clear" w:color="auto" w:fill="0F243E"/>
          </w:tcPr>
          <w:p>
            <w:pPr>
              <w:spacing w:after="0"/>
              <w:rPr>
                <w:sz w:val="24"/>
                <w:szCs w:val="24"/>
                <w:color w:val="auto"/>
              </w:rPr>
            </w:pPr>
          </w:p>
        </w:tc>
        <w:tc>
          <w:tcPr>
            <w:tcW w:w="120" w:type="dxa"/>
            <w:vAlign w:val="bottom"/>
            <w:shd w:val="clear" w:color="auto" w:fill="0F243E"/>
          </w:tcPr>
          <w:p>
            <w:pPr>
              <w:spacing w:after="0"/>
              <w:rPr>
                <w:sz w:val="24"/>
                <w:szCs w:val="24"/>
                <w:color w:val="auto"/>
              </w:rPr>
            </w:pPr>
          </w:p>
        </w:tc>
        <w:tc>
          <w:tcPr>
            <w:tcW w:w="820" w:type="dxa"/>
            <w:vAlign w:val="bottom"/>
            <w:shd w:val="clear" w:color="auto" w:fill="0F243E"/>
          </w:tcPr>
          <w:p>
            <w:pPr>
              <w:spacing w:after="0"/>
              <w:rPr>
                <w:sz w:val="24"/>
                <w:szCs w:val="24"/>
                <w:color w:val="auto"/>
              </w:rPr>
            </w:pPr>
          </w:p>
        </w:tc>
        <w:tc>
          <w:tcPr>
            <w:tcW w:w="2720" w:type="dxa"/>
            <w:vAlign w:val="bottom"/>
            <w:gridSpan w:val="7"/>
            <w:shd w:val="clear" w:color="auto" w:fill="0F243E"/>
          </w:tcPr>
          <w:p>
            <w:pPr>
              <w:ind w:left="40"/>
              <w:spacing w:after="0"/>
              <w:rPr>
                <w:sz w:val="20"/>
                <w:szCs w:val="20"/>
                <w:color w:val="auto"/>
              </w:rPr>
            </w:pPr>
            <w:r>
              <w:rPr>
                <w:rFonts w:ascii="Arial" w:cs="Arial" w:eastAsia="Arial" w:hAnsi="Arial"/>
                <w:sz w:val="18"/>
                <w:szCs w:val="18"/>
                <w:b w:val="1"/>
                <w:bCs w:val="1"/>
                <w:color w:val="FFFFFF"/>
              </w:rPr>
              <w:t>Year Ended December 31,</w:t>
            </w:r>
          </w:p>
        </w:tc>
        <w:tc>
          <w:tcPr>
            <w:tcW w:w="1400" w:type="dxa"/>
            <w:vAlign w:val="bottom"/>
            <w:shd w:val="clear" w:color="auto" w:fill="0F243E"/>
          </w:tcPr>
          <w:p>
            <w:pPr>
              <w:spacing w:after="0"/>
              <w:rPr>
                <w:sz w:val="24"/>
                <w:szCs w:val="24"/>
                <w:color w:val="auto"/>
              </w:rPr>
            </w:pPr>
          </w:p>
        </w:tc>
        <w:tc>
          <w:tcPr>
            <w:tcW w:w="40" w:type="dxa"/>
            <w:vAlign w:val="bottom"/>
            <w:shd w:val="clear" w:color="auto" w:fill="0F243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80" w:type="dxa"/>
            <w:vAlign w:val="bottom"/>
            <w:shd w:val="clear" w:color="auto" w:fill="0F243E"/>
          </w:tcPr>
          <w:p>
            <w:pPr>
              <w:ind w:left="40"/>
              <w:spacing w:after="0"/>
              <w:rPr>
                <w:sz w:val="20"/>
                <w:szCs w:val="20"/>
                <w:color w:val="auto"/>
              </w:rPr>
            </w:pPr>
            <w:r>
              <w:rPr>
                <w:rFonts w:ascii="Arial" w:cs="Arial" w:eastAsia="Arial" w:hAnsi="Arial"/>
                <w:sz w:val="18"/>
                <w:szCs w:val="18"/>
                <w:b w:val="1"/>
                <w:bCs w:val="1"/>
                <w:color w:val="FFFFFF"/>
              </w:rPr>
              <w:t>(in millions)</w:t>
            </w:r>
          </w:p>
        </w:tc>
        <w:tc>
          <w:tcPr>
            <w:tcW w:w="2480" w:type="dxa"/>
            <w:vAlign w:val="bottom"/>
            <w:gridSpan w:val="3"/>
            <w:shd w:val="clear" w:color="auto" w:fill="0F243E"/>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120" w:type="dxa"/>
            <w:vAlign w:val="bottom"/>
            <w:shd w:val="clear" w:color="auto" w:fill="0F243E"/>
          </w:tcPr>
          <w:p>
            <w:pPr>
              <w:spacing w:after="0"/>
              <w:rPr>
                <w:sz w:val="24"/>
                <w:szCs w:val="24"/>
                <w:color w:val="auto"/>
              </w:rPr>
            </w:pPr>
          </w:p>
        </w:tc>
        <w:tc>
          <w:tcPr>
            <w:tcW w:w="200" w:type="dxa"/>
            <w:vAlign w:val="bottom"/>
            <w:shd w:val="clear" w:color="auto" w:fill="0F243E"/>
          </w:tcPr>
          <w:p>
            <w:pPr>
              <w:spacing w:after="0"/>
              <w:rPr>
                <w:sz w:val="24"/>
                <w:szCs w:val="24"/>
                <w:color w:val="auto"/>
              </w:rPr>
            </w:pPr>
          </w:p>
        </w:tc>
        <w:tc>
          <w:tcPr>
            <w:tcW w:w="520" w:type="dxa"/>
            <w:vAlign w:val="bottom"/>
            <w:shd w:val="clear" w:color="auto" w:fill="0F243E"/>
          </w:tcPr>
          <w:p>
            <w:pPr>
              <w:spacing w:after="0"/>
              <w:rPr>
                <w:sz w:val="24"/>
                <w:szCs w:val="24"/>
                <w:color w:val="auto"/>
              </w:rPr>
            </w:pPr>
          </w:p>
        </w:tc>
        <w:tc>
          <w:tcPr>
            <w:tcW w:w="1220" w:type="dxa"/>
            <w:vAlign w:val="bottom"/>
            <w:shd w:val="clear" w:color="auto" w:fill="0F243E"/>
          </w:tcPr>
          <w:p>
            <w:pPr>
              <w:jc w:val="right"/>
              <w:ind w:right="531"/>
              <w:spacing w:after="0"/>
              <w:rPr>
                <w:sz w:val="20"/>
                <w:szCs w:val="20"/>
                <w:color w:val="auto"/>
              </w:rPr>
            </w:pPr>
            <w:r>
              <w:rPr>
                <w:rFonts w:ascii="Arial" w:cs="Arial" w:eastAsia="Arial" w:hAnsi="Arial"/>
                <w:sz w:val="18"/>
                <w:szCs w:val="18"/>
                <w:b w:val="1"/>
                <w:bCs w:val="1"/>
                <w:color w:val="FFFFFF"/>
              </w:rPr>
              <w:t>2019</w:t>
            </w:r>
          </w:p>
        </w:tc>
        <w:tc>
          <w:tcPr>
            <w:tcW w:w="180" w:type="dxa"/>
            <w:vAlign w:val="bottom"/>
            <w:shd w:val="clear" w:color="auto" w:fill="0F243E"/>
          </w:tcPr>
          <w:p>
            <w:pPr>
              <w:spacing w:after="0"/>
              <w:rPr>
                <w:sz w:val="24"/>
                <w:szCs w:val="24"/>
                <w:color w:val="auto"/>
              </w:rPr>
            </w:pPr>
          </w:p>
        </w:tc>
        <w:tc>
          <w:tcPr>
            <w:tcW w:w="260" w:type="dxa"/>
            <w:vAlign w:val="bottom"/>
            <w:shd w:val="clear" w:color="auto" w:fill="0F243E"/>
          </w:tcPr>
          <w:p>
            <w:pPr>
              <w:spacing w:after="0"/>
              <w:rPr>
                <w:sz w:val="24"/>
                <w:szCs w:val="24"/>
                <w:color w:val="auto"/>
              </w:rPr>
            </w:pPr>
          </w:p>
        </w:tc>
        <w:tc>
          <w:tcPr>
            <w:tcW w:w="220" w:type="dxa"/>
            <w:vAlign w:val="bottom"/>
            <w:shd w:val="clear" w:color="auto" w:fill="0F243E"/>
          </w:tcPr>
          <w:p>
            <w:pPr>
              <w:spacing w:after="0"/>
              <w:rPr>
                <w:sz w:val="24"/>
                <w:szCs w:val="24"/>
                <w:color w:val="auto"/>
              </w:rPr>
            </w:pPr>
          </w:p>
        </w:tc>
        <w:tc>
          <w:tcPr>
            <w:tcW w:w="1440" w:type="dxa"/>
            <w:vAlign w:val="bottom"/>
            <w:gridSpan w:val="2"/>
            <w:shd w:val="clear" w:color="auto" w:fill="0F243E"/>
          </w:tcPr>
          <w:p>
            <w:pPr>
              <w:ind w:left="6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30"/>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520" w:type="dxa"/>
            <w:vAlign w:val="bottom"/>
            <w:shd w:val="clear" w:color="auto" w:fill="CCCCCC"/>
          </w:tcPr>
          <w:p>
            <w:pPr>
              <w:spacing w:after="0"/>
              <w:rPr>
                <w:sz w:val="19"/>
                <w:szCs w:val="19"/>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CCCC"/>
          </w:tcPr>
          <w:p>
            <w:pPr>
              <w:spacing w:after="0"/>
              <w:rPr>
                <w:sz w:val="19"/>
                <w:szCs w:val="19"/>
                <w:color w:val="auto"/>
              </w:rPr>
            </w:pPr>
          </w:p>
        </w:tc>
        <w:tc>
          <w:tcPr>
            <w:tcW w:w="26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1400" w:type="dxa"/>
            <w:vAlign w:val="bottom"/>
            <w:shd w:val="clear" w:color="auto" w:fill="CCCCCC"/>
          </w:tcPr>
          <w:p>
            <w:pPr>
              <w:jc w:val="center"/>
              <w:ind w:right="330"/>
              <w:spacing w:after="0"/>
              <w:rPr>
                <w:sz w:val="20"/>
                <w:szCs w:val="20"/>
                <w:color w:val="auto"/>
              </w:rPr>
            </w:pPr>
            <w:r>
              <w:rPr>
                <w:rFonts w:ascii="Arial" w:cs="Arial" w:eastAsia="Arial" w:hAnsi="Arial"/>
                <w:sz w:val="18"/>
                <w:szCs w:val="18"/>
                <w:color w:val="auto"/>
                <w:w w:val="99"/>
              </w:rPr>
              <w:t>4%</w:t>
            </w:r>
          </w:p>
        </w:tc>
        <w:tc>
          <w:tcPr>
            <w:tcW w:w="4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4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820" w:type="dxa"/>
            <w:vAlign w:val="bottom"/>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Contracts and Grants Revenue</w:t>
            </w:r>
          </w:p>
        </w:tc>
        <w:tc>
          <w:tcPr>
            <w:tcW w:w="154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shd w:val="clear" w:color="auto" w:fill="CCCCCC"/>
          </w:tcPr>
          <w:p>
            <w:pPr>
              <w:spacing w:after="0"/>
              <w:rPr>
                <w:sz w:val="21"/>
                <w:szCs w:val="21"/>
                <w:color w:val="auto"/>
              </w:rPr>
            </w:pP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center"/>
              <w:ind w:right="330"/>
              <w:spacing w:after="0"/>
              <w:rPr>
                <w:sz w:val="20"/>
                <w:szCs w:val="20"/>
                <w:color w:val="auto"/>
              </w:rPr>
            </w:pPr>
            <w:r>
              <w:rPr>
                <w:rFonts w:ascii="Arial" w:cs="Arial" w:eastAsia="Arial" w:hAnsi="Arial"/>
                <w:sz w:val="18"/>
                <w:szCs w:val="18"/>
                <w:color w:val="auto"/>
                <w:w w:val="99"/>
              </w:rPr>
              <w:t>(6)%</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Impairment of IPR&amp;D</w:t>
            </w:r>
          </w:p>
        </w:tc>
        <w:tc>
          <w:tcPr>
            <w:tcW w:w="154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CCCC"/>
          </w:tcPr>
          <w:p>
            <w:pPr>
              <w:spacing w:after="0"/>
              <w:rPr>
                <w:sz w:val="21"/>
                <w:szCs w:val="21"/>
                <w:color w:val="auto"/>
              </w:rPr>
            </w:pP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center"/>
              <w:ind w:right="330"/>
              <w:spacing w:after="0"/>
              <w:rPr>
                <w:sz w:val="20"/>
                <w:szCs w:val="20"/>
                <w:color w:val="auto"/>
              </w:rPr>
            </w:pPr>
            <w:r>
              <w:rPr>
                <w:rFonts w:ascii="Arial" w:cs="Arial" w:eastAsia="Arial" w:hAnsi="Arial"/>
                <w:sz w:val="18"/>
                <w:szCs w:val="18"/>
                <w:color w:val="auto"/>
                <w:w w:val="84"/>
              </w:rPr>
              <w:t>*</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Research and Development Expenses</w:t>
            </w:r>
          </w:p>
        </w:tc>
        <w:tc>
          <w:tcPr>
            <w:tcW w:w="154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CCCCC"/>
          </w:tcPr>
          <w:p>
            <w:pPr>
              <w:spacing w:after="0"/>
              <w:rPr>
                <w:sz w:val="21"/>
                <w:szCs w:val="21"/>
                <w:color w:val="auto"/>
              </w:rPr>
            </w:pP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center"/>
              <w:ind w:right="330"/>
              <w:spacing w:after="0"/>
              <w:rPr>
                <w:sz w:val="20"/>
                <w:szCs w:val="20"/>
                <w:color w:val="auto"/>
              </w:rPr>
            </w:pPr>
            <w:r>
              <w:rPr>
                <w:rFonts w:ascii="Arial" w:cs="Arial" w:eastAsia="Arial" w:hAnsi="Arial"/>
                <w:sz w:val="18"/>
                <w:szCs w:val="18"/>
                <w:color w:val="auto"/>
                <w:w w:val="99"/>
              </w:rPr>
              <w:t>(1)%</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CCCC"/>
          </w:tcPr>
          <w:p>
            <w:pPr>
              <w:ind w:left="20"/>
              <w:spacing w:after="0" w:line="201" w:lineRule="exact"/>
              <w:rPr>
                <w:sz w:val="20"/>
                <w:szCs w:val="20"/>
                <w:color w:val="auto"/>
              </w:rPr>
            </w:pPr>
            <w:r>
              <w:rPr>
                <w:rFonts w:ascii="Arial" w:cs="Arial" w:eastAsia="Arial" w:hAnsi="Arial"/>
                <w:sz w:val="18"/>
                <w:szCs w:val="18"/>
                <w:color w:val="auto"/>
              </w:rPr>
              <w:t>Adjusted Revenue</w:t>
            </w:r>
          </w:p>
        </w:tc>
        <w:tc>
          <w:tcPr>
            <w:tcW w:w="1540" w:type="dxa"/>
            <w:vAlign w:val="bottom"/>
            <w:shd w:val="clear" w:color="auto" w:fill="CCCCCC"/>
          </w:tcPr>
          <w:p>
            <w:pPr>
              <w:spacing w:after="0"/>
              <w:rPr>
                <w:sz w:val="17"/>
                <w:szCs w:val="17"/>
                <w:color w:val="auto"/>
              </w:rPr>
            </w:pPr>
          </w:p>
        </w:tc>
        <w:tc>
          <w:tcPr>
            <w:tcW w:w="940" w:type="dxa"/>
            <w:vAlign w:val="bottom"/>
            <w:gridSpan w:val="2"/>
            <w:vMerge w:val="restart"/>
            <w:shd w:val="clear" w:color="auto" w:fill="CCCCCC"/>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22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$983.5</w:t>
            </w:r>
          </w:p>
        </w:tc>
        <w:tc>
          <w:tcPr>
            <w:tcW w:w="180" w:type="dxa"/>
            <w:vAlign w:val="bottom"/>
            <w:shd w:val="clear" w:color="auto" w:fill="CCCCCC"/>
          </w:tcPr>
          <w:p>
            <w:pPr>
              <w:spacing w:after="0"/>
              <w:rPr>
                <w:sz w:val="17"/>
                <w:szCs w:val="17"/>
                <w:color w:val="auto"/>
              </w:rPr>
            </w:pPr>
          </w:p>
        </w:tc>
        <w:tc>
          <w:tcPr>
            <w:tcW w:w="26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1400" w:type="dxa"/>
            <w:vAlign w:val="bottom"/>
            <w:vMerge w:val="restart"/>
            <w:shd w:val="clear" w:color="auto" w:fill="CCCCCC"/>
          </w:tcPr>
          <w:p>
            <w:pPr>
              <w:jc w:val="center"/>
              <w:ind w:right="350"/>
              <w:spacing w:after="0"/>
              <w:rPr>
                <w:sz w:val="20"/>
                <w:szCs w:val="20"/>
                <w:color w:val="auto"/>
              </w:rPr>
            </w:pPr>
            <w:r>
              <w:rPr>
                <w:rFonts w:ascii="Arial" w:cs="Arial" w:eastAsia="Arial" w:hAnsi="Arial"/>
                <w:sz w:val="18"/>
                <w:szCs w:val="18"/>
                <w:color w:val="auto"/>
                <w:w w:val="99"/>
              </w:rPr>
              <w:t>46%</w:t>
            </w:r>
          </w:p>
        </w:tc>
        <w:tc>
          <w:tcPr>
            <w:tcW w:w="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CCCC"/>
          </w:tcPr>
          <w:p>
            <w:pPr>
              <w:ind w:left="20"/>
              <w:spacing w:after="0"/>
              <w:rPr>
                <w:sz w:val="20"/>
                <w:szCs w:val="20"/>
                <w:color w:val="auto"/>
              </w:rPr>
            </w:pPr>
            <w:r>
              <w:rPr>
                <w:rFonts w:ascii="Arial" w:cs="Arial" w:eastAsia="Arial" w:hAnsi="Arial"/>
                <w:sz w:val="18"/>
                <w:szCs w:val="18"/>
                <w:color w:val="auto"/>
              </w:rPr>
              <w:t>(Total Revenue less Contracts and Grants Revenue)</w:t>
            </w:r>
          </w:p>
        </w:tc>
        <w:tc>
          <w:tcPr>
            <w:tcW w:w="1540" w:type="dxa"/>
            <w:vAlign w:val="bottom"/>
            <w:shd w:val="clear" w:color="auto" w:fill="CCCCCC"/>
          </w:tcPr>
          <w:p>
            <w:pPr>
              <w:spacing w:after="0"/>
              <w:rPr>
                <w:sz w:val="10"/>
                <w:szCs w:val="10"/>
                <w:color w:val="auto"/>
              </w:rPr>
            </w:pPr>
          </w:p>
        </w:tc>
        <w:tc>
          <w:tcPr>
            <w:tcW w:w="940" w:type="dxa"/>
            <w:vAlign w:val="bottom"/>
            <w:gridSpan w:val="2"/>
            <w:vMerge w:val="continue"/>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200" w:type="dxa"/>
            <w:vAlign w:val="bottom"/>
            <w:shd w:val="clear" w:color="auto" w:fill="CCCCCC"/>
          </w:tcPr>
          <w:p>
            <w:pPr>
              <w:spacing w:after="0"/>
              <w:rPr>
                <w:sz w:val="10"/>
                <w:szCs w:val="10"/>
                <w:color w:val="auto"/>
              </w:rPr>
            </w:pPr>
          </w:p>
        </w:tc>
        <w:tc>
          <w:tcPr>
            <w:tcW w:w="520" w:type="dxa"/>
            <w:vAlign w:val="bottom"/>
            <w:shd w:val="clear" w:color="auto" w:fill="CCCCCC"/>
          </w:tcPr>
          <w:p>
            <w:pPr>
              <w:spacing w:after="0"/>
              <w:rPr>
                <w:sz w:val="10"/>
                <w:szCs w:val="10"/>
                <w:color w:val="auto"/>
              </w:rPr>
            </w:pPr>
          </w:p>
        </w:tc>
        <w:tc>
          <w:tcPr>
            <w:tcW w:w="1220" w:type="dxa"/>
            <w:vAlign w:val="bottom"/>
            <w:vMerge w:val="continue"/>
            <w:shd w:val="clear" w:color="auto" w:fill="CCCCCC"/>
          </w:tcPr>
          <w:p>
            <w:pPr>
              <w:spacing w:after="0"/>
              <w:rPr>
                <w:sz w:val="10"/>
                <w:szCs w:val="10"/>
                <w:color w:val="auto"/>
              </w:rPr>
            </w:pPr>
          </w:p>
        </w:tc>
        <w:tc>
          <w:tcPr>
            <w:tcW w:w="180" w:type="dxa"/>
            <w:vAlign w:val="bottom"/>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220" w:type="dxa"/>
            <w:vAlign w:val="bottom"/>
            <w:shd w:val="clear" w:color="auto" w:fill="CCCCCC"/>
          </w:tcPr>
          <w:p>
            <w:pPr>
              <w:spacing w:after="0"/>
              <w:rPr>
                <w:sz w:val="10"/>
                <w:szCs w:val="10"/>
                <w:color w:val="auto"/>
              </w:rPr>
            </w:pPr>
          </w:p>
        </w:tc>
        <w:tc>
          <w:tcPr>
            <w:tcW w:w="1400" w:type="dxa"/>
            <w:vAlign w:val="bottom"/>
            <w:vMerge w:val="continue"/>
            <w:shd w:val="clear" w:color="auto" w:fill="CCCCCC"/>
          </w:tcPr>
          <w:p>
            <w:pPr>
              <w:spacing w:after="0"/>
              <w:rPr>
                <w:sz w:val="10"/>
                <w:szCs w:val="10"/>
                <w:color w:val="auto"/>
              </w:rPr>
            </w:pPr>
          </w:p>
        </w:tc>
        <w:tc>
          <w:tcPr>
            <w:tcW w:w="4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80" w:type="dxa"/>
            <w:vAlign w:val="bottom"/>
            <w:vMerge w:val="continue"/>
            <w:shd w:val="clear" w:color="auto" w:fill="CCCCCC"/>
          </w:tcPr>
          <w:p>
            <w:pPr>
              <w:spacing w:after="0"/>
              <w:rPr>
                <w:sz w:val="8"/>
                <w:szCs w:val="8"/>
                <w:color w:val="auto"/>
              </w:rPr>
            </w:pPr>
          </w:p>
        </w:tc>
        <w:tc>
          <w:tcPr>
            <w:tcW w:w="154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820" w:type="dxa"/>
            <w:vAlign w:val="bottom"/>
            <w:shd w:val="clear" w:color="auto" w:fill="CCCCCC"/>
          </w:tcPr>
          <w:p>
            <w:pPr>
              <w:spacing w:after="0"/>
              <w:rPr>
                <w:sz w:val="8"/>
                <w:szCs w:val="8"/>
                <w:color w:val="auto"/>
              </w:rPr>
            </w:pPr>
          </w:p>
        </w:tc>
        <w:tc>
          <w:tcPr>
            <w:tcW w:w="12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520" w:type="dxa"/>
            <w:vAlign w:val="bottom"/>
            <w:shd w:val="clear" w:color="auto" w:fill="CCCCCC"/>
          </w:tcPr>
          <w:p>
            <w:pPr>
              <w:spacing w:after="0"/>
              <w:rPr>
                <w:sz w:val="8"/>
                <w:szCs w:val="8"/>
                <w:color w:val="auto"/>
              </w:rPr>
            </w:pPr>
          </w:p>
        </w:tc>
        <w:tc>
          <w:tcPr>
            <w:tcW w:w="1220" w:type="dxa"/>
            <w:vAlign w:val="bottom"/>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 R&amp;D as % of Adjusted Revenue (Net R&amp;D Margin)</w:t>
            </w:r>
          </w:p>
        </w:tc>
        <w:tc>
          <w:tcPr>
            <w:tcW w:w="154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CCCC"/>
          </w:tcPr>
          <w:p>
            <w:pPr>
              <w:jc w:val="right"/>
              <w:ind w:right="7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CCCC"/>
          </w:tcPr>
          <w:p>
            <w:pPr>
              <w:spacing w:after="0"/>
              <w:rPr>
                <w:sz w:val="21"/>
                <w:szCs w:val="21"/>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400" w:type="dxa"/>
            <w:vAlign w:val="bottom"/>
            <w:shd w:val="clear" w:color="auto" w:fill="CCCCCC"/>
          </w:tcPr>
          <w:p>
            <w:pPr>
              <w:jc w:val="center"/>
              <w:ind w:right="350"/>
              <w:spacing w:after="0"/>
              <w:rPr>
                <w:sz w:val="20"/>
                <w:szCs w:val="20"/>
                <w:color w:val="auto"/>
              </w:rPr>
            </w:pPr>
            <w:r>
              <w:rPr>
                <w:rFonts w:ascii="Arial" w:cs="Arial" w:eastAsia="Arial" w:hAnsi="Arial"/>
                <w:sz w:val="18"/>
                <w:szCs w:val="18"/>
                <w:color w:val="auto"/>
                <w:w w:val="99"/>
              </w:rPr>
              <w:t>(33)%</w:t>
            </w:r>
          </w:p>
        </w:tc>
        <w:tc>
          <w:tcPr>
            <w:tcW w:w="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885"/>
        </w:trPr>
        <w:tc>
          <w:tcPr>
            <w:tcW w:w="4580" w:type="dxa"/>
            <w:vAlign w:val="bottom"/>
          </w:tcPr>
          <w:p>
            <w:pPr>
              <w:spacing w:after="0"/>
              <w:rPr>
                <w:sz w:val="24"/>
                <w:szCs w:val="24"/>
                <w:color w:val="auto"/>
              </w:rPr>
            </w:pPr>
          </w:p>
        </w:tc>
        <w:tc>
          <w:tcPr>
            <w:tcW w:w="1540" w:type="dxa"/>
            <w:vAlign w:val="bottom"/>
          </w:tcPr>
          <w:p>
            <w:pPr>
              <w:jc w:val="right"/>
              <w:ind w:right="132"/>
              <w:spacing w:after="0"/>
              <w:rPr>
                <w:sz w:val="20"/>
                <w:szCs w:val="20"/>
                <w:color w:val="auto"/>
              </w:rPr>
            </w:pPr>
            <w:r>
              <w:rPr>
                <w:rFonts w:ascii="Arial" w:cs="Arial" w:eastAsia="Arial" w:hAnsi="Arial"/>
                <w:sz w:val="16"/>
                <w:szCs w:val="16"/>
                <w:color w:val="auto"/>
              </w:rPr>
              <w:t>15 of 15</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-6210300</wp:posOffset>
            </wp:positionV>
            <wp:extent cx="7115175" cy="2032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0320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-3741420</wp:posOffset>
            </wp:positionV>
            <wp:extent cx="7123430" cy="3188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3188970"/>
                    </a:xfrm>
                    <a:prstGeom prst="rect">
                      <a:avLst/>
                    </a:prstGeom>
                    <a:noFill/>
                  </pic:spPr>
                </pic:pic>
              </a:graphicData>
            </a:graphic>
          </wp:anchor>
        </w:drawing>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9"/>
    </w:lvl>
  </w:abstractNum>
  <w:abstractNum w:abstractNumId="5">
    <w:nsid w:val="79E2A9E3"/>
    <w:multiLevelType w:val="hybridMultilevel"/>
    <w:lvl w:ilvl="0">
      <w:lvlJc w:val="left"/>
      <w:lvlText w:val="(%1)"/>
      <w:numFmt w:val="upperLetter"/>
      <w:start w:val="35"/>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2021-02-18T15:48:33Z</dcterms:created>
  <dcterms:modified xsi:type="dcterms:W3CDTF">2021-02-18T15:48:33Z</dcterms:modified>
</cp:coreProperties>
</file>