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2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528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528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7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1,921,849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1,921,749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1,921,449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1,921,149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1,921,049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1,920,749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1,920,549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1,920,149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1,919,749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1,919,049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1,211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1,917,838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1,916,138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889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1,915,249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1,914,849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1,914,749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1,914,649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1,914,549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1,911,149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1,910,649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1,910,049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1,909,849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1,908,249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1,907,449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1,907,249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1,907,049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1,906,949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52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3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540" w:type="dxa"/>
            <w:vAlign w:val="bottom"/>
            <w:gridSpan w:val="14"/>
          </w:tcPr>
          <w:p>
            <w:pPr>
              <w:ind w:left="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8000"/>
              </w:rPr>
              <w:t>1. The sales reported in this Form 4 were effected pursuant to a Rule 10b5-1 trading plan adopted by the reporting person on June 8, 2007.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8"/>
              </w:rPr>
              <w:t>/s/ Carl A. Valenstein, attorney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09/06/2007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5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highlight w:val="white"/>
              </w:rPr>
              <w:t>in fact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** Signature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Number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ofReporting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560"/>
        <w:spacing w:after="0" w:line="20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388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38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b w:val="1"/>
          <w:bCs w:val="1"/>
          <w:color w:val="auto"/>
        </w:rPr>
        <w:t>of</w:t>
      </w:r>
    </w:p>
    <w:p>
      <w:pPr>
        <w:ind w:left="40"/>
        <w:spacing w:after="0" w:line="1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color w:val="auto"/>
        </w:rPr>
        <w:t>Reminder: Report on a separate line for each class of securities beneficially owned directly or indirectly.</w:t>
      </w:r>
    </w:p>
    <w:p>
      <w:pPr>
        <w:ind w:left="3920"/>
        <w:spacing w:after="0"/>
        <w:tabs>
          <w:tab w:leader="none" w:pos="4360" w:val="left"/>
          <w:tab w:leader="none" w:pos="4760" w:val="left"/>
          <w:tab w:leader="none" w:pos="5140" w:val="left"/>
          <w:tab w:leader="none" w:pos="5540" w:val="left"/>
          <w:tab w:leader="none" w:pos="6360" w:val="left"/>
          <w:tab w:leader="none" w:pos="710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Code</w:t>
        <w:tab/>
        <w:t>V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(A)</w:t>
        <w:tab/>
        <w:t>(D)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Exercisable</w:t>
        <w:tab/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2019-12-16T13:05:43Z</dcterms:created>
  <dcterms:modified xsi:type="dcterms:W3CDTF">2019-12-16T13:05:43Z</dcterms:modified>
</cp:coreProperties>
</file>