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8, 2020</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652" w:right="499" w:bottom="1440" w:gutter="0" w:footer="0" w:header="0"/>
        </w:sectPr>
      </w:pPr>
    </w:p>
    <w:p>
      <w:pPr>
        <w:spacing w:after="0" w:line="367"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001-33137</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14-1902018</w:t>
      </w:r>
    </w:p>
    <w:p>
      <w:pPr>
        <w:spacing w:after="0" w:line="90" w:lineRule="exact"/>
        <w:rPr>
          <w:sz w:val="24"/>
          <w:szCs w:val="24"/>
          <w:color w:val="auto"/>
        </w:rPr>
      </w:pPr>
    </w:p>
    <w:p>
      <w:pPr>
        <w:sectPr>
          <w:pgSz w:w="11900" w:h="16838" w:orient="portrait"/>
          <w:cols w:equalWidth="0" w:num="3">
            <w:col w:w="4520" w:space="720"/>
            <w:col w:w="2720" w:space="720"/>
            <w:col w:w="2400"/>
          </w:cols>
          <w:pgMar w:left="320" w:top="652" w:right="499" w:bottom="1440" w:gutter="0" w:footer="0" w:header="0"/>
          <w:type w:val="continuous"/>
        </w:sectPr>
      </w:pPr>
    </w:p>
    <w:p>
      <w:pPr>
        <w:jc w:val="center"/>
        <w:ind w:left="360"/>
        <w:spacing w:after="0"/>
        <w:rPr>
          <w:sz w:val="20"/>
          <w:szCs w:val="20"/>
          <w:color w:val="auto"/>
        </w:rPr>
      </w:pPr>
      <w:r>
        <w:rPr>
          <w:rFonts w:ascii="Arial" w:cs="Arial" w:eastAsia="Arial" w:hAnsi="Arial"/>
          <w:sz w:val="16"/>
          <w:szCs w:val="16"/>
          <w:color w:val="auto"/>
        </w:rPr>
        <w:t>(State or other jurisdiction</w:t>
      </w:r>
    </w:p>
    <w:p>
      <w:pPr>
        <w:spacing w:after="0" w:line="86"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8"/>
          <w:szCs w:val="18"/>
          <w:color w:val="auto"/>
        </w:rPr>
        <w:t>(IRS Employer</w:t>
      </w:r>
    </w:p>
    <w:p>
      <w:pPr>
        <w:spacing w:after="0" w:line="63" w:lineRule="exact"/>
        <w:rPr>
          <w:sz w:val="24"/>
          <w:szCs w:val="24"/>
          <w:color w:val="auto"/>
        </w:rPr>
      </w:pPr>
    </w:p>
    <w:p>
      <w:pPr>
        <w:jc w:val="center"/>
        <w:ind w:right="1300"/>
        <w:spacing w:after="0"/>
        <w:rPr>
          <w:sz w:val="20"/>
          <w:szCs w:val="20"/>
          <w:color w:val="auto"/>
        </w:rPr>
      </w:pPr>
      <w:r>
        <w:rPr>
          <w:rFonts w:ascii="Arial" w:cs="Arial" w:eastAsia="Arial" w:hAnsi="Arial"/>
          <w:sz w:val="17"/>
          <w:szCs w:val="17"/>
          <w:color w:val="auto"/>
        </w:rPr>
        <w:t>Identification No.)</w:t>
      </w:r>
    </w:p>
    <w:p>
      <w:pPr>
        <w:spacing w:after="0" w:line="47" w:lineRule="exact"/>
        <w:rPr>
          <w:sz w:val="24"/>
          <w:szCs w:val="24"/>
          <w:color w:val="auto"/>
        </w:rPr>
      </w:pPr>
    </w:p>
    <w:p>
      <w:pPr>
        <w:sectPr>
          <w:pgSz w:w="11900" w:h="16838" w:orient="portrait"/>
          <w:cols w:equalWidth="0" w:num="3">
            <w:col w:w="3920" w:space="720"/>
            <w:col w:w="3080" w:space="720"/>
            <w:col w:w="2640"/>
          </w:cols>
          <w:pgMar w:left="320" w:top="652" w:right="499" w:bottom="1440" w:gutter="0" w:footer="0" w:header="0"/>
          <w:type w:val="continuous"/>
        </w:sectPr>
      </w:pPr>
    </w:p>
    <w:p>
      <w:pPr>
        <w:ind w:left="4100"/>
        <w:spacing w:after="0"/>
        <w:rPr>
          <w:sz w:val="20"/>
          <w:szCs w:val="20"/>
          <w:color w:val="auto"/>
        </w:rPr>
      </w:pPr>
      <w:r>
        <w:rPr>
          <w:rFonts w:ascii="Arial" w:cs="Arial" w:eastAsia="Arial" w:hAnsi="Arial"/>
          <w:sz w:val="22"/>
          <w:szCs w:val="22"/>
          <w:b w:val="1"/>
          <w:bCs w:val="1"/>
          <w:color w:val="auto"/>
        </w:rPr>
        <w:t>400 Professional Drive, Suite 400,</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080"/>
          </w:cols>
          <w:pgMar w:left="320" w:top="652" w:right="499" w:bottom="1440" w:gutter="0" w:footer="0" w:header="0"/>
          <w:type w:val="continuous"/>
        </w:sectPr>
      </w:pP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2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84" w:lineRule="exact"/>
        <w:rPr>
          <w:sz w:val="24"/>
          <w:szCs w:val="24"/>
          <w:color w:val="auto"/>
        </w:rPr>
      </w:pPr>
    </w:p>
    <w:tbl>
      <w:tblPr>
        <w:tblLayout w:type="fixed"/>
        <w:tblInd w:w="270"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EBS</w:t>
            </w:r>
          </w:p>
        </w:tc>
        <w:tc>
          <w:tcPr>
            <w:tcW w:w="4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080"/>
          </w:cols>
          <w:pgMar w:left="320" w:top="652"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3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Emergent BioSolutions Inc. (the “Company”) has finalized a previously announced contract entered into with the U.S. Department of Health and Human Services (“HHS”) to deliver final drug product of botulism antitoxin, BAT® [Botulism Antitoxin Heptavalent (A, B, C, D, E, F, G) - (Equine)] into the U.S. Strategic National Stockpile (“SNS”) and maintain this critical infrastructure for botulism preparedness and response.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contract is valued at up to approximately $550 million if all options are exercised and has two deliverables. The first deliverable, negotiated in September 2019 and valued at up to approximately $90 million, is to supply annual doses of BAT into the SNS for 10 years by converting existing bulk drug substance produced under a prior U.S. government contract into final drug product. This deliverable also includes options for additional doses valued at up to approximately $94 million over 10 years.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second deliverable, valued at up to approximately $366 million, is for the production of additional doses of bulk drug substance over the next 10 years to maintain the plasma collection and production capability for this critical component of botulism response planning.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BAT, the only heptavalent botulism antitoxin licensed by the FDA, is indicated for the treatment of symptomatic botulism following documented or suspected exposure to botulinum neurotoxin serotypes A, B, C, D, E, F, or G in adults and pediatric patients. BAT is a plasma-derived therapy manufactured on the Company’s proprietary equine hyperimmune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 Harbor Statement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This Current Report on Form 8-K includes forward-looking statements within the meaning of the Private Securities Litigation Reform Act of 1995. Any statements, other than statements of historical fact, including statements regarding the total potential realizable value of the contract, maintaining production capability and the supply chain for botulism antitoxin for the next 10 years, and any other statements containing the words “believes,” “expects,” “anticipates,” “intends,” “plans,” “estimates” and similar expressions,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Current Report on Form 8-K, and, except as required by law, we do not undertake to update any forward-looking statement.</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There are a number of important factors that could cause the Company's actual results to differ materially from those indicated by such forward-looking statements, including the availability of funding for our U.S. government grants and contracts, decisions by HHS to exercise options under the contract and our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EMERGENT BIOSOLUTIONS INC.</w:t>
      </w:r>
    </w:p>
    <w:p>
      <w:pPr>
        <w:spacing w:after="0" w:line="337" w:lineRule="exact"/>
        <w:rPr>
          <w:sz w:val="20"/>
          <w:szCs w:val="20"/>
          <w:color w:val="auto"/>
        </w:rPr>
      </w:pPr>
    </w:p>
    <w:p>
      <w:pPr>
        <w:ind w:left="520"/>
        <w:spacing w:after="0"/>
        <w:tabs>
          <w:tab w:leader="none" w:pos="5740" w:val="left"/>
          <w:tab w:leader="none" w:pos="6260" w:val="left"/>
        </w:tabs>
        <w:rPr>
          <w:sz w:val="20"/>
          <w:szCs w:val="20"/>
          <w:color w:val="auto"/>
        </w:rPr>
      </w:pPr>
      <w:r>
        <w:rPr>
          <w:rFonts w:ascii="Arial" w:cs="Arial" w:eastAsia="Arial" w:hAnsi="Arial"/>
          <w:sz w:val="18"/>
          <w:szCs w:val="18"/>
          <w:color w:val="auto"/>
        </w:rPr>
        <w:t>Dated: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2863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Name:Richard S. Lindahl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 Chief Financial</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2020-05-08T16:16:32Z</dcterms:created>
  <dcterms:modified xsi:type="dcterms:W3CDTF">2020-05-08T16:16:32Z</dcterms:modified>
</cp:coreProperties>
</file>