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87"/>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FORM 8-K/A</w:t>
      </w:r>
    </w:p>
    <w:p>
      <w:pPr>
        <w:spacing w:after="0" w:line="152" w:lineRule="exact"/>
        <w:rPr>
          <w:sz w:val="24"/>
          <w:szCs w:val="24"/>
          <w:color w:val="auto"/>
        </w:rPr>
      </w:pPr>
    </w:p>
    <w:p>
      <w:pPr>
        <w:jc w:val="center"/>
        <w:ind w:right="-8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8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62"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April 30, 2020</w:t>
      </w:r>
    </w:p>
    <w:p>
      <w:pPr>
        <w:spacing w:after="0" w:line="144"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8"/>
          </w:cols>
          <w:pgMar w:left="292" w:top="481" w:right="399" w:bottom="1440" w:gutter="0" w:footer="0" w:header="0"/>
        </w:sectPr>
      </w:pPr>
    </w:p>
    <w:p>
      <w:pPr>
        <w:spacing w:after="0" w:line="244" w:lineRule="exact"/>
        <w:rPr>
          <w:sz w:val="24"/>
          <w:szCs w:val="24"/>
          <w:color w:val="auto"/>
        </w:rPr>
      </w:pPr>
    </w:p>
    <w:p>
      <w:pPr>
        <w:ind w:left="190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220"/>
        <w:spacing w:after="0"/>
        <w:rPr>
          <w:sz w:val="20"/>
          <w:szCs w:val="20"/>
          <w:color w:val="auto"/>
        </w:rPr>
      </w:pPr>
      <w:r>
        <w:rPr>
          <w:rFonts w:ascii="Arial" w:cs="Arial" w:eastAsia="Arial" w:hAnsi="Arial"/>
          <w:sz w:val="10"/>
          <w:szCs w:val="10"/>
          <w:b w:val="1"/>
          <w:bCs w:val="1"/>
          <w:color w:val="auto"/>
        </w:rPr>
        <w:t>001-33137</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14-1902018</w:t>
      </w:r>
    </w:p>
    <w:p>
      <w:pPr>
        <w:spacing w:after="0" w:line="69" w:lineRule="exact"/>
        <w:rPr>
          <w:sz w:val="24"/>
          <w:szCs w:val="24"/>
          <w:color w:val="auto"/>
        </w:rPr>
      </w:pPr>
    </w:p>
    <w:p>
      <w:pPr>
        <w:sectPr>
          <w:pgSz w:w="11900" w:h="16838" w:orient="portrait"/>
          <w:cols w:equalWidth="0" w:num="3">
            <w:col w:w="4688" w:space="720"/>
            <w:col w:w="2740" w:space="720"/>
            <w:col w:w="2340"/>
          </w:cols>
          <w:pgMar w:left="292" w:top="481" w:right="399" w:bottom="1440" w:gutter="0" w:footer="0" w:header="0"/>
          <w:type w:val="continuous"/>
        </w:sectPr>
      </w:pPr>
    </w:p>
    <w:p>
      <w:pPr>
        <w:jc w:val="center"/>
        <w:ind w:right="12"/>
        <w:spacing w:after="0"/>
        <w:rPr>
          <w:sz w:val="20"/>
          <w:szCs w:val="20"/>
          <w:color w:val="auto"/>
        </w:rPr>
      </w:pPr>
      <w:r>
        <w:rPr>
          <w:rFonts w:ascii="Arial" w:cs="Arial" w:eastAsia="Arial" w:hAnsi="Arial"/>
          <w:sz w:val="11"/>
          <w:szCs w:val="11"/>
          <w:color w:val="auto"/>
        </w:rPr>
        <w:t>(State or other jurisdiction</w:t>
      </w:r>
    </w:p>
    <w:p>
      <w:pPr>
        <w:spacing w:after="0" w:line="5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2"/>
          <w:szCs w:val="12"/>
          <w:color w:val="auto"/>
        </w:rPr>
        <w:t>(IRS Employer</w:t>
      </w:r>
    </w:p>
    <w:p>
      <w:pPr>
        <w:spacing w:after="0" w:line="42" w:lineRule="exact"/>
        <w:rPr>
          <w:sz w:val="24"/>
          <w:szCs w:val="24"/>
          <w:color w:val="auto"/>
        </w:rPr>
      </w:pPr>
    </w:p>
    <w:p>
      <w:pPr>
        <w:jc w:val="center"/>
        <w:ind w:right="1600"/>
        <w:spacing w:after="0"/>
        <w:rPr>
          <w:sz w:val="20"/>
          <w:szCs w:val="20"/>
          <w:color w:val="auto"/>
        </w:rPr>
      </w:pPr>
      <w:r>
        <w:rPr>
          <w:rFonts w:ascii="Arial" w:cs="Arial" w:eastAsia="Arial" w:hAnsi="Arial"/>
          <w:sz w:val="11"/>
          <w:szCs w:val="11"/>
          <w:color w:val="auto"/>
        </w:rPr>
        <w:t>Identification No.)</w:t>
      </w:r>
    </w:p>
    <w:p>
      <w:pPr>
        <w:spacing w:after="0" w:line="35" w:lineRule="exact"/>
        <w:rPr>
          <w:sz w:val="24"/>
          <w:szCs w:val="24"/>
          <w:color w:val="auto"/>
        </w:rPr>
      </w:pPr>
    </w:p>
    <w:p>
      <w:pPr>
        <w:sectPr>
          <w:pgSz w:w="11900" w:h="16838" w:orient="portrait"/>
          <w:cols w:equalWidth="0" w:num="3">
            <w:col w:w="4288" w:space="720"/>
            <w:col w:w="3000" w:space="720"/>
            <w:col w:w="2480"/>
          </w:cols>
          <w:pgMar w:left="292" w:top="481" w:right="399" w:bottom="1440" w:gutter="0" w:footer="0" w:header="0"/>
          <w:type w:val="continuous"/>
        </w:sect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87"/>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158"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08"/>
          </w:cols>
          <w:pgMar w:left="292" w:top="481" w:right="399" w:bottom="1440" w:gutter="0" w:footer="0" w:header="0"/>
          <w:type w:val="continuous"/>
        </w:sectPr>
      </w:pPr>
    </w:p>
    <w:p>
      <w:pPr>
        <w:spacing w:after="0" w:line="137"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94"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29" w:lineRule="exact"/>
        <w:rPr>
          <w:sz w:val="24"/>
          <w:szCs w:val="24"/>
          <w:color w:val="auto"/>
        </w:rPr>
      </w:pPr>
    </w:p>
    <w:tbl>
      <w:tblPr>
        <w:tblLayout w:type="fixed"/>
        <w:tblInd w:w="238" w:type="dxa"/>
        <w:tblCellMar>
          <w:top w:w="0" w:type="dxa"/>
          <w:left w:w="0" w:type="dxa"/>
          <w:bottom w:w="0" w:type="dxa"/>
          <w:right w:w="0" w:type="dxa"/>
        </w:tblCellMar>
      </w:tblPr>
      <w:tr>
        <w:trPr>
          <w:trHeight w:val="180"/>
        </w:trPr>
        <w:tc>
          <w:tcPr>
            <w:tcW w:w="4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Name of each exchange on which registered</w:t>
            </w:r>
          </w:p>
        </w:tc>
      </w:tr>
      <w:tr>
        <w:trPr>
          <w:trHeight w:val="169"/>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 York Stock Exchange</w:t>
            </w:r>
          </w:p>
        </w:tc>
      </w:tr>
    </w:tbl>
    <w:p>
      <w:pPr>
        <w:sectPr>
          <w:pgSz w:w="11900" w:h="16838" w:orient="portrait"/>
          <w:cols w:equalWidth="0" w:num="1">
            <w:col w:w="11208"/>
          </w:cols>
          <w:pgMar w:left="292" w:top="481" w:right="3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2"/>
          <w:szCs w:val="12"/>
          <w:b w:val="1"/>
          <w:bCs w:val="1"/>
          <w:u w:val="single" w:color="auto"/>
          <w:color w:val="auto"/>
        </w:rPr>
        <w:t>Amendment No. 1</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EXPLANATORY NOTE</w:t>
      </w:r>
    </w:p>
    <w:p>
      <w:pPr>
        <w:spacing w:after="0" w:line="298"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This Form 8-K/A is filed as an amendment (Amendment No. 1) to the Current Report on Form 8-K filed by Emergent BioSolutions Inc. (the “Company”) under Items 2.02, 7.01 and 9.01 on April 30, 2020. Amendment No. 1 is being filed to correct an error in the reconciliation of net loss to adjusted earnings before depreciation and amortization, interest and taxes for the full year 2020 forecast period. The forecasted full year 2020 interest expense and provision for income taxes were transposed in error in the reconciliation in the original Form 8-K.</w:t>
      </w:r>
    </w:p>
    <w:p>
      <w:pPr>
        <w:spacing w:after="0" w:line="122"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Except as described above, this amended Form 8-K does not amend, update, or change any other items or disclosures in the original 8-K and does not purport to reflect any information or events subsequent to the filing date of the original filing.</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r>
        <w:rPr>
          <w:rFonts w:ascii="Arial" w:cs="Arial" w:eastAsia="Arial" w:hAnsi="Arial"/>
          <w:sz w:val="12"/>
          <w:szCs w:val="12"/>
          <w:color w:val="auto"/>
        </w:rPr>
        <w:t>.</w:t>
      </w:r>
    </w:p>
    <w:p>
      <w:pPr>
        <w:spacing w:after="0" w:line="26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April 30, 2020, Emergent BioSolutions Inc. (the “Company”) announced financial and operating results for the quarter ended March 31, 2020. The full text of the press release issued in connection with the announcement is attached as Exhibit 99.1 to this Current Report on Form 8-K/A.</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298" w:lineRule="exact"/>
        <w:rPr>
          <w:sz w:val="20"/>
          <w:szCs w:val="20"/>
          <w:color w:val="auto"/>
        </w:rPr>
      </w:pPr>
    </w:p>
    <w:p>
      <w:pPr>
        <w:ind w:right="360" w:firstLine="358"/>
        <w:spacing w:after="0" w:line="276" w:lineRule="auto"/>
        <w:rPr>
          <w:sz w:val="20"/>
          <w:szCs w:val="20"/>
          <w:color w:val="auto"/>
        </w:rPr>
      </w:pPr>
      <w:r>
        <w:rPr>
          <w:rFonts w:ascii="Arial" w:cs="Arial" w:eastAsia="Arial" w:hAnsi="Arial"/>
          <w:sz w:val="12"/>
          <w:szCs w:val="12"/>
          <w:color w:val="auto"/>
        </w:rPr>
        <w:t>The Company is furnishing under this Item 7.01 a copy of a slide deck presentation, which will be available on April 30, 2020 on the Company’s earnings webcast for the quarter ended March 31, 2020, a copy of which is attached as Exhibit 99.2 to this Current Report on Form 8-K/A.</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 information in this section is “furnished” and not “filed” for purposes of Section 18 of the Securities Exchange</w:t>
      </w:r>
    </w:p>
    <w:p>
      <w:pPr>
        <w:spacing w:after="0" w:line="8" w:lineRule="exact"/>
        <w:rPr>
          <w:sz w:val="20"/>
          <w:szCs w:val="20"/>
          <w:color w:val="auto"/>
        </w:rPr>
      </w:pPr>
    </w:p>
    <w:p>
      <w:pPr>
        <w:ind w:right="300"/>
        <w:spacing w:after="0" w:line="242" w:lineRule="auto"/>
        <w:rPr>
          <w:sz w:val="20"/>
          <w:szCs w:val="20"/>
          <w:color w:val="auto"/>
        </w:rPr>
      </w:pPr>
      <w:r>
        <w:rPr>
          <w:rFonts w:ascii="Arial" w:cs="Arial" w:eastAsia="Arial" w:hAnsi="Arial"/>
          <w:sz w:val="11"/>
          <w:szCs w:val="11"/>
          <w:i w:val="1"/>
          <w:iCs w:val="1"/>
          <w:color w:val="auto"/>
        </w:rPr>
        <w:t>Act of 1934, or otherwise subject to the liabilities of that section. It may only be incorporated by reference in another filing under the Securities Exchange Act of 1934 or the Securities Act of 1933 only if and to the extent such subsequent filing specifically references the information incorporated by reference herein</w:t>
      </w:r>
      <w:r>
        <w:rPr>
          <w:rFonts w:ascii="Arial" w:cs="Arial" w:eastAsia="Arial" w:hAnsi="Arial"/>
          <w:sz w:val="11"/>
          <w:szCs w:val="1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r>
        <w:rPr>
          <w:rFonts w:ascii="Arial" w:cs="Arial" w:eastAsia="Arial" w:hAnsi="Arial"/>
          <w:sz w:val="12"/>
          <w:szCs w:val="12"/>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60" w:type="dxa"/>
            <w:vAlign w:val="bottom"/>
            <w:gridSpan w:val="2"/>
          </w:tcPr>
          <w:p>
            <w:pPr>
              <w:jc w:val="right"/>
              <w:ind w:right="1400"/>
              <w:spacing w:after="0"/>
              <w:rPr>
                <w:sz w:val="20"/>
                <w:szCs w:val="20"/>
                <w:color w:val="auto"/>
              </w:rPr>
            </w:pPr>
            <w:r>
              <w:rPr>
                <w:rFonts w:ascii="Arial" w:cs="Arial" w:eastAsia="Arial" w:hAnsi="Arial"/>
                <w:sz w:val="12"/>
                <w:szCs w:val="12"/>
                <w:color w:val="auto"/>
              </w:rPr>
              <w:t>(d)  Exhibits.</w:t>
            </w:r>
          </w:p>
        </w:tc>
        <w:tc>
          <w:tcPr>
            <w:tcW w:w="4760" w:type="dxa"/>
            <w:vAlign w:val="bottom"/>
          </w:tcPr>
          <w:p>
            <w:pPr>
              <w:spacing w:after="0"/>
              <w:rPr>
                <w:sz w:val="13"/>
                <w:szCs w:val="13"/>
                <w:color w:val="auto"/>
              </w:rPr>
            </w:pPr>
          </w:p>
        </w:tc>
      </w:tr>
      <w:tr>
        <w:trPr>
          <w:trHeight w:val="441"/>
        </w:trPr>
        <w:tc>
          <w:tcPr>
            <w:tcW w:w="500" w:type="dxa"/>
            <w:vAlign w:val="bottom"/>
          </w:tcPr>
          <w:p>
            <w:pPr>
              <w:spacing w:after="0"/>
              <w:rPr>
                <w:sz w:val="24"/>
                <w:szCs w:val="24"/>
                <w:color w:val="auto"/>
              </w:rPr>
            </w:pPr>
          </w:p>
        </w:tc>
        <w:tc>
          <w:tcPr>
            <w:tcW w:w="1660" w:type="dxa"/>
            <w:vAlign w:val="bottom"/>
            <w:tcBorders>
              <w:bottom w:val="single" w:sz="8" w:color="auto"/>
            </w:tcBorders>
          </w:tcPr>
          <w:p>
            <w:pPr>
              <w:jc w:val="right"/>
              <w:ind w:right="1000"/>
              <w:spacing w:after="0"/>
              <w:rPr>
                <w:sz w:val="20"/>
                <w:szCs w:val="20"/>
                <w:color w:val="auto"/>
              </w:rPr>
            </w:pPr>
            <w:r>
              <w:rPr>
                <w:rFonts w:ascii="Arial" w:cs="Arial" w:eastAsia="Arial" w:hAnsi="Arial"/>
                <w:sz w:val="12"/>
                <w:szCs w:val="12"/>
                <w:b w:val="1"/>
                <w:bCs w:val="1"/>
                <w:color w:val="auto"/>
                <w:w w:val="92"/>
              </w:rPr>
              <w:t>Exhibit No.</w:t>
            </w:r>
          </w:p>
        </w:tc>
        <w:tc>
          <w:tcPr>
            <w:tcW w:w="4760" w:type="dxa"/>
            <w:vAlign w:val="bottom"/>
          </w:tcPr>
          <w:p>
            <w:pPr>
              <w:ind w:left="4160"/>
              <w:spacing w:after="0"/>
              <w:rPr>
                <w:sz w:val="20"/>
                <w:szCs w:val="20"/>
                <w:color w:val="auto"/>
              </w:rPr>
            </w:pPr>
            <w:r>
              <w:rPr>
                <w:rFonts w:ascii="Arial" w:cs="Arial" w:eastAsia="Arial" w:hAnsi="Arial"/>
                <w:sz w:val="12"/>
                <w:szCs w:val="12"/>
                <w:b w:val="1"/>
                <w:bCs w:val="1"/>
                <w:color w:val="auto"/>
                <w:w w:val="87"/>
              </w:rPr>
              <w:t>Description</w:t>
            </w:r>
          </w:p>
        </w:tc>
      </w:tr>
      <w:tr>
        <w:trPr>
          <w:trHeight w:val="160"/>
        </w:trPr>
        <w:tc>
          <w:tcPr>
            <w:tcW w:w="2160" w:type="dxa"/>
            <w:vAlign w:val="bottom"/>
            <w:gridSpan w:val="2"/>
          </w:tcPr>
          <w:p>
            <w:pPr>
              <w:jc w:val="right"/>
              <w:ind w:right="680"/>
              <w:spacing w:after="0"/>
              <w:rPr>
                <w:sz w:val="20"/>
                <w:szCs w:val="20"/>
                <w:color w:val="auto"/>
              </w:rPr>
            </w:pPr>
            <w:r>
              <w:rPr>
                <w:rFonts w:ascii="Arial" w:cs="Arial" w:eastAsia="Arial" w:hAnsi="Arial"/>
                <w:sz w:val="12"/>
                <w:szCs w:val="12"/>
                <w:color w:val="auto"/>
              </w:rPr>
              <w:t>99.1</w:t>
            </w:r>
          </w:p>
        </w:tc>
        <w:tc>
          <w:tcPr>
            <w:tcW w:w="4760" w:type="dxa"/>
            <w:vAlign w:val="bottom"/>
          </w:tcPr>
          <w:p>
            <w:pPr>
              <w:ind w:left="3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Press release issued by the company on April 30, 2020.</w:t>
              </w:r>
            </w:hyperlink>
          </w:p>
        </w:tc>
      </w:tr>
      <w:tr>
        <w:trPr>
          <w:trHeight w:val="180"/>
        </w:trPr>
        <w:tc>
          <w:tcPr>
            <w:tcW w:w="2160" w:type="dxa"/>
            <w:vAlign w:val="bottom"/>
            <w:gridSpan w:val="2"/>
          </w:tcPr>
          <w:p>
            <w:pPr>
              <w:jc w:val="right"/>
              <w:ind w:right="680"/>
              <w:spacing w:after="0"/>
              <w:rPr>
                <w:sz w:val="20"/>
                <w:szCs w:val="20"/>
                <w:color w:val="auto"/>
              </w:rPr>
            </w:pPr>
            <w:r>
              <w:rPr>
                <w:rFonts w:ascii="Arial" w:cs="Arial" w:eastAsia="Arial" w:hAnsi="Arial"/>
                <w:sz w:val="12"/>
                <w:szCs w:val="12"/>
                <w:color w:val="auto"/>
              </w:rPr>
              <w:t>99.2</w:t>
            </w:r>
          </w:p>
        </w:tc>
        <w:tc>
          <w:tcPr>
            <w:tcW w:w="4760" w:type="dxa"/>
            <w:vAlign w:val="bottom"/>
          </w:tcPr>
          <w:p>
            <w:pPr>
              <w:ind w:left="320"/>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Set of slides that will accompany the April 30, 2020 earnings webcast.</w:t>
              </w:r>
            </w:hyperlink>
          </w:p>
        </w:tc>
      </w:tr>
    </w:tbl>
    <w:p>
      <w:pPr>
        <w:spacing w:after="0" w:line="27" w:lineRule="exact"/>
        <w:rPr>
          <w:sz w:val="20"/>
          <w:szCs w:val="20"/>
          <w:color w:val="auto"/>
        </w:rPr>
      </w:pPr>
    </w:p>
    <w:p>
      <w:pPr>
        <w:ind w:left="2480" w:right="520" w:hanging="1251"/>
        <w:spacing w:after="0" w:line="276" w:lineRule="auto"/>
        <w:tabs>
          <w:tab w:leader="none" w:pos="2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Emergent BioSolutions Inc. Current Report on Form 8-K/A, dated April 30, 2020, formatted in XBRL (Extensible Business Reporting Language): Cover Page. The instance document does not appear in the Interactive Data File because its XBRL tags are embedded within the Inline XBRL document.</w:t>
      </w:r>
    </w:p>
    <w:p>
      <w:pPr>
        <w:spacing w:after="0" w:line="7"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80"/>
          </w:cols>
          <w:pgMar w:left="300" w:top="559" w:right="319" w:bottom="1440" w:gutter="0" w:footer="0" w:header="0"/>
        </w:sectPr>
      </w:pPr>
    </w:p>
    <w:bookmarkStart w:id="2" w:name="page3"/>
    <w:bookmarkEnd w:id="2"/>
    <w:p>
      <w:pPr>
        <w:ind w:left="5280"/>
        <w:spacing w:after="0"/>
        <w:rPr>
          <w:sz w:val="20"/>
          <w:szCs w:val="20"/>
          <w:color w:val="auto"/>
        </w:rPr>
      </w:pPr>
      <w:r>
        <w:rPr>
          <w:rFonts w:ascii="Arial" w:cs="Arial" w:eastAsia="Arial" w:hAnsi="Arial"/>
          <w:sz w:val="12"/>
          <w:szCs w:val="12"/>
          <w:b w:val="1"/>
          <w:bCs w:val="1"/>
          <w:color w:val="auto"/>
        </w:rPr>
        <w:t>EMERGENT BIOSOLUTIONS INC.</w:t>
      </w:r>
    </w:p>
    <w:p>
      <w:pPr>
        <w:spacing w:after="0" w:line="226" w:lineRule="exact"/>
        <w:rPr>
          <w:sz w:val="20"/>
          <w:szCs w:val="20"/>
          <w:color w:val="auto"/>
        </w:rPr>
      </w:pPr>
    </w:p>
    <w:p>
      <w:pPr>
        <w:spacing w:after="0"/>
        <w:tabs>
          <w:tab w:leader="none" w:pos="5260" w:val="left"/>
          <w:tab w:leader="none" w:pos="5760" w:val="left"/>
        </w:tabs>
        <w:rPr>
          <w:sz w:val="20"/>
          <w:szCs w:val="20"/>
          <w:color w:val="auto"/>
        </w:rPr>
      </w:pPr>
      <w:r>
        <w:rPr>
          <w:rFonts w:ascii="Arial" w:cs="Arial" w:eastAsia="Arial" w:hAnsi="Arial"/>
          <w:sz w:val="12"/>
          <w:szCs w:val="12"/>
          <w:color w:val="auto"/>
        </w:rPr>
        <w:t>Dated: April 30,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20955</wp:posOffset>
            </wp:positionV>
            <wp:extent cx="28860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 Richard S. Lindahl</w:t>
      </w:r>
    </w:p>
    <w:p>
      <w:pPr>
        <w:spacing w:after="0" w:line="15" w:lineRule="exact"/>
        <w:rPr>
          <w:sz w:val="20"/>
          <w:szCs w:val="20"/>
          <w:color w:val="auto"/>
        </w:rPr>
      </w:pPr>
    </w:p>
    <w:p>
      <w:pPr>
        <w:jc w:val="right"/>
        <w:ind w:right="1579"/>
        <w:spacing w:after="0"/>
        <w:rPr>
          <w:sz w:val="20"/>
          <w:szCs w:val="20"/>
          <w:color w:val="auto"/>
        </w:rPr>
      </w:pPr>
      <w:r>
        <w:rPr>
          <w:rFonts w:ascii="Arial" w:cs="Arial" w:eastAsia="Arial" w:hAnsi="Arial"/>
          <w:sz w:val="12"/>
          <w:szCs w:val="12"/>
          <w:color w:val="auto"/>
        </w:rPr>
        <w:t>Title: Executive Vice President, Chief Financial</w:t>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9659"/>
          </w:cols>
          <w:pgMar w:left="800" w:top="523"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3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34340"/>
                    </a:xfrm>
                    <a:prstGeom prst="rect">
                      <a:avLst/>
                    </a:prstGeom>
                    <a:noFill/>
                  </pic:spPr>
                </pic:pic>
              </a:graphicData>
            </a:graphic>
          </wp:anchor>
        </w:drawing>
        <w:t>EMERGENT BIOSOLUTIONS REPORTS FINANCIAL RESULTS FOR FIRST QUARTER 2020</w:t>
      </w:r>
    </w:p>
    <w:p>
      <w:pPr>
        <w:spacing w:after="0" w:line="18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Reaffirms full year 2020 financial forecast</w:t>
      </w:r>
    </w:p>
    <w:p>
      <w:pPr>
        <w:spacing w:after="0" w:line="28" w:lineRule="exact"/>
        <w:rPr>
          <w:rFonts w:ascii="Arial" w:cs="Arial" w:eastAsia="Arial" w:hAnsi="Arial"/>
          <w:sz w:val="14"/>
          <w:szCs w:val="14"/>
          <w:b w:val="1"/>
          <w:bCs w:val="1"/>
          <w:color w:val="auto"/>
        </w:rPr>
      </w:pPr>
    </w:p>
    <w:p>
      <w:pPr>
        <w:ind w:left="420" w:right="140" w:hanging="212"/>
        <w:spacing w:after="0" w:line="271" w:lineRule="auto"/>
        <w:tabs>
          <w:tab w:leader="none" w:pos="4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Executes multi-faceted response to COVID-19 drawing upon longstanding investments in capabilities to address public health threats, as well as expertise in vaccines, therapeutics, and contract development and manufacturing</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April 30, 2020</w:t>
      </w:r>
      <w:r>
        <w:rPr>
          <w:rFonts w:ascii="Arial" w:cs="Arial" w:eastAsia="Arial" w:hAnsi="Arial"/>
          <w:sz w:val="12"/>
          <w:szCs w:val="12"/>
          <w:color w:val="auto"/>
        </w:rPr>
        <w:t>—Emergent BioSolutions Inc. (NYSE: EBS) reported financial results for the three months ended March 31, 2020.</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"Emergent is uniquely positioned to respond to the unprecedented challenges of the COVID-19 pandemic," said Robert G. Kramer Sr., president and chief executive officer of Emergent BioSolutions. “We are deploying our decades of experience in vaccines and therapeutics development and manufacturing, our well-established platform technologies, and our significant development and manufacturing capabilities. Our goal is to create multiple innovative solutions to deliver on our commitments to our customers and patients, while continuing to safeguard our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951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60007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180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Q1 2020</w:t>
            </w:r>
          </w:p>
        </w:tc>
        <w:tc>
          <w:tcPr>
            <w:tcW w:w="180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Q1 2019</w:t>
            </w:r>
          </w:p>
        </w:tc>
        <w:tc>
          <w:tcPr>
            <w:tcW w:w="1840" w:type="dxa"/>
            <w:vAlign w:val="bottom"/>
            <w:shd w:val="clear" w:color="auto" w:fill="0F243E"/>
          </w:tcPr>
          <w:p>
            <w:pPr>
              <w:ind w:left="640"/>
              <w:spacing w:after="0"/>
              <w:rPr>
                <w:sz w:val="20"/>
                <w:szCs w:val="20"/>
                <w:color w:val="auto"/>
              </w:rPr>
            </w:pPr>
            <w:r>
              <w:rPr>
                <w:rFonts w:ascii="Arial" w:cs="Arial" w:eastAsia="Arial" w:hAnsi="Arial"/>
                <w:sz w:val="12"/>
                <w:szCs w:val="12"/>
                <w:b w:val="1"/>
                <w:bCs w:val="1"/>
                <w:color w:val="FFFFFF"/>
              </w:rPr>
              <w:t>$ Change</w:t>
            </w:r>
          </w:p>
        </w:tc>
        <w:tc>
          <w:tcPr>
            <w:tcW w:w="1900" w:type="dxa"/>
            <w:vAlign w:val="bottom"/>
            <w:shd w:val="clear" w:color="auto" w:fill="0F243E"/>
          </w:tcPr>
          <w:p>
            <w:pPr>
              <w:ind w:left="660"/>
              <w:spacing w:after="0"/>
              <w:rPr>
                <w:sz w:val="20"/>
                <w:szCs w:val="20"/>
                <w:color w:val="auto"/>
              </w:rPr>
            </w:pPr>
            <w:r>
              <w:rPr>
                <w:rFonts w:ascii="Arial" w:cs="Arial" w:eastAsia="Arial" w:hAnsi="Arial"/>
                <w:sz w:val="12"/>
                <w:szCs w:val="12"/>
                <w:b w:val="1"/>
                <w:bCs w:val="1"/>
                <w:color w:val="FFFFFF"/>
              </w:rPr>
              <w:t>% Change</w:t>
            </w:r>
          </w:p>
        </w:tc>
      </w:tr>
      <w:tr>
        <w:trPr>
          <w:trHeight w:val="171"/>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$192.5</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$190.6</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$1.9</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w:t>
            </w:r>
          </w:p>
        </w:tc>
      </w:tr>
      <w:tr>
        <w:trPr>
          <w:trHeight w:val="189"/>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Loss</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$(12.5)</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$(26.0)</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$13.5</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51.9%</w:t>
            </w:r>
          </w:p>
        </w:tc>
      </w:tr>
      <w:tr>
        <w:trPr>
          <w:trHeight w:val="189"/>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(Loss) </w:t>
            </w:r>
            <w:r>
              <w:rPr>
                <w:rFonts w:ascii="Arial" w:cs="Arial" w:eastAsia="Arial" w:hAnsi="Arial"/>
                <w:sz w:val="12"/>
                <w:szCs w:val="12"/>
                <w:i w:val="1"/>
                <w:iCs w:val="1"/>
                <w:color w:val="auto"/>
              </w:rPr>
              <w:t>(1)</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$0.3</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5"/>
              </w:rPr>
              <w:t>$(5.2)</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$5.5</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105.8%</w:t>
            </w:r>
          </w:p>
        </w:tc>
      </w:tr>
      <w:tr>
        <w:trPr>
          <w:trHeight w:val="198"/>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(1)</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$15.3</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3"/>
              </w:rPr>
              <w:t>$8.4</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$6.9</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82.1%</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EMERGENT'S RESPONSE TO COVID-19</w:t>
      </w:r>
    </w:p>
    <w:p>
      <w:pPr>
        <w:spacing w:after="0" w:line="164" w:lineRule="exact"/>
        <w:rPr>
          <w:sz w:val="20"/>
          <w:szCs w:val="20"/>
          <w:color w:val="auto"/>
        </w:rPr>
      </w:pPr>
    </w:p>
    <w:p>
      <w:pPr>
        <w:ind w:left="420" w:right="20" w:hanging="212"/>
        <w:spacing w:after="0" w:line="261"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contract development and manufacturing (CDMO) agreement, valued at $135 million, to be U.S. manufacturing partner of Johnson &amp; Johnson's lead vaccine candidate for COVID-19. Negotiations continue on a long-term commercial supply agreement for large-scale drug substance manufacturing, anticipated to begin in 2021.</w:t>
      </w:r>
    </w:p>
    <w:p>
      <w:pPr>
        <w:spacing w:after="0" w:line="131" w:lineRule="exact"/>
        <w:rPr>
          <w:rFonts w:ascii="Arial" w:cs="Arial" w:eastAsia="Arial" w:hAnsi="Arial"/>
          <w:sz w:val="12"/>
          <w:szCs w:val="12"/>
          <w:color w:val="auto"/>
        </w:rPr>
      </w:pPr>
    </w:p>
    <w:p>
      <w:pPr>
        <w:ind w:left="420" w:right="20" w:hanging="212"/>
        <w:spacing w:after="0" w:line="254"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development of two investigational plasma-derived therapies. COVID-Human Immune Globulin (COVID-HIG), a human plasma-derived product candidate, for which the Company subsequently received $14.5 million in Health and Human Services (HHS) funding, is being developed as a potential treatment for COVID-19 in severe hospitalized and high-risk patients and will be included in at least one of the studies of the National Institute of Allergy and Infectious Diseases (NIAID), part of the National Institutes of Health, evaluating potential treatments for COVID-19. COVID-Equine Immune Globulin (COVID-EIG) is also being developed as an equine plasma-derived therapy candidate for potential treatment of severe disease in humans.</w:t>
      </w:r>
    </w:p>
    <w:p>
      <w:pPr>
        <w:spacing w:after="0" w:line="13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CDMO agreement with Novavax, Inc. to provide development services, drug substance and drug product manufacturing for its experimental vaccine candidate for COVID-19, NVX-CoV2373.</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CDMO agreement with Vaxart, Inc. to provide development services and drug substance manufacturing to produce its experimental oral vaccine candidate for COVID-19.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11</w:t>
      </w:r>
    </w:p>
    <w:p>
      <w:pPr>
        <w:sectPr>
          <w:pgSz w:w="11900" w:h="16838" w:orient="portrait"/>
          <w:cols w:equalWidth="0" w:num="1">
            <w:col w:w="11300"/>
          </w:cols>
          <w:pgMar w:left="300" w:top="1242"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Q1 2020 AND OTHER RECENT BUSINESS ACCOMPLISHMENTS</w:t>
      </w:r>
    </w:p>
    <w:p>
      <w:pPr>
        <w:spacing w:after="0" w:line="164" w:lineRule="exact"/>
        <w:rPr>
          <w:sz w:val="20"/>
          <w:szCs w:val="20"/>
          <w:color w:val="auto"/>
        </w:rPr>
      </w:pPr>
    </w:p>
    <w:p>
      <w:pPr>
        <w:ind w:left="428" w:right="180" w:hanging="212"/>
        <w:spacing w:after="0" w:line="25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Received agreement from the European Medicines Agency (EMA) and the U.S. Food and Drug Administration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late 2020.</w:t>
      </w:r>
    </w:p>
    <w:p>
      <w:pPr>
        <w:spacing w:after="0" w:line="134" w:lineRule="exact"/>
        <w:rPr>
          <w:rFonts w:ascii="Arial" w:cs="Arial" w:eastAsia="Arial" w:hAnsi="Arial"/>
          <w:sz w:val="12"/>
          <w:szCs w:val="12"/>
          <w:color w:val="auto"/>
        </w:rPr>
      </w:pPr>
    </w:p>
    <w:p>
      <w:pPr>
        <w:ind w:left="428" w:right="80" w:hanging="212"/>
        <w:spacing w:after="0" w:line="25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Received positive opinion and subsequent approval from EMA of Vaxchora® Cholera Vaccine (recombinant, Live, Oral), making it the only single-dose oral cholera vaccine approved across all European Union member states, the UK, and the European Economic Area countries, indicated for active immunization against disease caused by </w:t>
      </w:r>
      <w:r>
        <w:rPr>
          <w:rFonts w:ascii="Arial" w:cs="Arial" w:eastAsia="Arial" w:hAnsi="Arial"/>
          <w:sz w:val="12"/>
          <w:szCs w:val="12"/>
          <w:i w:val="1"/>
          <w:iCs w:val="1"/>
          <w:color w:val="auto"/>
        </w:rPr>
        <w:t>Vibrio cholerae</w:t>
      </w:r>
      <w:r>
        <w:rPr>
          <w:rFonts w:ascii="Arial" w:cs="Arial" w:eastAsia="Arial" w:hAnsi="Arial"/>
          <w:sz w:val="12"/>
          <w:szCs w:val="12"/>
          <w:color w:val="auto"/>
        </w:rPr>
        <w:t xml:space="preserve"> serogroup 01 in adults and children from 6 years of age. Commercial launch is being planned for late 2020.</w:t>
      </w:r>
    </w:p>
    <w:p>
      <w:pPr>
        <w:spacing w:after="0" w:line="134" w:lineRule="exact"/>
        <w:rPr>
          <w:rFonts w:ascii="Arial" w:cs="Arial" w:eastAsia="Arial" w:hAnsi="Arial"/>
          <w:sz w:val="12"/>
          <w:szCs w:val="12"/>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Signed a CDMO agreement with Novavax, Inc. to provide drug substance manufacturing of NanoFlu</w:t>
      </w:r>
      <w:r>
        <w:rPr>
          <w:rFonts w:ascii="Arial" w:cs="Arial" w:eastAsia="Arial" w:hAnsi="Arial"/>
          <w:sz w:val="9"/>
          <w:szCs w:val="9"/>
          <w:color w:val="auto"/>
        </w:rPr>
        <w:t>TM</w:t>
      </w:r>
      <w:r>
        <w:rPr>
          <w:rFonts w:ascii="Arial" w:cs="Arial" w:eastAsia="Arial" w:hAnsi="Arial"/>
          <w:sz w:val="12"/>
          <w:szCs w:val="12"/>
          <w:color w:val="auto"/>
        </w:rPr>
        <w:t>, its seasonal influenza vaccine candidate.</w:t>
      </w:r>
    </w:p>
    <w:p>
      <w:pPr>
        <w:spacing w:after="0" w:line="150" w:lineRule="exact"/>
        <w:rPr>
          <w:rFonts w:ascii="Arial" w:cs="Arial" w:eastAsia="Arial" w:hAnsi="Arial"/>
          <w:sz w:val="12"/>
          <w:szCs w:val="12"/>
          <w:color w:val="auto"/>
        </w:rPr>
      </w:pPr>
    </w:p>
    <w:p>
      <w:pPr>
        <w:ind w:left="428" w:right="60" w:hanging="212"/>
        <w:spacing w:after="0" w:line="261"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Announced the appointment of Dr. Karen Smith as chief medical officer with responsibility for leading and further establishing Emergent’s global integrated capability in clinical development, medical affairs, and regulatory affairs.</w:t>
      </w:r>
    </w:p>
    <w:p>
      <w:pPr>
        <w:spacing w:after="0" w:line="131" w:lineRule="exact"/>
        <w:rPr>
          <w:rFonts w:ascii="Arial" w:cs="Arial" w:eastAsia="Arial" w:hAnsi="Arial"/>
          <w:sz w:val="12"/>
          <w:szCs w:val="12"/>
          <w:color w:val="auto"/>
        </w:rPr>
      </w:pPr>
    </w:p>
    <w:p>
      <w:pPr>
        <w:ind w:left="428" w:right="380" w:hanging="212"/>
        <w:spacing w:after="0" w:line="261"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Submitted a data package to the FDA in support of extending the shelf life of NARCAN® (naloxone HCl) Nasal Spray from 24 to 36 months, with an expected review by FDA to take approximately six months.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2020 FINANCIAL PERFORMANCE (unaudited)</w:t>
      </w:r>
    </w:p>
    <w:p>
      <w:pPr>
        <w:spacing w:after="0" w:line="150" w:lineRule="exact"/>
        <w:rPr>
          <w:sz w:val="20"/>
          <w:szCs w:val="20"/>
          <w:color w:val="auto"/>
        </w:rPr>
      </w:pPr>
    </w:p>
    <w:p>
      <w:pPr>
        <w:ind w:left="8" w:right="9160" w:hanging="8"/>
        <w:spacing w:after="0" w:line="500" w:lineRule="auto"/>
        <w:tabs>
          <w:tab w:leader="none" w:pos="155"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 Ended March 31, 2020 (Q1) </w:t>
      </w:r>
      <w:r>
        <w:rPr>
          <w:rFonts w:ascii="Arial" w:cs="Arial" w:eastAsia="Arial" w:hAnsi="Arial"/>
          <w:sz w:val="12"/>
          <w:szCs w:val="12"/>
          <w:b w:val="1"/>
          <w:bCs w:val="1"/>
          <w:u w:val="single" w:color="auto"/>
          <w:color w:val="auto"/>
        </w:rPr>
        <w:t>Revenues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Total Revenues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Q1 2020, total revenues were $192.5 million, a slight increase over 2019</w:t>
      </w:r>
      <w:r>
        <w:rPr>
          <w:rFonts w:ascii="Arial" w:cs="Arial" w:eastAsia="Arial" w:hAnsi="Arial"/>
          <w:sz w:val="12"/>
          <w:szCs w:val="12"/>
          <w:b w:val="1"/>
          <w:bCs w:val="1"/>
          <w:color w:val="2C2C2C"/>
        </w:rPr>
        <w:t>.</w:t>
      </w:r>
      <w:r>
        <w:rPr>
          <w:rFonts w:ascii="Arial" w:cs="Arial" w:eastAsia="Arial" w:hAnsi="Arial"/>
          <w:sz w:val="12"/>
          <w:szCs w:val="12"/>
          <w:color w:val="auto"/>
        </w:rPr>
        <w:t xml:space="preserve"> </w:t>
      </w:r>
      <w:r>
        <w:rPr>
          <w:rFonts w:ascii="Arial" w:cs="Arial" w:eastAsia="Arial" w:hAnsi="Arial"/>
          <w:sz w:val="12"/>
          <w:szCs w:val="12"/>
          <w:color w:val="2C2C2C"/>
        </w:rPr>
        <w:t>Total revenues reflect a decline in product sales revenues partially offset by an increase in CDMO and contracts and grants revenues.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w:t>
      </w:r>
    </w:p>
    <w:p>
      <w:pPr>
        <w:spacing w:after="0" w:line="92"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color w:val="auto"/>
        </w:rPr>
        <w:t>For Q1 2020, product sales were $148.2 million, a decrease of $4.8 million or 3% as compared to 2019. The change primarily reflects increases in sales of Anthrax Vaccines and NARCAN Nasal Spray offset by a decrease in ACAM2000, as previously anticipated.</w:t>
      </w:r>
    </w:p>
    <w:p>
      <w:pPr>
        <w:spacing w:after="0" w:line="78"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3420" w:type="dxa"/>
            <w:vAlign w:val="bottom"/>
            <w:shd w:val="clear" w:color="auto" w:fill="0F243E"/>
          </w:tcPr>
          <w:p>
            <w:pPr>
              <w:spacing w:after="0"/>
              <w:rPr>
                <w:sz w:val="15"/>
                <w:szCs w:val="15"/>
                <w:color w:val="auto"/>
              </w:rPr>
            </w:pPr>
          </w:p>
        </w:tc>
        <w:tc>
          <w:tcPr>
            <w:tcW w:w="4060" w:type="dxa"/>
            <w:vAlign w:val="bottom"/>
            <w:shd w:val="clear" w:color="auto" w:fill="0F243E"/>
          </w:tcPr>
          <w:p>
            <w:pPr>
              <w:spacing w:after="0"/>
              <w:rPr>
                <w:sz w:val="15"/>
                <w:szCs w:val="15"/>
                <w:color w:val="auto"/>
              </w:rPr>
            </w:pPr>
          </w:p>
        </w:tc>
        <w:tc>
          <w:tcPr>
            <w:tcW w:w="2200" w:type="dxa"/>
            <w:vAlign w:val="bottom"/>
            <w:shd w:val="clear" w:color="auto" w:fill="0F243E"/>
          </w:tcPr>
          <w:p>
            <w:pPr>
              <w:jc w:val="right"/>
              <w:ind w:right="300"/>
              <w:spacing w:after="0"/>
              <w:rPr>
                <w:sz w:val="20"/>
                <w:szCs w:val="20"/>
                <w:color w:val="auto"/>
              </w:rPr>
            </w:pPr>
            <w:r>
              <w:rPr>
                <w:rFonts w:ascii="Arial" w:cs="Arial" w:eastAsia="Arial" w:hAnsi="Arial"/>
                <w:sz w:val="12"/>
                <w:szCs w:val="12"/>
                <w:b w:val="1"/>
                <w:bCs w:val="1"/>
                <w:color w:val="FFFFFF"/>
              </w:rPr>
              <w:t>Three Months Ended March 31,</w:t>
            </w:r>
          </w:p>
        </w:tc>
        <w:tc>
          <w:tcPr>
            <w:tcW w:w="1620" w:type="dxa"/>
            <w:vAlign w:val="bottom"/>
            <w:shd w:val="clear" w:color="auto" w:fill="0F243E"/>
          </w:tcPr>
          <w:p>
            <w:pPr>
              <w:spacing w:after="0"/>
              <w:rPr>
                <w:sz w:val="15"/>
                <w:szCs w:val="15"/>
                <w:color w:val="auto"/>
              </w:rPr>
            </w:pPr>
          </w:p>
        </w:tc>
      </w:tr>
      <w:tr>
        <w:trPr>
          <w:trHeight w:val="181"/>
        </w:trPr>
        <w:tc>
          <w:tcPr>
            <w:tcW w:w="342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4060" w:type="dxa"/>
            <w:vAlign w:val="bottom"/>
            <w:shd w:val="clear" w:color="auto" w:fill="0F243E"/>
          </w:tcPr>
          <w:p>
            <w:pPr>
              <w:jc w:val="right"/>
              <w:ind w:right="781"/>
              <w:spacing w:after="0"/>
              <w:rPr>
                <w:sz w:val="20"/>
                <w:szCs w:val="20"/>
                <w:color w:val="auto"/>
              </w:rPr>
            </w:pPr>
            <w:r>
              <w:rPr>
                <w:rFonts w:ascii="Arial" w:cs="Arial" w:eastAsia="Arial" w:hAnsi="Arial"/>
                <w:sz w:val="12"/>
                <w:szCs w:val="12"/>
                <w:b w:val="1"/>
                <w:bCs w:val="1"/>
                <w:color w:val="FFFFFF"/>
              </w:rPr>
              <w:t>2020</w:t>
            </w:r>
          </w:p>
        </w:tc>
        <w:tc>
          <w:tcPr>
            <w:tcW w:w="2200" w:type="dxa"/>
            <w:vAlign w:val="bottom"/>
            <w:shd w:val="clear" w:color="auto" w:fill="0F243E"/>
          </w:tcPr>
          <w:p>
            <w:pPr>
              <w:jc w:val="right"/>
              <w:ind w:right="1060"/>
              <w:spacing w:after="0"/>
              <w:rPr>
                <w:sz w:val="20"/>
                <w:szCs w:val="20"/>
                <w:color w:val="auto"/>
              </w:rPr>
            </w:pPr>
            <w:r>
              <w:rPr>
                <w:rFonts w:ascii="Arial" w:cs="Arial" w:eastAsia="Arial" w:hAnsi="Arial"/>
                <w:sz w:val="12"/>
                <w:szCs w:val="12"/>
                <w:b w:val="1"/>
                <w:bCs w:val="1"/>
                <w:color w:val="FFFFFF"/>
              </w:rPr>
              <w:t>2019</w:t>
            </w:r>
          </w:p>
        </w:tc>
        <w:tc>
          <w:tcPr>
            <w:tcW w:w="1620" w:type="dxa"/>
            <w:vAlign w:val="bottom"/>
            <w:shd w:val="clear" w:color="auto" w:fill="0F243E"/>
          </w:tcPr>
          <w:p>
            <w:pPr>
              <w:jc w:val="center"/>
              <w:ind w:right="260"/>
              <w:spacing w:after="0"/>
              <w:rPr>
                <w:sz w:val="20"/>
                <w:szCs w:val="20"/>
                <w:color w:val="auto"/>
              </w:rPr>
            </w:pPr>
            <w:r>
              <w:rPr>
                <w:rFonts w:ascii="Arial" w:cs="Arial" w:eastAsia="Arial" w:hAnsi="Arial"/>
                <w:sz w:val="12"/>
                <w:szCs w:val="12"/>
                <w:b w:val="1"/>
                <w:bCs w:val="1"/>
                <w:color w:val="FFFFFF"/>
                <w:w w:val="99"/>
              </w:rPr>
              <w:t>% Change</w:t>
            </w:r>
          </w:p>
        </w:tc>
      </w:tr>
      <w:tr>
        <w:trPr>
          <w:trHeight w:val="171"/>
        </w:trPr>
        <w:tc>
          <w:tcPr>
            <w:tcW w:w="34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Product Sales</w:t>
            </w:r>
          </w:p>
        </w:tc>
        <w:tc>
          <w:tcPr>
            <w:tcW w:w="4060" w:type="dxa"/>
            <w:vAlign w:val="bottom"/>
            <w:shd w:val="clear" w:color="auto" w:fill="CCCCCC"/>
          </w:tcPr>
          <w:p>
            <w:pPr>
              <w:spacing w:after="0"/>
              <w:rPr>
                <w:sz w:val="14"/>
                <w:szCs w:val="14"/>
                <w:color w:val="auto"/>
              </w:rPr>
            </w:pPr>
          </w:p>
        </w:tc>
        <w:tc>
          <w:tcPr>
            <w:tcW w:w="2200" w:type="dxa"/>
            <w:vAlign w:val="bottom"/>
            <w:shd w:val="clear" w:color="auto" w:fill="CCCCCC"/>
          </w:tcPr>
          <w:p>
            <w:pPr>
              <w:spacing w:after="0"/>
              <w:rPr>
                <w:sz w:val="14"/>
                <w:szCs w:val="14"/>
                <w:color w:val="auto"/>
              </w:rPr>
            </w:pPr>
          </w:p>
        </w:tc>
        <w:tc>
          <w:tcPr>
            <w:tcW w:w="1620" w:type="dxa"/>
            <w:vAlign w:val="bottom"/>
            <w:shd w:val="clear" w:color="auto" w:fill="CCCCCC"/>
          </w:tcPr>
          <w:p>
            <w:pPr>
              <w:spacing w:after="0"/>
              <w:rPr>
                <w:sz w:val="14"/>
                <w:szCs w:val="14"/>
                <w:color w:val="auto"/>
              </w:rPr>
            </w:pP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NARCAN Nasal Spray</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$72.2</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$65.5</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9"/>
              </w:rPr>
              <w:t>10%</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ACAM2000</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$45.6</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rPr>
              <w:t>(100)%</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Anthrax vaccines</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$51.9</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$11.7</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rPr>
              <w:t>NM</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Other</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$24.1</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$30.2</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9"/>
              </w:rPr>
              <w:t>(20)%</w:t>
            </w:r>
          </w:p>
        </w:tc>
      </w:tr>
      <w:tr>
        <w:trPr>
          <w:trHeight w:val="198"/>
        </w:trPr>
        <w:tc>
          <w:tcPr>
            <w:tcW w:w="34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Total Product Sales</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$148.2</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$153.0</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4"/>
              </w:rPr>
              <w:t>(3)%</w:t>
            </w:r>
          </w:p>
        </w:tc>
      </w:tr>
      <w:tr>
        <w:trPr>
          <w:trHeight w:val="428"/>
        </w:trPr>
        <w:tc>
          <w:tcPr>
            <w:tcW w:w="3420" w:type="dxa"/>
            <w:vAlign w:val="bottom"/>
          </w:tcPr>
          <w:p>
            <w:pPr>
              <w:spacing w:after="0"/>
              <w:rPr>
                <w:sz w:val="24"/>
                <w:szCs w:val="24"/>
                <w:color w:val="auto"/>
              </w:rPr>
            </w:pPr>
          </w:p>
        </w:tc>
        <w:tc>
          <w:tcPr>
            <w:tcW w:w="4060" w:type="dxa"/>
            <w:vAlign w:val="bottom"/>
          </w:tcPr>
          <w:p>
            <w:pPr>
              <w:jc w:val="right"/>
              <w:ind w:right="1621"/>
              <w:spacing w:after="0"/>
              <w:rPr>
                <w:sz w:val="20"/>
                <w:szCs w:val="20"/>
                <w:color w:val="auto"/>
              </w:rPr>
            </w:pPr>
            <w:r>
              <w:rPr>
                <w:rFonts w:ascii="Arial" w:cs="Arial" w:eastAsia="Arial" w:hAnsi="Arial"/>
                <w:sz w:val="11"/>
                <w:szCs w:val="11"/>
                <w:color w:val="auto"/>
              </w:rPr>
              <w:t>2 of 11</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-1214120</wp:posOffset>
            </wp:positionV>
            <wp:extent cx="7183755" cy="948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948690"/>
                    </a:xfrm>
                    <a:prstGeom prst="rect">
                      <a:avLst/>
                    </a:prstGeom>
                    <a:noFill/>
                  </pic:spPr>
                </pic:pic>
              </a:graphicData>
            </a:graphic>
          </wp:anchor>
        </w:drawing>
      </w:r>
    </w:p>
    <w:p>
      <w:pPr>
        <w:sectPr>
          <w:pgSz w:w="11900" w:h="16838" w:orient="portrait"/>
          <w:cols w:equalWidth="0" w:num="1">
            <w:col w:w="11308"/>
          </w:cols>
          <w:pgMar w:left="292" w:top="107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Contract Development and Manufacturing</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 xml:space="preserve">For Q1 2020, revenue from the Company’s contract development and manufacturing operations was $21.7 million, an increase of $5.8 million or 36% as compared to 2019. The increase primarily reflects </w:t>
      </w:r>
      <w:r>
        <w:rPr>
          <w:rFonts w:ascii="Arial" w:cs="Arial" w:eastAsia="Arial" w:hAnsi="Arial"/>
          <w:sz w:val="12"/>
          <w:szCs w:val="12"/>
          <w:color w:val="2C2C2C"/>
        </w:rPr>
        <w:t>increased</w:t>
      </w:r>
      <w:r>
        <w:rPr>
          <w:rFonts w:ascii="Arial" w:cs="Arial" w:eastAsia="Arial" w:hAnsi="Arial"/>
          <w:sz w:val="12"/>
          <w:szCs w:val="12"/>
          <w:color w:val="auto"/>
        </w:rPr>
        <w:t xml:space="preserve"> </w:t>
      </w:r>
      <w:r>
        <w:rPr>
          <w:rFonts w:ascii="Arial" w:cs="Arial" w:eastAsia="Arial" w:hAnsi="Arial"/>
          <w:sz w:val="12"/>
          <w:szCs w:val="12"/>
          <w:color w:val="2C2C2C"/>
        </w:rPr>
        <w:t>demand across development services, drug substance and drug product offerings.</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Contracts and Grants</w:t>
      </w:r>
    </w:p>
    <w:p>
      <w:pPr>
        <w:spacing w:after="0" w:line="92"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For Q1 2020, revenue from the Company’s development-based contracts and grants was $22.6 million, an increase of $0.9 million as compared to 2019. The increase primarily reflects revenues associated with a grant received related to our PC2A (diazepam) auto-injector drug-device product candidate</w:t>
      </w:r>
      <w:r>
        <w:rPr>
          <w:rFonts w:ascii="Arial" w:cs="Arial" w:eastAsia="Arial" w:hAnsi="Arial"/>
          <w:sz w:val="12"/>
          <w:szCs w:val="12"/>
          <w:color w:val="2C2C2C"/>
        </w:rPr>
        <w: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 and Contract Development and Manufacturing</w:t>
      </w:r>
    </w:p>
    <w:p>
      <w:pPr>
        <w:spacing w:after="0" w:line="92"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For Q1 2020, cost of product sales and contract manufacturing was $76.9 million, a decrease of $14.9 million or 16% as compared to 2019. The decrease pr</w:t>
      </w:r>
      <w:r>
        <w:rPr>
          <w:rFonts w:ascii="Arial" w:cs="Arial" w:eastAsia="Arial" w:hAnsi="Arial"/>
          <w:sz w:val="12"/>
          <w:szCs w:val="12"/>
          <w:color w:val="2C2C2C"/>
        </w:rPr>
        <w:t>imarily reflects a decrease in sales of ACAM2000 and</w:t>
      </w:r>
      <w:r>
        <w:rPr>
          <w:rFonts w:ascii="Arial" w:cs="Arial" w:eastAsia="Arial" w:hAnsi="Arial"/>
          <w:sz w:val="12"/>
          <w:szCs w:val="12"/>
          <w:color w:val="auto"/>
        </w:rPr>
        <w:t xml:space="preserve"> </w:t>
      </w:r>
      <w:r>
        <w:rPr>
          <w:rFonts w:ascii="Arial" w:cs="Arial" w:eastAsia="Arial" w:hAnsi="Arial"/>
          <w:sz w:val="12"/>
          <w:szCs w:val="12"/>
          <w:color w:val="2C2C2C"/>
        </w:rPr>
        <w:t>raxibacumab.</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(Gross and Net)</w:t>
      </w:r>
    </w:p>
    <w:p>
      <w:pPr>
        <w:spacing w:after="0" w:line="164"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 xml:space="preserve">For Q1 2020, gross R&amp;D expenses were $42.7 million, a decrease of $3.4 million or 7% as compared to 2019. The decrease primarily reflects a </w:t>
      </w:r>
      <w:r>
        <w:rPr>
          <w:rFonts w:ascii="Arial" w:cs="Arial" w:eastAsia="Arial" w:hAnsi="Arial"/>
          <w:sz w:val="12"/>
          <w:szCs w:val="12"/>
          <w:color w:val="2C2C2C"/>
        </w:rPr>
        <w:t>decline of costs associated with the Company's FLU-IGIV product</w:t>
      </w:r>
      <w:r>
        <w:rPr>
          <w:rFonts w:ascii="Arial" w:cs="Arial" w:eastAsia="Arial" w:hAnsi="Arial"/>
          <w:sz w:val="12"/>
          <w:szCs w:val="12"/>
          <w:color w:val="auto"/>
        </w:rPr>
        <w:t xml:space="preserve"> </w:t>
      </w:r>
      <w:r>
        <w:rPr>
          <w:rFonts w:ascii="Arial" w:cs="Arial" w:eastAsia="Arial" w:hAnsi="Arial"/>
          <w:sz w:val="12"/>
          <w:szCs w:val="12"/>
          <w:color w:val="2C2C2C"/>
        </w:rPr>
        <w:t>candidate. During 2019, the Company was incurring costs associated with phase 2 clinical trials for FLU-IGIV.</w:t>
      </w:r>
    </w:p>
    <w:p>
      <w:pPr>
        <w:spacing w:after="0" w:line="96" w:lineRule="exact"/>
        <w:rPr>
          <w:sz w:val="20"/>
          <w:szCs w:val="20"/>
          <w:color w:val="auto"/>
        </w:rPr>
      </w:pPr>
    </w:p>
    <w:p>
      <w:pPr>
        <w:ind w:right="260"/>
        <w:spacing w:after="0" w:line="250" w:lineRule="auto"/>
        <w:rPr>
          <w:sz w:val="20"/>
          <w:szCs w:val="20"/>
          <w:color w:val="auto"/>
        </w:rPr>
      </w:pPr>
      <w:r>
        <w:rPr>
          <w:rFonts w:ascii="Arial" w:cs="Arial" w:eastAsia="Arial" w:hAnsi="Arial"/>
          <w:sz w:val="12"/>
          <w:szCs w:val="12"/>
          <w:color w:val="auto"/>
        </w:rPr>
        <w:t>For Q1 2020, net R&amp;D expense, which reflects investments made in development programs that are not currently funded in whole or in part by third-party partners and is calculated as gross research and development expenses minus contracts and grants revenue, was 20.1 million, a decrease of $4.3 million or 18% as compared to 2019. The decrease is also attributable to a decline of costs associated with the Company's FLU-IGIV product candidate. The Q1</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2020 and Q1 2019 net R&amp;D expense was 12% of adjusted revenue (total revenue less contracts &amp; grants).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shd w:val="clear" w:color="auto" w:fill="0F243E"/>
          </w:tcPr>
          <w:p>
            <w:pPr>
              <w:spacing w:after="0"/>
              <w:rPr>
                <w:sz w:val="15"/>
                <w:szCs w:val="15"/>
                <w:color w:val="auto"/>
              </w:rPr>
            </w:pPr>
          </w:p>
        </w:tc>
        <w:tc>
          <w:tcPr>
            <w:tcW w:w="100" w:type="dxa"/>
            <w:vAlign w:val="bottom"/>
            <w:shd w:val="clear" w:color="auto" w:fill="0F243E"/>
          </w:tcPr>
          <w:p>
            <w:pPr>
              <w:spacing w:after="0"/>
              <w:rPr>
                <w:sz w:val="15"/>
                <w:szCs w:val="15"/>
                <w:color w:val="auto"/>
              </w:rPr>
            </w:pPr>
          </w:p>
        </w:tc>
        <w:tc>
          <w:tcPr>
            <w:tcW w:w="1600" w:type="dxa"/>
            <w:vAlign w:val="bottom"/>
            <w:shd w:val="clear" w:color="auto" w:fill="0F243E"/>
          </w:tcPr>
          <w:p>
            <w:pPr>
              <w:spacing w:after="0"/>
              <w:rPr>
                <w:sz w:val="15"/>
                <w:szCs w:val="15"/>
                <w:color w:val="auto"/>
              </w:rPr>
            </w:pPr>
          </w:p>
        </w:tc>
        <w:tc>
          <w:tcPr>
            <w:tcW w:w="2100" w:type="dxa"/>
            <w:vAlign w:val="bottom"/>
            <w:shd w:val="clear" w:color="auto" w:fill="0F243E"/>
          </w:tcPr>
          <w:p>
            <w:pPr>
              <w:jc w:val="right"/>
              <w:ind w:right="240"/>
              <w:spacing w:after="0"/>
              <w:rPr>
                <w:sz w:val="20"/>
                <w:szCs w:val="20"/>
                <w:color w:val="auto"/>
              </w:rPr>
            </w:pPr>
            <w:r>
              <w:rPr>
                <w:rFonts w:ascii="Arial" w:cs="Arial" w:eastAsia="Arial" w:hAnsi="Arial"/>
                <w:sz w:val="12"/>
                <w:szCs w:val="12"/>
                <w:b w:val="1"/>
                <w:bCs w:val="1"/>
                <w:color w:val="FFFFFF"/>
              </w:rPr>
              <w:t>Three Months Ended March 31,</w:t>
            </w:r>
          </w:p>
        </w:tc>
        <w:tc>
          <w:tcPr>
            <w:tcW w:w="1420" w:type="dxa"/>
            <w:vAlign w:val="bottom"/>
            <w:shd w:val="clear" w:color="auto" w:fill="0F243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1700" w:type="dxa"/>
            <w:vAlign w:val="bottom"/>
            <w:gridSpan w:val="2"/>
            <w:shd w:val="clear" w:color="auto" w:fill="0F243E"/>
          </w:tcPr>
          <w:p>
            <w:pPr>
              <w:jc w:val="right"/>
              <w:ind w:right="620"/>
              <w:spacing w:after="0"/>
              <w:rPr>
                <w:sz w:val="20"/>
                <w:szCs w:val="20"/>
                <w:color w:val="auto"/>
              </w:rPr>
            </w:pPr>
            <w:r>
              <w:rPr>
                <w:rFonts w:ascii="Arial" w:cs="Arial" w:eastAsia="Arial" w:hAnsi="Arial"/>
                <w:sz w:val="12"/>
                <w:szCs w:val="12"/>
                <w:b w:val="1"/>
                <w:bCs w:val="1"/>
                <w:color w:val="FFFFFF"/>
              </w:rPr>
              <w:t>2020</w:t>
            </w:r>
          </w:p>
        </w:tc>
        <w:tc>
          <w:tcPr>
            <w:tcW w:w="2100" w:type="dxa"/>
            <w:vAlign w:val="bottom"/>
            <w:shd w:val="clear" w:color="auto" w:fill="0F243E"/>
          </w:tcPr>
          <w:p>
            <w:pPr>
              <w:jc w:val="right"/>
              <w:ind w:right="940"/>
              <w:spacing w:after="0"/>
              <w:rPr>
                <w:sz w:val="20"/>
                <w:szCs w:val="20"/>
                <w:color w:val="auto"/>
              </w:rPr>
            </w:pPr>
            <w:r>
              <w:rPr>
                <w:rFonts w:ascii="Arial" w:cs="Arial" w:eastAsia="Arial" w:hAnsi="Arial"/>
                <w:sz w:val="12"/>
                <w:szCs w:val="12"/>
                <w:b w:val="1"/>
                <w:bCs w:val="1"/>
                <w:color w:val="FFFFFF"/>
              </w:rPr>
              <w:t>2019</w:t>
            </w:r>
          </w:p>
        </w:tc>
        <w:tc>
          <w:tcPr>
            <w:tcW w:w="1420" w:type="dxa"/>
            <w:vAlign w:val="bottom"/>
            <w:shd w:val="clear" w:color="auto" w:fill="0F243E"/>
          </w:tcPr>
          <w:p>
            <w:pPr>
              <w:jc w:val="center"/>
              <w:ind w:right="220"/>
              <w:spacing w:after="0"/>
              <w:rPr>
                <w:sz w:val="20"/>
                <w:szCs w:val="20"/>
                <w:color w:val="auto"/>
              </w:rPr>
            </w:pPr>
            <w:r>
              <w:rPr>
                <w:rFonts w:ascii="Arial" w:cs="Arial" w:eastAsia="Arial" w:hAnsi="Arial"/>
                <w:sz w:val="12"/>
                <w:szCs w:val="12"/>
                <w:b w:val="1"/>
                <w:bCs w:val="1"/>
                <w:color w:val="FFFFFF"/>
                <w:w w:val="99"/>
              </w:rPr>
              <w:t>% Change</w:t>
            </w:r>
          </w:p>
        </w:tc>
        <w:tc>
          <w:tcPr>
            <w:tcW w:w="0" w:type="dxa"/>
            <w:vAlign w:val="bottom"/>
          </w:tcPr>
          <w:p>
            <w:pPr>
              <w:spacing w:after="0"/>
              <w:rPr>
                <w:sz w:val="1"/>
                <w:szCs w:val="1"/>
                <w:color w:val="auto"/>
              </w:rPr>
            </w:pPr>
          </w:p>
        </w:tc>
      </w:tr>
      <w:tr>
        <w:trPr>
          <w:trHeight w:val="171"/>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Research and Development Expenses</w:t>
            </w:r>
          </w:p>
        </w:tc>
        <w:tc>
          <w:tcPr>
            <w:tcW w:w="1700" w:type="dxa"/>
            <w:vAlign w:val="bottom"/>
            <w:gridSpan w:val="2"/>
            <w:shd w:val="clear" w:color="auto" w:fill="CCCCCC"/>
          </w:tcPr>
          <w:p>
            <w:pPr>
              <w:jc w:val="right"/>
              <w:ind w:right="80"/>
              <w:spacing w:after="0"/>
              <w:rPr>
                <w:sz w:val="20"/>
                <w:szCs w:val="20"/>
                <w:color w:val="auto"/>
              </w:rPr>
            </w:pPr>
            <w:r>
              <w:rPr>
                <w:rFonts w:ascii="Arial" w:cs="Arial" w:eastAsia="Arial" w:hAnsi="Arial"/>
                <w:sz w:val="12"/>
                <w:szCs w:val="12"/>
                <w:color w:val="auto"/>
              </w:rPr>
              <w:t>$42.7</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$46.1</w:t>
            </w:r>
          </w:p>
        </w:tc>
        <w:tc>
          <w:tcPr>
            <w:tcW w:w="1420" w:type="dxa"/>
            <w:vAlign w:val="bottom"/>
            <w:shd w:val="clear" w:color="auto" w:fill="CCCCCC"/>
          </w:tcPr>
          <w:p>
            <w:pPr>
              <w:jc w:val="right"/>
              <w:ind w:right="64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Adjustments:</w:t>
            </w:r>
          </w:p>
        </w:tc>
        <w:tc>
          <w:tcPr>
            <w:tcW w:w="100" w:type="dxa"/>
            <w:vAlign w:val="bottom"/>
            <w:shd w:val="clear" w:color="auto" w:fill="CCCCCC"/>
          </w:tcPr>
          <w:p>
            <w:pPr>
              <w:spacing w:after="0"/>
              <w:rPr>
                <w:sz w:val="16"/>
                <w:szCs w:val="16"/>
                <w:color w:val="auto"/>
              </w:rPr>
            </w:pPr>
          </w:p>
        </w:tc>
        <w:tc>
          <w:tcPr>
            <w:tcW w:w="1600" w:type="dxa"/>
            <w:vAlign w:val="bottom"/>
            <w:shd w:val="clear" w:color="auto" w:fill="CCCCCC"/>
          </w:tcPr>
          <w:p>
            <w:pPr>
              <w:spacing w:after="0"/>
              <w:rPr>
                <w:sz w:val="16"/>
                <w:szCs w:val="16"/>
                <w:color w:val="auto"/>
              </w:rPr>
            </w:pPr>
          </w:p>
        </w:tc>
        <w:tc>
          <w:tcPr>
            <w:tcW w:w="210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CCCC"/>
          </w:tcPr>
          <w:p>
            <w:pPr>
              <w:ind w:left="180"/>
              <w:spacing w:after="0"/>
              <w:rPr>
                <w:sz w:val="20"/>
                <w:szCs w:val="20"/>
                <w:color w:val="auto"/>
              </w:rPr>
            </w:pPr>
            <w:r>
              <w:rPr>
                <w:rFonts w:ascii="Arial" w:cs="Arial" w:eastAsia="Arial" w:hAnsi="Arial"/>
                <w:sz w:val="12"/>
                <w:szCs w:val="12"/>
                <w:color w:val="auto"/>
              </w:rPr>
              <w:t>Less Contracts and Grants Revenue</w:t>
            </w:r>
          </w:p>
        </w:tc>
        <w:tc>
          <w:tcPr>
            <w:tcW w:w="1700" w:type="dxa"/>
            <w:vAlign w:val="bottom"/>
            <w:gridSpan w:val="2"/>
            <w:shd w:val="clear" w:color="auto" w:fill="CCCCCC"/>
          </w:tcPr>
          <w:p>
            <w:pPr>
              <w:jc w:val="right"/>
              <w:ind w:right="80"/>
              <w:spacing w:after="0"/>
              <w:rPr>
                <w:sz w:val="20"/>
                <w:szCs w:val="20"/>
                <w:color w:val="auto"/>
              </w:rPr>
            </w:pPr>
            <w:r>
              <w:rPr>
                <w:rFonts w:ascii="Arial" w:cs="Arial" w:eastAsia="Arial" w:hAnsi="Arial"/>
                <w:sz w:val="12"/>
                <w:szCs w:val="12"/>
                <w:color w:val="auto"/>
              </w:rPr>
              <w:t>$22.6</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$21.7</w:t>
            </w:r>
          </w:p>
        </w:tc>
        <w:tc>
          <w:tcPr>
            <w:tcW w:w="1420" w:type="dxa"/>
            <w:vAlign w:val="bottom"/>
            <w:shd w:val="clear" w:color="auto" w:fill="CCCCCC"/>
          </w:tcPr>
          <w:p>
            <w:pPr>
              <w:jc w:val="right"/>
              <w:ind w:right="7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Research and Development Expenses</w:t>
            </w:r>
          </w:p>
        </w:tc>
        <w:tc>
          <w:tcPr>
            <w:tcW w:w="100" w:type="dxa"/>
            <w:vAlign w:val="bottom"/>
            <w:shd w:val="clear" w:color="auto" w:fill="CCCCCC"/>
          </w:tcPr>
          <w:p>
            <w:pPr>
              <w:spacing w:after="0"/>
              <w:rPr>
                <w:sz w:val="16"/>
                <w:szCs w:val="16"/>
                <w:color w:val="auto"/>
              </w:rPr>
            </w:pPr>
          </w:p>
        </w:tc>
        <w:tc>
          <w:tcPr>
            <w:tcW w:w="1600" w:type="dxa"/>
            <w:vAlign w:val="bottom"/>
            <w:shd w:val="clear" w:color="auto" w:fill="CCCCCC"/>
          </w:tcPr>
          <w:p>
            <w:pPr>
              <w:jc w:val="right"/>
              <w:ind w:right="80"/>
              <w:spacing w:after="0"/>
              <w:rPr>
                <w:sz w:val="20"/>
                <w:szCs w:val="20"/>
                <w:color w:val="auto"/>
              </w:rPr>
            </w:pPr>
            <w:r>
              <w:rPr>
                <w:rFonts w:ascii="Arial" w:cs="Arial" w:eastAsia="Arial" w:hAnsi="Arial"/>
                <w:sz w:val="12"/>
                <w:szCs w:val="12"/>
                <w:color w:val="auto"/>
              </w:rPr>
              <w:t>$20.1</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$24.4</w:t>
            </w:r>
          </w:p>
        </w:tc>
        <w:tc>
          <w:tcPr>
            <w:tcW w:w="1420" w:type="dxa"/>
            <w:vAlign w:val="bottom"/>
            <w:shd w:val="clear" w:color="auto" w:fill="CCCCCC"/>
          </w:tcPr>
          <w:p>
            <w:pPr>
              <w:jc w:val="center"/>
              <w:ind w:right="200"/>
              <w:spacing w:after="0"/>
              <w:rPr>
                <w:sz w:val="20"/>
                <w:szCs w:val="20"/>
                <w:color w:val="auto"/>
              </w:rPr>
            </w:pPr>
            <w:r>
              <w:rPr>
                <w:rFonts w:ascii="Arial" w:cs="Arial" w:eastAsia="Arial" w:hAnsi="Arial"/>
                <w:sz w:val="12"/>
                <w:szCs w:val="12"/>
                <w:color w:val="auto"/>
                <w:w w:val="99"/>
              </w:rPr>
              <w:t>(18)%</w:t>
            </w:r>
          </w:p>
        </w:tc>
        <w:tc>
          <w:tcPr>
            <w:tcW w:w="0" w:type="dxa"/>
            <w:vAlign w:val="bottom"/>
          </w:tcPr>
          <w:p>
            <w:pPr>
              <w:spacing w:after="0"/>
              <w:rPr>
                <w:sz w:val="1"/>
                <w:szCs w:val="1"/>
                <w:color w:val="auto"/>
              </w:rPr>
            </w:pPr>
          </w:p>
        </w:tc>
      </w:tr>
      <w:tr>
        <w:trPr>
          <w:trHeight w:val="17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Revenue</w:t>
            </w:r>
          </w:p>
        </w:tc>
        <w:tc>
          <w:tcPr>
            <w:tcW w:w="100" w:type="dxa"/>
            <w:vAlign w:val="bottom"/>
            <w:shd w:val="clear" w:color="auto" w:fill="CCCCCC"/>
          </w:tcPr>
          <w:p>
            <w:pPr>
              <w:spacing w:after="0"/>
              <w:rPr>
                <w:sz w:val="15"/>
                <w:szCs w:val="15"/>
                <w:color w:val="auto"/>
              </w:rPr>
            </w:pPr>
          </w:p>
        </w:tc>
        <w:tc>
          <w:tcPr>
            <w:tcW w:w="1600" w:type="dxa"/>
            <w:vAlign w:val="bottom"/>
            <w:vMerge w:val="restart"/>
            <w:shd w:val="clear" w:color="auto" w:fill="CCCCCC"/>
          </w:tcPr>
          <w:p>
            <w:pPr>
              <w:jc w:val="right"/>
              <w:ind w:right="80"/>
              <w:spacing w:after="0"/>
              <w:rPr>
                <w:sz w:val="20"/>
                <w:szCs w:val="20"/>
                <w:color w:val="auto"/>
              </w:rPr>
            </w:pPr>
            <w:r>
              <w:rPr>
                <w:rFonts w:ascii="Arial" w:cs="Arial" w:eastAsia="Arial" w:hAnsi="Arial"/>
                <w:sz w:val="12"/>
                <w:szCs w:val="12"/>
                <w:color w:val="auto"/>
              </w:rPr>
              <w:t>$169.9</w:t>
            </w:r>
          </w:p>
        </w:tc>
        <w:tc>
          <w:tcPr>
            <w:tcW w:w="2100" w:type="dxa"/>
            <w:vAlign w:val="bottom"/>
            <w:vMerge w:val="restart"/>
            <w:shd w:val="clear" w:color="auto" w:fill="CCCCCC"/>
          </w:tcPr>
          <w:p>
            <w:pPr>
              <w:jc w:val="right"/>
              <w:ind w:right="420"/>
              <w:spacing w:after="0"/>
              <w:rPr>
                <w:sz w:val="20"/>
                <w:szCs w:val="20"/>
                <w:color w:val="auto"/>
              </w:rPr>
            </w:pPr>
            <w:r>
              <w:rPr>
                <w:rFonts w:ascii="Arial" w:cs="Arial" w:eastAsia="Arial" w:hAnsi="Arial"/>
                <w:sz w:val="12"/>
                <w:szCs w:val="12"/>
                <w:color w:val="auto"/>
              </w:rPr>
              <w:t>$168.9</w:t>
            </w:r>
          </w:p>
        </w:tc>
        <w:tc>
          <w:tcPr>
            <w:tcW w:w="1420" w:type="dxa"/>
            <w:vAlign w:val="bottom"/>
            <w:vMerge w:val="restart"/>
            <w:shd w:val="clear" w:color="auto" w:fill="CCCCCC"/>
          </w:tcPr>
          <w:p>
            <w:pPr>
              <w:jc w:val="right"/>
              <w:ind w:right="7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3"/>
        </w:trPr>
        <w:tc>
          <w:tcPr>
            <w:tcW w:w="6080" w:type="dxa"/>
            <w:vAlign w:val="bottom"/>
            <w:vMerge w:val="restart"/>
            <w:shd w:val="clear" w:color="auto" w:fill="CCCCCC"/>
          </w:tcPr>
          <w:p>
            <w:pPr>
              <w:ind w:left="20"/>
              <w:spacing w:after="0"/>
              <w:rPr>
                <w:sz w:val="20"/>
                <w:szCs w:val="20"/>
                <w:color w:val="auto"/>
              </w:rPr>
            </w:pPr>
            <w:r>
              <w:rPr>
                <w:rFonts w:ascii="Arial" w:cs="Arial" w:eastAsia="Arial" w:hAnsi="Arial"/>
                <w:sz w:val="12"/>
                <w:szCs w:val="12"/>
                <w:color w:val="auto"/>
              </w:rPr>
              <w:t>(Total Revenue less Contracts and Grants Revenue)</w:t>
            </w:r>
          </w:p>
        </w:tc>
        <w:tc>
          <w:tcPr>
            <w:tcW w:w="100" w:type="dxa"/>
            <w:vAlign w:val="bottom"/>
            <w:shd w:val="clear" w:color="auto" w:fill="CCCCCC"/>
          </w:tcPr>
          <w:p>
            <w:pPr>
              <w:spacing w:after="0"/>
              <w:rPr>
                <w:sz w:val="6"/>
                <w:szCs w:val="6"/>
                <w:color w:val="auto"/>
              </w:rPr>
            </w:pPr>
          </w:p>
        </w:tc>
        <w:tc>
          <w:tcPr>
            <w:tcW w:w="1600" w:type="dxa"/>
            <w:vAlign w:val="bottom"/>
            <w:vMerge w:val="continue"/>
            <w:shd w:val="clear" w:color="auto" w:fill="CCCCCC"/>
          </w:tcPr>
          <w:p>
            <w:pPr>
              <w:spacing w:after="0"/>
              <w:rPr>
                <w:sz w:val="6"/>
                <w:szCs w:val="6"/>
                <w:color w:val="auto"/>
              </w:rPr>
            </w:pPr>
          </w:p>
        </w:tc>
        <w:tc>
          <w:tcPr>
            <w:tcW w:w="2100" w:type="dxa"/>
            <w:vAlign w:val="bottom"/>
            <w:vMerge w:val="continue"/>
            <w:shd w:val="clear" w:color="auto" w:fill="CCCCCC"/>
          </w:tcPr>
          <w:p>
            <w:pPr>
              <w:spacing w:after="0"/>
              <w:rPr>
                <w:sz w:val="6"/>
                <w:szCs w:val="6"/>
                <w:color w:val="auto"/>
              </w:rPr>
            </w:pPr>
          </w:p>
        </w:tc>
        <w:tc>
          <w:tcPr>
            <w:tcW w:w="14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080" w:type="dxa"/>
            <w:vAlign w:val="bottom"/>
            <w:vMerge w:val="continue"/>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1600" w:type="dxa"/>
            <w:vAlign w:val="bottom"/>
            <w:shd w:val="clear" w:color="auto" w:fill="CCCCCC"/>
          </w:tcPr>
          <w:p>
            <w:pPr>
              <w:spacing w:after="0"/>
              <w:rPr>
                <w:sz w:val="6"/>
                <w:szCs w:val="6"/>
                <w:color w:val="auto"/>
              </w:rPr>
            </w:pPr>
          </w:p>
        </w:tc>
        <w:tc>
          <w:tcPr>
            <w:tcW w:w="2100" w:type="dxa"/>
            <w:vAlign w:val="bottom"/>
            <w:shd w:val="clear" w:color="auto" w:fill="CCCCCC"/>
          </w:tcPr>
          <w:p>
            <w:pPr>
              <w:spacing w:after="0"/>
              <w:rPr>
                <w:sz w:val="6"/>
                <w:szCs w:val="6"/>
                <w:color w:val="auto"/>
              </w:rPr>
            </w:pPr>
          </w:p>
        </w:tc>
        <w:tc>
          <w:tcPr>
            <w:tcW w:w="1420" w:type="dxa"/>
            <w:vAlign w:val="bottom"/>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R&amp;D as % of Adjusted Revenue (Net R&amp;D Margin)</w:t>
            </w:r>
          </w:p>
        </w:tc>
        <w:tc>
          <w:tcPr>
            <w:tcW w:w="1700" w:type="dxa"/>
            <w:vAlign w:val="bottom"/>
            <w:gridSpan w:val="2"/>
            <w:shd w:val="clear" w:color="auto" w:fill="CCCCCC"/>
          </w:tcPr>
          <w:p>
            <w:pPr>
              <w:jc w:val="right"/>
              <w:spacing w:after="0"/>
              <w:rPr>
                <w:sz w:val="20"/>
                <w:szCs w:val="20"/>
                <w:color w:val="auto"/>
              </w:rPr>
            </w:pPr>
            <w:r>
              <w:rPr>
                <w:rFonts w:ascii="Arial" w:cs="Arial" w:eastAsia="Arial" w:hAnsi="Arial"/>
                <w:sz w:val="12"/>
                <w:szCs w:val="12"/>
                <w:color w:val="auto"/>
              </w:rPr>
              <w:t>12%</w:t>
            </w:r>
          </w:p>
        </w:tc>
        <w:tc>
          <w:tcPr>
            <w:tcW w:w="2100" w:type="dxa"/>
            <w:vAlign w:val="bottom"/>
            <w:shd w:val="clear" w:color="auto" w:fill="CCCCCC"/>
          </w:tcPr>
          <w:p>
            <w:pPr>
              <w:jc w:val="right"/>
              <w:ind w:right="300"/>
              <w:spacing w:after="0"/>
              <w:rPr>
                <w:sz w:val="20"/>
                <w:szCs w:val="20"/>
                <w:color w:val="auto"/>
              </w:rPr>
            </w:pPr>
            <w:r>
              <w:rPr>
                <w:rFonts w:ascii="Arial" w:cs="Arial" w:eastAsia="Arial" w:hAnsi="Arial"/>
                <w:sz w:val="12"/>
                <w:szCs w:val="12"/>
                <w:color w:val="auto"/>
              </w:rPr>
              <w:t>14%</w:t>
            </w:r>
          </w:p>
        </w:tc>
        <w:tc>
          <w:tcPr>
            <w:tcW w:w="1420" w:type="dxa"/>
            <w:vAlign w:val="bottom"/>
            <w:shd w:val="clear" w:color="auto" w:fill="CCCCCC"/>
          </w:tcPr>
          <w:p>
            <w:pPr>
              <w:jc w:val="center"/>
              <w:ind w:right="200"/>
              <w:spacing w:after="0"/>
              <w:rPr>
                <w:sz w:val="20"/>
                <w:szCs w:val="20"/>
                <w:color w:val="auto"/>
              </w:rPr>
            </w:pPr>
            <w:r>
              <w:rPr>
                <w:rFonts w:ascii="Arial" w:cs="Arial" w:eastAsia="Arial" w:hAnsi="Arial"/>
                <w:sz w:val="12"/>
                <w:szCs w:val="12"/>
                <w:color w:val="auto"/>
                <w:w w:val="95"/>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-1016635</wp:posOffset>
            </wp:positionV>
            <wp:extent cx="7183755" cy="1022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10229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164"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 xml:space="preserve">For Q1 2020, selling, general and administrative expenses were $69.7 million, an increase of $4.3 million or 7% as compared to 2019. The increase primarily reflects additional expenses related </w:t>
      </w:r>
      <w:r>
        <w:rPr>
          <w:rFonts w:ascii="Arial" w:cs="Arial" w:eastAsia="Arial" w:hAnsi="Arial"/>
          <w:sz w:val="12"/>
          <w:szCs w:val="12"/>
          <w:color w:val="2C2C2C"/>
        </w:rPr>
        <w:t>to staffing to</w:t>
      </w:r>
      <w:r>
        <w:rPr>
          <w:rFonts w:ascii="Arial" w:cs="Arial" w:eastAsia="Arial" w:hAnsi="Arial"/>
          <w:sz w:val="12"/>
          <w:szCs w:val="12"/>
          <w:color w:val="auto"/>
        </w:rPr>
        <w:t xml:space="preserve"> </w:t>
      </w:r>
      <w:r>
        <w:rPr>
          <w:rFonts w:ascii="Arial" w:cs="Arial" w:eastAsia="Arial" w:hAnsi="Arial"/>
          <w:sz w:val="12"/>
          <w:szCs w:val="12"/>
          <w:color w:val="2C2C2C"/>
        </w:rPr>
        <w:t>support the Company's growth.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 of 11</w:t>
      </w:r>
    </w:p>
    <w:p>
      <w:pPr>
        <w:sectPr>
          <w:pgSz w:w="11900" w:h="16838" w:orient="portrait"/>
          <w:cols w:equalWidth="0" w:num="1">
            <w:col w:w="11300"/>
          </w:cols>
          <w:pgMar w:left="300" w:top="1079"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Amortization of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amortization of intangible assets was $14.8 million was consistent with amortization of intangible assets of $14.5 million in Q1 2019.</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the income tax benefit in the amount of $8.8 million was consistent with the benefit during the Q1 2019 as a percentage of net loss during the periods.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&amp; Adjusted Net Income (Loss)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the Company recorded net loss of $12.5 million, or $0.24 per diluted share, versus net loss of $26.0 million, or $0.51 per diluted share, in 2019.</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Q1 2020, the Company recorded adjusted net income of $0.3 million, or $.01 per diluted share, versus adjusted net loss of $5.2 million, or $.10 per diluted share, in 2019. </w:t>
      </w:r>
      <w:r>
        <w:rPr>
          <w:rFonts w:ascii="Arial" w:cs="Arial" w:eastAsia="Arial" w:hAnsi="Arial"/>
          <w:sz w:val="12"/>
          <w:szCs w:val="12"/>
          <w:i w:val="1"/>
          <w:iCs w:val="1"/>
          <w:color w:val="auto"/>
        </w:rPr>
        <w:t>(1)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Q1 2020, the Company recorded adjusted EBITDA of $15.3 million versus $8.4 million in 2019. </w:t>
      </w:r>
      <w:r>
        <w:rPr>
          <w:rFonts w:ascii="Arial" w:cs="Arial" w:eastAsia="Arial" w:hAnsi="Arial"/>
          <w:sz w:val="12"/>
          <w:szCs w:val="12"/>
          <w:i w:val="1"/>
          <w:iCs w:val="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FINANCIAL FORECAST</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For full year 2020, the Company reaffirms its expectation of the following forecasted financial metrics previously provided on February 20,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vMerge w:val="restart"/>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6940" w:type="dxa"/>
            <w:vAlign w:val="bottom"/>
            <w:gridSpan w:val="2"/>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FULL YEAR 2020</w:t>
            </w:r>
          </w:p>
        </w:tc>
        <w:tc>
          <w:tcPr>
            <w:tcW w:w="0" w:type="dxa"/>
            <w:vAlign w:val="bottom"/>
          </w:tcPr>
          <w:p>
            <w:pPr>
              <w:spacing w:after="0"/>
              <w:rPr>
                <w:sz w:val="1"/>
                <w:szCs w:val="1"/>
                <w:color w:val="auto"/>
              </w:rPr>
            </w:pPr>
          </w:p>
        </w:tc>
      </w:tr>
      <w:tr>
        <w:trPr>
          <w:trHeight w:val="162"/>
        </w:trPr>
        <w:tc>
          <w:tcPr>
            <w:tcW w:w="4260" w:type="dxa"/>
            <w:vAlign w:val="bottom"/>
            <w:vMerge w:val="continue"/>
            <w:shd w:val="clear" w:color="auto" w:fill="0F243E"/>
          </w:tcPr>
          <w:p>
            <w:pPr>
              <w:spacing w:after="0"/>
              <w:rPr>
                <w:sz w:val="14"/>
                <w:szCs w:val="14"/>
                <w:color w:val="auto"/>
              </w:rPr>
            </w:pPr>
          </w:p>
        </w:tc>
        <w:tc>
          <w:tcPr>
            <w:tcW w:w="6940" w:type="dxa"/>
            <w:vAlign w:val="bottom"/>
            <w:gridSpan w:val="2"/>
            <w:shd w:val="clear" w:color="auto" w:fill="0F243E"/>
          </w:tcPr>
          <w:p>
            <w:pPr>
              <w:jc w:val="center"/>
              <w:spacing w:after="0"/>
              <w:rPr>
                <w:sz w:val="20"/>
                <w:szCs w:val="20"/>
                <w:color w:val="auto"/>
              </w:rPr>
            </w:pPr>
            <w:r>
              <w:rPr>
                <w:rFonts w:ascii="Arial" w:cs="Arial" w:eastAsia="Arial" w:hAnsi="Arial"/>
                <w:sz w:val="11"/>
                <w:szCs w:val="11"/>
                <w:i w:val="1"/>
                <w:iCs w:val="1"/>
                <w:color w:val="FFFFFF"/>
                <w:w w:val="99"/>
              </w:rPr>
              <w:t>(As of 4/30/2020)</w:t>
            </w:r>
          </w:p>
        </w:tc>
        <w:tc>
          <w:tcPr>
            <w:tcW w:w="0" w:type="dxa"/>
            <w:vAlign w:val="bottom"/>
          </w:tcPr>
          <w:p>
            <w:pPr>
              <w:spacing w:after="0"/>
              <w:rPr>
                <w:sz w:val="1"/>
                <w:szCs w:val="1"/>
                <w:color w:val="auto"/>
              </w:rPr>
            </w:pPr>
          </w:p>
        </w:tc>
      </w:tr>
      <w:tr>
        <w:trPr>
          <w:trHeight w:val="171"/>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Total Revenues</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$1,175</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$1,275</w:t>
            </w:r>
          </w:p>
        </w:tc>
        <w:tc>
          <w:tcPr>
            <w:tcW w:w="0" w:type="dxa"/>
            <w:vAlign w:val="bottom"/>
          </w:tcPr>
          <w:p>
            <w:pPr>
              <w:spacing w:after="0"/>
              <w:rPr>
                <w:sz w:val="1"/>
                <w:szCs w:val="1"/>
                <w:color w:val="auto"/>
              </w:rPr>
            </w:pPr>
          </w:p>
        </w:tc>
      </w:tr>
      <w:tr>
        <w:trPr>
          <w:trHeight w:val="180"/>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$160</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$210</w:t>
            </w:r>
          </w:p>
        </w:tc>
        <w:tc>
          <w:tcPr>
            <w:tcW w:w="0" w:type="dxa"/>
            <w:vAlign w:val="bottom"/>
          </w:tcPr>
          <w:p>
            <w:pPr>
              <w:spacing w:after="0"/>
              <w:rPr>
                <w:sz w:val="1"/>
                <w:szCs w:val="1"/>
                <w:color w:val="auto"/>
              </w:rPr>
            </w:pPr>
          </w:p>
        </w:tc>
      </w:tr>
      <w:tr>
        <w:trPr>
          <w:trHeight w:val="189"/>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$300</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-542290</wp:posOffset>
            </wp:positionV>
            <wp:extent cx="713803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54864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financial forecast for 2020 includes the anticipated impact of the following items:</w:t>
      </w:r>
    </w:p>
    <w:p>
      <w:pPr>
        <w:spacing w:after="0" w:line="6"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full year of product sales, including the following ranges for key components of the product portfolio:</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NARCAN Nasal Spray: $285 million - $315 million;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Anthrax Vaccines: $270 million - $300 million;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ACAM2000: $180 million - $200 million;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Contract development and manufacturing revenue of $125 million - $145 million;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Deliveries of raxibacumab to the Strategic National Stockpile (SNS) under the anticipated follow-on procurement contract with HHS;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Domestic and international sales of the other medical countermeasures that comprise Other Product sales;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Continued improvement of gross margin (a combination of product sales and CDMO services) in a range of 200 - 400 basis points annually, driven by improved product mix;</w:t>
      </w:r>
    </w:p>
    <w:p>
      <w:pPr>
        <w:spacing w:after="0" w:line="6" w:lineRule="exact"/>
        <w:rPr>
          <w:rFonts w:ascii="Arial" w:cs="Arial" w:eastAsia="Arial" w:hAnsi="Arial"/>
          <w:sz w:val="12"/>
          <w:szCs w:val="12"/>
          <w:color w:val="auto"/>
        </w:rPr>
      </w:pPr>
    </w:p>
    <w:p>
      <w:pPr>
        <w:ind w:left="420" w:right="380" w:hanging="212"/>
        <w:spacing w:after="0" w:line="261"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Continued investment in internally funded development projects most notably the anticipated Phase 3 studies for the CHIKV VLP and FLU-IGIV product candidates as well as the Phase 1/2 study for COVID-EIG, among other R&amp;D projects.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Emergent has assessed the risks to its business associated with the COVID-19 pandemic and has adopted measures to mitigate those risks as they are understood today, and accordingly is providing this outlook for 2020. Despite the lack of expected material disruption to the company’s business, the management team continues to assess the business and operational implications associated with the pandemic and market conditions on its employees, patients and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 of 11</w:t>
      </w:r>
    </w:p>
    <w:p>
      <w:pPr>
        <w:sectPr>
          <w:pgSz w:w="11900" w:h="16838" w:orient="portrait"/>
          <w:cols w:equalWidth="0" w:num="1">
            <w:col w:w="11280"/>
          </w:cols>
          <w:pgMar w:left="300" w:top="1079"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The outlook for 2020 does not include estimates for potential new corporate development or other M&amp;A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Q2 2020 REVENUE FORECAST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For Q2 2020, the Company forecast for total revenues is $270 million - $300 million.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FOOTNOTES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See "Reconciliation of Net Loss to Adjusted Net Loss and Adjusted EBITDA" for a definition of terms and the reconciliation tables.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PRESENTATION SUPPLEMENT, AND WEBCAST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Company management will host a conference call at 5:00 pm (Eastern Time) today, April 30, 2020, to discuss these financial results. The conference call and presentation supplement can be accessed from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Company's website or through the following:</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2"/>
          <w:szCs w:val="12"/>
          <w:u w:val="single" w:color="auto"/>
          <w:color w:val="auto"/>
        </w:rPr>
        <w:t>Live Teleconference Information:</w:t>
      </w:r>
    </w:p>
    <w:p>
      <w:pPr>
        <w:ind w:left="340"/>
        <w:spacing w:after="0" w:line="234" w:lineRule="auto"/>
        <w:rPr>
          <w:sz w:val="20"/>
          <w:szCs w:val="20"/>
          <w:color w:val="auto"/>
        </w:rPr>
      </w:pPr>
      <w:r>
        <w:rPr>
          <w:rFonts w:ascii="Arial" w:cs="Arial" w:eastAsia="Arial" w:hAnsi="Arial"/>
          <w:sz w:val="12"/>
          <w:szCs w:val="12"/>
          <w:color w:val="auto"/>
        </w:rPr>
        <w:t>Dial in: [US] (855) 766-6521; [International] (262) 912-6157</w:t>
      </w:r>
    </w:p>
    <w:p>
      <w:pPr>
        <w:ind w:left="340"/>
        <w:spacing w:after="0"/>
        <w:rPr>
          <w:sz w:val="20"/>
          <w:szCs w:val="20"/>
          <w:color w:val="auto"/>
        </w:rPr>
      </w:pPr>
      <w:r>
        <w:rPr>
          <w:rFonts w:ascii="Arial" w:cs="Arial" w:eastAsia="Arial" w:hAnsi="Arial"/>
          <w:sz w:val="12"/>
          <w:szCs w:val="12"/>
          <w:color w:val="auto"/>
        </w:rPr>
        <w:t>Conference ID: 3784302</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2"/>
          <w:szCs w:val="12"/>
          <w:u w:val="single" w:color="auto"/>
          <w:color w:val="auto"/>
        </w:rPr>
        <w:t>Live Webcast Information:</w:t>
      </w:r>
    </w:p>
    <w:p>
      <w:pPr>
        <w:ind w:left="340"/>
        <w:spacing w:after="0"/>
        <w:rPr>
          <w:sz w:val="20"/>
          <w:szCs w:val="20"/>
          <w:color w:val="auto"/>
        </w:rPr>
      </w:pPr>
      <w:r>
        <w:rPr>
          <w:rFonts w:ascii="Arial" w:cs="Arial" w:eastAsia="Arial" w:hAnsi="Arial"/>
          <w:sz w:val="12"/>
          <w:szCs w:val="12"/>
          <w:color w:val="auto"/>
        </w:rPr>
        <w:t xml:space="preserve">Visit </w:t>
      </w:r>
      <w:r>
        <w:rPr>
          <w:rFonts w:ascii="Arial" w:cs="Arial" w:eastAsia="Arial" w:hAnsi="Arial"/>
          <w:sz w:val="12"/>
          <w:szCs w:val="12"/>
          <w:b w:val="1"/>
          <w:bCs w:val="1"/>
          <w:color w:val="auto"/>
        </w:rPr>
        <w:t>https://edge.media-server.com/mmc/p/juw3z8b3</w:t>
      </w:r>
      <w:r>
        <w:rPr>
          <w:rFonts w:ascii="Arial" w:cs="Arial" w:eastAsia="Arial" w:hAnsi="Arial"/>
          <w:sz w:val="12"/>
          <w:szCs w:val="12"/>
          <w:color w:val="auto"/>
        </w:rPr>
        <w:t xml:space="preserve"> for the live webcast feed.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call can be accessed at www.emergentbiosolutions.com under “Investors.”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EMERGENT BIOSOLUTIONS INC.</w:t>
      </w:r>
    </w:p>
    <w:p>
      <w:pPr>
        <w:spacing w:after="0" w:line="93" w:lineRule="exact"/>
        <w:rPr>
          <w:sz w:val="20"/>
          <w:szCs w:val="20"/>
          <w:color w:val="auto"/>
        </w:rPr>
      </w:pPr>
    </w:p>
    <w:p>
      <w:pPr>
        <w:ind w:right="180"/>
        <w:spacing w:after="0" w:line="254" w:lineRule="auto"/>
        <w:rPr>
          <w:sz w:val="20"/>
          <w:szCs w:val="20"/>
          <w:color w:val="auto"/>
        </w:rPr>
      </w:pPr>
      <w:r>
        <w:rPr>
          <w:rFonts w:ascii="Arial" w:cs="Arial" w:eastAsia="Arial" w:hAnsi="Arial"/>
          <w:sz w:val="12"/>
          <w:szCs w:val="12"/>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www.emergentbiosolutions.com. Find us on LinkedIn and follow us on Twitter @emergentbiosolu and Instagram @life_at_emergent.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the ability to advance potential solutions to combat the novel strain of coronavirus (SARS-CoV-2) causing COVID-19 disease; statements regarding total contract value; continued product sales of key components of the product portfolio at specified levels; deliveries of raxibacumab to the SNS under the anticipated follow-on procurement contract with the ASPR; domestic and international sales of the other medical countermeasures at specified levels; contract development and manufacturing revenues at specified levels; extending the shelf life of NARCAN® Nasal Spray; the results of clinical trials; continued improvement of gross margin (a combination of product sales and CDMO services); as well as continued investment in internally funded development projects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There are a number of important factors that could cause our actual results to differ materially from those indicated by such forward-looking statements, including the impact of global economic conditions and public health crises and epidemics, such as the impact from the global pandemic that arose from the novel strain of coronavirus (SARS-CoV-2) causing COVID-19 disease that recently originated and quickly spread globally, on the markets, our operations, and employees as well as those of our customers and suppliers; availability of U.S. government funding for procurement for our products; our ability to perform under our contracts with the U.S. government, including the timing of and specifications relating to deliveries; the continued exercise of discretion by BARDA to procure additional doses of AV7909 (anthrax vaccine adsorbed (AVA), adjuvanted) prior to approval by the FDA; our ability to secure licensure of AV7909 from the FDA within the anticipated timeframe, if at all; our ability to secure follow-on procurement contracts for our solutions to public health threats that are under procurement contracts that have expired or will be expiring; our ability and the ability of our collaborators to enforce patents related to NARCAN Nasal Spray against potential generic entrants; our ability to identify and acquire companies, businesses, products or product candidates that satisfy our selection criteria; our ability and the ability of our contractors and suppliers to maintain compliance with Current Good Manufacturing Practices and other regulatory obligations; our ability to comply with the operating and financial covenants required by our senior secured credit facilities; our ability to obtain and maintain regulatory approvals for our product candidates and the timing of any such approvals; the safety and effectiveness of the current COVID-19 product candidates we are working on; 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success of our commercialization, marketing and manufacturing capabilities and strategy; and the accuracy of our estimates regarding future revenues, expenses, and capital requirements and needs for additional financing.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300"/>
          </w:cols>
          <w:pgMar w:left="300" w:top="1237" w:right="299" w:bottom="1440" w:gutter="0" w:footer="0" w:header="0"/>
        </w:sect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Investor Contact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Robert Burrows</w:t>
      </w:r>
    </w:p>
    <w:p>
      <w:pPr>
        <w:ind w:left="20"/>
        <w:spacing w:after="0" w:line="234" w:lineRule="auto"/>
        <w:rPr>
          <w:sz w:val="20"/>
          <w:szCs w:val="20"/>
          <w:color w:val="auto"/>
        </w:rPr>
      </w:pPr>
      <w:r>
        <w:rPr>
          <w:rFonts w:ascii="Arial" w:cs="Arial" w:eastAsia="Arial" w:hAnsi="Arial"/>
          <w:sz w:val="12"/>
          <w:szCs w:val="12"/>
          <w:color w:val="auto"/>
        </w:rPr>
        <w:t>Vice President, Investor Relations</w:t>
      </w:r>
    </w:p>
    <w:p>
      <w:pPr>
        <w:ind w:left="20"/>
        <w:spacing w:after="0"/>
        <w:rPr>
          <w:sz w:val="20"/>
          <w:szCs w:val="20"/>
          <w:color w:val="auto"/>
        </w:rPr>
      </w:pPr>
      <w:r>
        <w:rPr>
          <w:rFonts w:ascii="Arial" w:cs="Arial" w:eastAsia="Arial" w:hAnsi="Arial"/>
          <w:sz w:val="11"/>
          <w:szCs w:val="11"/>
          <w:color w:val="auto"/>
        </w:rPr>
        <w:t>(o) 240/631-3280; (m) 240/413-1917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burrowsr@ebsi.com</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Media Contact</w:t>
      </w:r>
    </w:p>
    <w:p>
      <w:pPr>
        <w:spacing w:after="0" w:line="234" w:lineRule="auto"/>
        <w:rPr>
          <w:sz w:val="20"/>
          <w:szCs w:val="20"/>
          <w:color w:val="auto"/>
        </w:rPr>
      </w:pPr>
      <w:r>
        <w:rPr>
          <w:rFonts w:ascii="Arial" w:cs="Arial" w:eastAsia="Arial" w:hAnsi="Arial"/>
          <w:sz w:val="12"/>
          <w:szCs w:val="12"/>
          <w:color w:val="auto"/>
        </w:rPr>
        <w:t>Miko B. Neri</w:t>
      </w:r>
    </w:p>
    <w:p>
      <w:pPr>
        <w:spacing w:after="0"/>
        <w:rPr>
          <w:sz w:val="20"/>
          <w:szCs w:val="20"/>
          <w:color w:val="auto"/>
        </w:rPr>
      </w:pPr>
      <w:r>
        <w:rPr>
          <w:rFonts w:ascii="Arial" w:cs="Arial" w:eastAsia="Arial" w:hAnsi="Arial"/>
          <w:sz w:val="11"/>
          <w:szCs w:val="11"/>
          <w:color w:val="auto"/>
        </w:rPr>
        <w:t>Senior Director, Corporate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 240/631-3392</w:t>
      </w:r>
    </w:p>
    <w:p>
      <w:pPr>
        <w:spacing w:after="0"/>
        <w:rPr>
          <w:sz w:val="20"/>
          <w:szCs w:val="20"/>
          <w:color w:val="auto"/>
        </w:rPr>
      </w:pPr>
      <w:r>
        <w:rPr>
          <w:rFonts w:ascii="Arial" w:cs="Arial" w:eastAsia="Arial" w:hAnsi="Arial"/>
          <w:sz w:val="12"/>
          <w:szCs w:val="12"/>
          <w:color w:val="auto"/>
        </w:rPr>
        <w:t>NeriM@ebsi.com</w:t>
      </w:r>
    </w:p>
    <w:p>
      <w:pPr>
        <w:spacing w:after="0" w:line="154" w:lineRule="exact"/>
        <w:rPr>
          <w:sz w:val="20"/>
          <w:szCs w:val="20"/>
          <w:color w:val="auto"/>
        </w:rPr>
      </w:pPr>
    </w:p>
    <w:p>
      <w:pPr>
        <w:sectPr>
          <w:pgSz w:w="11900" w:h="16838" w:orient="portrait"/>
          <w:cols w:equalWidth="0" w:num="2">
            <w:col w:w="4940" w:space="720"/>
            <w:col w:w="5640"/>
          </w:cols>
          <w:pgMar w:left="300" w:top="1237" w:right="299" w:bottom="1440" w:gutter="0" w:footer="0" w:header="0"/>
          <w:type w:val="continuous"/>
        </w:sectPr>
      </w:pPr>
    </w:p>
    <w:p>
      <w:pPr>
        <w:jc w:val="center"/>
        <w:spacing w:after="0"/>
        <w:rPr>
          <w:sz w:val="20"/>
          <w:szCs w:val="20"/>
          <w:color w:val="auto"/>
        </w:rPr>
      </w:pPr>
      <w:r>
        <w:rPr>
          <w:rFonts w:ascii="Arial" w:cs="Arial" w:eastAsia="Arial" w:hAnsi="Arial"/>
          <w:sz w:val="9"/>
          <w:szCs w:val="9"/>
          <w:color w:val="auto"/>
        </w:rPr>
        <w:t>5 of 11</w:t>
      </w:r>
    </w:p>
    <w:p>
      <w:pPr>
        <w:sectPr>
          <w:pgSz w:w="11900" w:h="16838" w:orient="portrait"/>
          <w:cols w:equalWidth="0" w:num="1">
            <w:col w:w="11300"/>
          </w:cols>
          <w:pgMar w:left="300" w:top="1237" w:right="299" w:bottom="1440" w:gutter="0" w:footer="0" w:header="0"/>
          <w:type w:val="continuous"/>
        </w:sectPr>
      </w:pPr>
    </w:p>
    <w:bookmarkStart w:id="8" w:name="page9"/>
    <w:bookmarkEnd w:id="8"/>
    <w:p>
      <w:pPr>
        <w:jc w:val="center"/>
        <w:ind w:right="40"/>
        <w:spacing w:after="0"/>
        <w:rPr>
          <w:sz w:val="20"/>
          <w:szCs w:val="20"/>
          <w:color w:val="auto"/>
        </w:rPr>
      </w:pPr>
      <w:r>
        <w:rPr>
          <w:rFonts w:ascii="Arial" w:cs="Arial" w:eastAsia="Arial" w:hAnsi="Arial"/>
          <w:sz w:val="10"/>
          <w:szCs w:val="10"/>
          <w:b w:val="1"/>
          <w:bCs w:val="1"/>
          <w:color w:val="auto"/>
        </w:rPr>
        <w:t>Emergent BioSolutions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40" w:type="dxa"/>
            <w:vAlign w:val="bottom"/>
          </w:tcPr>
          <w:p>
            <w:pPr>
              <w:spacing w:after="0"/>
              <w:rPr>
                <w:sz w:val="11"/>
                <w:szCs w:val="11"/>
                <w:color w:val="auto"/>
              </w:rPr>
            </w:pPr>
          </w:p>
        </w:tc>
        <w:tc>
          <w:tcPr>
            <w:tcW w:w="1740" w:type="dxa"/>
            <w:vAlign w:val="bottom"/>
          </w:tcPr>
          <w:p>
            <w:pPr>
              <w:jc w:val="right"/>
              <w:ind w:right="172"/>
              <w:spacing w:after="0"/>
              <w:rPr>
                <w:sz w:val="20"/>
                <w:szCs w:val="20"/>
                <w:color w:val="auto"/>
              </w:rPr>
            </w:pPr>
            <w:r>
              <w:rPr>
                <w:rFonts w:ascii="Arial" w:cs="Arial" w:eastAsia="Arial" w:hAnsi="Arial"/>
                <w:sz w:val="10"/>
                <w:szCs w:val="10"/>
                <w:b w:val="1"/>
                <w:bCs w:val="1"/>
                <w:color w:val="auto"/>
              </w:rPr>
              <w:t>March 31, 2020</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jc w:val="right"/>
              <w:ind w:right="712"/>
              <w:spacing w:after="0"/>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26"/>
        </w:trPr>
        <w:tc>
          <w:tcPr>
            <w:tcW w:w="65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654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540" w:type="dxa"/>
            <w:vAlign w:val="bottom"/>
          </w:tcPr>
          <w:p>
            <w:pPr>
              <w:spacing w:after="0"/>
              <w:rPr>
                <w:sz w:val="20"/>
                <w:szCs w:val="20"/>
                <w:color w:val="auto"/>
              </w:rPr>
            </w:pPr>
            <w:r>
              <w:rPr>
                <w:rFonts w:ascii="Arial" w:cs="Arial" w:eastAsia="Arial" w:hAnsi="Arial"/>
                <w:sz w:val="10"/>
                <w:szCs w:val="10"/>
                <w:color w:val="auto"/>
              </w:rPr>
              <w:t>Current assets:</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740" w:type="dxa"/>
            <w:vAlign w:val="bottom"/>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181.5</w:t>
            </w:r>
          </w:p>
        </w:tc>
        <w:tc>
          <w:tcPr>
            <w:tcW w:w="460" w:type="dxa"/>
            <w:vAlign w:val="bottom"/>
          </w:tcPr>
          <w:p>
            <w:pPr>
              <w:spacing w:after="0"/>
              <w:rPr>
                <w:sz w:val="12"/>
                <w:szCs w:val="12"/>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167.8</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Restricted cash</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Accounts receivable,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162.5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270.7</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Inventories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248.1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222.5</w:t>
            </w:r>
          </w:p>
        </w:tc>
        <w:tc>
          <w:tcPr>
            <w:tcW w:w="0" w:type="dxa"/>
            <w:vAlign w:val="bottom"/>
          </w:tcPr>
          <w:p>
            <w:pPr>
              <w:spacing w:after="0"/>
              <w:rPr>
                <w:sz w:val="1"/>
                <w:szCs w:val="1"/>
                <w:color w:val="auto"/>
              </w:rPr>
            </w:pPr>
          </w:p>
        </w:tc>
      </w:tr>
      <w:tr>
        <w:trPr>
          <w:trHeight w:val="180"/>
        </w:trPr>
        <w:tc>
          <w:tcPr>
            <w:tcW w:w="6540" w:type="dxa"/>
            <w:vAlign w:val="bottom"/>
          </w:tcPr>
          <w:p>
            <w:pPr>
              <w:ind w:left="80"/>
              <w:spacing w:after="0"/>
              <w:rPr>
                <w:sz w:val="20"/>
                <w:szCs w:val="20"/>
                <w:color w:val="auto"/>
              </w:rPr>
            </w:pPr>
            <w:r>
              <w:rPr>
                <w:rFonts w:ascii="Arial" w:cs="Arial" w:eastAsia="Arial" w:hAnsi="Arial"/>
                <w:sz w:val="10"/>
                <w:szCs w:val="10"/>
                <w:color w:val="auto"/>
              </w:rPr>
              <w:t>Income tax receivable, net</w:t>
            </w:r>
          </w:p>
        </w:tc>
        <w:tc>
          <w:tcPr>
            <w:tcW w:w="174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10.2</w:t>
            </w:r>
          </w:p>
        </w:tc>
        <w:tc>
          <w:tcPr>
            <w:tcW w:w="460" w:type="dxa"/>
            <w:vAlign w:val="bottom"/>
          </w:tcPr>
          <w:p>
            <w:pPr>
              <w:spacing w:after="0"/>
              <w:rPr>
                <w:sz w:val="15"/>
                <w:szCs w:val="15"/>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24.1</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20.4</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current assets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626.6</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686.2</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Property, plant and equipment,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549.2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542.3</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708.1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712.9</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In-process research and development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29.0</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Goodwill</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266.4</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266.6</w:t>
            </w:r>
          </w:p>
        </w:tc>
        <w:tc>
          <w:tcPr>
            <w:tcW w:w="0" w:type="dxa"/>
            <w:vAlign w:val="bottom"/>
          </w:tcPr>
          <w:p>
            <w:pPr>
              <w:spacing w:after="0"/>
              <w:rPr>
                <w:sz w:val="1"/>
                <w:szCs w:val="1"/>
                <w:color w:val="auto"/>
              </w:rPr>
            </w:pPr>
          </w:p>
        </w:tc>
      </w:tr>
      <w:tr>
        <w:trPr>
          <w:trHeight w:val="180"/>
        </w:trPr>
        <w:tc>
          <w:tcPr>
            <w:tcW w:w="6540" w:type="dxa"/>
            <w:vAlign w:val="bottom"/>
          </w:tcPr>
          <w:p>
            <w:pPr>
              <w:ind w:left="80"/>
              <w:spacing w:after="0"/>
              <w:rPr>
                <w:sz w:val="20"/>
                <w:szCs w:val="20"/>
                <w:color w:val="auto"/>
              </w:rPr>
            </w:pPr>
            <w:r>
              <w:rPr>
                <w:rFonts w:ascii="Arial" w:cs="Arial" w:eastAsia="Arial" w:hAnsi="Arial"/>
                <w:sz w:val="10"/>
                <w:szCs w:val="10"/>
                <w:color w:val="auto"/>
              </w:rPr>
              <w:t>Deferred tax assets, net</w:t>
            </w:r>
          </w:p>
        </w:tc>
        <w:tc>
          <w:tcPr>
            <w:tcW w:w="174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17.6</w:t>
            </w:r>
          </w:p>
        </w:tc>
        <w:tc>
          <w:tcPr>
            <w:tcW w:w="460" w:type="dxa"/>
            <w:vAlign w:val="bottom"/>
          </w:tcPr>
          <w:p>
            <w:pPr>
              <w:spacing w:after="0"/>
              <w:rPr>
                <w:sz w:val="15"/>
                <w:szCs w:val="15"/>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assets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81.8</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76.9</w:t>
            </w:r>
          </w:p>
        </w:tc>
        <w:tc>
          <w:tcPr>
            <w:tcW w:w="0" w:type="dxa"/>
            <w:vAlign w:val="bottom"/>
          </w:tcPr>
          <w:p>
            <w:pPr>
              <w:spacing w:after="0"/>
              <w:rPr>
                <w:sz w:val="1"/>
                <w:szCs w:val="1"/>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0"/>
                <w:szCs w:val="10"/>
                <w:color w:val="auto"/>
              </w:rPr>
              <w:t>Total assets</w:t>
            </w:r>
          </w:p>
        </w:tc>
        <w:tc>
          <w:tcPr>
            <w:tcW w:w="1740" w:type="dxa"/>
            <w:vAlign w:val="bottom"/>
            <w:tcBorders>
              <w:bottom w:val="single" w:sz="8" w:color="auto"/>
            </w:tcBorders>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2,278.7</w:t>
            </w:r>
          </w:p>
        </w:tc>
        <w:tc>
          <w:tcPr>
            <w:tcW w:w="4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2,327.3</w:t>
            </w: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40" w:type="dxa"/>
            <w:vAlign w:val="bottom"/>
          </w:tcPr>
          <w:p>
            <w:pPr>
              <w:spacing w:after="0"/>
              <w:rPr>
                <w:sz w:val="20"/>
                <w:szCs w:val="20"/>
                <w:color w:val="auto"/>
              </w:rPr>
            </w:pPr>
            <w:r>
              <w:rPr>
                <w:rFonts w:ascii="Arial" w:cs="Arial" w:eastAsia="Arial" w:hAnsi="Arial"/>
                <w:sz w:val="10"/>
                <w:szCs w:val="10"/>
                <w:color w:val="auto"/>
              </w:rPr>
              <w:t>Current liabilities:</w:t>
            </w:r>
          </w:p>
        </w:tc>
        <w:tc>
          <w:tcPr>
            <w:tcW w:w="1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740" w:type="dxa"/>
            <w:vAlign w:val="bottom"/>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84.2</w:t>
            </w:r>
          </w:p>
        </w:tc>
        <w:tc>
          <w:tcPr>
            <w:tcW w:w="460" w:type="dxa"/>
            <w:vAlign w:val="bottom"/>
          </w:tcPr>
          <w:p>
            <w:pPr>
              <w:spacing w:after="0"/>
              <w:rPr>
                <w:sz w:val="12"/>
                <w:szCs w:val="12"/>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94.8</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Accrued expenses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41.5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Accrued compensation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47.5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62.4</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Debt,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26.3</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current liabilities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7.6</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current liabilities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207.1</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216.3</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Contingent consideration,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Debt,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762.9</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798.4</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Deferred tax liability</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63.9</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63.9</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Contract liabilities,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85.0</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85.6</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58.9</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48.6</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liabilities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1,203.9</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1,238.8</w:t>
            </w:r>
          </w:p>
        </w:tc>
        <w:tc>
          <w:tcPr>
            <w:tcW w:w="0" w:type="dxa"/>
            <w:vAlign w:val="bottom"/>
          </w:tcPr>
          <w:p>
            <w:pPr>
              <w:spacing w:after="0"/>
              <w:rPr>
                <w:sz w:val="1"/>
                <w:szCs w:val="1"/>
                <w:color w:val="auto"/>
              </w:rPr>
            </w:pPr>
          </w:p>
        </w:tc>
      </w:tr>
      <w:tr>
        <w:trPr>
          <w:trHeight w:val="450"/>
        </w:trPr>
        <w:tc>
          <w:tcPr>
            <w:tcW w:w="6540" w:type="dxa"/>
            <w:vAlign w:val="bottom"/>
          </w:tcPr>
          <w:p>
            <w:pPr>
              <w:spacing w:after="0"/>
              <w:rPr>
                <w:sz w:val="20"/>
                <w:szCs w:val="20"/>
                <w:color w:val="auto"/>
              </w:rPr>
            </w:pPr>
            <w:r>
              <w:rPr>
                <w:rFonts w:ascii="Arial" w:cs="Arial" w:eastAsia="Arial" w:hAnsi="Arial"/>
                <w:sz w:val="10"/>
                <w:szCs w:val="10"/>
                <w:color w:val="auto"/>
              </w:rPr>
              <w:t>Stockholders' equity:</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Preferred stock, $0.001 par value; 15.0 shares authorized, no shares issued or outstanding</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Common stock, $0.001 par value; 200.0 shares authorized, 53.5 and 53.0 shares issued; 52.3 and 51.7 shares outstanding, respectively</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Treasury stock, at cost, 1.2 common shares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(39.6)</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(39.6)</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726.2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716.1</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Accumulated other comprehensive loss,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(21.2)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409.3</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421.8</w:t>
            </w:r>
          </w:p>
        </w:tc>
        <w:tc>
          <w:tcPr>
            <w:tcW w:w="0" w:type="dxa"/>
            <w:vAlign w:val="bottom"/>
          </w:tcPr>
          <w:p>
            <w:pPr>
              <w:spacing w:after="0"/>
              <w:rPr>
                <w:sz w:val="1"/>
                <w:szCs w:val="1"/>
                <w:color w:val="auto"/>
              </w:rPr>
            </w:pPr>
          </w:p>
        </w:tc>
      </w:tr>
      <w:tr>
        <w:trPr>
          <w:trHeight w:val="169"/>
        </w:trPr>
        <w:tc>
          <w:tcPr>
            <w:tcW w:w="6540" w:type="dxa"/>
            <w:vAlign w:val="bottom"/>
          </w:tcPr>
          <w:p>
            <w:pPr>
              <w:ind w:left="180"/>
              <w:spacing w:after="0"/>
              <w:rPr>
                <w:sz w:val="20"/>
                <w:szCs w:val="20"/>
                <w:color w:val="auto"/>
              </w:rPr>
            </w:pPr>
            <w:r>
              <w:rPr>
                <w:rFonts w:ascii="Arial" w:cs="Arial" w:eastAsia="Arial" w:hAnsi="Arial"/>
                <w:sz w:val="10"/>
                <w:szCs w:val="10"/>
                <w:color w:val="auto"/>
              </w:rPr>
              <w:t>Total stockholders' equity</w:t>
            </w:r>
          </w:p>
        </w:tc>
        <w:tc>
          <w:tcPr>
            <w:tcW w:w="1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1,074.8</w:t>
            </w: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1,088.5</w:t>
            </w:r>
          </w:p>
        </w:tc>
        <w:tc>
          <w:tcPr>
            <w:tcW w:w="0" w:type="dxa"/>
            <w:vAlign w:val="bottom"/>
          </w:tcPr>
          <w:p>
            <w:pPr>
              <w:spacing w:after="0"/>
              <w:rPr>
                <w:sz w:val="1"/>
                <w:szCs w:val="1"/>
                <w:color w:val="auto"/>
              </w:rPr>
            </w:pPr>
          </w:p>
        </w:tc>
      </w:tr>
      <w:tr>
        <w:trPr>
          <w:trHeight w:val="144"/>
        </w:trPr>
        <w:tc>
          <w:tcPr>
            <w:tcW w:w="6540" w:type="dxa"/>
            <w:vAlign w:val="bottom"/>
          </w:tcPr>
          <w:p>
            <w:pPr>
              <w:ind w:left="180"/>
              <w:spacing w:after="0"/>
              <w:rPr>
                <w:sz w:val="20"/>
                <w:szCs w:val="20"/>
                <w:color w:val="auto"/>
              </w:rPr>
            </w:pPr>
            <w:r>
              <w:rPr>
                <w:rFonts w:ascii="Arial" w:cs="Arial" w:eastAsia="Arial" w:hAnsi="Arial"/>
                <w:sz w:val="10"/>
                <w:szCs w:val="10"/>
                <w:color w:val="auto"/>
              </w:rPr>
              <w:t>Total liabilities and stockholders' equity</w:t>
            </w:r>
          </w:p>
        </w:tc>
        <w:tc>
          <w:tcPr>
            <w:tcW w:w="1740" w:type="dxa"/>
            <w:vAlign w:val="bottom"/>
            <w:tcBorders>
              <w:bottom w:val="single" w:sz="8" w:color="auto"/>
            </w:tcBorders>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2,278.7</w:t>
            </w:r>
          </w:p>
        </w:tc>
        <w:tc>
          <w:tcPr>
            <w:tcW w:w="4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2,327.3</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6 of 11</w:t>
      </w:r>
    </w:p>
    <w:p>
      <w:pPr>
        <w:sectPr>
          <w:pgSz w:w="11900" w:h="16838" w:orient="portrait"/>
          <w:cols w:equalWidth="0" w:num="1">
            <w:col w:w="11280"/>
          </w:cols>
          <w:pgMar w:left="320" w:top="383" w:right="2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0"/>
          <w:szCs w:val="10"/>
          <w:b w:val="1"/>
          <w:bCs w:val="1"/>
          <w:color w:val="auto"/>
        </w:rPr>
        <w:t>Emergent BioSolutions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Consolidated Statements of Operations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60" w:type="dxa"/>
            <w:vAlign w:val="bottom"/>
            <w:gridSpan w:val="2"/>
          </w:tcPr>
          <w:p>
            <w:pPr>
              <w:jc w:val="right"/>
              <w:ind w:right="172"/>
              <w:spacing w:after="0"/>
              <w:rPr>
                <w:sz w:val="20"/>
                <w:szCs w:val="20"/>
                <w:color w:val="auto"/>
              </w:rPr>
            </w:pPr>
            <w:r>
              <w:rPr>
                <w:rFonts w:ascii="Arial" w:cs="Arial" w:eastAsia="Arial" w:hAnsi="Arial"/>
                <w:sz w:val="10"/>
                <w:szCs w:val="10"/>
                <w:b w:val="1"/>
                <w:bCs w:val="1"/>
                <w:color w:val="auto"/>
              </w:rPr>
              <w:t>Three Months Ended March 31,</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560" w:type="dxa"/>
            <w:vAlign w:val="bottom"/>
          </w:tcPr>
          <w:p>
            <w:pPr>
              <w:jc w:val="right"/>
              <w:ind w:right="152"/>
              <w:spacing w:after="0"/>
              <w:rPr>
                <w:sz w:val="20"/>
                <w:szCs w:val="20"/>
                <w:color w:val="auto"/>
              </w:rPr>
            </w:pPr>
            <w:r>
              <w:rPr>
                <w:rFonts w:ascii="Arial" w:cs="Arial" w:eastAsia="Arial" w:hAnsi="Arial"/>
                <w:sz w:val="10"/>
                <w:szCs w:val="10"/>
                <w:b w:val="1"/>
                <w:bCs w:val="1"/>
                <w:color w:val="auto"/>
              </w:rPr>
              <w:t>2020</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right"/>
              <w:ind w:right="1092"/>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26"/>
        </w:trPr>
        <w:tc>
          <w:tcPr>
            <w:tcW w:w="6300" w:type="dxa"/>
            <w:vAlign w:val="bottom"/>
            <w:vMerge w:val="restart"/>
          </w:tcPr>
          <w:p>
            <w:pPr>
              <w:spacing w:after="0"/>
              <w:rPr>
                <w:sz w:val="20"/>
                <w:szCs w:val="20"/>
                <w:color w:val="auto"/>
              </w:rPr>
            </w:pPr>
            <w:r>
              <w:rPr>
                <w:rFonts w:ascii="Arial" w:cs="Arial" w:eastAsia="Arial" w:hAnsi="Arial"/>
                <w:sz w:val="10"/>
                <w:szCs w:val="10"/>
                <w:b w:val="1"/>
                <w:bCs w:val="1"/>
                <w:color w:val="auto"/>
              </w:rPr>
              <w:t>Revenues:</w:t>
            </w: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63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Product sales, net</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148.2</w:t>
            </w:r>
          </w:p>
        </w:tc>
        <w:tc>
          <w:tcPr>
            <w:tcW w:w="8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153.0</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Contract development and manufacturing services</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21.7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15.9</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Contracts and grants</w:t>
            </w:r>
          </w:p>
        </w:tc>
        <w:tc>
          <w:tcPr>
            <w:tcW w:w="1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22.6</w:t>
            </w: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revenues</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192.5</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190.6</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Cost of product sales and contract development and manufacturing services</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76.9</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91.8</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Research and development</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42.7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46.1</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Selling, general and administrative</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69.7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65.4</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Amortization of intangible assets</w:t>
            </w:r>
          </w:p>
        </w:tc>
        <w:tc>
          <w:tcPr>
            <w:tcW w:w="1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14.8</w:t>
            </w: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operating expenses</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204.1</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217.8</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color w:val="auto"/>
              </w:rPr>
              <w:t>Loss from operations</w:t>
            </w:r>
          </w:p>
        </w:tc>
        <w:tc>
          <w:tcPr>
            <w:tcW w:w="15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(11.6)</w:t>
            </w:r>
          </w:p>
        </w:tc>
        <w:tc>
          <w:tcPr>
            <w:tcW w:w="8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b w:val="1"/>
                <w:bCs w:val="1"/>
                <w:color w:val="auto"/>
              </w:rPr>
              <w:t>Other (expense) income: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Interest expense</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(8.6)</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Other expense, net</w:t>
            </w:r>
          </w:p>
        </w:tc>
        <w:tc>
          <w:tcPr>
            <w:tcW w:w="1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w:t>
            </w: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other expense, net</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(9.7)</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396"/>
        </w:trPr>
        <w:tc>
          <w:tcPr>
            <w:tcW w:w="6300" w:type="dxa"/>
            <w:vAlign w:val="bottom"/>
          </w:tcPr>
          <w:p>
            <w:pPr>
              <w:spacing w:after="0"/>
              <w:rPr>
                <w:sz w:val="20"/>
                <w:szCs w:val="20"/>
                <w:color w:val="auto"/>
              </w:rPr>
            </w:pPr>
            <w:r>
              <w:rPr>
                <w:rFonts w:ascii="Arial" w:cs="Arial" w:eastAsia="Arial" w:hAnsi="Arial"/>
                <w:sz w:val="10"/>
                <w:szCs w:val="10"/>
                <w:b w:val="1"/>
                <w:bCs w:val="1"/>
                <w:color w:val="auto"/>
              </w:rPr>
              <w:t>Loss before provision for income taxes</w:t>
            </w:r>
          </w:p>
        </w:tc>
        <w:tc>
          <w:tcPr>
            <w:tcW w:w="15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(21.3)</w:t>
            </w:r>
          </w:p>
        </w:tc>
        <w:tc>
          <w:tcPr>
            <w:tcW w:w="8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0"/>
                <w:szCs w:val="10"/>
                <w:color w:val="auto"/>
              </w:rPr>
              <w:t>Income tax benefit</w:t>
            </w:r>
          </w:p>
        </w:tc>
        <w:tc>
          <w:tcPr>
            <w:tcW w:w="1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8.8</w:t>
            </w: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20"/>
                <w:szCs w:val="20"/>
                <w:color w:val="auto"/>
              </w:rPr>
            </w:pPr>
            <w:r>
              <w:rPr>
                <w:rFonts w:ascii="Arial" w:cs="Arial" w:eastAsia="Arial" w:hAnsi="Arial"/>
                <w:sz w:val="10"/>
                <w:szCs w:val="10"/>
                <w:b w:val="1"/>
                <w:bCs w:val="1"/>
                <w:color w:val="auto"/>
              </w:rPr>
              <w:t>Net loss</w:t>
            </w:r>
          </w:p>
        </w:tc>
        <w:tc>
          <w:tcPr>
            <w:tcW w:w="1560" w:type="dxa"/>
            <w:vAlign w:val="bottom"/>
            <w:tcBorders>
              <w:bottom w:val="single" w:sz="8" w:color="auto"/>
            </w:tcBorders>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(12.5)</w:t>
            </w:r>
          </w:p>
        </w:tc>
        <w:tc>
          <w:tcPr>
            <w:tcW w:w="8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r>
        <w:trPr>
          <w:trHeight w:val="334"/>
        </w:trPr>
        <w:tc>
          <w:tcPr>
            <w:tcW w:w="6300" w:type="dxa"/>
            <w:vAlign w:val="bottom"/>
          </w:tcPr>
          <w:p>
            <w:pPr>
              <w:spacing w:after="0"/>
              <w:rPr>
                <w:sz w:val="20"/>
                <w:szCs w:val="20"/>
                <w:color w:val="auto"/>
              </w:rPr>
            </w:pPr>
            <w:r>
              <w:rPr>
                <w:rFonts w:ascii="Arial" w:cs="Arial" w:eastAsia="Arial" w:hAnsi="Arial"/>
                <w:sz w:val="10"/>
                <w:szCs w:val="10"/>
                <w:b w:val="1"/>
                <w:bCs w:val="1"/>
                <w:color w:val="auto"/>
              </w:rPr>
              <w:t>Net loss per common share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Basic</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(0.24)</w:t>
            </w:r>
          </w:p>
        </w:tc>
        <w:tc>
          <w:tcPr>
            <w:tcW w:w="84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(0.51)</w:t>
            </w: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Diluted</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(0.24)</w:t>
            </w:r>
          </w:p>
        </w:tc>
        <w:tc>
          <w:tcPr>
            <w:tcW w:w="84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(0.51)</w:t>
            </w:r>
          </w:p>
        </w:tc>
        <w:tc>
          <w:tcPr>
            <w:tcW w:w="0" w:type="dxa"/>
            <w:vAlign w:val="bottom"/>
          </w:tcPr>
          <w:p>
            <w:pPr>
              <w:spacing w:after="0"/>
              <w:rPr>
                <w:sz w:val="1"/>
                <w:szCs w:val="1"/>
                <w:color w:val="auto"/>
              </w:rPr>
            </w:pPr>
          </w:p>
        </w:tc>
      </w:tr>
      <w:tr>
        <w:trPr>
          <w:trHeight w:val="342"/>
        </w:trPr>
        <w:tc>
          <w:tcPr>
            <w:tcW w:w="6300" w:type="dxa"/>
            <w:vAlign w:val="bottom"/>
          </w:tcPr>
          <w:p>
            <w:pPr>
              <w:spacing w:after="0"/>
              <w:rPr>
                <w:sz w:val="20"/>
                <w:szCs w:val="20"/>
                <w:color w:val="auto"/>
              </w:rPr>
            </w:pPr>
            <w:r>
              <w:rPr>
                <w:rFonts w:ascii="Arial" w:cs="Arial" w:eastAsia="Arial" w:hAnsi="Arial"/>
                <w:sz w:val="10"/>
                <w:szCs w:val="10"/>
                <w:b w:val="1"/>
                <w:bCs w:val="1"/>
                <w:color w:val="auto"/>
              </w:rPr>
              <w:t>Shares used in computing loss per share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Basic</w:t>
            </w:r>
          </w:p>
        </w:tc>
        <w:tc>
          <w:tcPr>
            <w:tcW w:w="15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52.0</w:t>
            </w:r>
          </w:p>
        </w:tc>
        <w:tc>
          <w:tcPr>
            <w:tcW w:w="8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51.2</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Diluted</w:t>
            </w:r>
          </w:p>
        </w:tc>
        <w:tc>
          <w:tcPr>
            <w:tcW w:w="15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52.0</w:t>
            </w:r>
          </w:p>
        </w:tc>
        <w:tc>
          <w:tcPr>
            <w:tcW w:w="8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7 of 11</w:t>
      </w:r>
    </w:p>
    <w:p>
      <w:pPr>
        <w:sectPr>
          <w:pgSz w:w="11900" w:h="16838" w:orient="portrait"/>
          <w:cols w:equalWidth="0" w:num="1">
            <w:col w:w="11280"/>
          </w:cols>
          <w:pgMar w:left="320" w:top="383" w:right="29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provided by operating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Net loss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8"/>
          <w:szCs w:val="8"/>
          <w:color w:val="auto"/>
        </w:rPr>
        <w:t>Adjustments to reconcile net loss to net cash provided by operating activities: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Share-based compensation expense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Depreciation and amortization</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Amortization of deferred financing costs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Deferred income taxes</w:t>
      </w:r>
    </w:p>
    <w:p>
      <w:pPr>
        <w:spacing w:after="0" w:line="29" w:lineRule="exact"/>
        <w:rPr>
          <w:sz w:val="20"/>
          <w:szCs w:val="20"/>
          <w:color w:val="auto"/>
        </w:rPr>
      </w:pPr>
    </w:p>
    <w:p>
      <w:pPr>
        <w:ind w:left="320" w:right="1020"/>
        <w:spacing w:after="0" w:line="300" w:lineRule="auto"/>
        <w:rPr>
          <w:sz w:val="20"/>
          <w:szCs w:val="20"/>
          <w:color w:val="auto"/>
        </w:rPr>
      </w:pPr>
      <w:r>
        <w:rPr>
          <w:rFonts w:ascii="Arial" w:cs="Arial" w:eastAsia="Arial" w:hAnsi="Arial"/>
          <w:sz w:val="10"/>
          <w:szCs w:val="10"/>
          <w:color w:val="auto"/>
        </w:rPr>
        <w:t>Change in fair value of contingent consideration, net Other</w:t>
      </w:r>
    </w:p>
    <w:p>
      <w:pPr>
        <w:ind w:left="100"/>
        <w:spacing w:after="0"/>
        <w:rPr>
          <w:sz w:val="20"/>
          <w:szCs w:val="20"/>
          <w:color w:val="auto"/>
        </w:rPr>
      </w:pPr>
      <w:r>
        <w:rPr>
          <w:rFonts w:ascii="Arial" w:cs="Arial" w:eastAsia="Arial" w:hAnsi="Arial"/>
          <w:sz w:val="10"/>
          <w:szCs w:val="10"/>
          <w:color w:val="auto"/>
        </w:rPr>
        <w:t>Changes in operating assets and liabilities: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Accounts receivable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Inventories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Prepaid expenses and other assets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Accounts payable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Accrued expenses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Accrued compensation</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Contract liabilities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Net cash provided by operating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used in investing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Purchases of property, plant and equipment and other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Net cash used in investing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used in financing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Proceeds from revolving credit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Principal payments on revolving credit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Principal payments on term loan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Proceeds from issuance of common stock upon exercise of stock options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Taxes paid on behalf of employees for equity activity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Contingent consideration payments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Net cash used in financing activities:</w:t>
      </w:r>
    </w:p>
    <w:p>
      <w:pPr>
        <w:spacing w:after="0" w:line="29" w:lineRule="exact"/>
        <w:rPr>
          <w:sz w:val="20"/>
          <w:szCs w:val="20"/>
          <w:color w:val="auto"/>
        </w:rPr>
      </w:pPr>
    </w:p>
    <w:p>
      <w:pPr>
        <w:ind w:left="100" w:right="100"/>
        <w:spacing w:after="0" w:line="309" w:lineRule="auto"/>
        <w:rPr>
          <w:sz w:val="20"/>
          <w:szCs w:val="20"/>
          <w:color w:val="auto"/>
        </w:rPr>
      </w:pPr>
      <w:r>
        <w:rPr>
          <w:rFonts w:ascii="Arial" w:cs="Arial" w:eastAsia="Arial" w:hAnsi="Arial"/>
          <w:sz w:val="10"/>
          <w:szCs w:val="10"/>
          <w:color w:val="auto"/>
        </w:rPr>
        <w:t>Effect of exchange rate changes on cash, cash equivalents and restricted cash Net increase in cash, cash equivalents and restricted cash</w:t>
      </w:r>
    </w:p>
    <w:p>
      <w:pPr>
        <w:spacing w:after="0" w:line="1" w:lineRule="exact"/>
        <w:rPr>
          <w:sz w:val="20"/>
          <w:szCs w:val="20"/>
          <w:color w:val="auto"/>
        </w:rPr>
      </w:pPr>
    </w:p>
    <w:p>
      <w:pPr>
        <w:ind w:left="100" w:right="660"/>
        <w:spacing w:after="0" w:line="482" w:lineRule="auto"/>
        <w:rPr>
          <w:sz w:val="20"/>
          <w:szCs w:val="20"/>
          <w:color w:val="auto"/>
        </w:rPr>
      </w:pPr>
      <w:r>
        <w:rPr>
          <w:rFonts w:ascii="Arial" w:cs="Arial" w:eastAsia="Arial" w:hAnsi="Arial"/>
          <w:sz w:val="8"/>
          <w:szCs w:val="8"/>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0"/>
          <w:szCs w:val="10"/>
          <w:b w:val="1"/>
          <w:bCs w:val="1"/>
          <w:color w:val="auto"/>
        </w:rPr>
        <w:t>Emergent BioSolutions Inc.</w:t>
      </w:r>
    </w:p>
    <w:p>
      <w:pPr>
        <w:spacing w:after="0" w:line="5" w:lineRule="exact"/>
        <w:rPr>
          <w:sz w:val="20"/>
          <w:szCs w:val="20"/>
          <w:color w:val="auto"/>
        </w:rPr>
      </w:pPr>
    </w:p>
    <w:p>
      <w:pPr>
        <w:jc w:val="center"/>
        <w:ind w:right="4260"/>
        <w:spacing w:after="0"/>
        <w:rPr>
          <w:sz w:val="20"/>
          <w:szCs w:val="20"/>
          <w:color w:val="auto"/>
        </w:rPr>
      </w:pPr>
      <w:r>
        <w:rPr>
          <w:rFonts w:ascii="Arial" w:cs="Arial" w:eastAsia="Arial" w:hAnsi="Arial"/>
          <w:sz w:val="8"/>
          <w:szCs w:val="8"/>
          <w:b w:val="1"/>
          <w:bCs w:val="1"/>
          <w:color w:val="auto"/>
        </w:rPr>
        <w:t>Condensed Consolidated Statements of Cash Flows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0"/>
          <w:szCs w:val="10"/>
          <w:b w:val="1"/>
          <w:bCs w:val="1"/>
          <w:color w:val="auto"/>
        </w:rPr>
        <w:t>(unaudited, in millions)</w:t>
      </w:r>
    </w:p>
    <w:p>
      <w:pPr>
        <w:spacing w:after="0" w:line="118" w:lineRule="exact"/>
        <w:rPr>
          <w:sz w:val="20"/>
          <w:szCs w:val="20"/>
          <w:color w:val="auto"/>
        </w:rPr>
      </w:pPr>
    </w:p>
    <w:tbl>
      <w:tblPr>
        <w:tblLayout w:type="fixed"/>
        <w:tblInd w:w="3700" w:type="dxa"/>
        <w:tblCellMar>
          <w:top w:w="0" w:type="dxa"/>
          <w:left w:w="0" w:type="dxa"/>
          <w:bottom w:w="0" w:type="dxa"/>
          <w:right w:w="0" w:type="dxa"/>
        </w:tblCellMar>
      </w:tblPr>
      <w:tr>
        <w:trPr>
          <w:trHeight w:val="127"/>
        </w:trPr>
        <w:tc>
          <w:tcPr>
            <w:tcW w:w="340" w:type="dxa"/>
            <w:vAlign w:val="bottom"/>
          </w:tcPr>
          <w:p>
            <w:pPr>
              <w:spacing w:after="0"/>
              <w:rPr>
                <w:sz w:val="11"/>
                <w:szCs w:val="11"/>
                <w:color w:val="auto"/>
              </w:rPr>
            </w:pPr>
          </w:p>
        </w:tc>
        <w:tc>
          <w:tcPr>
            <w:tcW w:w="2600" w:type="dxa"/>
            <w:vAlign w:val="bottom"/>
            <w:gridSpan w:val="4"/>
          </w:tcPr>
          <w:p>
            <w:pPr>
              <w:jc w:val="right"/>
              <w:ind w:right="712"/>
              <w:spacing w:after="0"/>
              <w:rPr>
                <w:sz w:val="20"/>
                <w:szCs w:val="20"/>
                <w:color w:val="auto"/>
              </w:rPr>
            </w:pPr>
            <w:r>
              <w:rPr>
                <w:rFonts w:ascii="Arial" w:cs="Arial" w:eastAsia="Arial" w:hAnsi="Arial"/>
                <w:sz w:val="10"/>
                <w:szCs w:val="10"/>
                <w:b w:val="1"/>
                <w:bCs w:val="1"/>
                <w:color w:val="auto"/>
              </w:rPr>
              <w:t>Three Months Ended March 31,</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2020</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2019</w:t>
            </w:r>
          </w:p>
        </w:tc>
      </w:tr>
      <w:tr>
        <w:trPr>
          <w:trHeight w:val="309"/>
        </w:trPr>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(12.5)</w:t>
            </w:r>
          </w:p>
        </w:tc>
        <w:tc>
          <w:tcPr>
            <w:tcW w:w="100" w:type="dxa"/>
            <w:vAlign w:val="bottom"/>
          </w:tcPr>
          <w:p>
            <w:pPr>
              <w:spacing w:after="0"/>
              <w:rPr>
                <w:sz w:val="24"/>
                <w:szCs w:val="24"/>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(26.0)</w:t>
            </w:r>
          </w:p>
        </w:tc>
      </w:tr>
      <w:tr>
        <w:trPr>
          <w:trHeight w:val="288"/>
        </w:trPr>
        <w:tc>
          <w:tcPr>
            <w:tcW w:w="3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6.8</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26.6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0.7</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(11.4)</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1.7</w:t>
            </w:r>
          </w:p>
        </w:tc>
      </w:tr>
      <w:tr>
        <w:trPr>
          <w:trHeight w:val="144"/>
        </w:trPr>
        <w:tc>
          <w:tcPr>
            <w:tcW w:w="34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(0.1)</w:t>
            </w:r>
          </w:p>
        </w:tc>
      </w:tr>
      <w:tr>
        <w:trPr>
          <w:trHeight w:val="288"/>
        </w:trPr>
        <w:tc>
          <w:tcPr>
            <w:tcW w:w="3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108.2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141.6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(5.2)</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(16.6)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4.2</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1.7</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(14.9)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(21.3)</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57.8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104.8</w:t>
            </w:r>
          </w:p>
        </w:tc>
      </w:tr>
      <w:tr>
        <w:trPr>
          <w:trHeight w:val="292"/>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(21.4)</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(24.2)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(21.4)</w:t>
            </w:r>
          </w:p>
        </w:tc>
      </w:tr>
      <w:tr>
        <w:trPr>
          <w:trHeight w:val="288"/>
        </w:trPr>
        <w:tc>
          <w:tcPr>
            <w:tcW w:w="3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30.0</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(80.0)</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(2.8)</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0.9</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(6.0)</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(0.5)</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(58.4)</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13.7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25.0</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168.0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112.4</w:t>
            </w:r>
          </w:p>
        </w:tc>
      </w:tr>
      <w:tr>
        <w:trPr>
          <w:trHeight w:val="144"/>
        </w:trPr>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181.7</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8 of 11</w:t>
      </w:r>
    </w:p>
    <w:p>
      <w:pPr>
        <w:sectPr>
          <w:pgSz w:w="11900" w:h="16838" w:orient="portrait"/>
          <w:cols w:equalWidth="0" w:num="2">
            <w:col w:w="3540" w:space="720"/>
            <w:col w:w="6640"/>
          </w:cols>
          <w:pgMar w:left="500" w:top="275" w:right="4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RECONCILIATION OF NET LOSS TO ADJUSTED NET LOSS AND ADJUSTED EBITDA (unaudited)</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 xml:space="preserve">This press release contains two financial measures </w:t>
      </w:r>
      <w:r>
        <w:rPr>
          <w:rFonts w:ascii="Arial" w:cs="Arial" w:eastAsia="Arial" w:hAnsi="Arial"/>
          <w:sz w:val="12"/>
          <w:szCs w:val="12"/>
          <w:b w:val="1"/>
          <w:bCs w:val="1"/>
          <w:color w:val="auto"/>
        </w:rPr>
        <w:t>(Adjusted Net Loss and Adjusted EBITDA (Earnings Before Depreciation and Amortization, Interest and Taxes))</w:t>
      </w:r>
      <w:r>
        <w:rPr>
          <w:rFonts w:ascii="Arial" w:cs="Arial" w:eastAsia="Arial" w:hAnsi="Arial"/>
          <w:sz w:val="12"/>
          <w:szCs w:val="12"/>
          <w:color w:val="auto"/>
        </w:rPr>
        <w:t xml:space="preserve"> that are 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Loss adjusts for specified items that can be highly variable or difficult to predict, or reflect the non-cash impact of charges resulting from purchase accounting. All adjustments are tax effected utilizing the federal statutory tax rate for the US, except for changes in the fair value of contingent consideration as the vast majority is non-deductible for tax purposes. Adjusted Net Loss margin is defined as Adjusted Net Loss divided by total revenues. Adjusted EBITDA reflects net income excluding the impact of depreciation, amortization, interest expense and provision for income taxes, excluding specified items that can be highly variable and the non-cash impact of certain purchase accounting adjustments. Adjusted EBITDA margin is defined as Adjusted EBITDA divided by total revenues.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38" w:lineRule="exact"/>
        <w:rPr>
          <w:sz w:val="20"/>
          <w:szCs w:val="20"/>
          <w:color w:val="auto"/>
        </w:rPr>
      </w:pPr>
    </w:p>
    <w:p>
      <w:pPr>
        <w:jc w:val="both"/>
        <w:ind w:right="14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Loss to Adjusted Net Loss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shd w:val="clear" w:color="auto" w:fill="0F243E"/>
          </w:tcPr>
          <w:p>
            <w:pPr>
              <w:spacing w:after="0"/>
              <w:rPr>
                <w:sz w:val="14"/>
                <w:szCs w:val="14"/>
                <w:color w:val="auto"/>
              </w:rPr>
            </w:pPr>
          </w:p>
        </w:tc>
        <w:tc>
          <w:tcPr>
            <w:tcW w:w="2100" w:type="dxa"/>
            <w:vAlign w:val="bottom"/>
            <w:shd w:val="clear" w:color="auto" w:fill="0F243E"/>
          </w:tcPr>
          <w:p>
            <w:pPr>
              <w:spacing w:after="0"/>
              <w:rPr>
                <w:sz w:val="14"/>
                <w:szCs w:val="14"/>
                <w:color w:val="auto"/>
              </w:rPr>
            </w:pPr>
          </w:p>
        </w:tc>
        <w:tc>
          <w:tcPr>
            <w:tcW w:w="1580" w:type="dxa"/>
            <w:vAlign w:val="bottom"/>
            <w:shd w:val="clear" w:color="auto" w:fill="0F243E"/>
          </w:tcPr>
          <w:p>
            <w:pPr>
              <w:spacing w:after="0"/>
              <w:rPr>
                <w:sz w:val="14"/>
                <w:szCs w:val="14"/>
                <w:color w:val="auto"/>
              </w:rPr>
            </w:pPr>
          </w:p>
        </w:tc>
        <w:tc>
          <w:tcPr>
            <w:tcW w:w="2000" w:type="dxa"/>
            <w:vAlign w:val="bottom"/>
            <w:gridSpan w:val="3"/>
            <w:shd w:val="clear" w:color="auto" w:fill="0F243E"/>
          </w:tcPr>
          <w:p>
            <w:pPr>
              <w:ind w:left="20"/>
              <w:spacing w:after="0"/>
              <w:rPr>
                <w:sz w:val="20"/>
                <w:szCs w:val="20"/>
                <w:color w:val="auto"/>
              </w:rPr>
            </w:pPr>
            <w:r>
              <w:rPr>
                <w:rFonts w:ascii="Arial" w:cs="Arial" w:eastAsia="Arial" w:hAnsi="Arial"/>
                <w:sz w:val="11"/>
                <w:szCs w:val="11"/>
                <w:b w:val="1"/>
                <w:bCs w:val="1"/>
                <w:color w:val="FFFFFF"/>
              </w:rPr>
              <w:t>Three Months Ended March 31, 2020</w:t>
            </w:r>
          </w:p>
        </w:tc>
        <w:tc>
          <w:tcPr>
            <w:tcW w:w="1500" w:type="dxa"/>
            <w:vAlign w:val="bottom"/>
            <w:shd w:val="clear" w:color="auto" w:fill="0F243E"/>
          </w:tcPr>
          <w:p>
            <w:pPr>
              <w:spacing w:after="0"/>
              <w:rPr>
                <w:sz w:val="14"/>
                <w:szCs w:val="14"/>
                <w:color w:val="auto"/>
              </w:rPr>
            </w:pPr>
          </w:p>
        </w:tc>
      </w:tr>
      <w:tr>
        <w:trPr>
          <w:trHeight w:val="180"/>
        </w:trPr>
        <w:tc>
          <w:tcPr>
            <w:tcW w:w="4120" w:type="dxa"/>
            <w:vAlign w:val="bottom"/>
            <w:shd w:val="clear" w:color="auto" w:fill="0F243E"/>
          </w:tcPr>
          <w:p>
            <w:pPr>
              <w:ind w:left="20"/>
              <w:spacing w:after="0"/>
              <w:rPr>
                <w:sz w:val="20"/>
                <w:szCs w:val="20"/>
                <w:color w:val="auto"/>
              </w:rPr>
            </w:pPr>
            <w:r>
              <w:rPr>
                <w:rFonts w:ascii="Arial" w:cs="Arial" w:eastAsia="Arial" w:hAnsi="Arial"/>
                <w:sz w:val="11"/>
                <w:szCs w:val="11"/>
                <w:i w:val="1"/>
                <w:iCs w:val="1"/>
                <w:color w:val="FFFFFF"/>
              </w:rPr>
              <w:t>(in millions, except per share value)</w:t>
            </w:r>
          </w:p>
        </w:tc>
        <w:tc>
          <w:tcPr>
            <w:tcW w:w="3680" w:type="dxa"/>
            <w:vAlign w:val="bottom"/>
            <w:gridSpan w:val="2"/>
            <w:shd w:val="clear" w:color="auto" w:fill="0F243E"/>
          </w:tcPr>
          <w:p>
            <w:pPr>
              <w:jc w:val="right"/>
              <w:ind w:right="546"/>
              <w:spacing w:after="0"/>
              <w:rPr>
                <w:sz w:val="20"/>
                <w:szCs w:val="20"/>
                <w:color w:val="auto"/>
              </w:rPr>
            </w:pPr>
            <w:r>
              <w:rPr>
                <w:rFonts w:ascii="Arial" w:cs="Arial" w:eastAsia="Arial" w:hAnsi="Arial"/>
                <w:sz w:val="11"/>
                <w:szCs w:val="11"/>
                <w:b w:val="1"/>
                <w:bCs w:val="1"/>
                <w:color w:val="FFFFFF"/>
              </w:rPr>
              <w:t>2020</w:t>
            </w:r>
          </w:p>
        </w:tc>
        <w:tc>
          <w:tcPr>
            <w:tcW w:w="120" w:type="dxa"/>
            <w:vAlign w:val="bottom"/>
            <w:shd w:val="clear" w:color="auto" w:fill="0F243E"/>
          </w:tcPr>
          <w:p>
            <w:pPr>
              <w:spacing w:after="0"/>
              <w:rPr>
                <w:sz w:val="15"/>
                <w:szCs w:val="15"/>
                <w:color w:val="auto"/>
              </w:rPr>
            </w:pPr>
          </w:p>
        </w:tc>
        <w:tc>
          <w:tcPr>
            <w:tcW w:w="1580" w:type="dxa"/>
            <w:vAlign w:val="bottom"/>
            <w:shd w:val="clear" w:color="auto" w:fill="0F243E"/>
          </w:tcPr>
          <w:p>
            <w:pPr>
              <w:jc w:val="right"/>
              <w:ind w:right="606"/>
              <w:spacing w:after="0"/>
              <w:rPr>
                <w:sz w:val="20"/>
                <w:szCs w:val="20"/>
                <w:color w:val="auto"/>
              </w:rPr>
            </w:pPr>
            <w:r>
              <w:rPr>
                <w:rFonts w:ascii="Arial" w:cs="Arial" w:eastAsia="Arial" w:hAnsi="Arial"/>
                <w:sz w:val="11"/>
                <w:szCs w:val="11"/>
                <w:b w:val="1"/>
                <w:bCs w:val="1"/>
                <w:color w:val="FFFFFF"/>
              </w:rPr>
              <w:t>2019</w:t>
            </w:r>
          </w:p>
        </w:tc>
        <w:tc>
          <w:tcPr>
            <w:tcW w:w="300" w:type="dxa"/>
            <w:vAlign w:val="bottom"/>
            <w:shd w:val="clear" w:color="auto" w:fill="0F243E"/>
          </w:tcPr>
          <w:p>
            <w:pPr>
              <w:spacing w:after="0"/>
              <w:rPr>
                <w:sz w:val="15"/>
                <w:szCs w:val="15"/>
                <w:color w:val="auto"/>
              </w:rPr>
            </w:pPr>
          </w:p>
        </w:tc>
        <w:tc>
          <w:tcPr>
            <w:tcW w:w="1500" w:type="dxa"/>
            <w:vAlign w:val="bottom"/>
            <w:shd w:val="clear" w:color="auto" w:fill="0F243E"/>
          </w:tcPr>
          <w:p>
            <w:pPr>
              <w:jc w:val="center"/>
              <w:ind w:right="246"/>
              <w:spacing w:after="0"/>
              <w:rPr>
                <w:sz w:val="20"/>
                <w:szCs w:val="20"/>
                <w:color w:val="auto"/>
              </w:rPr>
            </w:pPr>
            <w:r>
              <w:rPr>
                <w:rFonts w:ascii="Arial" w:cs="Arial" w:eastAsia="Arial" w:hAnsi="Arial"/>
                <w:sz w:val="11"/>
                <w:szCs w:val="11"/>
                <w:b w:val="1"/>
                <w:bCs w:val="1"/>
                <w:color w:val="FFFFFF"/>
                <w:w w:val="96"/>
              </w:rPr>
              <w:t>Source</w:t>
            </w:r>
          </w:p>
        </w:tc>
      </w:tr>
      <w:tr>
        <w:trPr>
          <w:trHeight w:val="167"/>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b w:val="1"/>
                <w:bCs w:val="1"/>
                <w:color w:val="auto"/>
              </w:rPr>
              <w:t>Net loss</w:t>
            </w:r>
          </w:p>
        </w:tc>
        <w:tc>
          <w:tcPr>
            <w:tcW w:w="3800" w:type="dxa"/>
            <w:vAlign w:val="bottom"/>
            <w:gridSpan w:val="3"/>
            <w:shd w:val="clear" w:color="auto" w:fill="CCCCCC"/>
          </w:tcPr>
          <w:p>
            <w:pPr>
              <w:jc w:val="right"/>
              <w:ind w:right="26"/>
              <w:spacing w:after="0"/>
              <w:rPr>
                <w:sz w:val="20"/>
                <w:szCs w:val="20"/>
                <w:color w:val="auto"/>
              </w:rPr>
            </w:pPr>
            <w:r>
              <w:rPr>
                <w:rFonts w:ascii="Arial" w:cs="Arial" w:eastAsia="Arial" w:hAnsi="Arial"/>
                <w:sz w:val="11"/>
                <w:szCs w:val="11"/>
                <w:color w:val="auto"/>
              </w:rPr>
              <w:t>($12.5)</w:t>
            </w:r>
          </w:p>
        </w:tc>
        <w:tc>
          <w:tcPr>
            <w:tcW w:w="158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($26.0)</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spacing w:after="0"/>
              <w:rPr>
                <w:sz w:val="14"/>
                <w:szCs w:val="14"/>
                <w:color w:val="auto"/>
              </w:rPr>
            </w:pPr>
          </w:p>
        </w:tc>
      </w:tr>
      <w:tr>
        <w:trPr>
          <w:trHeight w:val="180"/>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5"/>
                <w:szCs w:val="15"/>
                <w:color w:val="auto"/>
              </w:rPr>
            </w:pPr>
          </w:p>
        </w:tc>
        <w:tc>
          <w:tcPr>
            <w:tcW w:w="1580" w:type="dxa"/>
            <w:vAlign w:val="bottom"/>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1580" w:type="dxa"/>
            <w:vAlign w:val="bottom"/>
            <w:shd w:val="clear" w:color="auto" w:fill="CCCCCC"/>
          </w:tcPr>
          <w:p>
            <w:pPr>
              <w:spacing w:after="0"/>
              <w:rPr>
                <w:sz w:val="15"/>
                <w:szCs w:val="15"/>
                <w:color w:val="auto"/>
              </w:rPr>
            </w:pPr>
          </w:p>
        </w:tc>
        <w:tc>
          <w:tcPr>
            <w:tcW w:w="300" w:type="dxa"/>
            <w:vAlign w:val="bottom"/>
            <w:shd w:val="clear" w:color="auto" w:fill="CCCCCC"/>
          </w:tcPr>
          <w:p>
            <w:pPr>
              <w:spacing w:after="0"/>
              <w:rPr>
                <w:sz w:val="15"/>
                <w:szCs w:val="15"/>
                <w:color w:val="auto"/>
              </w:rPr>
            </w:pPr>
          </w:p>
        </w:tc>
        <w:tc>
          <w:tcPr>
            <w:tcW w:w="1500" w:type="dxa"/>
            <w:vAlign w:val="bottom"/>
            <w:shd w:val="clear" w:color="auto" w:fill="CCCCCC"/>
          </w:tcPr>
          <w:p>
            <w:pPr>
              <w:spacing w:after="0"/>
              <w:rPr>
                <w:sz w:val="15"/>
                <w:szCs w:val="15"/>
                <w:color w:val="auto"/>
              </w:rPr>
            </w:pP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4"/>
                <w:szCs w:val="14"/>
                <w:color w:val="auto"/>
              </w:rPr>
            </w:pPr>
          </w:p>
        </w:tc>
        <w:tc>
          <w:tcPr>
            <w:tcW w:w="1700" w:type="dxa"/>
            <w:vAlign w:val="bottom"/>
            <w:gridSpan w:val="2"/>
            <w:shd w:val="clear" w:color="auto" w:fill="CCCCCC"/>
          </w:tcPr>
          <w:p>
            <w:pPr>
              <w:jc w:val="right"/>
              <w:ind w:right="66"/>
              <w:spacing w:after="0"/>
              <w:rPr>
                <w:sz w:val="20"/>
                <w:szCs w:val="20"/>
                <w:color w:val="auto"/>
              </w:rPr>
            </w:pPr>
            <w:r>
              <w:rPr>
                <w:rFonts w:ascii="Arial" w:cs="Arial" w:eastAsia="Arial" w:hAnsi="Arial"/>
                <w:sz w:val="11"/>
                <w:szCs w:val="11"/>
                <w:b w:val="1"/>
                <w:bCs w:val="1"/>
                <w:color w:val="auto"/>
              </w:rPr>
              <w:t>—</w:t>
            </w: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4.0</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7"/>
              </w:rPr>
              <w:t>SG&amp;A</w:t>
            </w: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15.5</w:t>
            </w:r>
          </w:p>
        </w:tc>
        <w:tc>
          <w:tcPr>
            <w:tcW w:w="120" w:type="dxa"/>
            <w:vAlign w:val="bottom"/>
            <w:shd w:val="clear" w:color="auto" w:fill="CCCCCC"/>
          </w:tcPr>
          <w:p>
            <w:pPr>
              <w:spacing w:after="0"/>
              <w:rPr>
                <w:sz w:val="14"/>
                <w:szCs w:val="14"/>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15.3</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8"/>
              </w:rPr>
              <w:t>SG&amp;A, Other Income</w:t>
            </w: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0.6</w:t>
            </w:r>
          </w:p>
        </w:tc>
        <w:tc>
          <w:tcPr>
            <w:tcW w:w="120" w:type="dxa"/>
            <w:vAlign w:val="bottom"/>
            <w:shd w:val="clear" w:color="auto" w:fill="CCCCCC"/>
          </w:tcPr>
          <w:p>
            <w:pPr>
              <w:spacing w:after="0"/>
              <w:rPr>
                <w:sz w:val="14"/>
                <w:szCs w:val="14"/>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1.6</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7"/>
              </w:rPr>
              <w:t>SG&amp;A</w:t>
            </w:r>
          </w:p>
        </w:tc>
      </w:tr>
      <w:tr>
        <w:trPr>
          <w:trHeight w:val="178"/>
        </w:trPr>
        <w:tc>
          <w:tcPr>
            <w:tcW w:w="412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Impact of purchase accounting on inventory step-up</w:t>
            </w:r>
          </w:p>
        </w:tc>
        <w:tc>
          <w:tcPr>
            <w:tcW w:w="2100" w:type="dxa"/>
            <w:vAlign w:val="bottom"/>
            <w:tcBorders>
              <w:bottom w:val="single" w:sz="8" w:color="CCCCCC"/>
            </w:tcBorders>
            <w:shd w:val="clear" w:color="auto" w:fill="CCCCCC"/>
          </w:tcPr>
          <w:p>
            <w:pPr>
              <w:spacing w:after="0"/>
              <w:rPr>
                <w:sz w:val="15"/>
                <w:szCs w:val="15"/>
                <w:color w:val="auto"/>
              </w:rPr>
            </w:pPr>
          </w:p>
        </w:tc>
        <w:tc>
          <w:tcPr>
            <w:tcW w:w="1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CCCC"/>
          </w:tcPr>
          <w:p>
            <w:pPr>
              <w:spacing w:after="0"/>
              <w:rPr>
                <w:sz w:val="15"/>
                <w:szCs w:val="15"/>
                <w:color w:val="auto"/>
              </w:rPr>
            </w:pPr>
          </w:p>
        </w:tc>
        <w:tc>
          <w:tcPr>
            <w:tcW w:w="1580" w:type="dxa"/>
            <w:vAlign w:val="bottom"/>
            <w:tcBorders>
              <w:bottom w:val="single" w:sz="8" w:color="auto"/>
            </w:tcBorders>
            <w:shd w:val="clear" w:color="auto" w:fill="CCCCCC"/>
          </w:tcPr>
          <w:p>
            <w:pPr>
              <w:jc w:val="right"/>
              <w:ind w:right="66"/>
              <w:spacing w:after="0"/>
              <w:rPr>
                <w:sz w:val="20"/>
                <w:szCs w:val="20"/>
                <w:color w:val="auto"/>
              </w:rPr>
            </w:pPr>
            <w:r>
              <w:rPr>
                <w:rFonts w:ascii="Arial" w:cs="Arial" w:eastAsia="Arial" w:hAnsi="Arial"/>
                <w:sz w:val="11"/>
                <w:szCs w:val="11"/>
                <w:color w:val="auto"/>
              </w:rPr>
              <w:t>5.0</w:t>
            </w:r>
          </w:p>
        </w:tc>
        <w:tc>
          <w:tcPr>
            <w:tcW w:w="300" w:type="dxa"/>
            <w:vAlign w:val="bottom"/>
            <w:tcBorders>
              <w:bottom w:val="single" w:sz="8" w:color="CCCCCC"/>
            </w:tcBorders>
            <w:shd w:val="clear" w:color="auto" w:fill="CCCCCC"/>
          </w:tcPr>
          <w:p>
            <w:pPr>
              <w:spacing w:after="0"/>
              <w:rPr>
                <w:sz w:val="15"/>
                <w:szCs w:val="15"/>
                <w:color w:val="auto"/>
              </w:rPr>
            </w:pPr>
          </w:p>
        </w:tc>
        <w:tc>
          <w:tcPr>
            <w:tcW w:w="1500" w:type="dxa"/>
            <w:vAlign w:val="bottom"/>
            <w:tcBorders>
              <w:bottom w:val="single" w:sz="8" w:color="CCCCCC"/>
            </w:tcBorders>
            <w:shd w:val="clear" w:color="auto" w:fill="CCCCCC"/>
          </w:tcPr>
          <w:p>
            <w:pPr>
              <w:jc w:val="center"/>
              <w:ind w:right="246"/>
              <w:spacing w:after="0"/>
              <w:rPr>
                <w:sz w:val="20"/>
                <w:szCs w:val="20"/>
                <w:color w:val="auto"/>
              </w:rPr>
            </w:pPr>
            <w:r>
              <w:rPr>
                <w:rFonts w:ascii="Arial" w:cs="Arial" w:eastAsia="Arial" w:hAnsi="Arial"/>
                <w:sz w:val="11"/>
                <w:szCs w:val="11"/>
                <w:color w:val="auto"/>
                <w:w w:val="98"/>
              </w:rPr>
              <w:t>COGS</w:t>
            </w:r>
          </w:p>
        </w:tc>
      </w:tr>
      <w:tr>
        <w:trPr>
          <w:trHeight w:val="153"/>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100" w:type="dxa"/>
            <w:vAlign w:val="bottom"/>
            <w:shd w:val="clear" w:color="auto" w:fill="CCCCCC"/>
          </w:tcPr>
          <w:p>
            <w:pPr>
              <w:spacing w:after="0"/>
              <w:rPr>
                <w:sz w:val="13"/>
                <w:szCs w:val="13"/>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CCCC"/>
          </w:tcPr>
          <w:p>
            <w:pPr>
              <w:spacing w:after="0"/>
              <w:rPr>
                <w:sz w:val="13"/>
                <w:szCs w:val="13"/>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(5.1)</w:t>
            </w:r>
          </w:p>
        </w:tc>
        <w:tc>
          <w:tcPr>
            <w:tcW w:w="300" w:type="dxa"/>
            <w:vAlign w:val="bottom"/>
            <w:shd w:val="clear" w:color="auto" w:fill="CCCCCC"/>
          </w:tcPr>
          <w:p>
            <w:pPr>
              <w:spacing w:after="0"/>
              <w:rPr>
                <w:sz w:val="13"/>
                <w:szCs w:val="13"/>
                <w:color w:val="auto"/>
              </w:rPr>
            </w:pPr>
          </w:p>
        </w:tc>
        <w:tc>
          <w:tcPr>
            <w:tcW w:w="1500" w:type="dxa"/>
            <w:vAlign w:val="bottom"/>
            <w:shd w:val="clear" w:color="auto" w:fill="CCCCCC"/>
          </w:tcPr>
          <w:p>
            <w:pPr>
              <w:spacing w:after="0"/>
              <w:rPr>
                <w:sz w:val="13"/>
                <w:szCs w:val="13"/>
                <w:color w:val="auto"/>
              </w:rPr>
            </w:pPr>
          </w:p>
        </w:tc>
      </w:tr>
      <w:tr>
        <w:trPr>
          <w:trHeight w:val="216"/>
        </w:trPr>
        <w:tc>
          <w:tcPr>
            <w:tcW w:w="4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100" w:type="dxa"/>
            <w:vAlign w:val="bottom"/>
            <w:tcBorders>
              <w:bottom w:val="single" w:sz="8" w:color="CCCCCC"/>
            </w:tcBorders>
            <w:shd w:val="clear" w:color="auto" w:fill="CCCCCC"/>
          </w:tcPr>
          <w:p>
            <w:pPr>
              <w:spacing w:after="0"/>
              <w:rPr>
                <w:sz w:val="18"/>
                <w:szCs w:val="18"/>
                <w:color w:val="auto"/>
              </w:rPr>
            </w:pPr>
          </w:p>
        </w:tc>
        <w:tc>
          <w:tcPr>
            <w:tcW w:w="1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12.8</w:t>
            </w:r>
          </w:p>
        </w:tc>
        <w:tc>
          <w:tcPr>
            <w:tcW w:w="120" w:type="dxa"/>
            <w:vAlign w:val="bottom"/>
            <w:tcBorders>
              <w:bottom w:val="single" w:sz="8" w:color="CCCCCC"/>
            </w:tcBorders>
            <w:shd w:val="clear" w:color="auto" w:fill="CCCCCC"/>
          </w:tcPr>
          <w:p>
            <w:pPr>
              <w:spacing w:after="0"/>
              <w:rPr>
                <w:sz w:val="18"/>
                <w:szCs w:val="18"/>
                <w:color w:val="auto"/>
              </w:rPr>
            </w:pPr>
          </w:p>
        </w:tc>
        <w:tc>
          <w:tcPr>
            <w:tcW w:w="1580" w:type="dxa"/>
            <w:vAlign w:val="bottom"/>
            <w:tcBorders>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20.8</w:t>
            </w:r>
          </w:p>
        </w:tc>
        <w:tc>
          <w:tcPr>
            <w:tcW w:w="300" w:type="dxa"/>
            <w:vAlign w:val="bottom"/>
            <w:tcBorders>
              <w:bottom w:val="single" w:sz="8" w:color="CCCCCC"/>
            </w:tcBorders>
            <w:shd w:val="clear" w:color="auto" w:fill="CCCCCC"/>
          </w:tcPr>
          <w:p>
            <w:pPr>
              <w:spacing w:after="0"/>
              <w:rPr>
                <w:sz w:val="18"/>
                <w:szCs w:val="18"/>
                <w:color w:val="auto"/>
              </w:rPr>
            </w:pPr>
          </w:p>
        </w:tc>
        <w:tc>
          <w:tcPr>
            <w:tcW w:w="1500" w:type="dxa"/>
            <w:vAlign w:val="bottom"/>
            <w:tcBorders>
              <w:bottom w:val="single" w:sz="8" w:color="CCCCCC"/>
            </w:tcBorders>
            <w:shd w:val="clear" w:color="auto" w:fill="CCCCCC"/>
          </w:tcPr>
          <w:p>
            <w:pPr>
              <w:spacing w:after="0"/>
              <w:rPr>
                <w:sz w:val="18"/>
                <w:szCs w:val="18"/>
                <w:color w:val="auto"/>
              </w:rPr>
            </w:pPr>
          </w:p>
        </w:tc>
      </w:tr>
      <w:tr>
        <w:trPr>
          <w:trHeight w:val="174"/>
        </w:trPr>
        <w:tc>
          <w:tcPr>
            <w:tcW w:w="4120" w:type="dxa"/>
            <w:vAlign w:val="bottom"/>
            <w:tcBorders>
              <w:top w:val="single" w:sz="8" w:color="CCCCCC"/>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 (loss)</w:t>
            </w:r>
          </w:p>
        </w:tc>
        <w:tc>
          <w:tcPr>
            <w:tcW w:w="2100" w:type="dxa"/>
            <w:vAlign w:val="bottom"/>
            <w:tcBorders>
              <w:top w:val="single" w:sz="8" w:color="CCCCCC"/>
              <w:bottom w:val="single" w:sz="8" w:color="CCCCCC"/>
            </w:tcBorders>
            <w:shd w:val="clear" w:color="auto" w:fill="CCCCCC"/>
          </w:tcPr>
          <w:p>
            <w:pPr>
              <w:spacing w:after="0"/>
              <w:rPr>
                <w:sz w:val="14"/>
                <w:szCs w:val="14"/>
                <w:color w:val="auto"/>
              </w:rPr>
            </w:pPr>
          </w:p>
        </w:tc>
        <w:tc>
          <w:tcPr>
            <w:tcW w:w="15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$0.3</w:t>
            </w:r>
          </w:p>
        </w:tc>
        <w:tc>
          <w:tcPr>
            <w:tcW w:w="120" w:type="dxa"/>
            <w:vAlign w:val="bottom"/>
            <w:tcBorders>
              <w:top w:val="single" w:sz="8" w:color="auto"/>
              <w:bottom w:val="single" w:sz="8" w:color="CCCCCC"/>
            </w:tcBorders>
            <w:shd w:val="clear" w:color="auto" w:fill="CCCCCC"/>
          </w:tcPr>
          <w:p>
            <w:pPr>
              <w:spacing w:after="0"/>
              <w:rPr>
                <w:sz w:val="14"/>
                <w:szCs w:val="14"/>
                <w:color w:val="auto"/>
              </w:rPr>
            </w:pPr>
          </w:p>
        </w:tc>
        <w:tc>
          <w:tcPr>
            <w:tcW w:w="1580" w:type="dxa"/>
            <w:vAlign w:val="bottom"/>
            <w:tcBorders>
              <w:top w:val="single" w:sz="8" w:color="auto"/>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($5.2)</w:t>
            </w:r>
          </w:p>
        </w:tc>
        <w:tc>
          <w:tcPr>
            <w:tcW w:w="300" w:type="dxa"/>
            <w:vAlign w:val="bottom"/>
            <w:tcBorders>
              <w:top w:val="single" w:sz="8" w:color="CCCCCC"/>
              <w:bottom w:val="single" w:sz="8" w:color="CCCCCC"/>
            </w:tcBorders>
            <w:shd w:val="clear" w:color="auto" w:fill="CCCCCC"/>
          </w:tcPr>
          <w:p>
            <w:pPr>
              <w:spacing w:after="0"/>
              <w:rPr>
                <w:sz w:val="14"/>
                <w:szCs w:val="14"/>
                <w:color w:val="auto"/>
              </w:rPr>
            </w:pPr>
          </w:p>
        </w:tc>
        <w:tc>
          <w:tcPr>
            <w:tcW w:w="1500" w:type="dxa"/>
            <w:vAlign w:val="bottom"/>
            <w:tcBorders>
              <w:top w:val="single" w:sz="8" w:color="CCCCCC"/>
              <w:bottom w:val="single" w:sz="8" w:color="CCCCCC"/>
            </w:tcBorders>
            <w:shd w:val="clear" w:color="auto" w:fill="CCCCCC"/>
          </w:tcPr>
          <w:p>
            <w:pPr>
              <w:spacing w:after="0"/>
              <w:rPr>
                <w:sz w:val="14"/>
                <w:szCs w:val="14"/>
                <w:color w:val="auto"/>
              </w:rPr>
            </w:pPr>
          </w:p>
        </w:tc>
      </w:tr>
      <w:tr>
        <w:trPr>
          <w:trHeight w:val="149"/>
        </w:trPr>
        <w:tc>
          <w:tcPr>
            <w:tcW w:w="4120" w:type="dxa"/>
            <w:vAlign w:val="bottom"/>
            <w:tcBorders>
              <w:top w:val="single" w:sz="8" w:color="CCCCCC"/>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 (loss) per diluted share</w:t>
            </w:r>
          </w:p>
        </w:tc>
        <w:tc>
          <w:tcPr>
            <w:tcW w:w="2100" w:type="dxa"/>
            <w:vAlign w:val="bottom"/>
            <w:tcBorders>
              <w:top w:val="single" w:sz="8" w:color="CCCCCC"/>
              <w:bottom w:val="single" w:sz="8" w:color="CCCCCC"/>
            </w:tcBorders>
            <w:shd w:val="clear" w:color="auto" w:fill="CCCCCC"/>
          </w:tcPr>
          <w:p>
            <w:pPr>
              <w:spacing w:after="0"/>
              <w:rPr>
                <w:sz w:val="12"/>
                <w:szCs w:val="12"/>
                <w:color w:val="auto"/>
              </w:rPr>
            </w:pPr>
          </w:p>
        </w:tc>
        <w:tc>
          <w:tcPr>
            <w:tcW w:w="15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Borders>
              <w:top w:val="single" w:sz="8" w:color="auto"/>
              <w:bottom w:val="single" w:sz="8" w:color="CCCCCC"/>
            </w:tcBorders>
            <w:shd w:val="clear" w:color="auto" w:fill="CCCCCC"/>
          </w:tcPr>
          <w:p>
            <w:pPr>
              <w:spacing w:after="0"/>
              <w:rPr>
                <w:sz w:val="12"/>
                <w:szCs w:val="12"/>
                <w:color w:val="auto"/>
              </w:rPr>
            </w:pPr>
          </w:p>
        </w:tc>
        <w:tc>
          <w:tcPr>
            <w:tcW w:w="1580" w:type="dxa"/>
            <w:vAlign w:val="bottom"/>
            <w:tcBorders>
              <w:top w:val="single" w:sz="8" w:color="auto"/>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($0.10)</w:t>
            </w:r>
          </w:p>
        </w:tc>
        <w:tc>
          <w:tcPr>
            <w:tcW w:w="300" w:type="dxa"/>
            <w:vAlign w:val="bottom"/>
            <w:tcBorders>
              <w:top w:val="single" w:sz="8" w:color="CCCCCC"/>
              <w:bottom w:val="single" w:sz="8" w:color="CCCCCC"/>
            </w:tcBorders>
            <w:shd w:val="clear" w:color="auto" w:fill="CCCCCC"/>
          </w:tcPr>
          <w:p>
            <w:pPr>
              <w:spacing w:after="0"/>
              <w:rPr>
                <w:sz w:val="12"/>
                <w:szCs w:val="12"/>
                <w:color w:val="auto"/>
              </w:rPr>
            </w:pPr>
          </w:p>
        </w:tc>
        <w:tc>
          <w:tcPr>
            <w:tcW w:w="1500" w:type="dxa"/>
            <w:vAlign w:val="bottom"/>
            <w:tcBorders>
              <w:top w:val="single" w:sz="8" w:color="CCCCCC"/>
              <w:bottom w:val="single" w:sz="8" w:color="CCCCCC"/>
            </w:tcBorders>
            <w:shd w:val="clear" w:color="auto" w:fill="CCCCCC"/>
          </w:tcPr>
          <w:p>
            <w:pPr>
              <w:spacing w:after="0"/>
              <w:rPr>
                <w:sz w:val="12"/>
                <w:szCs w:val="12"/>
                <w:color w:val="auto"/>
              </w:rPr>
            </w:pPr>
          </w:p>
        </w:tc>
      </w:tr>
      <w:tr>
        <w:trPr>
          <w:trHeight w:val="572"/>
        </w:trPr>
        <w:tc>
          <w:tcPr>
            <w:tcW w:w="4120" w:type="dxa"/>
            <w:vAlign w:val="bottom"/>
          </w:tcPr>
          <w:p>
            <w:pPr>
              <w:spacing w:after="0"/>
              <w:rPr>
                <w:sz w:val="24"/>
                <w:szCs w:val="24"/>
                <w:color w:val="auto"/>
              </w:rPr>
            </w:pPr>
          </w:p>
        </w:tc>
        <w:tc>
          <w:tcPr>
            <w:tcW w:w="3800" w:type="dxa"/>
            <w:vAlign w:val="bottom"/>
            <w:gridSpan w:val="3"/>
          </w:tcPr>
          <w:p>
            <w:pPr>
              <w:jc w:val="right"/>
              <w:ind w:right="2066"/>
              <w:spacing w:after="0"/>
              <w:rPr>
                <w:sz w:val="20"/>
                <w:szCs w:val="20"/>
                <w:color w:val="auto"/>
              </w:rPr>
            </w:pPr>
            <w:r>
              <w:rPr>
                <w:rFonts w:ascii="Arial" w:cs="Arial" w:eastAsia="Arial" w:hAnsi="Arial"/>
                <w:sz w:val="11"/>
                <w:szCs w:val="11"/>
                <w:color w:val="auto"/>
              </w:rPr>
              <w:t>9 of 11</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-1722755</wp:posOffset>
            </wp:positionV>
            <wp:extent cx="7183755" cy="1365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1365885"/>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42"/>
        </w:trPr>
        <w:tc>
          <w:tcPr>
            <w:tcW w:w="6140" w:type="dxa"/>
            <w:vAlign w:val="bottom"/>
            <w:shd w:val="clear" w:color="auto" w:fill="0F243E"/>
          </w:tcPr>
          <w:p>
            <w:pPr>
              <w:spacing w:after="0"/>
              <w:rPr>
                <w:sz w:val="12"/>
                <w:szCs w:val="12"/>
                <w:color w:val="auto"/>
              </w:rPr>
            </w:pPr>
          </w:p>
        </w:tc>
        <w:tc>
          <w:tcPr>
            <w:tcW w:w="5000" w:type="dxa"/>
            <w:vAlign w:val="bottom"/>
            <w:gridSpan w:val="2"/>
            <w:shd w:val="clear" w:color="auto" w:fill="0F243E"/>
          </w:tcPr>
          <w:p>
            <w:pPr>
              <w:ind w:left="2280"/>
              <w:spacing w:after="0"/>
              <w:rPr>
                <w:sz w:val="20"/>
                <w:szCs w:val="20"/>
                <w:color w:val="auto"/>
              </w:rPr>
            </w:pPr>
            <w:r>
              <w:rPr>
                <w:rFonts w:ascii="Arial" w:cs="Arial" w:eastAsia="Arial" w:hAnsi="Arial"/>
                <w:sz w:val="11"/>
                <w:szCs w:val="11"/>
                <w:b w:val="1"/>
                <w:bCs w:val="1"/>
                <w:color w:val="FFFFFF"/>
              </w:rPr>
              <w:t>Full Year</w:t>
            </w:r>
          </w:p>
        </w:tc>
      </w:tr>
      <w:tr>
        <w:trPr>
          <w:trHeight w:val="142"/>
        </w:trPr>
        <w:tc>
          <w:tcPr>
            <w:tcW w:w="6140" w:type="dxa"/>
            <w:vAlign w:val="bottom"/>
            <w:shd w:val="clear" w:color="auto" w:fill="0F243E"/>
          </w:tcPr>
          <w:p>
            <w:pPr>
              <w:spacing w:after="0"/>
              <w:rPr>
                <w:sz w:val="12"/>
                <w:szCs w:val="12"/>
                <w:color w:val="auto"/>
              </w:rPr>
            </w:pPr>
          </w:p>
        </w:tc>
        <w:tc>
          <w:tcPr>
            <w:tcW w:w="5000" w:type="dxa"/>
            <w:vAlign w:val="bottom"/>
            <w:gridSpan w:val="2"/>
            <w:shd w:val="clear" w:color="auto" w:fill="0F243E"/>
          </w:tcPr>
          <w:p>
            <w:pPr>
              <w:ind w:left="2280"/>
              <w:spacing w:after="0"/>
              <w:rPr>
                <w:sz w:val="20"/>
                <w:szCs w:val="20"/>
                <w:color w:val="auto"/>
              </w:rPr>
            </w:pPr>
            <w:r>
              <w:rPr>
                <w:rFonts w:ascii="Arial" w:cs="Arial" w:eastAsia="Arial" w:hAnsi="Arial"/>
                <w:sz w:val="11"/>
                <w:szCs w:val="11"/>
                <w:b w:val="1"/>
                <w:bCs w:val="1"/>
                <w:color w:val="FFFFFF"/>
              </w:rPr>
              <w:t>Forecast</w:t>
            </w:r>
          </w:p>
        </w:tc>
      </w:tr>
      <w:tr>
        <w:trPr>
          <w:trHeight w:val="184"/>
        </w:trPr>
        <w:tc>
          <w:tcPr>
            <w:tcW w:w="614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w:t>
            </w:r>
          </w:p>
        </w:tc>
        <w:tc>
          <w:tcPr>
            <w:tcW w:w="2560" w:type="dxa"/>
            <w:vAlign w:val="bottom"/>
            <w:shd w:val="clear" w:color="auto" w:fill="0F243E"/>
          </w:tcPr>
          <w:p>
            <w:pPr>
              <w:jc w:val="right"/>
              <w:ind w:right="1066"/>
              <w:spacing w:after="0"/>
              <w:rPr>
                <w:sz w:val="20"/>
                <w:szCs w:val="20"/>
                <w:color w:val="auto"/>
              </w:rPr>
            </w:pPr>
            <w:r>
              <w:rPr>
                <w:rFonts w:ascii="Arial" w:cs="Arial" w:eastAsia="Arial" w:hAnsi="Arial"/>
                <w:sz w:val="11"/>
                <w:szCs w:val="11"/>
                <w:b w:val="1"/>
                <w:bCs w:val="1"/>
                <w:color w:val="FFFFFF"/>
              </w:rPr>
              <w:t>2020F</w:t>
            </w:r>
          </w:p>
        </w:tc>
        <w:tc>
          <w:tcPr>
            <w:tcW w:w="244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6"/>
              </w:rPr>
              <w:t>Source</w:t>
            </w:r>
          </w:p>
        </w:tc>
      </w:tr>
      <w:tr>
        <w:trPr>
          <w:trHeight w:val="167"/>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income</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$105 - $155</w:t>
            </w:r>
          </w:p>
        </w:tc>
        <w:tc>
          <w:tcPr>
            <w:tcW w:w="2440" w:type="dxa"/>
            <w:vAlign w:val="bottom"/>
            <w:shd w:val="clear" w:color="auto" w:fill="CCCCCC"/>
          </w:tcPr>
          <w:p>
            <w:pPr>
              <w:spacing w:after="0"/>
              <w:rPr>
                <w:sz w:val="14"/>
                <w:szCs w:val="14"/>
                <w:color w:val="auto"/>
              </w:rPr>
            </w:pPr>
          </w:p>
        </w:tc>
      </w:tr>
      <w:tr>
        <w:trPr>
          <w:trHeight w:val="180"/>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Adjustments:</w:t>
            </w:r>
          </w:p>
        </w:tc>
        <w:tc>
          <w:tcPr>
            <w:tcW w:w="2560" w:type="dxa"/>
            <w:vAlign w:val="bottom"/>
            <w:shd w:val="clear" w:color="auto" w:fill="CCCCCC"/>
          </w:tcPr>
          <w:p>
            <w:pPr>
              <w:spacing w:after="0"/>
              <w:rPr>
                <w:sz w:val="15"/>
                <w:szCs w:val="15"/>
                <w:color w:val="auto"/>
              </w:rPr>
            </w:pPr>
          </w:p>
        </w:tc>
        <w:tc>
          <w:tcPr>
            <w:tcW w:w="2440" w:type="dxa"/>
            <w:vAlign w:val="bottom"/>
            <w:shd w:val="clear" w:color="auto" w:fill="CCCCCC"/>
          </w:tcPr>
          <w:p>
            <w:pPr>
              <w:spacing w:after="0"/>
              <w:rPr>
                <w:sz w:val="15"/>
                <w:szCs w:val="15"/>
                <w:color w:val="auto"/>
              </w:rPr>
            </w:pP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4</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Non-cash amortization charges</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64</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Amortization, Other Income</w:t>
            </w: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Change in fair value of contingent consideration</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r>
      <w:tr>
        <w:trPr>
          <w:trHeight w:val="180"/>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Tax effect</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(14)</w:t>
            </w:r>
          </w:p>
        </w:tc>
        <w:tc>
          <w:tcPr>
            <w:tcW w:w="2440" w:type="dxa"/>
            <w:vAlign w:val="bottom"/>
            <w:shd w:val="clear" w:color="auto" w:fill="CCCCCC"/>
          </w:tcPr>
          <w:p>
            <w:pPr>
              <w:spacing w:after="0"/>
              <w:rPr>
                <w:sz w:val="15"/>
                <w:szCs w:val="15"/>
                <w:color w:val="auto"/>
              </w:rPr>
            </w:pPr>
          </w:p>
        </w:tc>
      </w:tr>
      <w:tr>
        <w:trPr>
          <w:trHeight w:val="216"/>
        </w:trPr>
        <w:tc>
          <w:tcPr>
            <w:tcW w:w="61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Total adjustments:</w:t>
            </w:r>
          </w:p>
        </w:tc>
        <w:tc>
          <w:tcPr>
            <w:tcW w:w="2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55</w:t>
            </w:r>
          </w:p>
        </w:tc>
        <w:tc>
          <w:tcPr>
            <w:tcW w:w="2440" w:type="dxa"/>
            <w:vAlign w:val="bottom"/>
            <w:tcBorders>
              <w:bottom w:val="single" w:sz="8" w:color="CCCCCC"/>
            </w:tcBorders>
            <w:shd w:val="clear" w:color="auto" w:fill="CCCCCC"/>
          </w:tcPr>
          <w:p>
            <w:pPr>
              <w:spacing w:after="0"/>
              <w:rPr>
                <w:sz w:val="18"/>
                <w:szCs w:val="18"/>
                <w:color w:val="auto"/>
              </w:rPr>
            </w:pPr>
          </w:p>
        </w:tc>
      </w:tr>
      <w:tr>
        <w:trPr>
          <w:trHeight w:val="149"/>
        </w:trPr>
        <w:tc>
          <w:tcPr>
            <w:tcW w:w="6140" w:type="dxa"/>
            <w:vAlign w:val="bottom"/>
            <w:tcBorders>
              <w:top w:val="single" w:sz="8" w:color="CCCCCC"/>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Adjusted net income</w:t>
            </w:r>
          </w:p>
        </w:tc>
        <w:tc>
          <w:tcPr>
            <w:tcW w:w="256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$160 - $210</w:t>
            </w:r>
          </w:p>
        </w:tc>
        <w:tc>
          <w:tcPr>
            <w:tcW w:w="2440" w:type="dxa"/>
            <w:vAlign w:val="bottom"/>
            <w:tcBorders>
              <w:top w:val="single" w:sz="8" w:color="CCCCCC"/>
              <w:bottom w:val="single" w:sz="8" w:color="CCCCCC"/>
            </w:tcBorders>
            <w:shd w:val="clear" w:color="auto" w:fill="CCCCCC"/>
          </w:tcPr>
          <w:p>
            <w:pPr>
              <w:spacing w:after="0"/>
              <w:rPr>
                <w:sz w:val="12"/>
                <w:szCs w:val="12"/>
                <w:color w:val="auto"/>
              </w:rPr>
            </w:pPr>
          </w:p>
        </w:tc>
      </w:tr>
      <w:tr>
        <w:trPr>
          <w:trHeight w:val="20"/>
        </w:trPr>
        <w:tc>
          <w:tcPr>
            <w:tcW w:w="61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wp:posOffset>
            </wp:positionH>
            <wp:positionV relativeFrom="page">
              <wp:posOffset>237490</wp:posOffset>
            </wp:positionV>
            <wp:extent cx="7075170" cy="121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121729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i w:val="1"/>
          <w:iCs w:val="1"/>
          <w:color w:val="auto"/>
        </w:rPr>
        <w:t>Reconciliation of Net Loss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075170" cy="152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5170" cy="1525905"/>
                    </a:xfrm>
                    <a:prstGeom prst="rect">
                      <a:avLst/>
                    </a:prstGeom>
                    <a:noFill/>
                  </pic:spPr>
                </pic:pic>
              </a:graphicData>
            </a:graphic>
          </wp:anchor>
        </w:drawing>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80" w:type="dxa"/>
            <w:vAlign w:val="bottom"/>
            <w:shd w:val="clear" w:color="auto" w:fill="0F243E"/>
          </w:tcPr>
          <w:p>
            <w:pPr>
              <w:spacing w:after="0"/>
              <w:rPr>
                <w:sz w:val="14"/>
                <w:szCs w:val="14"/>
                <w:color w:val="auto"/>
              </w:rPr>
            </w:pPr>
          </w:p>
        </w:tc>
        <w:tc>
          <w:tcPr>
            <w:tcW w:w="2100" w:type="dxa"/>
            <w:vAlign w:val="bottom"/>
            <w:shd w:val="clear" w:color="auto" w:fill="0F243E"/>
          </w:tcPr>
          <w:p>
            <w:pPr>
              <w:spacing w:after="0"/>
              <w:rPr>
                <w:sz w:val="14"/>
                <w:szCs w:val="14"/>
                <w:color w:val="auto"/>
              </w:rPr>
            </w:pPr>
          </w:p>
        </w:tc>
        <w:tc>
          <w:tcPr>
            <w:tcW w:w="3300" w:type="dxa"/>
            <w:vAlign w:val="bottom"/>
            <w:gridSpan w:val="3"/>
            <w:shd w:val="clear" w:color="auto" w:fill="0F243E"/>
          </w:tcPr>
          <w:p>
            <w:pPr>
              <w:ind w:left="1480"/>
              <w:spacing w:after="0"/>
              <w:rPr>
                <w:sz w:val="20"/>
                <w:szCs w:val="20"/>
                <w:color w:val="auto"/>
              </w:rPr>
            </w:pPr>
            <w:r>
              <w:rPr>
                <w:rFonts w:ascii="Arial" w:cs="Arial" w:eastAsia="Arial" w:hAnsi="Arial"/>
                <w:sz w:val="11"/>
                <w:szCs w:val="11"/>
                <w:b w:val="1"/>
                <w:bCs w:val="1"/>
                <w:color w:val="FFFFFF"/>
              </w:rPr>
              <w:t>Three Months Ended March 31,</w:t>
            </w:r>
          </w:p>
        </w:tc>
        <w:tc>
          <w:tcPr>
            <w:tcW w:w="1240" w:type="dxa"/>
            <w:vAlign w:val="bottom"/>
            <w:shd w:val="clear" w:color="auto" w:fill="0F243E"/>
          </w:tcPr>
          <w:p>
            <w:pPr>
              <w:spacing w:after="0"/>
              <w:rPr>
                <w:sz w:val="14"/>
                <w:szCs w:val="14"/>
                <w:color w:val="auto"/>
              </w:rPr>
            </w:pPr>
          </w:p>
        </w:tc>
        <w:tc>
          <w:tcPr>
            <w:tcW w:w="20" w:type="dxa"/>
            <w:vAlign w:val="bottom"/>
            <w:shd w:val="clear" w:color="auto" w:fill="0F243E"/>
          </w:tcPr>
          <w:p>
            <w:pPr>
              <w:spacing w:after="0"/>
              <w:rPr>
                <w:sz w:val="14"/>
                <w:szCs w:val="14"/>
                <w:color w:val="auto"/>
              </w:rPr>
            </w:pPr>
          </w:p>
        </w:tc>
      </w:tr>
      <w:tr>
        <w:trPr>
          <w:trHeight w:val="180"/>
        </w:trPr>
        <w:tc>
          <w:tcPr>
            <w:tcW w:w="448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 except per share value)</w:t>
            </w:r>
          </w:p>
        </w:tc>
        <w:tc>
          <w:tcPr>
            <w:tcW w:w="3660" w:type="dxa"/>
            <w:vAlign w:val="bottom"/>
            <w:gridSpan w:val="2"/>
            <w:shd w:val="clear" w:color="auto" w:fill="0F243E"/>
          </w:tcPr>
          <w:p>
            <w:pPr>
              <w:jc w:val="right"/>
              <w:ind w:right="206"/>
              <w:spacing w:after="0"/>
              <w:rPr>
                <w:sz w:val="20"/>
                <w:szCs w:val="20"/>
                <w:color w:val="auto"/>
              </w:rPr>
            </w:pPr>
            <w:r>
              <w:rPr>
                <w:rFonts w:ascii="Arial" w:cs="Arial" w:eastAsia="Arial" w:hAnsi="Arial"/>
                <w:sz w:val="11"/>
                <w:szCs w:val="11"/>
                <w:b w:val="1"/>
                <w:bCs w:val="1"/>
                <w:color w:val="FFFFFF"/>
              </w:rPr>
              <w:t>2020</w:t>
            </w:r>
          </w:p>
        </w:tc>
        <w:tc>
          <w:tcPr>
            <w:tcW w:w="780" w:type="dxa"/>
            <w:vAlign w:val="bottom"/>
            <w:shd w:val="clear" w:color="auto" w:fill="0F243E"/>
          </w:tcPr>
          <w:p>
            <w:pPr>
              <w:spacing w:after="0"/>
              <w:rPr>
                <w:sz w:val="15"/>
                <w:szCs w:val="15"/>
                <w:color w:val="auto"/>
              </w:rPr>
            </w:pPr>
          </w:p>
        </w:tc>
        <w:tc>
          <w:tcPr>
            <w:tcW w:w="960" w:type="dxa"/>
            <w:vAlign w:val="bottom"/>
            <w:shd w:val="clear" w:color="auto" w:fill="0F243E"/>
          </w:tcPr>
          <w:p>
            <w:pPr>
              <w:spacing w:after="0"/>
              <w:rPr>
                <w:sz w:val="15"/>
                <w:szCs w:val="15"/>
                <w:color w:val="auto"/>
              </w:rPr>
            </w:pPr>
          </w:p>
        </w:tc>
        <w:tc>
          <w:tcPr>
            <w:tcW w:w="1240" w:type="dxa"/>
            <w:vAlign w:val="bottom"/>
            <w:shd w:val="clear" w:color="auto" w:fill="0F243E"/>
          </w:tcPr>
          <w:p>
            <w:pPr>
              <w:jc w:val="right"/>
              <w:ind w:right="906"/>
              <w:spacing w:after="0"/>
              <w:rPr>
                <w:sz w:val="20"/>
                <w:szCs w:val="20"/>
                <w:color w:val="auto"/>
              </w:rPr>
            </w:pPr>
            <w:r>
              <w:rPr>
                <w:rFonts w:ascii="Arial" w:cs="Arial" w:eastAsia="Arial" w:hAnsi="Arial"/>
                <w:sz w:val="11"/>
                <w:szCs w:val="11"/>
                <w:b w:val="1"/>
                <w:bCs w:val="1"/>
                <w:color w:val="FFFFFF"/>
              </w:rPr>
              <w:t>2019</w:t>
            </w:r>
          </w:p>
        </w:tc>
        <w:tc>
          <w:tcPr>
            <w:tcW w:w="20" w:type="dxa"/>
            <w:vAlign w:val="bottom"/>
            <w:shd w:val="clear" w:color="auto" w:fill="0F243E"/>
          </w:tcPr>
          <w:p>
            <w:pPr>
              <w:spacing w:after="0"/>
              <w:rPr>
                <w:sz w:val="15"/>
                <w:szCs w:val="15"/>
                <w:color w:val="auto"/>
              </w:rPr>
            </w:pPr>
          </w:p>
        </w:tc>
      </w:tr>
      <w:tr>
        <w:trPr>
          <w:trHeight w:val="167"/>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loss</w:t>
            </w:r>
          </w:p>
        </w:tc>
        <w:tc>
          <w:tcPr>
            <w:tcW w:w="4440" w:type="dxa"/>
            <w:vAlign w:val="bottom"/>
            <w:gridSpan w:val="3"/>
            <w:shd w:val="clear" w:color="auto" w:fill="CCCCCC"/>
          </w:tcPr>
          <w:p>
            <w:pPr>
              <w:jc w:val="right"/>
              <w:ind w:right="3"/>
              <w:spacing w:after="0"/>
              <w:rPr>
                <w:sz w:val="20"/>
                <w:szCs w:val="20"/>
                <w:color w:val="auto"/>
              </w:rPr>
            </w:pPr>
            <w:r>
              <w:rPr>
                <w:rFonts w:ascii="Arial" w:cs="Arial" w:eastAsia="Arial" w:hAnsi="Arial"/>
                <w:sz w:val="11"/>
                <w:szCs w:val="11"/>
                <w:color w:val="auto"/>
              </w:rPr>
              <w:t>($12.5)</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6"/>
              <w:spacing w:after="0"/>
              <w:rPr>
                <w:sz w:val="20"/>
                <w:szCs w:val="20"/>
                <w:color w:val="auto"/>
              </w:rPr>
            </w:pPr>
            <w:r>
              <w:rPr>
                <w:rFonts w:ascii="Arial" w:cs="Arial" w:eastAsia="Arial" w:hAnsi="Arial"/>
                <w:sz w:val="11"/>
                <w:szCs w:val="11"/>
                <w:color w:val="auto"/>
              </w:rPr>
              <w:t>($26.0)</w:t>
            </w:r>
          </w:p>
        </w:tc>
        <w:tc>
          <w:tcPr>
            <w:tcW w:w="20" w:type="dxa"/>
            <w:vAlign w:val="bottom"/>
            <w:shd w:val="clear" w:color="auto" w:fill="CCCCCC"/>
          </w:tcPr>
          <w:p>
            <w:pPr>
              <w:spacing w:after="0"/>
              <w:rPr>
                <w:sz w:val="14"/>
                <w:szCs w:val="14"/>
                <w:color w:val="auto"/>
              </w:rPr>
            </w:pPr>
          </w:p>
        </w:tc>
      </w:tr>
      <w:tr>
        <w:trPr>
          <w:trHeight w:val="180"/>
        </w:trPr>
        <w:tc>
          <w:tcPr>
            <w:tcW w:w="4480" w:type="dxa"/>
            <w:vAlign w:val="bottom"/>
            <w:shd w:val="clear" w:color="auto" w:fill="CCCCCC"/>
          </w:tcPr>
          <w:p>
            <w:pPr>
              <w:ind w:left="1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5"/>
                <w:szCs w:val="15"/>
                <w:color w:val="auto"/>
              </w:rPr>
            </w:pPr>
          </w:p>
        </w:tc>
        <w:tc>
          <w:tcPr>
            <w:tcW w:w="1560" w:type="dxa"/>
            <w:vAlign w:val="bottom"/>
            <w:shd w:val="clear" w:color="auto" w:fill="CCCCCC"/>
          </w:tcPr>
          <w:p>
            <w:pPr>
              <w:spacing w:after="0"/>
              <w:rPr>
                <w:sz w:val="15"/>
                <w:szCs w:val="15"/>
                <w:color w:val="auto"/>
              </w:rPr>
            </w:pPr>
          </w:p>
        </w:tc>
        <w:tc>
          <w:tcPr>
            <w:tcW w:w="780" w:type="dxa"/>
            <w:vAlign w:val="bottom"/>
            <w:shd w:val="clear" w:color="auto" w:fill="CCCCCC"/>
          </w:tcPr>
          <w:p>
            <w:pPr>
              <w:spacing w:after="0"/>
              <w:rPr>
                <w:sz w:val="15"/>
                <w:szCs w:val="15"/>
                <w:color w:val="auto"/>
              </w:rPr>
            </w:pPr>
          </w:p>
        </w:tc>
        <w:tc>
          <w:tcPr>
            <w:tcW w:w="960" w:type="dxa"/>
            <w:vAlign w:val="bottom"/>
            <w:shd w:val="clear" w:color="auto" w:fill="CCCCCC"/>
          </w:tcPr>
          <w:p>
            <w:pPr>
              <w:spacing w:after="0"/>
              <w:rPr>
                <w:sz w:val="15"/>
                <w:szCs w:val="15"/>
                <w:color w:val="auto"/>
              </w:rPr>
            </w:pPr>
          </w:p>
        </w:tc>
        <w:tc>
          <w:tcPr>
            <w:tcW w:w="1240" w:type="dxa"/>
            <w:vAlign w:val="bottom"/>
            <w:shd w:val="clear" w:color="auto" w:fill="CCCCCC"/>
          </w:tcPr>
          <w:p>
            <w:pPr>
              <w:spacing w:after="0"/>
              <w:rPr>
                <w:sz w:val="15"/>
                <w:szCs w:val="15"/>
                <w:color w:val="auto"/>
              </w:rPr>
            </w:pPr>
          </w:p>
        </w:tc>
        <w:tc>
          <w:tcPr>
            <w:tcW w:w="20" w:type="dxa"/>
            <w:vAlign w:val="bottom"/>
            <w:shd w:val="clear" w:color="auto" w:fill="CCCCCC"/>
          </w:tcPr>
          <w:p>
            <w:pPr>
              <w:spacing w:after="0"/>
              <w:rPr>
                <w:sz w:val="15"/>
                <w:szCs w:val="15"/>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Depreciation &amp; amortization</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28.2</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26.6</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Provision for income taxes</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(8.8)</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6"/>
              <w:spacing w:after="0"/>
              <w:rPr>
                <w:sz w:val="20"/>
                <w:szCs w:val="20"/>
                <w:color w:val="auto"/>
              </w:rPr>
            </w:pPr>
            <w:r>
              <w:rPr>
                <w:rFonts w:ascii="Arial" w:cs="Arial" w:eastAsia="Arial" w:hAnsi="Arial"/>
                <w:sz w:val="11"/>
                <w:szCs w:val="11"/>
                <w:color w:val="auto"/>
              </w:rPr>
              <w:t>(11.8)</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Total interest expense, net*</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7.8</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9.0</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Changes in fair value of contingent consideration</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0.6</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CCCC"/>
          </w:tcPr>
          <w:p>
            <w:pPr>
              <w:spacing w:after="0"/>
              <w:rPr>
                <w:sz w:val="14"/>
                <w:szCs w:val="14"/>
                <w:color w:val="auto"/>
              </w:rPr>
            </w:pPr>
          </w:p>
        </w:tc>
      </w:tr>
      <w:tr>
        <w:trPr>
          <w:trHeight w:val="184"/>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6"/>
                <w:szCs w:val="16"/>
                <w:color w:val="auto"/>
              </w:rPr>
            </w:pPr>
          </w:p>
        </w:tc>
        <w:tc>
          <w:tcPr>
            <w:tcW w:w="1560" w:type="dxa"/>
            <w:vAlign w:val="bottom"/>
            <w:shd w:val="clear" w:color="auto" w:fill="CCCCCC"/>
          </w:tcPr>
          <w:p>
            <w:pPr>
              <w:spacing w:after="0"/>
              <w:rPr>
                <w:sz w:val="16"/>
                <w:szCs w:val="16"/>
                <w:color w:val="auto"/>
              </w:rPr>
            </w:pPr>
          </w:p>
        </w:tc>
        <w:tc>
          <w:tcPr>
            <w:tcW w:w="780" w:type="dxa"/>
            <w:vAlign w:val="bottom"/>
            <w:shd w:val="clear" w:color="auto" w:fill="CCCCCC"/>
          </w:tcPr>
          <w:p>
            <w:pPr>
              <w:jc w:val="right"/>
              <w:ind w:right="43"/>
              <w:spacing w:after="0"/>
              <w:rPr>
                <w:sz w:val="20"/>
                <w:szCs w:val="20"/>
                <w:color w:val="auto"/>
              </w:rPr>
            </w:pPr>
            <w:r>
              <w:rPr>
                <w:rFonts w:ascii="Arial" w:cs="Arial" w:eastAsia="Arial" w:hAnsi="Arial"/>
                <w:sz w:val="12"/>
                <w:szCs w:val="12"/>
                <w:color w:val="auto"/>
              </w:rPr>
              <w:t>—</w:t>
            </w:r>
          </w:p>
        </w:tc>
        <w:tc>
          <w:tcPr>
            <w:tcW w:w="960" w:type="dxa"/>
            <w:vAlign w:val="bottom"/>
            <w:shd w:val="clear" w:color="auto" w:fill="CCCCCC"/>
          </w:tcPr>
          <w:p>
            <w:pPr>
              <w:spacing w:after="0"/>
              <w:rPr>
                <w:sz w:val="16"/>
                <w:szCs w:val="16"/>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4.0</w:t>
            </w:r>
          </w:p>
        </w:tc>
        <w:tc>
          <w:tcPr>
            <w:tcW w:w="20" w:type="dxa"/>
            <w:vAlign w:val="bottom"/>
            <w:shd w:val="clear" w:color="auto" w:fill="CCCCCC"/>
          </w:tcPr>
          <w:p>
            <w:pPr>
              <w:spacing w:after="0"/>
              <w:rPr>
                <w:sz w:val="16"/>
                <w:szCs w:val="16"/>
                <w:color w:val="auto"/>
              </w:rPr>
            </w:pPr>
          </w:p>
        </w:tc>
      </w:tr>
      <w:tr>
        <w:trPr>
          <w:trHeight w:val="183"/>
        </w:trPr>
        <w:tc>
          <w:tcPr>
            <w:tcW w:w="448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1"/>
                <w:szCs w:val="11"/>
                <w:color w:val="auto"/>
              </w:rPr>
              <w:t>+ Impact of purchase accounting on inventory step-up</w:t>
            </w:r>
          </w:p>
        </w:tc>
        <w:tc>
          <w:tcPr>
            <w:tcW w:w="2100" w:type="dxa"/>
            <w:vAlign w:val="bottom"/>
            <w:tcBorders>
              <w:bottom w:val="single" w:sz="8" w:color="CCCCCC"/>
            </w:tcBorders>
            <w:shd w:val="clear" w:color="auto" w:fill="CCCCCC"/>
          </w:tcPr>
          <w:p>
            <w:pPr>
              <w:spacing w:after="0"/>
              <w:rPr>
                <w:sz w:val="15"/>
                <w:szCs w:val="15"/>
                <w:color w:val="auto"/>
              </w:rPr>
            </w:pPr>
          </w:p>
        </w:tc>
        <w:tc>
          <w:tcPr>
            <w:tcW w:w="1560" w:type="dxa"/>
            <w:vAlign w:val="bottom"/>
            <w:tcBorders>
              <w:bottom w:val="single" w:sz="8" w:color="auto"/>
            </w:tcBorders>
            <w:shd w:val="clear" w:color="auto" w:fill="CCCCCC"/>
          </w:tcPr>
          <w:p>
            <w:pPr>
              <w:spacing w:after="0"/>
              <w:rPr>
                <w:sz w:val="15"/>
                <w:szCs w:val="15"/>
                <w:color w:val="auto"/>
              </w:rPr>
            </w:pPr>
          </w:p>
        </w:tc>
        <w:tc>
          <w:tcPr>
            <w:tcW w:w="780" w:type="dxa"/>
            <w:vAlign w:val="bottom"/>
            <w:tcBorders>
              <w:bottom w:val="single" w:sz="8" w:color="auto"/>
            </w:tcBorders>
            <w:shd w:val="clear" w:color="auto" w:fill="CCCCCC"/>
          </w:tcPr>
          <w:p>
            <w:pPr>
              <w:jc w:val="right"/>
              <w:ind w:right="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CCCC"/>
          </w:tcPr>
          <w:p>
            <w:pPr>
              <w:spacing w:after="0"/>
              <w:rPr>
                <w:sz w:val="15"/>
                <w:szCs w:val="15"/>
                <w:color w:val="auto"/>
              </w:rPr>
            </w:pPr>
          </w:p>
        </w:tc>
        <w:tc>
          <w:tcPr>
            <w:tcW w:w="1240" w:type="dxa"/>
            <w:vAlign w:val="bottom"/>
            <w:tcBorders>
              <w:bottom w:val="single" w:sz="8" w:color="auto"/>
            </w:tcBorders>
            <w:shd w:val="clear" w:color="auto" w:fill="CCCCCC"/>
          </w:tcPr>
          <w:p>
            <w:pPr>
              <w:jc w:val="right"/>
              <w:ind w:right="26"/>
              <w:spacing w:after="0"/>
              <w:rPr>
                <w:sz w:val="20"/>
                <w:szCs w:val="20"/>
                <w:color w:val="auto"/>
              </w:rPr>
            </w:pPr>
            <w:r>
              <w:rPr>
                <w:rFonts w:ascii="Arial" w:cs="Arial" w:eastAsia="Arial" w:hAnsi="Arial"/>
                <w:sz w:val="11"/>
                <w:szCs w:val="11"/>
                <w:color w:val="auto"/>
              </w:rPr>
              <w:t>5.0</w:t>
            </w:r>
          </w:p>
        </w:tc>
        <w:tc>
          <w:tcPr>
            <w:tcW w:w="20" w:type="dxa"/>
            <w:vAlign w:val="bottom"/>
            <w:tcBorders>
              <w:bottom w:val="single" w:sz="8" w:color="auto"/>
            </w:tcBorders>
            <w:shd w:val="clear" w:color="auto" w:fill="CCCCCC"/>
          </w:tcPr>
          <w:p>
            <w:pPr>
              <w:spacing w:after="0"/>
              <w:rPr>
                <w:sz w:val="15"/>
                <w:szCs w:val="15"/>
                <w:color w:val="auto"/>
              </w:rPr>
            </w:pPr>
          </w:p>
        </w:tc>
      </w:tr>
      <w:tr>
        <w:trPr>
          <w:trHeight w:val="151"/>
        </w:trPr>
        <w:tc>
          <w:tcPr>
            <w:tcW w:w="44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Total additional adjustments</w:t>
            </w:r>
          </w:p>
        </w:tc>
        <w:tc>
          <w:tcPr>
            <w:tcW w:w="2100" w:type="dxa"/>
            <w:vAlign w:val="bottom"/>
            <w:tcBorders>
              <w:bottom w:val="single" w:sz="8" w:color="CCCCCC"/>
            </w:tcBorders>
            <w:shd w:val="clear" w:color="auto" w:fill="CCCCCC"/>
          </w:tcPr>
          <w:p>
            <w:pPr>
              <w:spacing w:after="0"/>
              <w:rPr>
                <w:sz w:val="13"/>
                <w:szCs w:val="13"/>
                <w:color w:val="auto"/>
              </w:rPr>
            </w:pPr>
          </w:p>
        </w:tc>
        <w:tc>
          <w:tcPr>
            <w:tcW w:w="2340" w:type="dxa"/>
            <w:vAlign w:val="bottom"/>
            <w:tcBorders>
              <w:bottom w:val="single" w:sz="8" w:color="auto"/>
            </w:tcBorders>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27.8</w:t>
            </w:r>
          </w:p>
        </w:tc>
        <w:tc>
          <w:tcPr>
            <w:tcW w:w="960" w:type="dxa"/>
            <w:vAlign w:val="bottom"/>
            <w:tcBorders>
              <w:bottom w:val="single" w:sz="8" w:color="auto"/>
            </w:tcBorders>
            <w:shd w:val="clear" w:color="auto" w:fill="CCCCCC"/>
          </w:tcPr>
          <w:p>
            <w:pPr>
              <w:spacing w:after="0"/>
              <w:rPr>
                <w:sz w:val="13"/>
                <w:szCs w:val="13"/>
                <w:color w:val="auto"/>
              </w:rPr>
            </w:pPr>
          </w:p>
        </w:tc>
        <w:tc>
          <w:tcPr>
            <w:tcW w:w="1240" w:type="dxa"/>
            <w:vAlign w:val="bottom"/>
            <w:tcBorders>
              <w:bottom w:val="single" w:sz="8" w:color="auto"/>
            </w:tcBorders>
            <w:shd w:val="clear" w:color="auto" w:fill="CCCCCC"/>
          </w:tcPr>
          <w:p>
            <w:pPr>
              <w:jc w:val="right"/>
              <w:ind w:right="26"/>
              <w:spacing w:after="0"/>
              <w:rPr>
                <w:sz w:val="20"/>
                <w:szCs w:val="20"/>
                <w:color w:val="auto"/>
              </w:rPr>
            </w:pPr>
            <w:r>
              <w:rPr>
                <w:rFonts w:ascii="Arial" w:cs="Arial" w:eastAsia="Arial" w:hAnsi="Arial"/>
                <w:sz w:val="11"/>
                <w:szCs w:val="11"/>
                <w:color w:val="auto"/>
              </w:rPr>
              <w:t>34.4</w:t>
            </w:r>
          </w:p>
        </w:tc>
        <w:tc>
          <w:tcPr>
            <w:tcW w:w="20" w:type="dxa"/>
            <w:vAlign w:val="bottom"/>
            <w:tcBorders>
              <w:bottom w:val="single" w:sz="8" w:color="auto"/>
            </w:tcBorders>
            <w:shd w:val="clear" w:color="auto" w:fill="CCCCCC"/>
          </w:tcPr>
          <w:p>
            <w:pPr>
              <w:spacing w:after="0"/>
              <w:rPr>
                <w:sz w:val="13"/>
                <w:szCs w:val="13"/>
                <w:color w:val="auto"/>
              </w:rPr>
            </w:pPr>
          </w:p>
        </w:tc>
      </w:tr>
      <w:tr>
        <w:trPr>
          <w:trHeight w:val="153"/>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Adjusted EBITDA</w:t>
            </w:r>
          </w:p>
        </w:tc>
        <w:tc>
          <w:tcPr>
            <w:tcW w:w="2100" w:type="dxa"/>
            <w:vAlign w:val="bottom"/>
            <w:shd w:val="clear" w:color="auto" w:fill="CCCCCC"/>
          </w:tcPr>
          <w:p>
            <w:pPr>
              <w:spacing w:after="0"/>
              <w:rPr>
                <w:sz w:val="13"/>
                <w:szCs w:val="13"/>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$15.3</w:t>
            </w:r>
          </w:p>
        </w:tc>
        <w:tc>
          <w:tcPr>
            <w:tcW w:w="960" w:type="dxa"/>
            <w:vAlign w:val="bottom"/>
            <w:shd w:val="clear" w:color="auto" w:fill="CCCCCC"/>
          </w:tcPr>
          <w:p>
            <w:pPr>
              <w:spacing w:after="0"/>
              <w:rPr>
                <w:sz w:val="13"/>
                <w:szCs w:val="13"/>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$8.4</w:t>
            </w:r>
          </w:p>
        </w:tc>
        <w:tc>
          <w:tcPr>
            <w:tcW w:w="20" w:type="dxa"/>
            <w:vAlign w:val="bottom"/>
            <w:shd w:val="clear" w:color="auto" w:fill="CCCCCC"/>
          </w:tcPr>
          <w:p>
            <w:pPr>
              <w:spacing w:after="0"/>
              <w:rPr>
                <w:sz w:val="13"/>
                <w:szCs w:val="13"/>
                <w:color w:val="auto"/>
              </w:rPr>
            </w:pPr>
          </w:p>
        </w:tc>
      </w:tr>
      <w:tr>
        <w:trPr>
          <w:trHeight w:val="310"/>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 Includes interest income of $0.8 million in 2020 and $0.6 million in 2019</w:t>
            </w:r>
          </w:p>
        </w:tc>
        <w:tc>
          <w:tcPr>
            <w:tcW w:w="2100" w:type="dxa"/>
            <w:vAlign w:val="bottom"/>
            <w:shd w:val="clear" w:color="auto" w:fill="CCCCCC"/>
          </w:tcPr>
          <w:p>
            <w:pPr>
              <w:spacing w:after="0"/>
              <w:rPr>
                <w:sz w:val="24"/>
                <w:szCs w:val="24"/>
                <w:color w:val="auto"/>
              </w:rPr>
            </w:pPr>
          </w:p>
        </w:tc>
        <w:tc>
          <w:tcPr>
            <w:tcW w:w="1560" w:type="dxa"/>
            <w:vAlign w:val="bottom"/>
            <w:shd w:val="clear" w:color="auto" w:fill="CCCCCC"/>
          </w:tcPr>
          <w:p>
            <w:pPr>
              <w:spacing w:after="0"/>
              <w:rPr>
                <w:sz w:val="24"/>
                <w:szCs w:val="24"/>
                <w:color w:val="auto"/>
              </w:rPr>
            </w:pPr>
          </w:p>
        </w:tc>
        <w:tc>
          <w:tcPr>
            <w:tcW w:w="780" w:type="dxa"/>
            <w:vAlign w:val="bottom"/>
            <w:shd w:val="clear" w:color="auto" w:fill="CCCCCC"/>
          </w:tcPr>
          <w:p>
            <w:pPr>
              <w:spacing w:after="0"/>
              <w:rPr>
                <w:sz w:val="24"/>
                <w:szCs w:val="24"/>
                <w:color w:val="auto"/>
              </w:rPr>
            </w:pPr>
          </w:p>
        </w:tc>
        <w:tc>
          <w:tcPr>
            <w:tcW w:w="960" w:type="dxa"/>
            <w:vAlign w:val="bottom"/>
            <w:shd w:val="clear" w:color="auto" w:fill="CCCCCC"/>
          </w:tcPr>
          <w:p>
            <w:pPr>
              <w:spacing w:after="0"/>
              <w:rPr>
                <w:sz w:val="24"/>
                <w:szCs w:val="24"/>
                <w:color w:val="auto"/>
              </w:rPr>
            </w:pPr>
          </w:p>
        </w:tc>
        <w:tc>
          <w:tcPr>
            <w:tcW w:w="124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r>
      <w:tr>
        <w:trPr>
          <w:trHeight w:val="243"/>
        </w:trPr>
        <w:tc>
          <w:tcPr>
            <w:tcW w:w="44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4480" w:type="dxa"/>
            <w:vAlign w:val="bottom"/>
            <w:shd w:val="clear" w:color="auto" w:fill="0F243E"/>
          </w:tcPr>
          <w:p>
            <w:pPr>
              <w:spacing w:after="0"/>
              <w:rPr>
                <w:sz w:val="12"/>
                <w:szCs w:val="12"/>
                <w:color w:val="auto"/>
              </w:rPr>
            </w:pPr>
          </w:p>
        </w:tc>
        <w:tc>
          <w:tcPr>
            <w:tcW w:w="2100" w:type="dxa"/>
            <w:vAlign w:val="bottom"/>
            <w:shd w:val="clear" w:color="auto" w:fill="0F243E"/>
          </w:tcPr>
          <w:p>
            <w:pPr>
              <w:spacing w:after="0"/>
              <w:rPr>
                <w:sz w:val="12"/>
                <w:szCs w:val="12"/>
                <w:color w:val="auto"/>
              </w:rPr>
            </w:pPr>
          </w:p>
        </w:tc>
        <w:tc>
          <w:tcPr>
            <w:tcW w:w="1560" w:type="dxa"/>
            <w:vAlign w:val="bottom"/>
            <w:shd w:val="clear" w:color="auto" w:fill="0F243E"/>
          </w:tcPr>
          <w:p>
            <w:pPr>
              <w:spacing w:after="0"/>
              <w:rPr>
                <w:sz w:val="12"/>
                <w:szCs w:val="12"/>
                <w:color w:val="auto"/>
              </w:rPr>
            </w:pPr>
          </w:p>
        </w:tc>
        <w:tc>
          <w:tcPr>
            <w:tcW w:w="780" w:type="dxa"/>
            <w:vAlign w:val="bottom"/>
            <w:shd w:val="clear" w:color="auto" w:fill="0F243E"/>
          </w:tcPr>
          <w:p>
            <w:pPr>
              <w:spacing w:after="0"/>
              <w:rPr>
                <w:sz w:val="12"/>
                <w:szCs w:val="12"/>
                <w:color w:val="auto"/>
              </w:rPr>
            </w:pPr>
          </w:p>
        </w:tc>
        <w:tc>
          <w:tcPr>
            <w:tcW w:w="960" w:type="dxa"/>
            <w:vAlign w:val="bottom"/>
            <w:shd w:val="clear" w:color="auto" w:fill="0F243E"/>
          </w:tcPr>
          <w:p>
            <w:pPr>
              <w:jc w:val="center"/>
              <w:ind w:left="426"/>
              <w:spacing w:after="0"/>
              <w:rPr>
                <w:sz w:val="20"/>
                <w:szCs w:val="20"/>
                <w:color w:val="auto"/>
              </w:rPr>
            </w:pPr>
            <w:r>
              <w:rPr>
                <w:rFonts w:ascii="Arial" w:cs="Arial" w:eastAsia="Arial" w:hAnsi="Arial"/>
                <w:sz w:val="11"/>
                <w:szCs w:val="11"/>
                <w:b w:val="1"/>
                <w:bCs w:val="1"/>
                <w:color w:val="FFFFFF"/>
                <w:w w:val="94"/>
              </w:rPr>
              <w:t>Full Year</w:t>
            </w:r>
          </w:p>
        </w:tc>
        <w:tc>
          <w:tcPr>
            <w:tcW w:w="1240" w:type="dxa"/>
            <w:vAlign w:val="bottom"/>
            <w:shd w:val="clear" w:color="auto" w:fill="0F243E"/>
          </w:tcPr>
          <w:p>
            <w:pPr>
              <w:spacing w:after="0"/>
              <w:rPr>
                <w:sz w:val="12"/>
                <w:szCs w:val="12"/>
                <w:color w:val="auto"/>
              </w:rPr>
            </w:pPr>
          </w:p>
        </w:tc>
        <w:tc>
          <w:tcPr>
            <w:tcW w:w="20" w:type="dxa"/>
            <w:vAlign w:val="bottom"/>
            <w:shd w:val="clear" w:color="auto" w:fill="0F243E"/>
          </w:tcPr>
          <w:p>
            <w:pPr>
              <w:spacing w:after="0"/>
              <w:rPr>
                <w:sz w:val="12"/>
                <w:szCs w:val="12"/>
                <w:color w:val="auto"/>
              </w:rPr>
            </w:pPr>
          </w:p>
        </w:tc>
      </w:tr>
      <w:tr>
        <w:trPr>
          <w:trHeight w:val="142"/>
        </w:trPr>
        <w:tc>
          <w:tcPr>
            <w:tcW w:w="4480" w:type="dxa"/>
            <w:vAlign w:val="bottom"/>
            <w:shd w:val="clear" w:color="auto" w:fill="0F243E"/>
          </w:tcPr>
          <w:p>
            <w:pPr>
              <w:spacing w:after="0"/>
              <w:rPr>
                <w:sz w:val="12"/>
                <w:szCs w:val="12"/>
                <w:color w:val="auto"/>
              </w:rPr>
            </w:pPr>
          </w:p>
        </w:tc>
        <w:tc>
          <w:tcPr>
            <w:tcW w:w="2100" w:type="dxa"/>
            <w:vAlign w:val="bottom"/>
            <w:shd w:val="clear" w:color="auto" w:fill="0F243E"/>
          </w:tcPr>
          <w:p>
            <w:pPr>
              <w:spacing w:after="0"/>
              <w:rPr>
                <w:sz w:val="12"/>
                <w:szCs w:val="12"/>
                <w:color w:val="auto"/>
              </w:rPr>
            </w:pPr>
          </w:p>
        </w:tc>
        <w:tc>
          <w:tcPr>
            <w:tcW w:w="1560" w:type="dxa"/>
            <w:vAlign w:val="bottom"/>
            <w:shd w:val="clear" w:color="auto" w:fill="0F243E"/>
          </w:tcPr>
          <w:p>
            <w:pPr>
              <w:spacing w:after="0"/>
              <w:rPr>
                <w:sz w:val="12"/>
                <w:szCs w:val="12"/>
                <w:color w:val="auto"/>
              </w:rPr>
            </w:pPr>
          </w:p>
        </w:tc>
        <w:tc>
          <w:tcPr>
            <w:tcW w:w="780" w:type="dxa"/>
            <w:vAlign w:val="bottom"/>
            <w:shd w:val="clear" w:color="auto" w:fill="0F243E"/>
          </w:tcPr>
          <w:p>
            <w:pPr>
              <w:spacing w:after="0"/>
              <w:rPr>
                <w:sz w:val="12"/>
                <w:szCs w:val="12"/>
                <w:color w:val="auto"/>
              </w:rPr>
            </w:pPr>
          </w:p>
        </w:tc>
        <w:tc>
          <w:tcPr>
            <w:tcW w:w="960" w:type="dxa"/>
            <w:vAlign w:val="bottom"/>
            <w:shd w:val="clear" w:color="auto" w:fill="0F243E"/>
          </w:tcPr>
          <w:p>
            <w:pPr>
              <w:jc w:val="center"/>
              <w:ind w:left="426"/>
              <w:spacing w:after="0"/>
              <w:rPr>
                <w:sz w:val="20"/>
                <w:szCs w:val="20"/>
                <w:color w:val="auto"/>
              </w:rPr>
            </w:pPr>
            <w:r>
              <w:rPr>
                <w:rFonts w:ascii="Arial" w:cs="Arial" w:eastAsia="Arial" w:hAnsi="Arial"/>
                <w:sz w:val="11"/>
                <w:szCs w:val="11"/>
                <w:b w:val="1"/>
                <w:bCs w:val="1"/>
                <w:color w:val="FFFFFF"/>
                <w:w w:val="95"/>
              </w:rPr>
              <w:t>Forecast</w:t>
            </w:r>
          </w:p>
        </w:tc>
        <w:tc>
          <w:tcPr>
            <w:tcW w:w="1240" w:type="dxa"/>
            <w:vAlign w:val="bottom"/>
            <w:shd w:val="clear" w:color="auto" w:fill="0F243E"/>
          </w:tcPr>
          <w:p>
            <w:pPr>
              <w:spacing w:after="0"/>
              <w:rPr>
                <w:sz w:val="12"/>
                <w:szCs w:val="12"/>
                <w:color w:val="auto"/>
              </w:rPr>
            </w:pPr>
          </w:p>
        </w:tc>
        <w:tc>
          <w:tcPr>
            <w:tcW w:w="20" w:type="dxa"/>
            <w:vAlign w:val="bottom"/>
            <w:shd w:val="clear" w:color="auto" w:fill="0F243E"/>
          </w:tcPr>
          <w:p>
            <w:pPr>
              <w:spacing w:after="0"/>
              <w:rPr>
                <w:sz w:val="12"/>
                <w:szCs w:val="12"/>
                <w:color w:val="auto"/>
              </w:rPr>
            </w:pPr>
          </w:p>
        </w:tc>
      </w:tr>
      <w:tr>
        <w:trPr>
          <w:trHeight w:val="184"/>
        </w:trPr>
        <w:tc>
          <w:tcPr>
            <w:tcW w:w="448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w:t>
            </w:r>
          </w:p>
        </w:tc>
        <w:tc>
          <w:tcPr>
            <w:tcW w:w="2100" w:type="dxa"/>
            <w:vAlign w:val="bottom"/>
            <w:shd w:val="clear" w:color="auto" w:fill="0F243E"/>
          </w:tcPr>
          <w:p>
            <w:pPr>
              <w:spacing w:after="0"/>
              <w:rPr>
                <w:sz w:val="16"/>
                <w:szCs w:val="16"/>
                <w:color w:val="auto"/>
              </w:rPr>
            </w:pPr>
          </w:p>
        </w:tc>
        <w:tc>
          <w:tcPr>
            <w:tcW w:w="1560" w:type="dxa"/>
            <w:vAlign w:val="bottom"/>
            <w:shd w:val="clear" w:color="auto" w:fill="0F243E"/>
          </w:tcPr>
          <w:p>
            <w:pPr>
              <w:spacing w:after="0"/>
              <w:rPr>
                <w:sz w:val="16"/>
                <w:szCs w:val="16"/>
                <w:color w:val="auto"/>
              </w:rPr>
            </w:pPr>
          </w:p>
        </w:tc>
        <w:tc>
          <w:tcPr>
            <w:tcW w:w="780" w:type="dxa"/>
            <w:vAlign w:val="bottom"/>
            <w:shd w:val="clear" w:color="auto" w:fill="0F243E"/>
          </w:tcPr>
          <w:p>
            <w:pPr>
              <w:spacing w:after="0"/>
              <w:rPr>
                <w:sz w:val="16"/>
                <w:szCs w:val="16"/>
                <w:color w:val="auto"/>
              </w:rPr>
            </w:pPr>
          </w:p>
        </w:tc>
        <w:tc>
          <w:tcPr>
            <w:tcW w:w="960" w:type="dxa"/>
            <w:vAlign w:val="bottom"/>
            <w:shd w:val="clear" w:color="auto" w:fill="0F243E"/>
          </w:tcPr>
          <w:p>
            <w:pPr>
              <w:jc w:val="center"/>
              <w:ind w:left="406"/>
              <w:spacing w:after="0"/>
              <w:rPr>
                <w:sz w:val="20"/>
                <w:szCs w:val="20"/>
                <w:color w:val="auto"/>
              </w:rPr>
            </w:pPr>
            <w:r>
              <w:rPr>
                <w:rFonts w:ascii="Arial" w:cs="Arial" w:eastAsia="Arial" w:hAnsi="Arial"/>
                <w:sz w:val="11"/>
                <w:szCs w:val="11"/>
                <w:b w:val="1"/>
                <w:bCs w:val="1"/>
                <w:color w:val="FFFFFF"/>
                <w:w w:val="96"/>
              </w:rPr>
              <w:t>2020F</w:t>
            </w:r>
          </w:p>
        </w:tc>
        <w:tc>
          <w:tcPr>
            <w:tcW w:w="1240" w:type="dxa"/>
            <w:vAlign w:val="bottom"/>
            <w:shd w:val="clear" w:color="auto" w:fill="0F243E"/>
          </w:tcPr>
          <w:p>
            <w:pPr>
              <w:spacing w:after="0"/>
              <w:rPr>
                <w:sz w:val="16"/>
                <w:szCs w:val="16"/>
                <w:color w:val="auto"/>
              </w:rPr>
            </w:pPr>
          </w:p>
        </w:tc>
        <w:tc>
          <w:tcPr>
            <w:tcW w:w="20" w:type="dxa"/>
            <w:vAlign w:val="bottom"/>
            <w:shd w:val="clear" w:color="auto" w:fill="0F243E"/>
          </w:tcPr>
          <w:p>
            <w:pPr>
              <w:spacing w:after="0"/>
              <w:rPr>
                <w:sz w:val="16"/>
                <w:szCs w:val="16"/>
                <w:color w:val="auto"/>
              </w:rPr>
            </w:pPr>
          </w:p>
        </w:tc>
      </w:tr>
      <w:tr>
        <w:trPr>
          <w:trHeight w:val="158"/>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income</w:t>
            </w:r>
          </w:p>
        </w:tc>
        <w:tc>
          <w:tcPr>
            <w:tcW w:w="2100" w:type="dxa"/>
            <w:vAlign w:val="bottom"/>
            <w:shd w:val="clear" w:color="auto" w:fill="CCCCCC"/>
          </w:tcPr>
          <w:p>
            <w:pPr>
              <w:spacing w:after="0"/>
              <w:rPr>
                <w:sz w:val="13"/>
                <w:szCs w:val="13"/>
                <w:color w:val="auto"/>
              </w:rPr>
            </w:pPr>
          </w:p>
        </w:tc>
        <w:tc>
          <w:tcPr>
            <w:tcW w:w="1560" w:type="dxa"/>
            <w:vAlign w:val="bottom"/>
            <w:shd w:val="clear" w:color="auto" w:fill="CCCCCC"/>
          </w:tcPr>
          <w:p>
            <w:pPr>
              <w:spacing w:after="0"/>
              <w:rPr>
                <w:sz w:val="13"/>
                <w:szCs w:val="13"/>
                <w:color w:val="auto"/>
              </w:rPr>
            </w:pPr>
          </w:p>
        </w:tc>
        <w:tc>
          <w:tcPr>
            <w:tcW w:w="780" w:type="dxa"/>
            <w:vAlign w:val="bottom"/>
            <w:shd w:val="clear" w:color="auto" w:fill="CCCCCC"/>
          </w:tcPr>
          <w:p>
            <w:pPr>
              <w:spacing w:after="0"/>
              <w:rPr>
                <w:sz w:val="13"/>
                <w:szCs w:val="13"/>
                <w:color w:val="auto"/>
              </w:rPr>
            </w:pPr>
          </w:p>
        </w:tc>
        <w:tc>
          <w:tcPr>
            <w:tcW w:w="960" w:type="dxa"/>
            <w:vAlign w:val="bottom"/>
            <w:shd w:val="clear" w:color="auto" w:fill="CCCCCC"/>
          </w:tcPr>
          <w:p>
            <w:pPr>
              <w:spacing w:after="0"/>
              <w:rPr>
                <w:sz w:val="13"/>
                <w:szCs w:val="13"/>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$105 - $155</w:t>
            </w:r>
          </w:p>
        </w:tc>
        <w:tc>
          <w:tcPr>
            <w:tcW w:w="20" w:type="dxa"/>
            <w:vAlign w:val="bottom"/>
            <w:shd w:val="clear" w:color="auto" w:fill="CCCCCC"/>
          </w:tcPr>
          <w:p>
            <w:pPr>
              <w:spacing w:after="0"/>
              <w:rPr>
                <w:sz w:val="13"/>
                <w:szCs w:val="13"/>
                <w:color w:val="auto"/>
              </w:rPr>
            </w:pPr>
          </w:p>
        </w:tc>
      </w:tr>
      <w:tr>
        <w:trPr>
          <w:trHeight w:val="171"/>
        </w:trPr>
        <w:tc>
          <w:tcPr>
            <w:tcW w:w="4480" w:type="dxa"/>
            <w:vAlign w:val="bottom"/>
            <w:shd w:val="clear" w:color="auto" w:fill="CCCCCC"/>
          </w:tcPr>
          <w:p>
            <w:pPr>
              <w:ind w:left="1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Depreciation &amp; amortization</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60" w:type="dxa"/>
            <w:vAlign w:val="bottom"/>
            <w:gridSpan w:val="2"/>
            <w:shd w:val="clear" w:color="auto" w:fill="CCCCCC"/>
          </w:tcPr>
          <w:p>
            <w:pPr>
              <w:ind w:left="580"/>
              <w:spacing w:after="0"/>
              <w:rPr>
                <w:sz w:val="20"/>
                <w:szCs w:val="20"/>
                <w:color w:val="auto"/>
              </w:rPr>
            </w:pPr>
            <w:r>
              <w:rPr>
                <w:rFonts w:ascii="Arial" w:cs="Arial" w:eastAsia="Arial" w:hAnsi="Arial"/>
                <w:sz w:val="11"/>
                <w:szCs w:val="11"/>
                <w:color w:val="auto"/>
              </w:rPr>
              <w:t>111 to 121</w:t>
            </w: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Provision for income taxes</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48</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Total interest expense</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31</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4</w:t>
            </w:r>
          </w:p>
        </w:tc>
        <w:tc>
          <w:tcPr>
            <w:tcW w:w="20" w:type="dxa"/>
            <w:vAlign w:val="bottom"/>
            <w:shd w:val="clear" w:color="auto" w:fill="CCCCCC"/>
          </w:tcPr>
          <w:p>
            <w:pPr>
              <w:spacing w:after="0"/>
              <w:rPr>
                <w:sz w:val="14"/>
                <w:szCs w:val="14"/>
                <w:color w:val="auto"/>
              </w:rPr>
            </w:pPr>
          </w:p>
        </w:tc>
      </w:tr>
      <w:tr>
        <w:trPr>
          <w:trHeight w:val="178"/>
        </w:trPr>
        <w:tc>
          <w:tcPr>
            <w:tcW w:w="448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1"/>
                <w:szCs w:val="11"/>
                <w:color w:val="auto"/>
              </w:rPr>
              <w:t>+ Change in fair value of contingent consideration</w:t>
            </w:r>
          </w:p>
        </w:tc>
        <w:tc>
          <w:tcPr>
            <w:tcW w:w="2100" w:type="dxa"/>
            <w:vAlign w:val="bottom"/>
            <w:tcBorders>
              <w:bottom w:val="single" w:sz="8" w:color="CCCCCC"/>
            </w:tcBorders>
            <w:shd w:val="clear" w:color="auto" w:fill="CCCCCC"/>
          </w:tcPr>
          <w:p>
            <w:pPr>
              <w:spacing w:after="0"/>
              <w:rPr>
                <w:sz w:val="15"/>
                <w:szCs w:val="15"/>
                <w:color w:val="auto"/>
              </w:rPr>
            </w:pPr>
          </w:p>
        </w:tc>
        <w:tc>
          <w:tcPr>
            <w:tcW w:w="1560" w:type="dxa"/>
            <w:vAlign w:val="bottom"/>
            <w:tcBorders>
              <w:bottom w:val="single" w:sz="8" w:color="CCCCCC"/>
            </w:tcBorders>
            <w:shd w:val="clear" w:color="auto" w:fill="CCCCCC"/>
          </w:tcPr>
          <w:p>
            <w:pPr>
              <w:spacing w:after="0"/>
              <w:rPr>
                <w:sz w:val="15"/>
                <w:szCs w:val="15"/>
                <w:color w:val="auto"/>
              </w:rPr>
            </w:pPr>
          </w:p>
        </w:tc>
        <w:tc>
          <w:tcPr>
            <w:tcW w:w="780" w:type="dxa"/>
            <w:vAlign w:val="bottom"/>
            <w:tcBorders>
              <w:bottom w:val="single" w:sz="8" w:color="auto"/>
            </w:tcBorders>
            <w:shd w:val="clear" w:color="auto" w:fill="CCCCCC"/>
          </w:tcPr>
          <w:p>
            <w:pPr>
              <w:spacing w:after="0"/>
              <w:rPr>
                <w:sz w:val="15"/>
                <w:szCs w:val="15"/>
                <w:color w:val="auto"/>
              </w:rPr>
            </w:pPr>
          </w:p>
        </w:tc>
        <w:tc>
          <w:tcPr>
            <w:tcW w:w="960" w:type="dxa"/>
            <w:vAlign w:val="bottom"/>
            <w:tcBorders>
              <w:bottom w:val="single" w:sz="8" w:color="auto"/>
            </w:tcBorders>
            <w:shd w:val="clear" w:color="auto" w:fill="CCCCCC"/>
          </w:tcPr>
          <w:p>
            <w:pPr>
              <w:spacing w:after="0"/>
              <w:rPr>
                <w:sz w:val="15"/>
                <w:szCs w:val="15"/>
                <w:color w:val="auto"/>
              </w:rPr>
            </w:pPr>
          </w:p>
        </w:tc>
        <w:tc>
          <w:tcPr>
            <w:tcW w:w="1240" w:type="dxa"/>
            <w:vAlign w:val="bottom"/>
            <w:tcBorders>
              <w:bottom w:val="single" w:sz="8" w:color="auto"/>
            </w:tcBorders>
            <w:shd w:val="clear" w:color="auto" w:fill="CCCCCC"/>
          </w:tcPr>
          <w:p>
            <w:pPr>
              <w:jc w:val="right"/>
              <w:ind w:right="10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CCCC"/>
            </w:tcBorders>
            <w:shd w:val="clear" w:color="auto" w:fill="CCCCCC"/>
          </w:tcPr>
          <w:p>
            <w:pPr>
              <w:spacing w:after="0"/>
              <w:rPr>
                <w:sz w:val="15"/>
                <w:szCs w:val="15"/>
                <w:color w:val="auto"/>
              </w:rPr>
            </w:pPr>
          </w:p>
        </w:tc>
      </w:tr>
      <w:tr>
        <w:trPr>
          <w:trHeight w:val="151"/>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Total additional adjustments</w:t>
            </w:r>
          </w:p>
        </w:tc>
        <w:tc>
          <w:tcPr>
            <w:tcW w:w="2100" w:type="dxa"/>
            <w:vAlign w:val="bottom"/>
            <w:shd w:val="clear" w:color="auto" w:fill="CCCCCC"/>
          </w:tcPr>
          <w:p>
            <w:pPr>
              <w:spacing w:after="0"/>
              <w:rPr>
                <w:sz w:val="13"/>
                <w:szCs w:val="13"/>
                <w:color w:val="auto"/>
              </w:rPr>
            </w:pPr>
          </w:p>
        </w:tc>
        <w:tc>
          <w:tcPr>
            <w:tcW w:w="1560" w:type="dxa"/>
            <w:vAlign w:val="bottom"/>
            <w:shd w:val="clear" w:color="auto" w:fill="CCCCCC"/>
          </w:tcPr>
          <w:p>
            <w:pPr>
              <w:spacing w:after="0"/>
              <w:rPr>
                <w:sz w:val="13"/>
                <w:szCs w:val="13"/>
                <w:color w:val="auto"/>
              </w:rPr>
            </w:pPr>
          </w:p>
        </w:tc>
        <w:tc>
          <w:tcPr>
            <w:tcW w:w="780" w:type="dxa"/>
            <w:vAlign w:val="bottom"/>
            <w:shd w:val="clear" w:color="auto" w:fill="CCCCCC"/>
          </w:tcPr>
          <w:p>
            <w:pPr>
              <w:spacing w:after="0"/>
              <w:rPr>
                <w:sz w:val="13"/>
                <w:szCs w:val="13"/>
                <w:color w:val="auto"/>
              </w:rPr>
            </w:pPr>
          </w:p>
        </w:tc>
        <w:tc>
          <w:tcPr>
            <w:tcW w:w="960" w:type="dxa"/>
            <w:vAlign w:val="bottom"/>
            <w:shd w:val="clear" w:color="auto" w:fill="CCCCCC"/>
          </w:tcPr>
          <w:p>
            <w:pPr>
              <w:spacing w:after="0"/>
              <w:rPr>
                <w:sz w:val="13"/>
                <w:szCs w:val="13"/>
                <w:color w:val="auto"/>
              </w:rPr>
            </w:pPr>
          </w:p>
        </w:tc>
        <w:tc>
          <w:tcPr>
            <w:tcW w:w="1260" w:type="dxa"/>
            <w:vAlign w:val="bottom"/>
            <w:gridSpan w:val="2"/>
            <w:shd w:val="clear" w:color="auto" w:fill="CCCCCC"/>
          </w:tcPr>
          <w:p>
            <w:pPr>
              <w:ind w:left="580"/>
              <w:spacing w:after="0"/>
              <w:rPr>
                <w:sz w:val="20"/>
                <w:szCs w:val="20"/>
                <w:color w:val="auto"/>
              </w:rPr>
            </w:pPr>
            <w:r>
              <w:rPr>
                <w:rFonts w:ascii="Arial" w:cs="Arial" w:eastAsia="Arial" w:hAnsi="Arial"/>
                <w:sz w:val="11"/>
                <w:szCs w:val="11"/>
                <w:color w:val="auto"/>
              </w:rPr>
              <w:t>195 to 205</w:t>
            </w:r>
          </w:p>
        </w:tc>
      </w:tr>
      <w:tr>
        <w:trPr>
          <w:trHeight w:val="158"/>
        </w:trPr>
        <w:tc>
          <w:tcPr>
            <w:tcW w:w="4480" w:type="dxa"/>
            <w:vAlign w:val="bottom"/>
            <w:tcBorders>
              <w:top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Adjusted EBITDA</w:t>
            </w:r>
          </w:p>
        </w:tc>
        <w:tc>
          <w:tcPr>
            <w:tcW w:w="2100" w:type="dxa"/>
            <w:vAlign w:val="bottom"/>
            <w:tcBorders>
              <w:top w:val="single" w:sz="8" w:color="CCCCCC"/>
            </w:tcBorders>
            <w:shd w:val="clear" w:color="auto" w:fill="CCCCCC"/>
          </w:tcPr>
          <w:p>
            <w:pPr>
              <w:spacing w:after="0"/>
              <w:rPr>
                <w:sz w:val="13"/>
                <w:szCs w:val="13"/>
                <w:color w:val="auto"/>
              </w:rPr>
            </w:pPr>
          </w:p>
        </w:tc>
        <w:tc>
          <w:tcPr>
            <w:tcW w:w="1560" w:type="dxa"/>
            <w:vAlign w:val="bottom"/>
            <w:tcBorders>
              <w:top w:val="single" w:sz="8" w:color="CCCCCC"/>
            </w:tcBorders>
            <w:shd w:val="clear" w:color="auto" w:fill="CCCCCC"/>
          </w:tcPr>
          <w:p>
            <w:pPr>
              <w:spacing w:after="0"/>
              <w:rPr>
                <w:sz w:val="13"/>
                <w:szCs w:val="13"/>
                <w:color w:val="auto"/>
              </w:rPr>
            </w:pPr>
          </w:p>
        </w:tc>
        <w:tc>
          <w:tcPr>
            <w:tcW w:w="780" w:type="dxa"/>
            <w:vAlign w:val="bottom"/>
            <w:tcBorders>
              <w:top w:val="single" w:sz="8" w:color="auto"/>
            </w:tcBorders>
            <w:shd w:val="clear" w:color="auto" w:fill="CCCCCC"/>
          </w:tcPr>
          <w:p>
            <w:pPr>
              <w:spacing w:after="0"/>
              <w:rPr>
                <w:sz w:val="13"/>
                <w:szCs w:val="13"/>
                <w:color w:val="auto"/>
              </w:rPr>
            </w:pPr>
          </w:p>
        </w:tc>
        <w:tc>
          <w:tcPr>
            <w:tcW w:w="960" w:type="dxa"/>
            <w:vAlign w:val="bottom"/>
            <w:tcBorders>
              <w:top w:val="single" w:sz="8" w:color="auto"/>
            </w:tcBorders>
            <w:shd w:val="clear" w:color="auto" w:fill="CCCCCC"/>
          </w:tcPr>
          <w:p>
            <w:pPr>
              <w:spacing w:after="0"/>
              <w:rPr>
                <w:sz w:val="13"/>
                <w:szCs w:val="13"/>
                <w:color w:val="auto"/>
              </w:rPr>
            </w:pPr>
          </w:p>
        </w:tc>
        <w:tc>
          <w:tcPr>
            <w:tcW w:w="1240" w:type="dxa"/>
            <w:vAlign w:val="bottom"/>
            <w:tcBorders>
              <w:top w:val="single" w:sz="8" w:color="auto"/>
            </w:tcBorders>
            <w:shd w:val="clear" w:color="auto" w:fill="CCCCCC"/>
          </w:tcPr>
          <w:p>
            <w:pPr>
              <w:jc w:val="right"/>
              <w:ind w:right="106"/>
              <w:spacing w:after="0"/>
              <w:rPr>
                <w:sz w:val="20"/>
                <w:szCs w:val="20"/>
                <w:color w:val="auto"/>
              </w:rPr>
            </w:pPr>
            <w:r>
              <w:rPr>
                <w:rFonts w:ascii="Arial" w:cs="Arial" w:eastAsia="Arial" w:hAnsi="Arial"/>
                <w:sz w:val="11"/>
                <w:szCs w:val="11"/>
                <w:color w:val="auto"/>
              </w:rPr>
              <w:t>$300 - $360</w:t>
            </w:r>
          </w:p>
        </w:tc>
        <w:tc>
          <w:tcPr>
            <w:tcW w:w="20" w:type="dxa"/>
            <w:vAlign w:val="bottom"/>
            <w:tcBorders>
              <w:top w:val="single" w:sz="8" w:color="CCCCCC"/>
            </w:tcBorders>
            <w:shd w:val="clear" w:color="auto" w:fill="CCCCCC"/>
          </w:tcPr>
          <w:p>
            <w:pPr>
              <w:spacing w:after="0"/>
              <w:rPr>
                <w:sz w:val="13"/>
                <w:szCs w:val="13"/>
                <w:color w:val="auto"/>
              </w:rPr>
            </w:pPr>
          </w:p>
        </w:tc>
      </w:tr>
      <w:tr>
        <w:trPr>
          <w:trHeight w:val="428"/>
        </w:trPr>
        <w:tc>
          <w:tcPr>
            <w:tcW w:w="4480" w:type="dxa"/>
            <w:vAlign w:val="bottom"/>
          </w:tcPr>
          <w:p>
            <w:pPr>
              <w:spacing w:after="0"/>
              <w:rPr>
                <w:sz w:val="24"/>
                <w:szCs w:val="24"/>
                <w:color w:val="auto"/>
              </w:rPr>
            </w:pPr>
          </w:p>
        </w:tc>
        <w:tc>
          <w:tcPr>
            <w:tcW w:w="5400" w:type="dxa"/>
            <w:vAlign w:val="bottom"/>
            <w:gridSpan w:val="4"/>
          </w:tcPr>
          <w:p>
            <w:pPr>
              <w:ind w:left="940"/>
              <w:spacing w:after="0"/>
              <w:rPr>
                <w:sz w:val="20"/>
                <w:szCs w:val="20"/>
                <w:color w:val="auto"/>
              </w:rPr>
            </w:pPr>
            <w:r>
              <w:rPr>
                <w:rFonts w:ascii="Arial" w:cs="Arial" w:eastAsia="Arial" w:hAnsi="Arial"/>
                <w:sz w:val="11"/>
                <w:szCs w:val="11"/>
                <w:color w:val="auto"/>
              </w:rPr>
              <w:t>10 of 11</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-1545590</wp:posOffset>
            </wp:positionV>
            <wp:extent cx="7075170" cy="1280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1280160"/>
                    </a:xfrm>
                    <a:prstGeom prst="rect">
                      <a:avLst/>
                    </a:prstGeom>
                    <a:noFill/>
                  </pic:spPr>
                </pic:pic>
              </a:graphicData>
            </a:graphic>
          </wp:anchor>
        </w:drawing>
      </w:r>
    </w:p>
    <w:p>
      <w:pPr>
        <w:sectPr>
          <w:pgSz w:w="11900" w:h="16838" w:orient="portrait"/>
          <w:cols w:equalWidth="0" w:num="1">
            <w:col w:w="11180"/>
          </w:cols>
          <w:pgMar w:left="300" w:top="374" w:right="4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9"/>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2020-05-01T05:15:52Z</dcterms:created>
  <dcterms:modified xsi:type="dcterms:W3CDTF">2020-05-01T05:15:52Z</dcterms:modified>
</cp:coreProperties>
</file>