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300"/>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For the transition period from to</w:t>
            </w:r>
          </w:p>
        </w:tc>
        <w:tc>
          <w:tcPr>
            <w:tcW w:w="1440" w:type="dxa"/>
            <w:vAlign w:val="bottom"/>
          </w:tcPr>
          <w:p>
            <w:pPr>
              <w:spacing w:after="0"/>
              <w:rPr>
                <w:sz w:val="20"/>
                <w:szCs w:val="20"/>
                <w:color w:val="auto"/>
              </w:rPr>
            </w:pPr>
          </w:p>
        </w:tc>
      </w:tr>
      <w:tr>
        <w:trPr>
          <w:trHeight w:val="441"/>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Commission file number: 001-33137</w:t>
            </w:r>
          </w:p>
        </w:tc>
        <w:tc>
          <w:tcPr>
            <w:tcW w:w="1440" w:type="dxa"/>
            <w:vAlign w:val="bottom"/>
          </w:tcPr>
          <w:p>
            <w:pPr>
              <w:spacing w:after="0"/>
              <w:rPr>
                <w:sz w:val="24"/>
                <w:szCs w:val="24"/>
                <w:color w:val="auto"/>
              </w:rPr>
            </w:pPr>
          </w:p>
        </w:tc>
      </w:tr>
      <w:tr>
        <w:trPr>
          <w:trHeight w:val="220"/>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rPr>
              <w:t>EMERGENT BIOSOLUTIONS INC.</w:t>
            </w:r>
          </w:p>
        </w:tc>
        <w:tc>
          <w:tcPr>
            <w:tcW w:w="1440" w:type="dxa"/>
            <w:vAlign w:val="bottom"/>
          </w:tcPr>
          <w:p>
            <w:pPr>
              <w:spacing w:after="0"/>
              <w:rPr>
                <w:sz w:val="19"/>
                <w:szCs w:val="19"/>
                <w:color w:val="auto"/>
              </w:rPr>
            </w:pPr>
          </w:p>
        </w:tc>
      </w:tr>
      <w:tr>
        <w:trPr>
          <w:trHeight w:val="230"/>
        </w:trPr>
        <w:tc>
          <w:tcPr>
            <w:tcW w:w="6820" w:type="dxa"/>
            <w:vAlign w:val="bottom"/>
          </w:tcPr>
          <w:p>
            <w:pPr>
              <w:jc w:val="center"/>
              <w:ind w:left="25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40" w:type="dxa"/>
            <w:vAlign w:val="bottom"/>
          </w:tcPr>
          <w:p>
            <w:pPr>
              <w:spacing w:after="0"/>
              <w:rPr>
                <w:sz w:val="20"/>
                <w:szCs w:val="20"/>
                <w:color w:val="auto"/>
              </w:rPr>
            </w:pPr>
          </w:p>
        </w:tc>
      </w:tr>
      <w:tr>
        <w:trPr>
          <w:trHeight w:val="445"/>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216"/>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3"/>
              </w:rPr>
              <w:t>(State or Other Jurisdiction of</w:t>
            </w:r>
          </w:p>
        </w:tc>
        <w:tc>
          <w:tcPr>
            <w:tcW w:w="1440" w:type="dxa"/>
            <w:vAlign w:val="bottom"/>
          </w:tcPr>
          <w:p>
            <w:pPr>
              <w:jc w:val="center"/>
              <w:ind w:left="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820" w:type="dxa"/>
            <w:vAlign w:val="bottom"/>
          </w:tcPr>
          <w:p>
            <w:pPr>
              <w:jc w:val="center"/>
              <w:ind w:right="297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89"/>
              </w:rPr>
              <w:t>2273 Research Boulevard, Suite 400</w:t>
            </w:r>
          </w:p>
        </w:tc>
        <w:tc>
          <w:tcPr>
            <w:tcW w:w="1440" w:type="dxa"/>
            <w:vAlign w:val="bottom"/>
          </w:tcPr>
          <w:p>
            <w:pPr>
              <w:spacing w:after="0"/>
              <w:rPr>
                <w:sz w:val="24"/>
                <w:szCs w:val="24"/>
                <w:color w:val="auto"/>
              </w:rPr>
            </w:pPr>
          </w:p>
        </w:tc>
      </w:tr>
      <w:tr>
        <w:trPr>
          <w:trHeight w:val="220"/>
        </w:trPr>
        <w:tc>
          <w:tcPr>
            <w:tcW w:w="6820" w:type="dxa"/>
            <w:vAlign w:val="bottom"/>
          </w:tcPr>
          <w:p>
            <w:pPr>
              <w:jc w:val="center"/>
              <w:ind w:right="2950"/>
              <w:spacing w:after="0"/>
              <w:rPr>
                <w:sz w:val="20"/>
                <w:szCs w:val="20"/>
                <w:color w:val="auto"/>
              </w:rPr>
            </w:pPr>
            <w:r>
              <w:rPr>
                <w:rFonts w:ascii="Arial" w:cs="Arial" w:eastAsia="Arial" w:hAnsi="Arial"/>
                <w:sz w:val="18"/>
                <w:szCs w:val="18"/>
                <w:b w:val="1"/>
                <w:bCs w:val="1"/>
                <w:color w:val="auto"/>
                <w:w w:val="93"/>
              </w:rPr>
              <w:t>Rockville, Maryland</w:t>
            </w: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20850</w:t>
            </w:r>
          </w:p>
        </w:tc>
      </w:tr>
      <w:tr>
        <w:trPr>
          <w:trHeight w:val="230"/>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(Zip Code)</w:t>
            </w:r>
          </w:p>
        </w:tc>
      </w:tr>
      <w:tr>
        <w:trPr>
          <w:trHeight w:val="445"/>
        </w:trPr>
        <w:tc>
          <w:tcPr>
            <w:tcW w:w="6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(301) 795-1800</w:t>
            </w:r>
          </w:p>
        </w:tc>
        <w:tc>
          <w:tcPr>
            <w:tcW w:w="1440" w:type="dxa"/>
            <w:vAlign w:val="bottom"/>
          </w:tcPr>
          <w:p>
            <w:pPr>
              <w:spacing w:after="0"/>
              <w:rPr>
                <w:sz w:val="24"/>
                <w:szCs w:val="24"/>
                <w:color w:val="auto"/>
              </w:rPr>
            </w:pPr>
          </w:p>
        </w:tc>
      </w:tr>
      <w:tr>
        <w:trPr>
          <w:trHeight w:val="230"/>
        </w:trPr>
        <w:tc>
          <w:tcPr>
            <w:tcW w:w="6820" w:type="dxa"/>
            <w:vAlign w:val="bottom"/>
          </w:tcPr>
          <w:p>
            <w:pPr>
              <w:jc w:val="center"/>
              <w:ind w:left="25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29"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208"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No</w:t>
      </w:r>
    </w:p>
    <w:p>
      <w:pPr>
        <w:spacing w:after="0" w:line="20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49" w:lineRule="exact"/>
        <w:rPr>
          <w:sz w:val="24"/>
          <w:szCs w:val="24"/>
          <w:color w:val="auto"/>
        </w:rPr>
      </w:pPr>
    </w:p>
    <w:p>
      <w:pPr>
        <w:ind w:left="2620" w:right="3700" w:hanging="3232"/>
        <w:spacing w:after="0" w:line="277" w:lineRule="auto"/>
        <w:tabs>
          <w:tab w:leader="none" w:pos="2600" w:val="left"/>
        </w:tabs>
        <w:rPr>
          <w:sz w:val="20"/>
          <w:szCs w:val="20"/>
          <w:color w:val="auto"/>
        </w:rPr>
      </w:pPr>
      <w:r>
        <w:rPr>
          <w:rFonts w:ascii="Arial" w:cs="Arial" w:eastAsia="Arial" w:hAnsi="Arial"/>
          <w:sz w:val="18"/>
          <w:szCs w:val="18"/>
          <w:color w:val="auto"/>
        </w:rPr>
        <w:t>Large accelerated filer</w:t>
        <w:tab/>
        <w:t>Accelerated filer Non-accelerated filer Smaller reporting company (Do not check if a smaller reporting company)</w:t>
      </w:r>
    </w:p>
    <w:p>
      <w:pPr>
        <w:spacing w:after="0" w:line="197" w:lineRule="exact"/>
        <w:rPr>
          <w:sz w:val="24"/>
          <w:szCs w:val="24"/>
          <w:color w:val="auto"/>
        </w:rPr>
      </w:pPr>
    </w:p>
    <w:p>
      <w:pPr>
        <w:ind w:left="660"/>
        <w:spacing w:after="0"/>
        <w:tabs>
          <w:tab w:leader="none" w:pos="902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July 31, 2014, the registrant had 37,477,213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Index to Form 10-Q</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Financial Statements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Mine Safety Disclosures</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Signatures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Exhibit Index</w:t>
      </w:r>
    </w:p>
    <w:p>
      <w:pPr>
        <w:spacing w:after="0" w:line="238"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BioThrax® (Anthrax Vaccine Adsorbed), RSDL® (KBDO individual use skin decontamination packet), BAT™ [Botulism Antitoxin Heptavalent (A,B,C,D,E,F,G)-Equine], HepaGam B® (Hepatitis B Immune Globulin Intravenous (Human)), VARIZIG® (Varicella Zoster Immune Globulin (Human)), WinRho® SDF [Rh</w:t>
      </w:r>
      <w:r>
        <w:rPr>
          <w:rFonts w:ascii="Arial" w:cs="Arial" w:eastAsia="Arial" w:hAnsi="Arial"/>
          <w:sz w:val="30"/>
          <w:szCs w:val="30"/>
          <w:color w:val="auto"/>
          <w:vertAlign w:val="subscript"/>
        </w:rPr>
        <w:t>0</w:t>
      </w:r>
      <w:r>
        <w:rPr>
          <w:rFonts w:ascii="Arial" w:cs="Arial" w:eastAsia="Arial" w:hAnsi="Arial"/>
          <w:sz w:val="18"/>
          <w:szCs w:val="18"/>
          <w:color w:val="auto"/>
        </w:rPr>
        <w:t xml:space="preserve"> (D) Immune Globulin Intravenous (Human)], NuThrax™ (anthrax vaccine adsorbed with CPG 7909 adjuvant), PreviThrax™ (recombinant protective antigen anthrax vaccine, purified) and any and all Emergent BioSolutions Inc. brands, products, services and feature names, logos and slogans are trademarks or registered trademarks of Emergent BioSolutions Inc. or its subsidiaries in the United States or other countries. episil® (oral liquid) is a trademark of Camurus AB. All rights reserved.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850" w:right="45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our strategy, future operations, future financial position, future revenues, projected costs, prospects, plans and objectives of management, are forward-looking statements. We generally identify forward-looking statements by using words like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9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58"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appropriations for the procurement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our FDA-approved anthrax vaccine;</w:t>
      </w:r>
    </w:p>
    <w:p>
      <w:pPr>
        <w:ind w:left="980" w:right="680" w:hanging="324"/>
        <w:spacing w:after="0" w:line="24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our acquisitions of Cangene Corporation and the Healthcare Protective Products Division of Bracco Diagnostics Inc., which we recently acquired, and realize the benefits of these acquisitions;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 government related to BioThrax, including the timing of deliveries;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new BioThrax sales contracts or modifications to existing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 and achieve our financial and operational goals;</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and develop the products or product candidates, programs, operations and personnel of any entities or businesses that we acquire;</w:t>
      </w:r>
    </w:p>
    <w:p>
      <w:pPr>
        <w:ind w:left="980" w:right="20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 with the U.S. government to develop and obtain regulatory approval for large-scale manufacturing of BioThrax in Building 55, our large-scale vaccine manufacturing facility in Lansing, Michigan;</w:t>
      </w: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identify and acquire companies or in-license products or late-stage product candidates that satisfy our selection criteria;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whether anticipated synergies and benefits from an acquisition or in-license are realized within expected time periods or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selectively enter into collaboration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plans to expand our manufacturing facilities and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meet operating and financial restrictions placed on us and our subsidiaries under our senior secured credit facility;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ongoing and planned development programs, non-clinical activities and 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2"/>
              </w:rPr>
              <w:t>June 30, 2014</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78,270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Income tax receivable,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345,449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273,115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66,678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Deferred tax assets- long-term,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837,249</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36,968</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Contingent purchase consideration, current portion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Provisions for chargebacks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Deferred tax liability-current portion,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76,427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Contingent purchase consideration, net of current portion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19,193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indebtedness, net of 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Deferred tax liability long-term,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tcPr>
          <w:p>
            <w:pPr>
              <w:ind w:left="140"/>
              <w:spacing w:after="0" w:line="201" w:lineRule="exact"/>
              <w:rPr>
                <w:sz w:val="20"/>
                <w:szCs w:val="20"/>
                <w:color w:val="auto"/>
              </w:rPr>
            </w:pPr>
            <w:r>
              <w:rPr>
                <w:rFonts w:ascii="Arial" w:cs="Arial" w:eastAsia="Arial" w:hAnsi="Arial"/>
                <w:sz w:val="18"/>
                <w:szCs w:val="18"/>
                <w:color w:val="auto"/>
                <w:w w:val="89"/>
              </w:rPr>
              <w:t>Preferred stock, $0.001 par value; 15,000,000 shares authorized, 0 shares issued and outstanding at June 30, 2014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December 31, 2013,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Common stock, $0.001 par value; 100,000,000 shares authorized, 37,885,227 shares issued and 37,472,274 shares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w w:val="94"/>
              </w:rPr>
              <w:t>outstanding at June 30, 2014; 37,036,996 shares issued and 36,624,043 shares outstanding at December 31, 2013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Treasury stock, at cost, 412,953 common shares at both June 30, 2014 and December 31, 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Total Emergent BioSolutions Inc. stockholders' equity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487,767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489,618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Noncontrolling interest in 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487,767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489,165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837,249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28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Product sales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78,269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65,596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114,036</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Contracts and grants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22,869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16,840</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38,260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82,436</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 of product sales and contract manufacturing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16,945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53,504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20,501</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60,644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14,712</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(benefit from)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4,381</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Net loss attributable to noncontrolling interest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Emergent BioSolutions Inc.</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per share - basic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Income (loss) per share - diluted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 basic</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37,416,554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36,144,063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37,137,015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36,056,297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38,333,425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36,527,014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37,137,015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36,247,773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ind w:right="28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28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Net income (loss) attributable to Emergent BioSolutions Inc.</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5,029</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10,484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(15,207)</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translations, net of tax</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10,730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(14,993)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(15,207)</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Adjustments to reconcile to net cash provided by (used in) operating activities: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8,372</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Non-cash development expenses from joint venture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obligations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Write off of debt issuance costs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Excess tax benefits from stock-based compensation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(1,757)</w:t>
            </w:r>
          </w:p>
        </w:tc>
      </w:tr>
      <w:tr>
        <w:trPr>
          <w:trHeight w:val="216"/>
        </w:trPr>
        <w:tc>
          <w:tcPr>
            <w:tcW w:w="20" w:type="dxa"/>
            <w:vAlign w:val="bottom"/>
          </w:tcPr>
          <w:p>
            <w:pPr>
              <w:spacing w:after="0"/>
              <w:rPr>
                <w:sz w:val="18"/>
                <w:szCs w:val="18"/>
                <w:color w:val="auto"/>
              </w:rPr>
            </w:pPr>
          </w:p>
        </w:tc>
        <w:tc>
          <w:tcPr>
            <w:tcW w:w="7300" w:type="dxa"/>
            <w:vAlign w:val="bottom"/>
          </w:tcPr>
          <w:p>
            <w:pPr>
              <w:ind w:left="2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41,674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(3,421)</w:t>
            </w: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(7,999)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w:t>
            </w: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(10,357)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(6,199)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(7,130)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chargebacks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(14,123)</w:t>
            </w:r>
          </w:p>
        </w:tc>
      </w:tr>
      <w:tr>
        <w:trPr>
          <w:trHeight w:val="223"/>
        </w:trPr>
        <w:tc>
          <w:tcPr>
            <w:tcW w:w="20" w:type="dxa"/>
            <w:vAlign w:val="bottom"/>
          </w:tcPr>
          <w:p>
            <w:pPr>
              <w:spacing w:after="0"/>
              <w:rPr>
                <w:sz w:val="19"/>
                <w:szCs w:val="19"/>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Acquisition of Cangene Corporation, net of acquired cash</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(178,167)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convertible debenture, net of debt issuance costs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Proceeds from other long-term debt obligations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subject to exercise of stock options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r>
      <w:tr>
        <w:trPr>
          <w:trHeight w:val="216"/>
        </w:trPr>
        <w:tc>
          <w:tcPr>
            <w:tcW w:w="20" w:type="dxa"/>
            <w:vAlign w:val="bottom"/>
          </w:tcPr>
          <w:p>
            <w:pPr>
              <w:spacing w:after="0"/>
              <w:rPr>
                <w:sz w:val="18"/>
                <w:szCs w:val="18"/>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Excess tax benefits from stock-based compensation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long-term indebtedness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r>
      <w:tr>
        <w:trPr>
          <w:trHeight w:val="223"/>
        </w:trPr>
        <w:tc>
          <w:tcPr>
            <w:tcW w:w="20" w:type="dxa"/>
            <w:vAlign w:val="bottom"/>
          </w:tcPr>
          <w:p>
            <w:pPr>
              <w:spacing w:after="0"/>
              <w:rPr>
                <w:sz w:val="19"/>
                <w:szCs w:val="19"/>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Contingent obligation payments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194,783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14,577</w:t>
            </w:r>
          </w:p>
        </w:tc>
      </w:tr>
      <w:tr>
        <w:trPr>
          <w:trHeight w:val="223"/>
        </w:trPr>
        <w:tc>
          <w:tcPr>
            <w:tcW w:w="20" w:type="dxa"/>
            <w:vAlign w:val="bottom"/>
          </w:tcPr>
          <w:p>
            <w:pPr>
              <w:spacing w:after="0"/>
              <w:rPr>
                <w:sz w:val="19"/>
                <w:szCs w:val="19"/>
                <w:color w:val="auto"/>
              </w:rPr>
            </w:pPr>
          </w:p>
        </w:tc>
        <w:tc>
          <w:tcPr>
            <w:tcW w:w="7300" w:type="dxa"/>
            <w:vAlign w:val="bottom"/>
          </w:tcPr>
          <w:p>
            <w:pPr>
              <w:ind w:left="140"/>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141,666</w:t>
            </w:r>
          </w:p>
        </w:tc>
      </w:tr>
      <w:tr>
        <w:trPr>
          <w:trHeight w:val="257"/>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left="6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accompanying unaudited consolidated financial statements include the accounts of Emergent BioSolutions Inc. (the "Company" or "Emergent") and its wholly-owned and majority-owned subsidiaries. All significant intercompany accounts and transactions have been eliminated in consolidation.</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unaudited consolidated financial statements included herein have been prepared in accordance with U.S. generally accepted accounting principles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2013, as filed with the SEC.</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opinion of the Company's management, any adjustments contained in the accompanying unaudited consolidated financial statements are of a normal recurring nature, and are necessary to present fairly the financial position of the Company as of June 30, 2014; the results of operations and comprehensive income (loss) for the three and six months ended June 30, 2014 and 2013; and cash flows for the six months ended June 30, 2014 and 2013. Interim results are not necessarily indicative of results that may be expected for any other interim period or for an entire year.</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have been no significant changes to the Company's summary of significant accounting policies, contained in the Company's Annual Report on Form 10-K for the year ended December 31, 2013, as filed with the SEC, during the six months ended June 30, 2014, except for additions to the Company's accounting policies for revenue recognition and inventories related to the Cangene Corporation ("Cangene") acquisition (see Note 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product sales if four basic criteria have been met:</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delivery has occurred or title has passed to the Company's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fee is fixed or determinable;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revenues from product sales are recorded net of applicable allowances for sales returns, rebates, special promotional programs, and discounts. The Company estimates allowances for deductions from revenue using a combination of information received from third parties including market data, inventory reports from major wholesalers, historical information and analysis. These estimates are subject to the inherent limitations of estimates that rely on third party data, as certain third- 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 Management believes that such provisions are determinable because of the limited number of assumptions involved and the consistency of historical experience.</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markets and sells its Biosciences products through commercial wholesalers (direct customers) who purchase the products at a price referred to as the wholesale acquisition cost ("WAC"). Additionally, the Company enters into agreements with indirect customers for a contracted price that is less than the WAC. The indirect customers, such as group-purchasing organizations, physician practice-management groups and hospitals, purchase the Company's products from the wholesalers. Under these agreements with the wholesalers, the Company guarantees that it will credit them for the difference between the WAC and the indirect customers' contracted price. This credit is referred to as a chargeback. Wholesalers provide detailed information regarding indirect customer purchases as part of the justification for their credit request. Once received by the Company, these requests are standardized and tracked within a software system that adjudicates and reconciles all indirect claims coming from wholesalers. The database with these claims is used for historical trending and estimating future indirect sales, which are used to estimate accruals. Adjustments to these provisions are made periodically to reflect new facts and circumstances that may indicate that historical experience may not be indicative of current and/or future results. The Company makes subjective judgments primarily based on its evaluation of current market conditions and trade inventory levels related to the products. This evaluation may result in an increase or decrease in the experience rate that is applied to current and future sales, or as an adjustment to past sales, or both. The Company estimates allowances for revenue-reducing obligations such as rebates, special promotional programs, and discounts, using a combination of historical trends, contractual obligations and information received from third parties. The accuracy of these estimates is dependent upon the inherent limitations of extrapolating estimates from historical trends and upon the quality of the third-party information.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(which includes fixed production-overhead costs)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 Costs of purchased inventories are recorded using weighted-average costing. The Company determines normal capacity for each production facility and allocates fixed production-overhead costs on that basis. Any excess, unallocated fixed production-overhead costs are expensed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Cangene Corporation</w:t>
      </w:r>
    </w:p>
    <w:p>
      <w:pPr>
        <w:sectPr>
          <w:pgSz w:w="11900" w:h="16838" w:orient="portrait"/>
          <w:cols w:equalWidth="0" w:num="1">
            <w:col w:w="11420"/>
          </w:cols>
          <w:pgMar w:left="240" w:top="364" w:right="239" w:bottom="9" w:gutter="0" w:footer="0" w:header="0"/>
        </w:sectPr>
      </w:pPr>
    </w:p>
    <w:bookmarkStart w:id="8" w:name="page9"/>
    <w:bookmarkEnd w:id="8"/>
    <w:p>
      <w:pPr>
        <w:jc w:val="both"/>
        <w:ind w:firstLine="648"/>
        <w:spacing w:after="0" w:line="257" w:lineRule="auto"/>
        <w:rPr>
          <w:sz w:val="20"/>
          <w:szCs w:val="20"/>
          <w:color w:val="auto"/>
        </w:rPr>
      </w:pPr>
      <w:r>
        <w:rPr>
          <w:rFonts w:ascii="Arial" w:cs="Arial" w:eastAsia="Arial" w:hAnsi="Arial"/>
          <w:sz w:val="18"/>
          <w:szCs w:val="18"/>
          <w:color w:val="auto"/>
        </w:rPr>
        <w:t>On February 21, 2014, the Company acquired 100% of the voting interest of Cangene for $3.24 per share in cash (on a fully-diluted basis), which represents a total purchase price of $221.8 million. This transaction was accounted for by the Company under the acquisition method of accounting, with the Company as the acquirer. Under the acquisition method of accounting, the assets and liabilities of Cangene were recorded as of the acquisition date, at their respective fair values, and combined with those of the Company. This acquisition diversifies the product portfolio of the Company's Biodefense and Biosciences divisions and expands the Company's manufacturing capabilities.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summarizes the preliminary allocation of the purchase price based upon estimated fair values of assets acquired and liabilities assumed at February 21, 2014. As of the date of this filing, the valuation of acquired intangible assets, inventory, deferred taxes, property plant and equipment, employee related liabilities and other fair value adjustments are not complete as the Company is obtaining and analyizing additional information related to the aformentioned items. As such, the purchase price allocation is subject to change.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February 21,</w:t>
            </w:r>
          </w:p>
        </w:tc>
        <w:tc>
          <w:tcPr>
            <w:tcW w:w="0" w:type="dxa"/>
            <w:vAlign w:val="bottom"/>
          </w:tcPr>
          <w:p>
            <w:pPr>
              <w:spacing w:after="0"/>
              <w:rPr>
                <w:sz w:val="1"/>
                <w:szCs w:val="1"/>
                <w:color w:val="auto"/>
              </w:rPr>
            </w:pPr>
          </w:p>
        </w:tc>
      </w:tr>
      <w:tr>
        <w:trPr>
          <w:trHeight w:val="241"/>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Fair value of tangible assets acquired and liabilities assumed:</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Inventory (i)</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taxes, net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chargebacks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fair value of tangible assets acquired and liabilities assumed</w:t>
            </w:r>
          </w:p>
        </w:tc>
        <w:tc>
          <w:tcPr>
            <w:tcW w:w="2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Acquired in-process research and development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Acquired inventory reflects a $6.2 million adjustment to record inventory at fair value, referred to as a step-up adjustment. The $6.2 million step-up was</w:t>
      </w:r>
    </w:p>
    <w:p>
      <w:pPr>
        <w:spacing w:after="0" w:line="46"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estimated to be amortized through cost of product sales and contract manufacturing over the next five years based on estimated inventory turnover, which will increase cost of product sales and contract manufacturing during such period.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the preliminary estimated fair value of intangible assets acquired and the estimated amortization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Corporate Trade Name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Marketed Products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Licensed Products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Biodefense Products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identified intangible assets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determined the estimated fair value of the intangible assets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w:t>
      </w:r>
    </w:p>
    <w:p>
      <w:pPr>
        <w:spacing w:after="0" w:line="19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6"/>
          <w:szCs w:val="16"/>
          <w:color w:val="auto"/>
        </w:rPr>
        <w:t>A substantial portion of the assets acquired from Cangene consisted of intangible assets. The Marketed Products intangible asset includes WinRho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SDF [Rh</w:t>
      </w:r>
      <w:r>
        <w:rPr>
          <w:rFonts w:ascii="Arial" w:cs="Arial" w:eastAsia="Arial" w:hAnsi="Arial"/>
          <w:sz w:val="26"/>
          <w:szCs w:val="26"/>
          <w:color w:val="auto"/>
          <w:vertAlign w:val="subscript"/>
        </w:rPr>
        <w:t>o</w:t>
      </w:r>
      <w:r>
        <w:rPr>
          <w:rFonts w:ascii="Arial" w:cs="Arial" w:eastAsia="Arial" w:hAnsi="Arial"/>
          <w:sz w:val="16"/>
          <w:szCs w:val="16"/>
          <w:color w:val="auto"/>
        </w:rPr>
        <w:t>(D) Immune Globulin Intravenous (Human)] and VARIZIG</w:t>
      </w:r>
      <w:r>
        <w:rPr>
          <w:rFonts w:ascii="Arial" w:cs="Arial" w:eastAsia="Arial" w:hAnsi="Arial"/>
          <w:sz w:val="26"/>
          <w:szCs w:val="26"/>
          <w:color w:val="auto"/>
          <w:vertAlign w:val="superscript"/>
        </w:rPr>
        <w:t>®</w:t>
      </w:r>
      <w:r>
        <w:rPr>
          <w:rFonts w:ascii="Arial" w:cs="Arial" w:eastAsia="Arial" w:hAnsi="Arial"/>
          <w:sz w:val="16"/>
          <w:szCs w:val="16"/>
          <w:color w:val="auto"/>
        </w:rPr>
        <w:t xml:space="preserve"> (Varicella Zoster Immune Globulin (Human). The Licensed Products intangible asset includes HepaGam B</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(Hepatitis B Immune Globulin Intravenous (Human)) and episil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(oral liguid). The Biodefense intangible asset includes BAT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[Botulism Antitoxin Heptavalent (A, B, C, D, E, F, G)-Equine], AIGIV (Anthrax Immune Globulin Intravenous (Human)) and VIGIV (Vaccinia Immune Globulin Intravenous (Human)). The Contract Manufacturing intangible asset is primarily related to contract manufacturing in Baltimore, Maryland.</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estimated the fair value of the Marketed, Licensed and Biodefense Product intangible assets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these intangible assets. The projected cash flows from these Marketed, Licensed and Biodefense Product intangible assets were based on key assumptions including: estimates of revenues and operating profits; the life of the potential commercialized product and associated risks; and risks related to the viability of and potential alternative treatments in any future target markets.</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estimated the fair value of the Contract Manufacturing intangible asset using the income approach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 The projected cash flows from the Contract Manufacturing intangible asset was based on key assumptions including: estimates of revenues and operating profits; and viability of attaining/maintaining future third-party manufacturing relationships with the Company's customers.</w:t>
      </w:r>
    </w:p>
    <w:p>
      <w:pPr>
        <w:sectPr>
          <w:pgSz w:w="11900" w:h="16838" w:orient="portrait"/>
          <w:cols w:equalWidth="0" w:num="1">
            <w:col w:w="11420"/>
          </w:cols>
          <w:pgMar w:left="240" w:top="125" w:right="239" w:bottom="0" w:gutter="0" w:footer="0" w:header="0"/>
        </w:sectPr>
      </w:pPr>
    </w:p>
    <w:bookmarkStart w:id="9" w:name="page10"/>
    <w:bookmarkEnd w:id="9"/>
    <w:p>
      <w:pPr>
        <w:spacing w:after="0" w:line="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estimated the fair value of the Corporate Trade Name intangible asset using the relief of royalty method with a present value discount rate of 15%,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this intangible asset.</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weighted average amortization period of the intangible assets is 118 months. For the three and six months ended June 30, 2014, the Company recorded amortization expense of $1.1 million and $1.5 million, respectively, for intangible assets acquired from Cangene, which has been recorded in cost of product sales and contract manufacturing. Amortization expense of $691,000 and $928,000, respectively, was recorded within the Biosciences segment for the three and six months ended June 30, 2014. Amortization expense of $389,000 and $602,000, respectively, was recorded within the Biodefense segement for the three and six months ended June 30, 2014.</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intangible asset associated with in-process research and development ("IPR&amp;D") acquired from Cangene is the IXINITY product candidate. Management determined that the estimated acquisition-date fair value of intangible assets related to IPR&amp;D was $8.5 million. The estimated fair value was determined using the income approach, which discounts expected future cash flows to present value. The Company estimated the fair value using a present value discount rate of 16%,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 IPR&amp;D. The projected cash flows for IXINITYwas based on key assumptions including: estimates of revenues and operating profits related to IXINITY,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IPR&amp;D assets are considered to be indefinite-lived until the completion or abandonment of the associated research and development efforts (see Note 5).</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$31.8 million in goodwill related to the Cangene acquisition, representing the purchase price paid in the acquisition that was in excess of the fair value of the tangible and intangible assets acquired. None of the goodwill generated from the Cangene acquisition is expected to be deductible for tax purposes.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has incurred transaction costs related to the Cangene acquisition of approximately $3.7 million for the six months ended June 30, 2014, which has been recorded in selling, general and administrative expenses within the Company's Biosciences segment. The Company has incurred to date a total of $7.0 million in transaction costs associated with the Cangene acquisition through June 30, 2014, of which $3.3 million was incurred in 2013.</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pro forma information is presented as if the acquisition had occurred on January 1, 2013, and combines the historical results of operations of the Company and Cangene for the six month periods ended June 30, 2014 and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 forma net loss</w:t>
            </w:r>
          </w:p>
        </w:tc>
        <w:tc>
          <w:tcPr>
            <w:tcW w:w="3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(17,782)</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(3,838)</w:t>
            </w: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Healthcare Protective Products Division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August 1, 2013, the Company acquired substantially all of the assets and liabilities of Health Protective Products Division ("HPPD"), a division of Bracco Diagnostics Inc. ("Bracco"), for $25.9 million in cash along with contingent purchase consideration obligations to Bracco. The assets and liabilities acquired include HPPD's product, RSDL, and a majority of the customer and distributor agreements associated with RSDL along with $1.5 million of manufacturing equipment. In addition, the Company assumed a $1.5 million liability associated with the Canadian Technology Development Fund. The acquisition diversifies the product portfolio of the Biodefense segment by adding product sales from RSDL.</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contingent purchase consideration obligation due to Bracco is based on a percentage of RSDL net sales, ranging from 5-10%, for the period August 1, 2013 through July 31, 2028. At August 1, 2013, the contingent purchase consideration obligation was recorded at a fair value of $16.2 million. The Level 3 fair value of this obligation is based on management's assessment of the potential future realization of the contingent purchase consideration payments. This assessment is based on inputs that have no observable market. The obligation is measured using the income approach (a discounted cash flow model).</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purchase price is summarized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gridSpan w:val="2"/>
          </w:tcPr>
          <w:p>
            <w:pPr>
              <w:spacing w:after="0"/>
              <w:rPr>
                <w:sz w:val="20"/>
                <w:szCs w:val="20"/>
                <w:color w:val="auto"/>
              </w:rPr>
            </w:pPr>
            <w:r>
              <w:rPr>
                <w:rFonts w:ascii="Arial" w:cs="Arial" w:eastAsia="Arial" w:hAnsi="Arial"/>
                <w:sz w:val="18"/>
                <w:szCs w:val="18"/>
                <w:color w:val="auto"/>
              </w:rPr>
              <w:t>Amount of cash paid to Bracco Diagnostics Inc.</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contigent purchase consideration at date of acquisition</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allocation of the purchase price based upon fair values of assets acquired and liabilities assumed at August 1,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Acquired intangible assets</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40"/>
              <w:spacing w:after="0"/>
              <w:rPr>
                <w:sz w:val="20"/>
                <w:szCs w:val="20"/>
                <w:color w:val="auto"/>
              </w:rPr>
            </w:pPr>
            <w:r>
              <w:rPr>
                <w:rFonts w:ascii="Arial" w:cs="Arial" w:eastAsia="Arial" w:hAnsi="Arial"/>
                <w:sz w:val="18"/>
                <w:szCs w:val="18"/>
                <w:color w:val="auto"/>
              </w:rPr>
              <w:t>Acquired equipment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10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20"/>
              <w:spacing w:after="0"/>
              <w:rPr>
                <w:sz w:val="20"/>
                <w:szCs w:val="20"/>
                <w:color w:val="auto"/>
              </w:rPr>
            </w:pPr>
            <w:r>
              <w:rPr>
                <w:rFonts w:ascii="Arial" w:cs="Arial" w:eastAsia="Arial" w:hAnsi="Arial"/>
                <w:sz w:val="18"/>
                <w:szCs w:val="18"/>
                <w:color w:val="auto"/>
              </w:rPr>
              <w:t>Assumed liabilities</w:t>
            </w: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substantial portion of the assets acquired from Bracco consisted of intangible assets associated with the RSDL product. As of the date of acquisition, the Company recorded intangible assets of approximately $28.6 million related to RSDL, which is being amortized over 8 years, and $3.5 million related to a manufacturing agreement with Bracco, which is being amortized over 3 years. For the three and six months ended June 30, 2014, the Company</w:t>
      </w:r>
    </w:p>
    <w:p>
      <w:pPr>
        <w:sectPr>
          <w:pgSz w:w="11900" w:h="16871" w:orient="portrait"/>
          <w:cols w:equalWidth="0" w:num="1">
            <w:col w:w="11420"/>
          </w:cols>
          <w:pgMar w:left="240" w:top="125" w:right="239" w:bottom="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recorded $1.2 million and $2.3 million, respectively, amortization expense for intangible assets acquired from Bracco which was recorded in cost of product sales and contract manufacturing within the Company's Biodefense segment. The weighted average remaining amortization period for the intangible assets is 80 months.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approximately $9.9 million in goodwill related to the HPPD acquisition representing the purchase price paid in the acquisition in excess of the fair value of the tangible and intangible assets acquired. This goodwill is included in the Company's biodefense segment. None of the goodwill generated from the HPPD acquisition is expected to be deductible for tax purposes.</w:t>
      </w:r>
    </w:p>
    <w:p>
      <w:pPr>
        <w:spacing w:after="0" w:line="20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has determined the historical results of HPPD were not significant to the Company's results of operations, and as such no proforma disclosures have been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5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table represents the Company's fair value hierarchy for its financial assets and liabilities measured at fair value on a recurring basis: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At June 30, 2014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57,108</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57,108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57,108</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23,006</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At December 31, 2013</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Investment in money market funds (1)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37,701</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Contingent purchase consideration</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Included in cash and cash equivalents in accompanying consolidated balance sheets.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periods ended June 30, 2014 and 2013, the Company did not have any transfers between Level 1 and Level 2 assets or liabilities.</w:t>
      </w:r>
    </w:p>
    <w:p>
      <w:pPr>
        <w:spacing w:after="0" w:line="26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fair value of contingent purchase consideration obligations are based on management's assessment of changes as a result of adjustments to the discount rates and updates in the assumed and actual achievement of net sales for future RSDL, HepaGam B and episil®, which are inputs that have no observable market (Level 3). For the three and six months ended June 30, 2014, the contingent purchase consideration obligation increased by $1.2 million and $1.6 million, respectively, primarily due to an adjustment to the actual and expected timing of RSDL, HepaGam B and episil® sales. This increase resulted in a charge that is classified in the Company's statement of operations as cost of product sales and contract manufacturing.</w:t>
      </w:r>
    </w:p>
    <w:p>
      <w:pPr>
        <w:spacing w:after="0" w:line="3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is a reconciliation of the beginning and ending balance of the liabilities measured at fair value using significant unobservable inputs (Level 3) during the six months ended June 30,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40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Expense (income) included in earnings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Settlements</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(1,019)</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and issuances</w:t>
            </w:r>
          </w:p>
        </w:tc>
        <w:tc>
          <w:tcPr>
            <w:tcW w:w="3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Transfers in/(out) of Level 3</w:t>
            </w:r>
          </w:p>
        </w:tc>
        <w:tc>
          <w:tcPr>
            <w:tcW w:w="3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36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Separate disclosure is required for assets and liabilities measured at fair value on a recurring basis, as documented above, from those measured at fair value on a nonrecurring basis. As of June 30, 2014, the Company had no assets or liabilities that were measured at fair value on a nonrecurring basis except for the assts acquired and liabilities assumed as part of the Cangene acquisition (See Note 2). As of June 30, 2013, the Company had no assets or liabilities that were measured at fair value on a nonrecurring basis.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Inventories consist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66,030</w:t>
            </w:r>
          </w:p>
        </w:tc>
        <w:tc>
          <w:tcPr>
            <w:tcW w:w="4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14,643</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Intangible assets, in-process research and development and goodwill</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June 30, 2014, the Company had $50.3 million of IPR&amp;D assets, which are included in the Biosciences business segment. This includes $41.8 million related to the Company's otlertuzumab product candidate and $8.5 million related to the Company's IXINITY product candidate. On July 29, 2014, the U.S. Food and Drug Administration ("FDA") issued a complete response letter for the New Drug Application ("NDA") of IXINITY. The complete response letter requested additional analyses of data from completed studies and noted deficiencies in the chemistry, manufacturing, and controls section of the license application, all of which must be resolved before approval can be granted by FDA. The Company determined that the FDA's response to its NDA is a potential indicator of impairment of the related IXINITY IPR&amp;D asset. However, the Company has not yet completed its interim impairment assesment. The Company has determined the potential range of impairment could be from zero to the carrying value of the IXINITY IPR&amp;D asset.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gridSpan w:val="7"/>
          </w:tcPr>
          <w:p>
            <w:pPr>
              <w:ind w:left="640"/>
              <w:spacing w:after="0"/>
              <w:rPr>
                <w:sz w:val="20"/>
                <w:szCs w:val="20"/>
                <w:color w:val="auto"/>
              </w:rPr>
            </w:pPr>
            <w:r>
              <w:rPr>
                <w:rFonts w:ascii="Arial" w:cs="Arial" w:eastAsia="Arial" w:hAnsi="Arial"/>
                <w:sz w:val="18"/>
                <w:szCs w:val="18"/>
                <w:color w:val="auto"/>
              </w:rPr>
              <w:t>Intangible assets consist of the following:</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8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Marketed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Licensed</w:t>
            </w:r>
          </w:p>
        </w:tc>
        <w:tc>
          <w:tcPr>
            <w:tcW w:w="8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6"/>
              </w:rPr>
              <w:t>Biodefense</w:t>
            </w:r>
          </w:p>
        </w:tc>
        <w:tc>
          <w:tcPr>
            <w:tcW w:w="160" w:type="dxa"/>
            <w:vAlign w:val="bottom"/>
          </w:tcPr>
          <w:p>
            <w:pPr>
              <w:spacing w:after="0"/>
              <w:rPr>
                <w:sz w:val="21"/>
                <w:szCs w:val="21"/>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Contract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RSDL</w:t>
            </w: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Agreement</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Tradename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Products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basis</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rPr>
              <w:t>2013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28,621</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2,800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8,300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20,400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72,499</w:t>
            </w:r>
          </w:p>
        </w:tc>
        <w:tc>
          <w:tcPr>
            <w:tcW w:w="0" w:type="dxa"/>
            <w:vAlign w:val="bottom"/>
          </w:tcPr>
          <w:p>
            <w:pPr>
              <w:spacing w:after="0"/>
              <w:rPr>
                <w:sz w:val="1"/>
                <w:szCs w:val="1"/>
                <w:color w:val="auto"/>
              </w:rPr>
            </w:pPr>
          </w:p>
        </w:tc>
      </w:tr>
      <w:tr>
        <w:trPr>
          <w:trHeight w:val="21"/>
        </w:trPr>
        <w:tc>
          <w:tcPr>
            <w:tcW w:w="2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40" w:type="dxa"/>
            <w:vAlign w:val="bottom"/>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book value at June 30,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19,798</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600" w:type="dxa"/>
            <w:vAlign w:val="bottom"/>
            <w:gridSpan w:val="7"/>
          </w:tcPr>
          <w:p>
            <w:pPr>
              <w:ind w:left="640"/>
              <w:spacing w:after="0"/>
              <w:rPr>
                <w:sz w:val="20"/>
                <w:szCs w:val="20"/>
                <w:color w:val="auto"/>
              </w:rPr>
            </w:pPr>
            <w:r>
              <w:rPr>
                <w:rFonts w:ascii="Arial" w:cs="Arial" w:eastAsia="Arial" w:hAnsi="Arial"/>
                <w:sz w:val="18"/>
                <w:szCs w:val="18"/>
                <w:color w:val="auto"/>
              </w:rPr>
              <w:t>The following table is a reconciliation of goodwill:</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basis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13,954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29, 2014, the Company issued $250.0 million aggregate principal amount of 2.875% Convertible Senior Notes due 2021 (the "Notes"). The Notes bear interest at a rate of 2.875% per year, payable semi-annually in arrears on January 15 and July 15 of each year, commencing July 15, 2014. The Notes mature on January 15, 2021, unless earlier purchased by the Company, redeemed or converted. The conversion rate is equal to 30.8821 shares of common stock per $1,000 principal amount of notes (which is equivalent to an initial conversion price of approximately $32.38 per share of common stock). The conversion rate is subject to adjustment upon the occurrence of certain specified events but will not be adjusted for accrued and unpaid interest. The Company incurred approximately $8.3 million in debt issuance costs associated with the Notes, which has been capitalized on the consolidated balance sheets and is being amortized over seven years, using the effective interest method.</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11, 2013, the Company entered into a senior secured credit agreement (the "Credit Agreement") with three lending financial institutions (the "Lenders"), led by Bank of America, N.A., as administrative agent. The Credit Agreement originally provided for a revolving credit facility of up to $100 million through December 11, 2018 (or such earlier date required by the terms of the Credit Agreement) and a term loan facility of up to $125 million to be drawn in full, if at all, on or prior to March 31, 2014. In connection with the Credit Agreement, the Company borrowed $62.0 million under the revolving credit facility primarily to repay obligations under existing loan agreements. On January 29, 2014, in connection with the Company's issuance of the Notes, the unused $125 million term loan portion of the Credit Agreement terminated automatically in accordance with the terms of the Credit Agreement. In addition, following the closing of the Notes offering, the Company repaid the $62.0 million outstanding indebtedness under the revolving credit facility, which restored the full $100 million revolving credit capacity under this facility. In addition, during the six months ended June 30, 2014, the Company expensed $1.8 million of debt issuance cost associated with the term loan facility. As of June 30, 2014, no amounts were drawn under the revolving credit facility.</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payment obligations under the Credit Agreement are secured by a lien on substantially all of the Company's assets, including the stock of all of the Company's subsidiaries, and the assets of the subsidiary guarantors, including mortgages over certain of their real properties, including the Company's large-scale vaccine manufacturing facility in Lansing, Michigan and the Company's product development and manufacturing facility in Baltimore, Maryland.</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Agreement, as amended, contains affirmative and negative covenants customary for financings of this type. Negative covenants in the Credit Agreement limit the Company's ability to, among other things: incur indebtedness (other than the issuance of the Notes)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period ending on or prior to September 30, 2014 of 4.00 to 1.00, for the measurement period ending December 31, 2014 of 3.75 to 1.00, and thereafter of 3.50 to 1.00, (3) a maximum consolidated senior leverage ratio of 2.00 to 1.00 (when no term loan is outstanding) and (4) a minimum liquidity requirement of $50 million. Upon the occurrence and</w:t>
      </w:r>
    </w:p>
    <w:p>
      <w:pPr>
        <w:sectPr>
          <w:pgSz w:w="11900" w:h="16838" w:orient="portrait"/>
          <w:cols w:equalWidth="0" w:num="1">
            <w:col w:w="11420"/>
          </w:cols>
          <w:pgMar w:left="240" w:top="364" w:right="239" w:bottom="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continuance of an event of default under the Credit Agreement, the commitments of the lenders to make loans under the Credit Agreement may be terminated and the Company's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awards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2014, the Company had two stock-based employee compensation plans, the Third Amended and Restated Emergent BioSolutions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2006 Stock Incentive Plan (the "2006 Plan") and the Emergent BioSolutions Employee Stock Option Plan (the "2004 Plan") (together, the "Emergent Plans").</w:t>
      </w:r>
    </w:p>
    <w:p>
      <w:pPr>
        <w:spacing w:after="0" w:line="2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22, 2014, the Company's shareholders approved an amendment to the 2006 Plan, which increased the number of shares of common stock available for issuance under plan awards by 4,000,000. As part of this amendment, awards of restricted stock units after May 22, 2014 are counted against the maximum aggregate number of shares of common stock available for issuance under the 2006 Plan as 2.3 shares of common stock for every one restricted stock unit granted. The maximum number of shares subject to awards that may be granted per year under the 2006 Plan to a single participant is 1,000,000.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60" w:type="dxa"/>
            <w:vAlign w:val="bottom"/>
            <w:gridSpan w:val="9"/>
          </w:tcPr>
          <w:p>
            <w:pPr>
              <w:ind w:left="480"/>
              <w:spacing w:after="0"/>
              <w:rPr>
                <w:sz w:val="20"/>
                <w:szCs w:val="20"/>
                <w:color w:val="auto"/>
              </w:rPr>
            </w:pPr>
            <w:r>
              <w:rPr>
                <w:rFonts w:ascii="Arial" w:cs="Arial" w:eastAsia="Arial" w:hAnsi="Arial"/>
                <w:sz w:val="18"/>
                <w:szCs w:val="18"/>
                <w:color w:val="auto"/>
              </w:rPr>
              <w:t>The following is a summary of stock option award activity under the Emergent Plans: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780" w:type="dxa"/>
            <w:vAlign w:val="bottom"/>
            <w:gridSpan w:val="8"/>
          </w:tcPr>
          <w:p>
            <w:pPr>
              <w:ind w:left="900"/>
              <w:spacing w:after="0"/>
              <w:rPr>
                <w:sz w:val="20"/>
                <w:szCs w:val="20"/>
                <w:color w:val="auto"/>
              </w:rPr>
            </w:pPr>
            <w:r>
              <w:rPr>
                <w:rFonts w:ascii="Arial" w:cs="Arial" w:eastAsia="Arial" w:hAnsi="Arial"/>
                <w:sz w:val="18"/>
                <w:szCs w:val="18"/>
                <w:b w:val="1"/>
                <w:bCs w:val="1"/>
                <w:color w:val="auto"/>
              </w:rPr>
              <w:t>2006 Plan</w:t>
            </w:r>
          </w:p>
        </w:tc>
        <w:tc>
          <w:tcPr>
            <w:tcW w:w="25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2004 Plan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3,639,995</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23,148,738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1,099,271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27.55</w:t>
            </w:r>
          </w:p>
        </w:tc>
        <w:tc>
          <w:tcPr>
            <w:tcW w:w="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(596,955)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13.63</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(57,867)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18.47</w:t>
            </w:r>
          </w:p>
        </w:tc>
        <w:tc>
          <w:tcPr>
            <w:tcW w:w="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4,084,444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53,156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17,771,557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Exercisable at June 30, 2014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2,128,797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17.72</w:t>
            </w:r>
          </w:p>
        </w:tc>
        <w:tc>
          <w:tcPr>
            <w:tcW w:w="40" w:type="dxa"/>
            <w:vAlign w:val="bottom"/>
          </w:tcPr>
          <w:p>
            <w:pPr>
              <w:spacing w:after="0"/>
              <w:rPr>
                <w:sz w:val="18"/>
                <w:szCs w:val="18"/>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53,156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11,617,808</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7460" w:type="dxa"/>
            <w:vAlign w:val="bottom"/>
            <w:gridSpan w:val="9"/>
          </w:tcPr>
          <w:p>
            <w:pPr>
              <w:ind w:left="640"/>
              <w:spacing w:after="0"/>
              <w:rPr>
                <w:sz w:val="20"/>
                <w:szCs w:val="20"/>
                <w:color w:val="auto"/>
              </w:rPr>
            </w:pPr>
            <w:r>
              <w:rPr>
                <w:rFonts w:ascii="Arial" w:cs="Arial" w:eastAsia="Arial" w:hAnsi="Arial"/>
                <w:sz w:val="18"/>
                <w:szCs w:val="18"/>
                <w:color w:val="auto"/>
                <w:w w:val="99"/>
              </w:rPr>
              <w:t>The following is a summary of restricted stock unit award activity under the 2006 Plan: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Grant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792,626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18,246,611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549,637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(331,864)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(28,034)</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982,365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22,063,918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2008, the Company entered into a collaboration with the University of Oxford ("Oxford") and certain Oxford researchers to advance a vaccine product candidate for tuberculosis, resulting in the formation of the Oxford-Emergent Tuberculosis Consortium ("OETC"). The Company liquidated OETC during the six month period ending June 30, 2014. In addition, the Company recorded an adjustment related to noncontrolling interest of $453,000 due to the liquidation. This expense was recorded as selling, general and administrative expense within the Company's Biosciences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 periods ended June 30, 2014 and 2013, basic earnings per share is computed by dividing net income (loss) by the weighted average number of shares of common stock outstanding during the period.</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three and six month periods ended June 30, 2014, diluted earnings per share is computed using the if-converted method by dividing the adjusted net income (loss) by the weighted average number of shares of common stock outstanding during the period. The adjusted net income (loss) is adjusted for interest expense and amortization of debt issuance cost, both net of tax, associated with the Company's Notes. The weighted average number of shares-diluted is adjusted for the potential dilutive effect of the exercise of stock options and the vesting of restricted stock units along with the assumption of the conversion of the convertible obligations, at the beginning of the period.</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and six months ended June 30, 2013, diluted earnings per share is computed using the treasury method by dividing net income (loss) by the weighted average number of shares of common stock outstanding during the period, adjusted for the potential dilutive effect of other securities if such securities were converted or exercised.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(loss) per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r>
      <w:tr>
        <w:trPr>
          <w:trHeight w:val="24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5,029</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(15,207)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applicable to convertible debt, net of tax</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Amortization of debt issuance costs, net of tax</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shares—basic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37,416,554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36,144,063</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37,137,015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36,056,297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Dilutive securities—equity awards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916,871</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382,951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Dilutive securities—convertible debt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shares—diluted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38,333,425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36,527,014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37,137,015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36,247,773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(loss) per share-diluted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2014 there were no adjustments to adjusted net income (loss) or dilutive securities associated with the Company's Notes as such adjustments would have been anti-dilutive. For the six months ended June 30, 2014, outstanding stock options to purchase approximately 5,100,000.0 million shares of common stock, along with 8.1 million shares related to the Company's convertible debt, were excluded from the calculation of diluted earnings per share because of the adjusted net loss incurred for the six months ended June 30, 2014 would make these awards anti-dilutive.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 options with exercise prices in excess of the average per share closing price during the period are not considered in the calculation of fully diluted earnings per share. For the three months ended June 30, 2014, approximately 1.5 million were excluded from the calculation of diluted earnings per share. For the three and six month periods ended June 30, 2013, approximately 3.5 million and 2.7 million stock options were excluded from the calculation of diluted earnings per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financial reporting purposes, the Company reports financial information for two business segments: Biodefense and Biosciences. The Company's two business segments, or divisions, engage in business activities for which discrete financial information and allocation resources are reviewed by the chief operating decision maker. The accounting policies of the reportable segments are the same as those described in the summary of significant accounting policies. The Company's reportable segments are business units that offer different products and product candidates and are managed separately because they manufacture and develop distinct products with different manufacturing and development processes, along with having seperate and distinct sales and marketing processes.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Biodefense division is a specialty biopharmaceutical business focused on countermeasures that address Chemical, Biological, Radiological and Nuclear ("CBRN") threats and consists of two business units: vaccines and therapeutics, and medical devices. Revenues in this segment are primarily from sales of the Company's FDA-licensed product, BioThrax® (Anthrax Vaccine Adsorbed), to the U.S. government. The Biosciences division is directed to commercial opportunities and primarily targets hematology/oncology, transplantation and infectious diseases, and consists of two business units, therapeutics and vaccines. The "All Other" segment relates to the general operating costs of the Company and includes costs of the centralized services departments, which are not allocated to the other segments, as well as spending on activities that are not classified as Biodefense or Biosciences.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Reportable Segments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Biodefense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Biosciences</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All Other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2014</w:t>
            </w:r>
          </w:p>
        </w:tc>
        <w:tc>
          <w:tcPr>
            <w:tcW w:w="1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External revenue</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91,103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19,222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Three Months Ended June 30, 2013</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External revenue</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24,996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(14,156)</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10,484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2014</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External revenue</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138,542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25,667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(34,510)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Six Months Ended June 30, 2013</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income (loss)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(25,528)</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financing, includes forward-looking statements that involve risks and uncertainties. You should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Emergent BioSolutions Inc. is a specialty biopharmaceutical company seeking to protect and enhance life by offering specialized products to healthcare providers and governments for use in addressing medical needs and emerging health threats. We have two operating divisions: Biodefense and Biosciences. For financial reporting purposes, we operate in two business segments that correspond to these two divisions.</w:t>
      </w:r>
    </w:p>
    <w:p>
      <w:pPr>
        <w:spacing w:after="0" w:line="19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On February 21, 2014, we acquired Cangene Corporation, or Cangene, for approximately $222 million. As part of the acquisition, we received the following revenue-generating products: BAT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[Botulism Antitoxin Heptavalent (A, B, C, D, E, F, G)-Equine], AIGIV (Anthrax Immune Globulin Intravenous (Human)) and VIGIV (Vaccinia Immune Globulin Intravenous (Human)) in the Biodefense segment; and WinRho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SDF [Rh</w:t>
      </w:r>
      <w:r>
        <w:rPr>
          <w:rFonts w:ascii="Arial" w:cs="Arial" w:eastAsia="Arial" w:hAnsi="Arial"/>
          <w:sz w:val="28"/>
          <w:szCs w:val="28"/>
          <w:color w:val="auto"/>
          <w:vertAlign w:val="subscript"/>
        </w:rPr>
        <w:t>o</w:t>
      </w:r>
      <w:r>
        <w:rPr>
          <w:rFonts w:ascii="Arial" w:cs="Arial" w:eastAsia="Arial" w:hAnsi="Arial"/>
          <w:sz w:val="17"/>
          <w:szCs w:val="17"/>
          <w:color w:val="auto"/>
        </w:rPr>
        <w:t>(D) Immune</w:t>
      </w:r>
    </w:p>
    <w:p>
      <w:pPr>
        <w:sectPr>
          <w:pgSz w:w="11900" w:h="16838" w:orient="portrait"/>
          <w:cols w:equalWidth="0" w:num="1">
            <w:col w:w="11420"/>
          </w:cols>
          <w:pgMar w:left="240" w:top="356" w:right="239" w:bottom="0" w:gutter="0" w:footer="0" w:header="0"/>
        </w:sectPr>
      </w:pPr>
    </w:p>
    <w:bookmarkStart w:id="14" w:name="page15"/>
    <w:bookmarkEnd w:id="14"/>
    <w:p>
      <w:pPr>
        <w:jc w:val="both"/>
        <w:spacing w:after="0" w:line="210" w:lineRule="auto"/>
        <w:rPr>
          <w:sz w:val="20"/>
          <w:szCs w:val="20"/>
          <w:color w:val="auto"/>
        </w:rPr>
      </w:pPr>
      <w:r>
        <w:rPr>
          <w:rFonts w:ascii="Arial" w:cs="Arial" w:eastAsia="Arial" w:hAnsi="Arial"/>
          <w:sz w:val="18"/>
          <w:szCs w:val="18"/>
          <w:color w:val="auto"/>
        </w:rPr>
        <w:t>Globulin Intravenous (Human)], HepaGam B</w:t>
      </w:r>
      <w:r>
        <w:rPr>
          <w:rFonts w:ascii="Arial" w:cs="Arial" w:eastAsia="Arial" w:hAnsi="Arial"/>
          <w:sz w:val="30"/>
          <w:szCs w:val="30"/>
          <w:color w:val="auto"/>
          <w:vertAlign w:val="superscript"/>
        </w:rPr>
        <w:t>®</w:t>
      </w:r>
      <w:r>
        <w:rPr>
          <w:rFonts w:ascii="Arial" w:cs="Arial" w:eastAsia="Arial" w:hAnsi="Arial"/>
          <w:sz w:val="18"/>
          <w:szCs w:val="18"/>
          <w:color w:val="auto"/>
        </w:rPr>
        <w:t xml:space="preserve"> (Hepatitis B Immune Globulin Intravenous (Human)), VARIZIG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(Varicella Zoster Immune Globulin (Human)) and episil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Biosciences segment.</w:t>
      </w:r>
    </w:p>
    <w:p>
      <w:pPr>
        <w:spacing w:after="0" w:line="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Biodefense division is a specialty biopharmaceutical business focused on countermeasures (vaccines, therapeutics and medical devices) that address Chemical, Biological, Radiological and Nuclear, or CBRN, threats. The U.S. government is the primary purchaser of our Biodefense products, and often provides us with substantial funding for the development of our Biodefense product candidates. Our Biodefense product portfolio consists of five revenue-generating products, including BioThrax® (Anthrax Vaccine Adsorbed), the only vaccine approved by the U.S. Food and Drug Administration, or the FDA, for the prevention of anthrax disease, RSDL® (KBDO individual use skin decontamination packet), BAT, AIGIV and VIGIV, and various investigational stage product candidates. Operations that support this division include manufacturing, medical affairs, regulatory affairs, quality assurance, quality control, international sales and marketing, and domestic government affairs in support of our marketed products, as well as product development and manufacturing infrastructure in support of our investigational stage product candidates.</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Biosciences division is a specialty biopharmaceutical business focused on therapeutics and vaccines in hematology/oncology, transplantation and infectious disease. Our Biosciences portfolio consists of four revenue-generating products, including WinRho, HepaGam B, VARIZIG, and episil®, as well as various investigational stage product candidates and a contract manufacturing services business, which we acquired in our recent acquisition of Cangene. Operations that support this division include manufacturing, quality, regulatory, medical affairs, and sales and marketing in support of our marketed products, as well as additional product development capabilities in support of our investigational stage product candidates.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Biodefense segment has generated net income for each of the last five fiscal years. Over this same time frame, our Biosciences segment has generated revenue through development contracts and collaborative funding, but has not generated any product sales revenues. As a result, our Biosciences segment has incurred a net loss for each of the last five fiscal years.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Sales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derived the majority of our historical product sales revenues from BioThrax sales to the U.S. government. We are currently a party to a contract with the Centers for Disease Control and Prevention, or CDC, an operating division of the U.S. Department of Health and Human Services, or HHS, to supply up to 44.75 million doses of BioThrax for placement into the Strategic National Stockpile, or SNS, over a five-year period ending September 30, 2016. We expect to continue to derive a majority of product sales revenues from our sales of BioThrax to the U.S. government. Our total revenues from BioThrax sales were $92.0 million and $96.0 million for the six months ended June 30, 2014 and 2013, respectively. We are focused on the following:</w:t>
      </w:r>
    </w:p>
    <w:p>
      <w:pPr>
        <w:spacing w:after="0" w:line="15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sales for our Biodefense products to U.S. government customers;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the market for our product portfoilio to other customers domestically and internationally.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provide contract manufacturing services, including biopharmaceutical product development and filling services for injectable and other sterile products, as well as process design, technology transfer, manufacturing validation, laboratory support, aseptic filling, lyophilization and accelerated and ongoing stability studies. We produce finished units of commercial drugs for a variety of customers ranging from small biopharmceutical companies to major multinationals. We are focused on increasing services to third party biopharmecutical companies, both domestically and internationally.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seek to advance development of our product candidates through external funding arrangements. We may slow down development programs or place them on hold during periods that are not covered by external funding. In addition, we perform certain ongoing product-related services for which we receive funding. We have received funding from the U.S. government for the following programs:</w:t>
      </w:r>
    </w:p>
    <w:p>
      <w:pPr>
        <w:spacing w:after="0" w:line="181"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BioThrax as a post-exposure prophylaxis, or PEP;</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NuThrax;</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Large-scale manufacturing for BioThrax;</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PreviThrax;</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AIGIV;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VIGIV.</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actively pursue additional government sponsored development contracts and grants and commercial collaborative relationships. We also encourage both governmental and non-governmental agencies and philanthropic organizations to provide funding for non-clinical activities and to conduct clinical studies of our product candidates.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entered into a contract with the CDC effective as of September 30, 2011 to supply up to 44.75 million doses of BioThrax to the CDC over a five-year period. The period of performance under the award is from September 30, 2011 through September 30, 2016. The maximum amount that could be paid to us under the contract is up to $1.25 billion, subject to availability of funding by the U.S. government. To date, the U.S. government has committed approximately $704 million for the procurement of BioThrax doses under this contract. Through June 30, 2014, we have delivered and, upon CDC acceptance, recognized revenue on approximately 21 million doses, representing approximately $570 million in revenue under this contract.</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received contract and grant funding from the CDC, National Institute of Allergy and Infectious Diseases, or NIAID, and the Biomedical Advanced Research and Development Authority, or BARDA, for the following development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Development Programs</w:t>
            </w:r>
          </w:p>
        </w:tc>
        <w:tc>
          <w:tcPr>
            <w:tcW w:w="29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Funding Source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 Date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Performance Period</w:t>
            </w: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rPr>
              <w:t>Post-Exposure Prophylaxis indication for BioThrax</w:t>
            </w:r>
          </w:p>
        </w:tc>
        <w:tc>
          <w:tcPr>
            <w:tcW w:w="2900" w:type="dxa"/>
            <w:vAlign w:val="bottom"/>
          </w:tcPr>
          <w:p>
            <w:pPr>
              <w:ind w:left="1400"/>
              <w:spacing w:after="0" w:line="201" w:lineRule="exact"/>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0"/>
              </w:rPr>
              <w:t>9/2007</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1"/>
              </w:rPr>
              <w:t>9/2007 — 3/2016</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Large-scale manufacturing for BioThrax</w:t>
            </w:r>
          </w:p>
        </w:tc>
        <w:tc>
          <w:tcPr>
            <w:tcW w:w="2900" w:type="dxa"/>
            <w:vAlign w:val="bottom"/>
          </w:tcPr>
          <w:p>
            <w:pPr>
              <w:ind w:left="1400"/>
              <w:spacing w:after="0"/>
              <w:rPr>
                <w:sz w:val="20"/>
                <w:szCs w:val="20"/>
                <w:color w:val="auto"/>
              </w:rPr>
            </w:pPr>
            <w:r>
              <w:rPr>
                <w:rFonts w:ascii="Arial" w:cs="Arial" w:eastAsia="Arial" w:hAnsi="Arial"/>
                <w:sz w:val="18"/>
                <w:szCs w:val="18"/>
                <w:color w:val="auto"/>
              </w:rPr>
              <w:t>BARDA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0"/>
              </w:rPr>
              <w:t>7/2010</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7/2010 — 7/2016</w:t>
            </w:r>
          </w:p>
        </w:tc>
      </w:tr>
    </w:tbl>
    <w:p>
      <w:pPr>
        <w:sectPr>
          <w:pgSz w:w="11900" w:h="16838" w:orient="portrait"/>
          <w:cols w:equalWidth="0" w:num="1">
            <w:col w:w="11420"/>
          </w:cols>
          <w:pgMar w:left="240" w:top="116"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NuThrax</w:t>
            </w:r>
          </w:p>
        </w:tc>
        <w:tc>
          <w:tcPr>
            <w:tcW w:w="4180" w:type="dxa"/>
            <w:vAlign w:val="bottom"/>
          </w:tcPr>
          <w:p>
            <w:pPr>
              <w:ind w:left="2860"/>
              <w:spacing w:after="0"/>
              <w:rPr>
                <w:sz w:val="20"/>
                <w:szCs w:val="20"/>
                <w:color w:val="auto"/>
              </w:rPr>
            </w:pPr>
            <w:r>
              <w:rPr>
                <w:rFonts w:ascii="Arial" w:cs="Arial" w:eastAsia="Arial" w:hAnsi="Arial"/>
                <w:sz w:val="18"/>
                <w:szCs w:val="18"/>
                <w:color w:val="auto"/>
              </w:rPr>
              <w:t>NIAID</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7/2010</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8/2010 — 4/2015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PreviThrax</w:t>
            </w:r>
          </w:p>
        </w:tc>
        <w:tc>
          <w:tcPr>
            <w:tcW w:w="4180" w:type="dxa"/>
            <w:vAlign w:val="bottom"/>
          </w:tcPr>
          <w:p>
            <w:pPr>
              <w:ind w:left="286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9/2010</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9/2010 — 9/2015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CIADM</w:t>
            </w:r>
          </w:p>
        </w:tc>
        <w:tc>
          <w:tcPr>
            <w:tcW w:w="4180" w:type="dxa"/>
            <w:vAlign w:val="bottom"/>
          </w:tcPr>
          <w:p>
            <w:pPr>
              <w:ind w:left="286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6/2012</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6/2012 — 6/2037</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BAT</w:t>
            </w:r>
          </w:p>
        </w:tc>
        <w:tc>
          <w:tcPr>
            <w:tcW w:w="4180" w:type="dxa"/>
            <w:vAlign w:val="bottom"/>
          </w:tcPr>
          <w:p>
            <w:pPr>
              <w:ind w:left="2860"/>
              <w:spacing w:after="0"/>
              <w:rPr>
                <w:sz w:val="20"/>
                <w:szCs w:val="20"/>
                <w:color w:val="auto"/>
              </w:rPr>
            </w:pPr>
            <w:r>
              <w:rPr>
                <w:rFonts w:ascii="Arial" w:cs="Arial" w:eastAsia="Arial" w:hAnsi="Arial"/>
                <w:sz w:val="18"/>
                <w:szCs w:val="18"/>
                <w:color w:val="auto"/>
              </w:rPr>
              <w:t>CDC</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1/2003</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1/2003 — 1/2015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BAT</w:t>
            </w:r>
          </w:p>
        </w:tc>
        <w:tc>
          <w:tcPr>
            <w:tcW w:w="4180" w:type="dxa"/>
            <w:vAlign w:val="bottom"/>
          </w:tcPr>
          <w:p>
            <w:pPr>
              <w:ind w:left="286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5/2006</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5/2006 — 5/2026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AIGIV</w:t>
            </w:r>
          </w:p>
        </w:tc>
        <w:tc>
          <w:tcPr>
            <w:tcW w:w="4180" w:type="dxa"/>
            <w:vAlign w:val="bottom"/>
          </w:tcPr>
          <w:p>
            <w:pPr>
              <w:ind w:left="286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9/2005</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9/2005 — 4/2021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AIGIV</w:t>
            </w:r>
          </w:p>
        </w:tc>
        <w:tc>
          <w:tcPr>
            <w:tcW w:w="4180" w:type="dxa"/>
            <w:vAlign w:val="bottom"/>
          </w:tcPr>
          <w:p>
            <w:pPr>
              <w:ind w:left="286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9/2002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9/2002 — 12/2015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AIGIV</w:t>
            </w:r>
          </w:p>
        </w:tc>
        <w:tc>
          <w:tcPr>
            <w:tcW w:w="4180" w:type="dxa"/>
            <w:vAlign w:val="bottom"/>
          </w:tcPr>
          <w:p>
            <w:pPr>
              <w:ind w:left="2860"/>
              <w:spacing w:after="0"/>
              <w:rPr>
                <w:sz w:val="20"/>
                <w:szCs w:val="20"/>
                <w:color w:val="auto"/>
              </w:rPr>
            </w:pPr>
            <w:r>
              <w:rPr>
                <w:rFonts w:ascii="Arial" w:cs="Arial" w:eastAsia="Arial" w:hAnsi="Arial"/>
                <w:sz w:val="18"/>
                <w:szCs w:val="18"/>
                <w:color w:val="auto"/>
              </w:rPr>
              <w:t>BARDA</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9/2013</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1"/>
              </w:rPr>
              <w:t>9/2013 — 9/2018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VIGIV</w:t>
            </w:r>
          </w:p>
        </w:tc>
        <w:tc>
          <w:tcPr>
            <w:tcW w:w="4180" w:type="dxa"/>
            <w:vAlign w:val="bottom"/>
          </w:tcPr>
          <w:p>
            <w:pPr>
              <w:ind w:left="2860"/>
              <w:spacing w:after="0"/>
              <w:rPr>
                <w:sz w:val="20"/>
                <w:szCs w:val="20"/>
                <w:color w:val="auto"/>
              </w:rPr>
            </w:pPr>
            <w:r>
              <w:rPr>
                <w:rFonts w:ascii="Arial" w:cs="Arial" w:eastAsia="Arial" w:hAnsi="Arial"/>
                <w:sz w:val="18"/>
                <w:szCs w:val="18"/>
                <w:color w:val="auto"/>
              </w:rPr>
              <w:t>CDC</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8/2012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8/2012 — 12/2015</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 operating results and profitability have varied, and we expect they will continue to vary on a quarterly basis, primarily due to the timing of sales of our products and the timing of reimbursement under our contracts and grants.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primary expense that we incur to deliver our vaccines and therapeutics to our customers is manufacturing cost,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manufacturing cost per unit in the period those units were manufactured. In addition to the fixed and variable manufacturing costs described above, the cost of product sales depends on utilization of available manufacturing capacity.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primary expense that we incur to deliver our medical device, RSDL, to our customers is the cost per unit of production from our third-party contract manufacturer. Other associated expenses include sales-based royalties, amortization of intangible assets, shipping, logistics and the cost of support functions.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personnel-related expenses;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analytical testing, independent monitoring or other administration of our non-clinical studies and clinical trials; and obtaining and evaluating data from our clinical trials and non-clinical studies;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contract manufacturing services for clinical trial material;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materials used in clinical trials and research and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of capital assets used to develop our products;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operating costs, such as the operating costs of facilities and the legal costs of pursuing patent protection of our intellectual property.</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focus our product development efforts on promising late-stage candidates that we believe satisfy well-defined criteria and seek to utilize collaborations or non-dilutive funding. We plan to seek funding for development activities from external sources and third parties, such as governments and non-governmental organizations, including commerical partners. We expect that our research and development spending will be dependent upon such factors as the results from our clinical trials, the availability of reimbursement of research and development spending, the number of product candidates under development, the size, structure and duration of any follow-on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general and administrative expenses consist primarily of personnel-related costs and professional fees in support of our executive, sales and marketing, business development, government affairs, finance, accounting, information technology, legal and human resource functions. Other costs include facility costs not otherwise included in cost of product sales and contract manufacturing or research and development expense.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intangible asset associated with in-process research and development, or IPR&amp;D, acquired from Cangene, is the IXINITY product candidate. As part of the preliminary purchase price allocation with respect to the Cangene acquisition, management determined that the estimated acquisition date fair value related to IPR&amp;D was $8.5 million. The estimated fair value was determined using the income approach, which discounts expected future cash flows to present value. We estimated the fair value using a present value discount rate of 16%, which is based on the estimated weighted-average cost of capital for companies with profiles substantially similar to that of Cangene. This is comparable to the estimated internal rate of return for the acquisition and represents the rate that market participants would use to value the IPR&amp;D. The projected cash flows from the IPR&amp;D projects were based on key assumptions, including: estimates of revenues and operating profits related to each project considering its stage of development on the acquisition date; the time and resources needed to complete the development and approval of the product candidate; the life of the potential commercialized product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 IPR&amp;D assets will be considered to be indefinite-lived until the completion or abandonment of the associated research and development efforts.</w:t>
      </w:r>
    </w:p>
    <w:p>
      <w:pPr>
        <w:spacing w:after="0" w:line="20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July 29, 2014, the U.S. Food and Drug Administration ("FDA") issued a complete response letter for the New Drug Application ("NDA") of IXINITY. The complete response letter requested additional analyses of data from completed studies and noted deficiencies in the chemistry, manufacturing, and controls section of the license application, all of which must be resolved before approval can be granted by FDA. We determined the FDA's response to our NDA is a potential indicator of impairment of the related IXINITY IPR&amp;D asset. However, we have not yet completed our interim impairment assesment. We have determined the potential range of impairment could be from zero to the carrying value of the IXINITY IPR&amp;D asset.</w:t>
      </w:r>
    </w:p>
    <w:p>
      <w:pPr>
        <w:sectPr>
          <w:pgSz w:w="11900" w:h="16838" w:orient="portrait"/>
          <w:cols w:equalWidth="0" w:num="1">
            <w:col w:w="11420"/>
          </w:cols>
          <w:pgMar w:left="240" w:top="125" w:right="239" w:bottom="94" w:gutter="0" w:footer="0" w:header="0"/>
        </w:sectPr>
      </w:pPr>
    </w:p>
    <w:p>
      <w:pPr>
        <w:spacing w:after="0" w:line="18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Inventory Step-up</w:t>
      </w:r>
    </w:p>
    <w:p>
      <w:pPr>
        <w:sectPr>
          <w:pgSz w:w="11900" w:h="16838" w:orient="portrait"/>
          <w:cols w:equalWidth="0" w:num="1">
            <w:col w:w="11420"/>
          </w:cols>
          <w:pgMar w:left="240" w:top="125" w:right="239" w:bottom="94" w:gutter="0" w:footer="0" w:header="0"/>
          <w:type w:val="continuous"/>
        </w:sectPr>
      </w:pPr>
    </w:p>
    <w:bookmarkStart w:id="16" w:name="page17"/>
    <w:bookmarkEnd w:id="16"/>
    <w:p>
      <w:pPr>
        <w:jc w:val="both"/>
        <w:ind w:firstLine="648"/>
        <w:spacing w:after="0" w:line="259" w:lineRule="auto"/>
        <w:rPr>
          <w:sz w:val="20"/>
          <w:szCs w:val="20"/>
          <w:color w:val="auto"/>
        </w:rPr>
      </w:pPr>
      <w:r>
        <w:rPr>
          <w:rFonts w:ascii="Arial" w:cs="Arial" w:eastAsia="Arial" w:hAnsi="Arial"/>
          <w:sz w:val="18"/>
          <w:szCs w:val="18"/>
          <w:color w:val="auto"/>
        </w:rPr>
        <w:t>As part of the preliminary purchase price allocation with respect to the Cangene acquisition, management determined that acquired inventory includes a $6.2 million adjustment to record inventory at fair value, referred to as a step-up adjustment. The $6.2 million step-up was estimated to be amortized through cost of product sales and contract manufacturing over the next five years based on estimated inventory turnover, which will increase costs of product sales and contract manufacturing during such period.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revenues and expenses. During the six months ended June 30, 2014, there have been no significant changes to our summary of significant accounting policies, contained in the our Annual Report on Form 10-K for the year ended December 31, 2013, as filed with the Securities and Exchange Commission, or SEC, except for additions to our accounting policy for revenue recognition related to the Cangene acquisition.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revenues from product sales if four basic criteria have been met:</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delivery has occurred or title has passed to our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fee is fixed or determinable;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collectibility is reasonably assured.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revenues from product sales are recorded net of applicable allowances for sales returns, rebates, special promotional programs, and discounts. We estimate allowances for deductions from revenue using a combination of information received from third parties including market data, inventory reports from major wholesalers, historical information and analysis. These estimates are subject to the inherent limitations of estimates that rely on third-party data, as certain third-party information may itself rely on estimates and reflect other limitations. Provisions for estimated rebates and other allowances, such as discounts and promotional and other credits, are estimated based on historical payment experience, historical relationship to revenues, estimated customer inventory levels and contract terms, and actual discounts offered. Management believes that such provisions are determinable because of the limited number of assumptions involved and the consistency of historical experience.</w:t>
      </w:r>
    </w:p>
    <w:p>
      <w:pPr>
        <w:spacing w:after="0" w:line="2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market and sell our Biosciences products through commercial wholesalers (direct customers) who purchase the products at a price referred to as the wholesale acquisition cost, or WAC. Additionally, we enter into agreements with indirect customers for a contracted price that is less than the WAC. The indirect customers, such as group-purchasing organizations, physician practice-management groups and hospitals, purchase the Company's products from the wholesalers. Under these agreements with the wholesalers, we guarantee that it will credit them for the difference between the WAC and the indirect customers' contracted price. This credit is referred to as a chargeback. Wholesalers provide detailed information regarding indirect customer purchases as part of the justification for their credit request. Once received by us, these requests are standardized and tracked within a software system that adjudicates and reconciles all indirect claims coming from wholesalers. The database with these claims is used for historical trending and estimating future indirect sales, which are used to estimate accruals. Adjustments to these provisions are made periodically to reflect new facts and circumstances that may indicate that historical experience may not be indicative of current and/or future results. We make subjective judgments primarily based on its evaluation of current market conditions and trade inventory levels related to the products. This evaluation may result in an increase or decrease in the experience rate that is applied to current and future sales, or as an adjustment to past sales, or both. We estimate allowances for revenue-reducing obligations such as rebates, special promotional programs, and discounts, using a combination of historical trends, contractual obligations and information received from third parties. The accuracy of these estimates is dependent upon the inherent limitations of extrapolating estimates from historical trends and upon the quality of the third-party information.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 sales revenues increased by $12.7 million, or 19%, to $78.3 million for the three months ended June 30, 2014 from $65.6 million for the three months ended June 30, 2013. Product sales revenue included:</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BioThrax - $67.5 million for the three months ended June 30, 2014 as compared to $65.6 million for the three months ended June 30, 2013;</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RSDL (acquired in August 2013) - $1.5 million for the three months ended June 30, 2014;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WinRho (acquired in February 2014) - $6.3 million for the three months ended June 30, 2014;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HepaGam (acquired in February 2014) - $2.2 million for the three months ended June 30, 2014;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products (acquired in February 2014) - $770,000 for the three months ended June 30, 2014.</w:t>
      </w:r>
    </w:p>
    <w:p>
      <w:pPr>
        <w:spacing w:after="0" w:line="244" w:lineRule="exact"/>
        <w:rPr>
          <w:sz w:val="20"/>
          <w:szCs w:val="20"/>
          <w:color w:val="auto"/>
        </w:rPr>
      </w:pPr>
    </w:p>
    <w:p>
      <w:pPr>
        <w:jc w:val="both"/>
        <w:ind w:right="160" w:firstLine="993"/>
        <w:spacing w:after="0" w:line="297" w:lineRule="auto"/>
        <w:rPr>
          <w:sz w:val="20"/>
          <w:szCs w:val="20"/>
          <w:color w:val="auto"/>
        </w:rPr>
      </w:pPr>
      <w:r>
        <w:rPr>
          <w:rFonts w:ascii="Arial" w:cs="Arial" w:eastAsia="Arial" w:hAnsi="Arial"/>
          <w:sz w:val="19"/>
          <w:szCs w:val="19"/>
          <w:color w:val="auto"/>
        </w:rPr>
        <w:t>BioThrax product sales revenues during the three months ended June 30, 2014 consisted of sales to the CDC of $65.7 million and aggregate international and other sales of $1.8 million. Product sales revenues during the three months ended June 30, 2013 consisted of BioThrax sales to the CDC of $65.6 million and aggregate international and other sales of $28,000.</w:t>
      </w:r>
    </w:p>
    <w:p>
      <w:pPr>
        <w:spacing w:after="0" w:line="161" w:lineRule="exact"/>
        <w:rPr>
          <w:sz w:val="20"/>
          <w:szCs w:val="20"/>
          <w:color w:val="auto"/>
        </w:rPr>
      </w:pPr>
    </w:p>
    <w:p>
      <w:pPr>
        <w:ind w:right="380" w:firstLine="993"/>
        <w:spacing w:after="0" w:line="274" w:lineRule="auto"/>
        <w:rPr>
          <w:sz w:val="20"/>
          <w:szCs w:val="20"/>
          <w:color w:val="auto"/>
        </w:rPr>
      </w:pPr>
      <w:r>
        <w:rPr>
          <w:rFonts w:ascii="Arial" w:cs="Arial" w:eastAsia="Arial" w:hAnsi="Arial"/>
          <w:sz w:val="21"/>
          <w:szCs w:val="21"/>
          <w:color w:val="auto"/>
        </w:rPr>
        <w:t>Contract manufacturing (which we acquired in February 2014) revenue was $9.2 million for the three months ended June 30, 2014. Contract manufacturing revenues primarily consists of contract services to third parties.</w:t>
      </w:r>
    </w:p>
    <w:p>
      <w:pPr>
        <w:spacing w:after="0" w:line="185" w:lineRule="exact"/>
        <w:rPr>
          <w:sz w:val="20"/>
          <w:szCs w:val="20"/>
          <w:color w:val="auto"/>
        </w:rPr>
      </w:pPr>
    </w:p>
    <w:p>
      <w:pPr>
        <w:ind w:firstLine="640"/>
        <w:spacing w:after="0" w:line="277" w:lineRule="auto"/>
        <w:rPr>
          <w:sz w:val="20"/>
          <w:szCs w:val="20"/>
          <w:color w:val="auto"/>
        </w:rPr>
      </w:pPr>
      <w:r>
        <w:rPr>
          <w:rFonts w:ascii="Arial" w:cs="Arial" w:eastAsia="Arial" w:hAnsi="Arial"/>
          <w:sz w:val="18"/>
          <w:szCs w:val="18"/>
          <w:color w:val="auto"/>
        </w:rPr>
        <w:t>Contracts and grants revenues increased by $6.0 million, or 36%, to $22.9 million for the three months ended June 30, 2014 from $16.8 million for the three months ended June 30, 2013. The increase in contracts and grants revenues was primarily due to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funding of $6.3 million for BAT (acquired in February 2014);</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funding of $4.5 million for AIG (acquired in February 2014);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 of $1.6 million for NuThrax, due to the timing of clinical trial activities.</w:t>
      </w:r>
    </w:p>
    <w:p>
      <w:pPr>
        <w:sectPr>
          <w:pgSz w:w="11900" w:h="16838" w:orient="portrait"/>
          <w:cols w:equalWidth="0" w:num="1">
            <w:col w:w="11420"/>
          </w:cols>
          <w:pgMar w:left="240" w:top="125" w:right="239" w:bottom="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225" w:lineRule="exact"/>
        <w:rPr>
          <w:sz w:val="20"/>
          <w:szCs w:val="20"/>
          <w:color w:val="auto"/>
        </w:rPr>
      </w:pPr>
    </w:p>
    <w:p>
      <w:pPr>
        <w:ind w:left="980" w:hanging="324"/>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revenue of $4.8 million from 2013 related to the establishment of our CIADM, primarily due to a license fee milestone achieved in 2013; and</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decreased revenue of $2.8 million under our development contracts for PreviThrax and large scale manufacturing of BioThrax, primarily due to the timing of development efforts.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Cost of product sales and contract manufacturing increased by $17.6 million, or 104%, to $34.5 million for the three months ended June 30, 2014 from $16.9 million for the three months ended June 30, 2013. The increase was primarily attributable to the following:</w:t>
      </w:r>
    </w:p>
    <w:p>
      <w:pPr>
        <w:spacing w:after="0" w:line="19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RSDL (acquired in August 2013) - $3.1 million for the three months ended June 30, 2014; and</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and contract manufacturing costs associated with revenues acquired as part of the Cangene acquisition (acquired in February 2014) - $14.4 million for the three months ended June 30, 2014.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expenses increased by $7.1 million, or 24%, to $37.4 million for the three months ended June 30, 2014 from $30.3 million for the three months ended June 30, 2013. This increase primarily reflects higher contract service costs, and includes increased expenses of $3.6 million for product candidates and manufacturing development categorized in the Biodefense segment, increased expenses of $2.2 million for product candidates and technology platform development activities categorized in the Biosciences segment and increased expenses of $1.3 million in other research and development, which are in support of central research and development activities. Net of development contract and grant reimbursements along with the net loss attributable to noncontrolling interests, we incurred research and development expenses of $14.5 million and $13.3 million, during the three months ended June 30, 2014 and 2013, respectively.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research and development expenses for the three months ended June 30, 2014 and 2013 are shown in the following table: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Biodefense:</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Large-scale manufacturing for BioThrax</w:t>
            </w:r>
          </w:p>
        </w:tc>
        <w:tc>
          <w:tcPr>
            <w:tcW w:w="3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4,004</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BioThrax related programs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PreviThrax</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3,791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NuThrax</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Botulinum antitoxin</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Anthrax immune globulin</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Pandemic influenza (1)</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Biodefense</w:t>
            </w:r>
          </w:p>
        </w:tc>
        <w:tc>
          <w:tcPr>
            <w:tcW w:w="2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Biodefense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16,948</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Biosciences: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ES414 (formerly T-Scorp)</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IXinity</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otlertuzumab (formerly TRU-016)</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7,022</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Tuberculosis vaccine</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r>
        <w:trPr>
          <w:trHeight w:val="223"/>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Other Biosciences</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2,986</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Biosciences</w:t>
            </w:r>
          </w:p>
        </w:tc>
        <w:tc>
          <w:tcPr>
            <w:tcW w:w="2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r>
      <w:tr>
        <w:trPr>
          <w:trHeight w:val="257"/>
        </w:trPr>
        <w:tc>
          <w:tcPr>
            <w:tcW w:w="2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spending for our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non-clinical studies. The spending for NuThrax was primarily for clinical trial activities. The spending for our Botulinum Antitoxin program (which we acquired from Cangene) was primarily due to plasma collection services and stability testing. The spending for our Anthrax Immune Globulin program (which we acquired from Cangene) was due to plasma collecion services. The decrease in spending for pandemic influenza was related to a license fee for the rights to manufacture and sell pandemic influenza products during 2013. The increase in spending for our other Biodefense activities was primarily due to increased spending related to manufacturing development.</w:t>
      </w:r>
    </w:p>
    <w:p>
      <w:pPr>
        <w:spacing w:after="0" w:line="1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increase in spending for our ES414 (formerly T-Scorp) product candidate was primarily due to manufacturing development. The spending for our IXINITY product candidate in 2014 was primarily for clinical trial activities. The decrease in spending for our otlertuzumab (formerly TRU-016) product candidate was primarily related to the timing of clinical trial activities. The spending for our tuberculosis vaccine product candidate during 2013 was for manufacturing development activities. The increase in spending for our other Biosciences activities was primarily due to increased costs associated with the development of platform technologies along with costs associated with programs acquired in our acquisition of Cangene.</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spending for other research and development activities was primarily due to centralized research and development activities attributable to product candidates.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increased by $10.1 million, or 49%, to $30.6 million for the three months ended June 30, 2014 from $20.5 million for the three months ended June 30, 2013. This increase includes additional post-acquisition selling, general and administrative costs of $7.2 million associated with the operations of Cangene and in support of RSDL.</w:t>
      </w:r>
    </w:p>
    <w:p>
      <w:pPr>
        <w:sectPr>
          <w:pgSz w:w="11900" w:h="16838" w:orient="portrait"/>
          <w:cols w:equalWidth="0" w:num="1">
            <w:col w:w="11420"/>
          </w:cols>
          <w:pgMar w:left="240" w:top="341" w:right="239" w:bottom="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attributable to the Biodefense segment increased by $2.6 million, or 18%, to $17.4 million during the three months ended June 30, 2014 from $14.8 million during the three months ended June 30, 2013. Selling, general and administrative expenses related to our Biosciences segment increased by $7.5 million, or 130%, to $13.2 million for the three months ended June 30, 2014 from $5.7 million for the three months ended June 30, 2013.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net other income (expense) decreased by $393,000 to a net other expense of $368,000 for the three months ended June 30, 2014, from a net other income of $25,000 for the three months ended June 30, 2013. The decrease was primarily due to interest expense from our 2.875% Convertible Senior Notes due 2021, or the Notes, of $1.3 million that was not capitalized in 2014 and $381,000 of loan fee amortization expense associated with the Notes and our revolver loan facility, partially offset by $1.4 million in rental income.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 for income taxes decreased by $1.9 million, or 44%, to $2.5 million for the three months ended June 30, 2014 from $4.4 million for the three months ended June 30, 2013. The decrease in the provision for income taxes is primarily due to the $7.4 million decrease in our income before provision for income taxes and the net loss attributable to noncontrolling interest.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attributable to noncontrolling interest decreased to $0 during the three months ended June 30, 2014 from $128,000 for three months ended June 30, 2013. The decrease resulted from the liquidation of the Oxford Emergent Tuberculosis Consortium in 2014.</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2014 Compared to Six ended June 30,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 sales revenues increased by $18.1 million, or 19%, to $114.0 million for the six months ended June 30, 2014 from $96.0 million for the six months ended June 30, 2013. Product revenue included:</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BioThrax - $92.0 million for 2014 as compared to $96.0 million for 2013;</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RSDL (acquired in August 2013) - $9.0 million for 2014;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WinRho (acquired in February 2014) - $8.0 million for 2014;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HepaGam (acquired in February 2014) - $3.5 million for 2014;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products (acquired in February 2014) - $1.5 million for 2014.</w:t>
      </w:r>
    </w:p>
    <w:p>
      <w:pPr>
        <w:spacing w:after="0" w:line="21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decrease in BioThrax sales was primarily due to a 7% decrease in the number of doses of BioThrax delivered, attributable to the timing of deliveries to the SNS. BioThrax product sales revenues during the six months ended June 30, 2014 consisted of sales to the CDC of $90.1 million and aggregate international and other sales of $1.9 million. Product sales revenues during the three months ended June 30, 2013 consisted of BioThrax sales to the CDC of $94.9 million and aggregate international and other sales of $1.1 million.</w:t>
      </w:r>
    </w:p>
    <w:p>
      <w:pPr>
        <w:spacing w:after="0" w:line="21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Contract manufacturing revenue was $11.9 million for the six months ended June 30, 2014. Contract manufacturing revenues primarily consists of contract services to third parties.</w:t>
      </w:r>
    </w:p>
    <w:p>
      <w:pPr>
        <w:spacing w:after="0" w:line="197" w:lineRule="exact"/>
        <w:rPr>
          <w:sz w:val="20"/>
          <w:szCs w:val="20"/>
          <w:color w:val="auto"/>
        </w:rPr>
      </w:pPr>
    </w:p>
    <w:p>
      <w:pPr>
        <w:ind w:firstLine="485"/>
        <w:spacing w:after="0" w:line="277" w:lineRule="auto"/>
        <w:rPr>
          <w:sz w:val="20"/>
          <w:szCs w:val="20"/>
          <w:color w:val="auto"/>
        </w:rPr>
      </w:pPr>
      <w:r>
        <w:rPr>
          <w:rFonts w:ascii="Arial" w:cs="Arial" w:eastAsia="Arial" w:hAnsi="Arial"/>
          <w:sz w:val="18"/>
          <w:szCs w:val="18"/>
          <w:color w:val="auto"/>
        </w:rPr>
        <w:t>Contracts and grants revenues increased by $8.7 million, or 29%, to $38.3 million for the six months ended June 30, 2014 from $29.6 million for the six months ended June 30, 2013. The increase in contracts and grants revenues was primarily due to the following:</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funding of $9.4 million for BAT (which we acquired in February 2014);</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funding of $5.3 million for AIG (which we acquired in February 2014);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payment of $1.9 million received in 2014 for our PEP indication for BioThrax related to the progress of development activities; and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revenue of $1.4 million for NuThrax, due to the timing of clinical trial activities.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w:t>
      </w:r>
    </w:p>
    <w:p>
      <w:pPr>
        <w:spacing w:after="0" w:line="225" w:lineRule="exact"/>
        <w:rPr>
          <w:sz w:val="20"/>
          <w:szCs w:val="20"/>
          <w:color w:val="auto"/>
        </w:rPr>
      </w:pPr>
    </w:p>
    <w:p>
      <w:pPr>
        <w:ind w:left="1400" w:hanging="95"/>
        <w:spacing w:after="0" w:line="258" w:lineRule="auto"/>
        <w:tabs>
          <w:tab w:leader="none" w:pos="20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revenue related to the establishment of our CIADM of $3.7 million, primarily due to a license fee milestone achieved in 2013; and</w:t>
      </w:r>
    </w:p>
    <w:p>
      <w:pPr>
        <w:spacing w:after="0" w:line="1" w:lineRule="exact"/>
        <w:rPr>
          <w:rFonts w:ascii="Arial" w:cs="Arial" w:eastAsia="Arial" w:hAnsi="Arial"/>
          <w:sz w:val="18"/>
          <w:szCs w:val="18"/>
          <w:color w:val="auto"/>
        </w:rPr>
      </w:pPr>
    </w:p>
    <w:p>
      <w:pPr>
        <w:ind w:left="1400" w:right="20" w:hanging="95"/>
        <w:spacing w:after="0" w:line="261" w:lineRule="auto"/>
        <w:tabs>
          <w:tab w:leader="none" w:pos="20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revenue of $6.3 million under our development contracts for PreviThrax and large scale manufacturing of BioThrax, primarily due to the timing of development efforts.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Cost of product sales and contract manufacturing increased by $30.9 million, or 136%, to $53.5 million for the six months ended June 30, 2014 from $22.6 million for the six months ended June 30, 2013. The increase was primarily attributable to the following:</w:t>
      </w:r>
    </w:p>
    <w:p>
      <w:pPr>
        <w:spacing w:after="0" w:line="19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RSDL (acquired in August 2013) - $7.6 million for the six months ended June 30, 2014; and</w:t>
      </w:r>
    </w:p>
    <w:p>
      <w:pPr>
        <w:spacing w:after="0" w:line="23"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and contract manufacturing costs associated with revenues acquired as part of the Cangene acquisition (acquired in February 2014) - $21.3 million for the six months ended June 30, 2014.</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Research and development expenses increased by $6.7 million, or 11%, to $67.7 million for the six months ended June 30, 2014 from $61.0 million for the six months ended June 30, 2013. This increase primarily reflects higher contract service costs, and includes increased expenses of $3.6 million for product candidates and manufacturing development categorized in the Biodefense segment, increased expenses of $2.0 million for product candidates and</w:t>
      </w:r>
    </w:p>
    <w:p>
      <w:pPr>
        <w:sectPr>
          <w:pgSz w:w="11900" w:h="16838" w:orient="portrait"/>
          <w:cols w:equalWidth="0" w:num="1">
            <w:col w:w="11420"/>
          </w:cols>
          <w:pgMar w:left="240" w:top="368" w:right="239" w:bottom="0" w:gutter="0" w:footer="0" w:header="0"/>
        </w:sectPr>
      </w:pPr>
    </w:p>
    <w:bookmarkStart w:id="19" w:name="page20"/>
    <w:bookmarkEnd w:id="19"/>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technology platform development activities categorized in the Biosciences segment, and increased expenses of $1.1 million in other research and development, which are in support of central research and development activities. Net of development contract and grant reimbursements along with the net loss attributable to noncontrolling interests, we incurred research and development expenses of $29.4 million and $30.6 million, during the six months ended June 30, 2014 and 2013, respectively.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research and development expenses during the six months ended June 30, 2014 and 2013 are shown in the following table: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Biodefense:</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Large-scale manufacturing for BioThrax</w:t>
            </w:r>
          </w:p>
        </w:tc>
        <w:tc>
          <w:tcPr>
            <w:tcW w:w="31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18"/>
                <w:szCs w:val="18"/>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8,730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BioThrax related programs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5,557</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PreviThrax</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8,030</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NuThrax</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4,332</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Botulinum antitoxin</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Anthrax immune globulin</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Pandemic influenza</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Biodefense</w:t>
            </w:r>
          </w:p>
        </w:tc>
        <w:tc>
          <w:tcPr>
            <w:tcW w:w="2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Biodefense</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32,641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Biosciences:</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ES414 (formerly T-Scorp)</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3,865</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IXINITY</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otlertuzumab (formerly TRU-016)</w:t>
            </w:r>
          </w:p>
        </w:tc>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11,649</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Tuberculosis vaccine</w:t>
            </w: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r>
      <w:tr>
        <w:trPr>
          <w:trHeight w:val="223"/>
        </w:trPr>
        <w:tc>
          <w:tcPr>
            <w:tcW w:w="20" w:type="dxa"/>
            <w:vAlign w:val="bottom"/>
          </w:tcPr>
          <w:p>
            <w:pPr>
              <w:spacing w:after="0"/>
              <w:rPr>
                <w:sz w:val="19"/>
                <w:szCs w:val="19"/>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Other Biosciences</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5,523</w:t>
            </w:r>
          </w:p>
        </w:tc>
      </w:tr>
      <w:tr>
        <w:trPr>
          <w:trHeight w:val="223"/>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Biosciences</w:t>
            </w:r>
          </w:p>
        </w:tc>
        <w:tc>
          <w:tcPr>
            <w:tcW w:w="2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w:t>
            </w:r>
          </w:p>
        </w:tc>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3,139</w:t>
            </w:r>
          </w:p>
        </w:tc>
      </w:tr>
      <w:tr>
        <w:trPr>
          <w:trHeight w:val="257"/>
        </w:trPr>
        <w:tc>
          <w:tcPr>
            <w:tcW w:w="2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decrease in spending for our large-scale manufacturing for BioThrax was primarily due to the timing of manufacturing development activities. The decrease in spending for BioThrax related programs was primarily related to the timing of clinical studies to support applications for label expansion for BioThrax. The decrease in spending for PreviThrax was primarily due to the timing of stability and non-clinical studies. The spending for NuThrax was primarily due to clinical trial activities. The spending for our Botulinum Antitoxin program (which we acquired from Cangene) was primarily due to plasma collection services and stability testing. The spending for our Anthrax Immune Globulin program (which we acquired from Cangene) was due to plasma collection services. The decrease in spending for pandemic influenza was related to a license fee for the rights to manufacture and sell pandemic influenza products during 2013. The increase in spending for our other Biodefense activities was primarily due to increased spending related to manufacturing development.</w:t>
      </w:r>
    </w:p>
    <w:p>
      <w:pPr>
        <w:spacing w:after="0" w:line="21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increase in spending for our ES414 (formerly T-Scorp) product candidate was primarily due to manufacturing development. The spending for our IXINITY product candidate in 2014 was primarily for clinical trial activities. The decrease in spending for our otlertuzumab (formerly TRU-016) product candidate was primarily related to the timing of clinical trial activities. The spending for our tuberculosis vaccine product candidate during 2013 was for manufacturing development activities. The increase in spending for our other Biosciences activities was primarily due to increased costs associated with the development of platform technologies technologies along with costs associated with programs acquired in our acquisition of Cangene.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spending for other research and development activities was primarily due to centralized research and development activities not attributable to product candidates.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increased by $20.1 million, or 50%, to $60.6 million for the six months ended June 30, 2014 from $40.5 million for the six months ended June 30, 2013. This increase included increased spending for professional services of $5.0 million associated with the acquisition and integration of Cangene, which we acquired in February 2014, along with additional post-acquisition selling, general and administrative costs of $11.1 million associated with the operations of Cangene and in support of RSDL.</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expenses attributable to the Biodefense segment increased by $5.5 million, or 19%, to $34.3 million during the six months ended June 30, 2014 from $28.7 million during the six months ended June 30, 2013. The increase in Biodefense selling, general and administrative expense was primarily due to post acquisition cossts associated with our acquisitions of RSDL and Cangene. Selling, general and administrative expenses related to our Biosciences segment increased by $14.6 million, or 124%, to $26.4 million during the six months ended June 30, 2014 from $11.8 million during the six months ended June 30, 2013. The increase in the Biosciences selling, general and administrative expense was due to professional services to support due diligence along with other acquisition-related activities and post-acquisition operations associated with our acquisition of Cangene.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net other income (expense) decreased by $3.4 million to a net other expense of $3.4 million for the six months ended June 30, 2014, from a net other income of $54,000 for the six months ended June 30, 2013. The decrease was primarily due to interest expense from our Notes of $2.8 million that was not capitalized in 2014, $1.8 million of costs associated with the termination of our $125 million term loan facility and $699,000 of loan fee amortization expense associated with Notes and our revolver loan facility, partially offset by $1.9 million in rental income.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 for (benefit from) income taxes increased by $5.6 million to a benefit from income taxes of $5.7 million for the six months ended June 30, 2014 from a provision for income taxes of $135,000 for the six months ended June 30, 2013. The increase in the benefit from income taxes was primarily due</w:t>
      </w:r>
    </w:p>
    <w:p>
      <w:pPr>
        <w:sectPr>
          <w:pgSz w:w="11900" w:h="16921" w:orient="portrait"/>
          <w:cols w:equalWidth="0" w:num="1">
            <w:col w:w="11420"/>
          </w:cols>
          <w:pgMar w:left="240" w:top="125" w:right="239" w:bottom="0" w:gutter="0" w:footer="0" w:header="0"/>
        </w:sectPr>
      </w:pPr>
    </w:p>
    <w:bookmarkStart w:id="20" w:name="page21"/>
    <w:bookmarkEnd w:id="20"/>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$23.2 million increase in our loss before provision for income taxes and the loss attributable to noncontrolling interests.The estimated effective annual tax rate for the six months ended June 30, 2014 and 2013 was approximately 26% and 30%, respectively. The reduction in the estimated effective tax rate was primarily due to an increase in tax credits associated with research and development activities. The provision for (benefit from) income taxes for the six months ended June 30, 2013 includes a one-time discrete reduction in tax expense of approximately $823,000 associated with the 2012 research and development tax credit that was recorded in 2013 due to the legislation extending the credit not being signed into law until January 2013.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attributable to noncontrolling interest decreased to $0 for the six months ended June 30,2014 from $871,000 for for the six months ended June 30, 2013. The decrease resulted from the liquidation of our noncontrolling interest in the Oxford Emergent Tuberculosis Consortium during the six months ended June 30,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funded our cash requirements from inception through June 30, 2014 principally with a combination of revenues from BioThrax product sales, debt financings, development funding from government entities and non-government and philanthropic organizations and collaborative partners, the net proceeds from our initial public offering and the sale of our common stock upon exercise of stock options. We have operated profitably for each of the five years ended December 31, 2013.</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2014, we had cash and cash equivalents of $168.1 million. Additionally, at June 30, 2014, our accounts receivable balance was $78.3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Operating activities(1)</w:t>
            </w:r>
          </w:p>
        </w:tc>
        <w:tc>
          <w:tcPr>
            <w:tcW w:w="1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(18,424)</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28,245</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(14,123)</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Financing activities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r>
      <w:tr>
        <w:trPr>
          <w:trHeight w:val="257"/>
        </w:trPr>
        <w:tc>
          <w:tcPr>
            <w:tcW w:w="20" w:type="dxa"/>
            <w:vAlign w:val="bottom"/>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equivalant</w:t>
            </w:r>
            <w:r>
              <w:rPr>
                <w:rFonts w:ascii="Arial" w:cs="Arial" w:eastAsia="Arial" w:hAnsi="Arial"/>
                <w:sz w:val="18"/>
                <w:szCs w:val="18"/>
                <w:color w:val="auto"/>
              </w:rPr>
              <w: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7240" w:type="dxa"/>
            <w:vAlign w:val="bottom"/>
          </w:tcPr>
          <w:p>
            <w:pPr>
              <w:ind w:left="640"/>
              <w:spacing w:after="0"/>
              <w:rPr>
                <w:sz w:val="20"/>
                <w:szCs w:val="20"/>
                <w:color w:val="auto"/>
              </w:rPr>
            </w:pPr>
            <w:r>
              <w:rPr>
                <w:rFonts w:ascii="Arial" w:cs="Arial" w:eastAsia="Arial" w:hAnsi="Arial"/>
                <w:sz w:val="18"/>
                <w:szCs w:val="18"/>
                <w:color w:val="auto"/>
              </w:rPr>
              <w:t>(1) Includes the effect of exchange rates on cash and cash equivalents.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Net cash used in operating activities of $18.4 million for the six months ended June 30, 2014 was primarily due to our net loss attributable to Emergent BioSolutions Inc. of $15.2 million, a decrease in income taxes of $10.4 million related to timing differences, and a decrease in accounts payable of $10.4 million, primarily due to acquisition related activities, partially offset by a non-cash charge of $15.3 million for depreciation and amortization.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of $28.2 million for the six months ended June 30, 2013 was principally due to a decrease in accounts receivable of $41.7 million related to the timing of collection of amounts billed primarily to the CDC, non-cash charges of $5.7 million for stock-based compensation and $8.4 million for depreciation and amortization, partially offset by a decrease in net income taxes of $8.1 million related to timing differences and a decrease in accrued compensation of $7.1 million primarily related to the payment of 2012 bonuses.</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investing activities of $187.6 million for the six months ended June 30, 2014 was primarily due to the acquisition of Cangene for $178.2 million, which is net of $43.6 million of acquired cash, and capital expenditures of $9.4 million for infrastructure and equipment investments.</w:t>
      </w:r>
    </w:p>
    <w:p>
      <w:pPr>
        <w:spacing w:after="0" w:line="17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investing activities of $14.1 million for the six months ended June 30, 2013 was primarily due to capital expenditures, and includes construction and renovation of facilities at our Lansing, Michigan campus, and costs of other infrastructure and equipment investments.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of $194.8 million for the six months ended June 30, 2014 was primarily due to proceeds from our convertible debenture of $250.0 million, of which $241.7 million (net of $8.3 million of transaction costs) was from our Notes, $10.0 million in proceeds from the issuance of common stock pursuant to employee equity plans and $5.2 million in excess tax benefits from the exercise of stock options, partially offset by a principal payment on indebtedness of $62.0 million under our revolving credit facility.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of $455,000 for the six months ended June 30, 2013 was primarily due to $1.8 million in excess tax benefits from the exercise of stock options and $933,000 in proceeds from employee equity plans, partially offset by principal payments on indebtedness of $2.2 million.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at June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580"/>
              <w:spacing w:after="0" w:line="198" w:lineRule="exact"/>
              <w:rPr>
                <w:sz w:val="20"/>
                <w:szCs w:val="20"/>
                <w:color w:val="auto"/>
              </w:rPr>
            </w:pPr>
            <w:r>
              <w:rPr>
                <w:rFonts w:ascii="Arial" w:cs="Arial" w:eastAsia="Arial" w:hAnsi="Arial"/>
                <w:sz w:val="18"/>
                <w:szCs w:val="18"/>
                <w:b w:val="1"/>
                <w:bCs w:val="1"/>
                <w:color w:val="auto"/>
                <w:w w:val="88"/>
              </w:rPr>
              <w:t>Less than</w:t>
            </w:r>
          </w:p>
        </w:tc>
        <w:tc>
          <w:tcPr>
            <w:tcW w:w="1360" w:type="dxa"/>
            <w:vAlign w:val="bottom"/>
            <w:gridSpan w:val="3"/>
          </w:tcPr>
          <w:p>
            <w:pPr>
              <w:ind w:left="140"/>
              <w:spacing w:after="0" w:line="198" w:lineRule="exact"/>
              <w:rPr>
                <w:sz w:val="20"/>
                <w:szCs w:val="20"/>
                <w:color w:val="auto"/>
              </w:rPr>
            </w:pPr>
            <w:r>
              <w:rPr>
                <w:rFonts w:ascii="Arial" w:cs="Arial" w:eastAsia="Arial" w:hAnsi="Arial"/>
                <w:sz w:val="18"/>
                <w:szCs w:val="18"/>
                <w:b w:val="1"/>
                <w:bCs w:val="1"/>
                <w:color w:val="auto"/>
              </w:rPr>
              <w:t>1 to 3</w:t>
            </w:r>
          </w:p>
        </w:tc>
        <w:tc>
          <w:tcPr>
            <w:tcW w:w="124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4 to 5</w:t>
            </w: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4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2"/>
              </w:rPr>
              <w:t>1 year</w:t>
            </w: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Years</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Years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Convertible debt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Long-term indebtedness including current portion</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2,880</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38"/>
        </w:trPr>
        <w:tc>
          <w:tcPr>
            <w:tcW w:w="20" w:type="dxa"/>
            <w:vAlign w:val="bottom"/>
          </w:tcPr>
          <w:p>
            <w:pPr>
              <w:spacing w:after="0"/>
              <w:rPr>
                <w:sz w:val="11"/>
                <w:szCs w:val="11"/>
                <w:color w:val="auto"/>
              </w:rPr>
            </w:pPr>
          </w:p>
        </w:tc>
        <w:tc>
          <w:tcPr>
            <w:tcW w:w="4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tabs>
          <w:tab w:leader="none" w:pos="4680" w:val="left"/>
          <w:tab w:leader="none" w:pos="5260" w:val="left"/>
          <w:tab w:leader="none" w:pos="6100" w:val="left"/>
          <w:tab w:leader="none" w:pos="6840" w:val="left"/>
          <w:tab w:leader="none" w:pos="7460" w:val="left"/>
          <w:tab w:leader="none" w:pos="8320" w:val="left"/>
          <w:tab w:leader="none" w:pos="8800" w:val="left"/>
          <w:tab w:leader="none" w:pos="9760" w:val="left"/>
          <w:tab w:leader="none" w:pos="10160" w:val="left"/>
          <w:tab w:leader="none" w:pos="10700" w:val="left"/>
        </w:tabs>
        <w:rPr>
          <w:sz w:val="20"/>
          <w:szCs w:val="20"/>
          <w:color w:val="auto"/>
        </w:rPr>
      </w:pPr>
      <w:r>
        <w:rPr>
          <w:rFonts w:ascii="Arial" w:cs="Arial" w:eastAsia="Arial" w:hAnsi="Arial"/>
          <w:sz w:val="18"/>
          <w:szCs w:val="18"/>
          <w:b w:val="1"/>
          <w:bCs w:val="1"/>
          <w:color w:val="auto"/>
        </w:rPr>
        <w:t>Total contractual obligations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254,816</w:t>
        <w:tab/>
        <w:t>$</w:t>
      </w:r>
      <w:r>
        <w:rPr>
          <w:sz w:val="20"/>
          <w:szCs w:val="20"/>
          <w:color w:val="auto"/>
        </w:rPr>
        <w:tab/>
      </w:r>
      <w:r>
        <w:rPr>
          <w:rFonts w:ascii="Arial" w:cs="Arial" w:eastAsia="Arial" w:hAnsi="Arial"/>
          <w:sz w:val="18"/>
          <w:szCs w:val="18"/>
          <w:color w:val="auto"/>
        </w:rPr>
        <w:t>2,880</w:t>
        <w:tab/>
        <w:t>$</w:t>
      </w:r>
      <w:r>
        <w:rPr>
          <w:sz w:val="20"/>
          <w:szCs w:val="20"/>
          <w:color w:val="auto"/>
        </w:rPr>
        <w:tab/>
      </w:r>
      <w:r>
        <w:rPr>
          <w:rFonts w:ascii="Arial" w:cs="Arial" w:eastAsia="Arial" w:hAnsi="Arial"/>
          <w:sz w:val="18"/>
          <w:szCs w:val="18"/>
          <w:color w:val="auto"/>
        </w:rPr>
        <w:t>866</w:t>
        <w:tab/>
        <w:t>$</w:t>
      </w:r>
      <w:r>
        <w:rPr>
          <w:sz w:val="20"/>
          <w:szCs w:val="20"/>
          <w:color w:val="auto"/>
        </w:rPr>
        <w:tab/>
      </w:r>
      <w:r>
        <w:rPr>
          <w:rFonts w:ascii="Arial" w:cs="Arial" w:eastAsia="Arial" w:hAnsi="Arial"/>
          <w:sz w:val="18"/>
          <w:szCs w:val="18"/>
          <w:color w:val="auto"/>
        </w:rPr>
        <w:t>70</w:t>
        <w:tab/>
        <w:t>$</w:t>
      </w:r>
      <w:r>
        <w:rPr>
          <w:sz w:val="20"/>
          <w:szCs w:val="20"/>
          <w:color w:val="auto"/>
        </w:rPr>
        <w:tab/>
      </w:r>
      <w:r>
        <w:rPr>
          <w:rFonts w:ascii="Arial" w:cs="Arial" w:eastAsia="Arial" w:hAnsi="Arial"/>
          <w:sz w:val="16"/>
          <w:szCs w:val="16"/>
          <w:color w:val="auto"/>
        </w:rPr>
        <w:t>251,000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There are a number of uncertainties that we face in the development of new product candidates that prevent us from making a reasonable estimate of the cash obligations under our license agreements. Because of these uncertainties, the preceding table excludes contingent contractual payments that we may become obligated to make under such agreements. These agreements typically provide for the payment of milestone fees upon achievement of specified research, development and commercialization milestones, such as the commencement of clinical trials, the receipt of funding awards, the receipt of regulatory approvals, and the achievement of sales milestones. The amount of contingent contractual milestone payments that we may become obligated to make is variable based on the actual achievement and timing of the applicable milestones and the characteristics of any products or product candidates that are developed, including factors such as number of products or product candidates developed, type and number of components of each product or product candidate, ownership of the various components and the specific markets affected, and the aggregate payments could be as much as approximately $118 million. The success of our efforts to commercialize our product candidates depends on many factors, including those set forth in "</w:t>
      </w:r>
      <w:r>
        <w:rPr>
          <w:rFonts w:ascii="Arial" w:cs="Arial" w:eastAsia="Arial" w:hAnsi="Arial"/>
          <w:sz w:val="16"/>
          <w:szCs w:val="16"/>
          <w:i w:val="1"/>
          <w:iCs w:val="1"/>
          <w:color w:val="auto"/>
        </w:rPr>
        <w:t>Risk Factors—Our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depends on our success in developing and commercializing our product candidates. If we are unable to commercialize these product candidates, or experience significant delays or unanticipated costs in doing so, our business would be materially affected." </w:t>
      </w:r>
      <w:r>
        <w:rPr>
          <w:rFonts w:ascii="Arial" w:cs="Arial" w:eastAsia="Arial" w:hAnsi="Arial"/>
          <w:sz w:val="16"/>
          <w:szCs w:val="16"/>
          <w:color w:val="auto"/>
        </w:rPr>
        <w:t>and is highly uncertain. Even if these efforts are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the timing of success is highly unpredictable and variable. The same is true for any contingent contractual royalty payments that we may be obligated to make upon successful commercialization of these product candidates or for products we have acquired. We do not expect that any such payments would have an adverse effect on our financial position, operations and capital resources because, if payable, we expect that the benefits associated with the achievement of the relevant milestones or the achievement of revenue would offset the burden of making these payments. Deferred income taxes and liabilities for unrecognized income tax benefits are excluded from the above table since they are not contractually fixed as to timing and amount.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29, 2014, we issued $250.0 million aggregate principal amount of Notes. The Notes bear interest at a rate of 2.875% per year, payable semi-annually in arrears on January 15 and July 15 of each year, commencing July 15, 2014. The Notes mature on January 15, 2021, unless earlier purchased by us, redeemed or converted. The conversion rate is equal to 30.8821 shares of common stock per $1,000 principal amount of notes, which is equivalent to an initial conversion price of approximately $32.38 per share of common stock. The conversion rate is subject to adjustment upon the occurrence of certain specified events but will not be adjusted for accrued and unpaid interest.</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11, 2013, we entered into a senior secured credit agreement, or the Credit Agreement, with three lending financial institutions, or the Lenders, led by Bank of America, N.A., as administrative agent. The Credit Agreement originally provided for a revolving credit facility of up to $100.0 million through December 11, 2018, or such earlier date required by the terms of the Credit Agreement, and a term loan facility of up to $125.0 million that was to be drawn in full, if at all, on or prior to June 30, 2014. On January 29, 2014, in connection with our issuance of the Notes, the unused $125 million term loan portion of our Credit Agreement terminated automatically in accordance with its terms. As of June 30, 2014, there was no outstanding balance under the revolving credit facility.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payment obligations under the Credit Agreement are secured by a lien on substantially all of our assets, including the stock of all of our subsidiaries, and the assets of the subsidiary guarantors, including mortgages over certain of their real properties, including our large-scale vaccine manufacturing facility in Lansing, Michigan and our biodefense facility in Baltimore, Maryland.</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Credit Agreement, as amended, contains affirmative and negative covenants customary for financing of this type. Negative covenants in the Credit Agreement, among other things: limit our ability to incur indebtedness and liens; dispose of assets; make investments including loans, advances or guarantees; and enter into certain mergers or similar transactions. The Credit Agreement also contains financial covenants, tested quarterly and in connection with any triggering events under the Credit Agreement that include the maintenance of: (1) a minimum consolidated debt service coverage ratio of 2.50 to 1.00, (2) a maximum consolidated leverage ratio for the measurements period ending on or prior to September 30, 2014 of 4.00 to 1.00, for the measurement period ending December 31, 2014 of 3.75 to 1.00, and thereafter of 3.50 to 1.00, (3) a maximum consolidated senior leverage ratio of 2.00 to 1.00 (when no term loan is outstanding) and (4) a minimum liquidity requirement of $50.0 million. Upon the occurrence and continuance of an event of default under the Credit Agreement, the commitments of the lenders to make loans under the Credit Agreement may be terminated and our payment obligations under the Credit Agreement may be accelerated. The events of default under the Credit Agreement include, among others, subject in some cases to specified cure periods: payment defaults; inaccuracy of representations and warranties in any material respect; defaults in the observance or performance of covenants; bankruptcy and insolvency related defaults; the entry of a final judgment in excess of a threshold amount; change of control; and the invalidity of loan documents relating to the Credit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continue to fund our anticipated operating expenses, capital expenditures and debt service requirements from existing cash and cash equivalents, revenues from product sales, development contract and grant funding, and our revolving credit facility and any other lines of credit we may establish from time to time. 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w:t>
      </w:r>
    </w:p>
    <w:p>
      <w:pPr>
        <w:spacing w:after="0" w:line="18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limiting or restricting our ability to take specific actions, such as incurring additional debt, making capital expenditures, pursuing acquisition</w:t>
      </w:r>
    </w:p>
    <w:p>
      <w:pPr>
        <w:sectPr>
          <w:pgSz w:w="11900" w:h="16838" w:orient="portrait"/>
          <w:cols w:equalWidth="0" w:num="1">
            <w:col w:w="11420"/>
          </w:cols>
          <w:pgMar w:left="240" w:top="121" w:right="239" w:bottom="0" w:gutter="0" w:footer="0" w:header="0"/>
        </w:sectPr>
      </w:pPr>
    </w:p>
    <w:bookmarkStart w:id="22" w:name="page23"/>
    <w:bookmarkEnd w:id="22"/>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opportunities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not restricted under the terms of the indenture governing the Notes from incurring additional debt, securing existing or future debt, recapitalizing our debt or taking a number of other actions that could have the effect of diminishing our ability to make payments on our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exposure to market risk is currently confined to our cash and cash equivalents and our long-term indebtedness.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our disclosure controls and procedures were effective at the reasonable assurance level.</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 13a-15(f)) identified in connection with the evaluation required by Rule 13a-15(d) of the Exchange Act has occurred during the period covered by this report that has materially affected, or is reasonably likely to materially affect, our internal control over financial reporting.</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Management's assessment and conclusion of the effectiveness of disclosure controls and procedures and internal controls over financial reporting did not include the internal controls related to the operations acquired in the acquisition of the Healthcare Protective Products Division, or HPPD, from Bracco Diagnostics Inc., in August 2013 or the acquisition of Cangene Corporation, or Cangene, in February 2014. Included in our consolidated financial statements related to the operations of HPPD and Cangene are total assets and net assets of $296.0 million and $63.7 million, respectively, as of June 30, 2014 and $49.2 million and $7.2 million, respectively, of revenues and net loss for the six months ended June 30, 2014 for HPPD and, in the case of Cangene for the period since acquisition through June 30,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You should carefully consider, among other matters, the following risk factors in addition to the other information in this Quarterly Report on Form 10-Q when evaluating our business because these risk factors may have a significant impact on our business, financial condition, operating results or cash flow. If any of the risks described below or in subsequent reports we file with the SEC actually occur, they may materially harm our business, financial condition, operating results or cash flow. Additional risks and uncertainties that we have not yet identified or that we presently consider to be immaterial may also materially harm our business, financial condition, operating results or cash flow.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derive the majority of our revenue from sales of BioThrax to our principal customer, the U.S. government. If the U.S. government's demand for BioThrax is reduced, our business, financial condition, operating results and cash flow could be materially harmed.</w:t>
      </w:r>
    </w:p>
    <w:p>
      <w:pPr>
        <w:spacing w:after="0" w:line="17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have derived and expect for the foreseeable future to derive the majority of our revenue from sales to the U.S. government of BioThrax, our FDA-approved anthrax vaccine. We are currently party to a contract with the Centers for Disease Control and Prevention, or CDC, for the supply of up to 44.75 million doses of BioThrax for placement into the Strategic National Stockpile, or SNS, over a five-year period ending in September 2016.</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procurement of doses of BioThrax by the CDC is subject to the availability of funding. Our existing contract with the CDC does not guarantee that funding for the procurement of doses will be made available. If the SNS priorities change, funding to procure doses of BioThrax may be limited or not available at all,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ectPr>
          <w:pgSz w:w="11900" w:h="16944" w:orient="portrait"/>
          <w:cols w:equalWidth="0" w:num="1">
            <w:col w:w="11420"/>
          </w:cols>
          <w:pgMar w:left="240" w:top="125" w:right="239" w:bottom="0" w:gutter="0" w:footer="0" w:header="0"/>
        </w:sectPr>
      </w:pPr>
    </w:p>
    <w:p>
      <w:pPr>
        <w:spacing w:after="0" w:line="215"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Our U.S. government contracts require ongoing funding decisions by the U.S. government. Reduced or discontinued funding of these contracts, including funding implications of the federal budget sequestration provisions, could cause our business, financial condition, operating results and cash flow to</w:t>
      </w:r>
    </w:p>
    <w:p>
      <w:pPr>
        <w:sectPr>
          <w:pgSz w:w="11900" w:h="16944" w:orient="portrait"/>
          <w:cols w:equalWidth="0" w:num="1">
            <w:col w:w="11420"/>
          </w:cols>
          <w:pgMar w:left="240" w:top="125" w:right="239" w:bottom="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suffer materially.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principal customer for BioThrax, BAT, AIGIV, VIGIV and RSDL is the U.S. government. We anticipate that the U.S. government will also be a principal customer for other biodefense products that we successfully acquire or develop. Additionally, a significant portion of our revenue comes from U.S. government development contracts and grants. Over its lifetime, a U.S. government program may be implemented through the award of many different individual contracts and subcontracts. The funding for government programs is subject to Congressional appropriations, generally made on a fiscal year basis, even for programs designed to continue for several years. These appropriations can be subject to political considerations and stringent budgetary constraints. For example, sales of BioThrax supplied under our multi-year procurement contract with the CDC are subject to available funding, mostly from annual appropriations. 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development contract we were awarded in September 2010 for development of PreviThrax consists of a base period of performance and exercised option periods valued at approximately $84.5 million with remaining option periods valued at approximately $25.8 million. If levels of government expenditures and authorizations for biodefense decrease or shift to programs in areas where we do not offer products or are not developing product candidates, or if the U.S. government otherwise declines to exercise its options under our contracts, our business, revenues and operating results would suffer.</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2011, Congress enacted the Budget Control Act of 2011, or BCA, committing the U.S. government to significantly reduce the federal deficit over ten years. The BCA contains provisions commonly referred to as "sequestration" which call for substantial, unspecified automatic federal spending cuts that may continue for a period of ten years. Legislation has been enacted suspending the federal debt ceiling until March 16, 2015. We cannot predict the ultimate outcome of the budget process or federal debt ceiling negotiations or whether such efforts will result in significant funding delays, cancellation of orders or possible default on obligations by the U.S. government, any of which may adversely impact our business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risks and requirements that are not present in commercial contracting.</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 significant portion of our near-term business will be under government contracts and grants, which may be awarded through competitive bidding. Competitive bidding for government contracts presents a number of risks and requirements, some of which are not typically present in the commercial contracting process, including:</w:t>
      </w:r>
    </w:p>
    <w:p>
      <w:pPr>
        <w:spacing w:after="0" w:line="208"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spacing w:after="0" w:line="1" w:lineRule="exact"/>
        <w:rPr>
          <w:sz w:val="20"/>
          <w:szCs w:val="20"/>
          <w:color w:val="auto"/>
        </w:rPr>
      </w:pPr>
    </w:p>
    <w:p>
      <w:pPr>
        <w:ind w:left="660" w:right="1040"/>
        <w:spacing w:after="0" w:line="250" w:lineRule="auto"/>
        <w:rPr>
          <w:sz w:val="20"/>
          <w:szCs w:val="20"/>
          <w:color w:val="auto"/>
        </w:rPr>
      </w:pPr>
      <w:r>
        <w:rPr>
          <w:rFonts w:ascii="Arial" w:cs="Arial" w:eastAsia="Arial" w:hAnsi="Arial"/>
          <w:sz w:val="18"/>
          <w:szCs w:val="18"/>
          <w:color w:val="auto"/>
        </w:rPr>
        <w:t>the need to accurately estimate the resources and cost structure that will be required to perform any contract that we might be awarded; the possibility that we may be ineligible to respond to a request for proposal issued by the government;</w:t>
      </w:r>
    </w:p>
    <w:p>
      <w:pPr>
        <w:spacing w:after="0" w:line="1"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spacing w:after="0" w:line="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would result in the resubmission of bids based on modified specifications, or in the termination, reduction or modification of the awarded contract.</w:t>
      </w:r>
    </w:p>
    <w:p>
      <w:pPr>
        <w:spacing w:after="0" w:line="2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U.S. government may choose not to award us future contracts for the development and supply of our Biodefense products and product candidates that we are developing, and may instead award such contracts to our competitors. If we are unable to win particular contracts, we may not be able to operate in the market for products that are provided under those contracts for a number of years. Additionally, if we are unable to consistently win new contract awards over an extended period, or if we fail to anticipate all of the costs or resources that will be required to secure and, if applicable, perform such contract awards, our growth strategy and our business, financial condition and operating results could be materially and adversely affected.</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relationship with the U.S. government.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must comply with numerous laws and regulations relating to the procurement, formation, administration and performance of government contracts. Among the most significant government contracting regulations that affect the business of our Biodefense division are:</w:t>
      </w:r>
    </w:p>
    <w:p>
      <w:pPr>
        <w:spacing w:after="0" w:line="197"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Federal Acquisition Regulation, or FAR, and agency-specific regulations supplemental to the FAR, which comprehensively regulate the procurement, formation, administration and performance of government contracts;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business ethics and public integrity obligations, which govern conflicts of interest and the hiring of former government employees, restrict the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granting of gratuities and funding of lobbying activities and incorporate other requirements such as the Anti-Kickback Act, the Procurement Integrity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the False Claims Act and the Foreign Corrupt Practices Act;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export and import control laws and regulations; and</w:t>
      </w:r>
    </w:p>
    <w:p>
      <w:pPr>
        <w:spacing w:after="0" w:line="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If we are audited and such audit were to uncover improper or illegal activities, we could be subject to civil and criminal penalties, administrative sanctions, including suspension or debarment from government contracting and significant reputational harm.</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amount we are paid under our fixed price government contracts is based on estimates we have made of the time, resources and expenses required for us to perform those contracts. If our actual costs exceed our estimates, we may not be able to earn an adequate return or may incur a loss under these contracts, which could harm our operating results and materially reduce our net income.</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Some of our current contracts with the U.S. Health &amp; Human Services, or HHS, and the Department of Defense, or DoD, for the procurement of our Biodefense products are fixed price contracts. We expect that our potential future contracts with the U.S. government for our Biodefense products also may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ectPr>
          <w:pgSz w:w="11900" w:h="16838" w:orient="portrait"/>
          <w:cols w:equalWidth="0" w:num="1">
            <w:col w:w="11420"/>
          </w:cols>
          <w:pgMar w:left="240" w:top="125" w:right="239" w:bottom="0" w:gutter="0" w:footer="0" w:header="0"/>
        </w:sectPr>
      </w:pPr>
    </w:p>
    <w:bookmarkStart w:id="24" w:name="page25"/>
    <w:bookmarkEnd w:id="24"/>
    <w:p>
      <w:pPr>
        <w:ind w:right="20"/>
        <w:spacing w:after="0" w:line="277" w:lineRule="auto"/>
        <w:rPr>
          <w:sz w:val="20"/>
          <w:szCs w:val="20"/>
          <w:color w:val="auto"/>
        </w:rPr>
      </w:pPr>
      <w:r>
        <w:rPr>
          <w:rFonts w:ascii="Arial" w:cs="Arial" w:eastAsia="Arial" w:hAnsi="Arial"/>
          <w:sz w:val="18"/>
          <w:szCs w:val="18"/>
          <w:b w:val="1"/>
          <w:bCs w:val="1"/>
          <w:i w:val="1"/>
          <w:iCs w:val="1"/>
          <w:color w:val="auto"/>
        </w:rPr>
        <w:t>Unfavorable provisions in government contracts, some of which may be customary, may subject our business to material limitations, restrictions and uncertainties and may have a material adverse impact on our financial condition and operating results.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terminate existing contracts, in whole or in part, for any reason or no reason;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sz w:val="20"/>
          <w:szCs w:val="20"/>
          <w:color w:val="auto"/>
        </w:rPr>
      </w:pPr>
    </w:p>
    <w:p>
      <w:pPr>
        <w:ind w:left="660" w:right="1720"/>
        <w:spacing w:after="0" w:line="265" w:lineRule="auto"/>
        <w:rPr>
          <w:sz w:val="20"/>
          <w:szCs w:val="20"/>
          <w:color w:val="auto"/>
        </w:rPr>
      </w:pPr>
      <w:r>
        <w:rPr>
          <w:rFonts w:ascii="Arial" w:cs="Arial" w:eastAsia="Arial" w:hAnsi="Arial"/>
          <w:sz w:val="17"/>
          <w:szCs w:val="17"/>
          <w:color w:val="auto"/>
        </w:rPr>
        <w:t>cancel multi-year contracts and related orders, if funds for contract performance for any subsequent year become unavailable; decline, in whole or in part, to exercise an option to purchase product under a contract or renew a contract;</w:t>
      </w:r>
    </w:p>
    <w:p>
      <w:pPr>
        <w:jc w:val="both"/>
        <w:ind w:left="660" w:right="3440"/>
        <w:spacing w:after="0" w:line="250" w:lineRule="auto"/>
        <w:rPr>
          <w:sz w:val="20"/>
          <w:szCs w:val="20"/>
          <w:color w:val="auto"/>
        </w:rPr>
      </w:pPr>
      <w:r>
        <w:rPr>
          <w:rFonts w:ascii="Arial" w:cs="Arial" w:eastAsia="Arial" w:hAnsi="Arial"/>
          <w:sz w:val="18"/>
          <w:szCs w:val="18"/>
          <w:color w:val="auto"/>
        </w:rPr>
        <w:t>claim rights to facilities or to products, including intellectual property, developed under the contract; require repayment of contract funds spent on construction of facilities in the event of contract default; take actions that result in a longer development timeline than expected;</w:t>
      </w:r>
    </w:p>
    <w:p>
      <w:pPr>
        <w:spacing w:after="0" w:line="1" w:lineRule="exact"/>
        <w:rPr>
          <w:sz w:val="20"/>
          <w:szCs w:val="20"/>
          <w:color w:val="auto"/>
        </w:rPr>
      </w:pPr>
    </w:p>
    <w:p>
      <w:pPr>
        <w:ind w:left="660" w:right="3040"/>
        <w:spacing w:after="0" w:line="254" w:lineRule="auto"/>
        <w:rPr>
          <w:sz w:val="20"/>
          <w:szCs w:val="20"/>
          <w:color w:val="auto"/>
        </w:rPr>
      </w:pPr>
      <w:r>
        <w:rPr>
          <w:rFonts w:ascii="Arial" w:cs="Arial" w:eastAsia="Arial" w:hAnsi="Arial"/>
          <w:sz w:val="18"/>
          <w:szCs w:val="18"/>
          <w:color w:val="auto"/>
        </w:rPr>
        <w:t>direct the course of a development program in a manner not chosen by the government contractor; suspend or debar the contractor from doing business with the government or a specific government agency; pursue civil or criminal remedies under acts such as the False Claims Act and False Statements Act; and control or prohibit the export of products.</w:t>
      </w:r>
    </w:p>
    <w:p>
      <w:pPr>
        <w:spacing w:after="0" w:line="2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Generally, government contracts, including our contract for procurement of BioThrax,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Our CDC contract for the procurement of BioThrax is, and our future U.S. government procurement and development contracts are likely to be, terminable at the U.S. government's convenience with these potential consequences.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technological advances. We may face future competition with respect to our products, any products that we acquire, our current product candidates and any products we may seek to develop or commercialize in the future from other biopharmaceutical companies and governments, universities and other non-profit research organizations, who are increasingly aware of the commercial value of their research. Our competitors may develop products that are safer, more effective, more convenient or less costly than any products that we may develop or market. Our competitors may devote greater resources to market or sell their products, adapt more quickly to new technologies and scientific advances, initiate or withstand substantial price competition more successfully than we can, or more effectively negotiate third-party licensing and collaborative arrangements.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a number of companies with biodefense products or product candidates competing with us for both U.S. government procurement and development resources. For example, in terms of additional procurement of licensed countermeasures, HHS awarded a development and SNS procurement contract to GlaxoSmithKline plc for ABThrax (raxibacumab), an anthrax monoclonal antibody therapeutic.</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most significant competitors in the hematology/oncology and transplantation markets include: Amgen Inc., Baxter International Inc., CSL Behring, a subsidiary of CSL Limited, GlaxoSmithKline plc, Grifols USA LLC and Biotest Pharmaceuticals Corporation, a subsidiary of Biotest AG.</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reduction in demand for our products as a result of a competing product could lead to reduced revenues, reduced margins, reduced levels of profitability and loss of market share for our products. These competitive pressures could adversely affect our business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distribute some of our products and those third parties may not perform.</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our revenues from product sales is derived from sales through exclusive distributors in Canada and international markets. For example, in Canada, only two distributors have rights to our WinRho SDF, HepaGam B and VARIZIG products. As a result, we rely on the sales and marketing strength of these distributors and the distribution channels through which they operate for a portion of our revenues. We may not be able to retain these distribution relationships indefinitely and these distributors may not adequately support the sales, marketing and distribution efforts of our products in these significant markets. If third parties do not successfully carry out their contractual duties in maximizing the commercial potential of our products, or if there is a delay or interruption in the distribution of our products, it could negatively impact our revenue from sales of such products.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Biosciences products will depend upon the degree of market acceptance by the government, physicians, patients, healthcare payors and others in the medical community.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Biosciences products may not gain or maintain market acceptance by potential government customers, physicians, patients, third-party payors and others in the medical community. In particular, the success of our Biosciences products, including our hyperimmune specialty products, will depend upon, among other things, their acceptance by physicians, patients, third-party payors and other members of the medical community as a therapeutic and cost-effective alternative to competing products and treatments. If any of our products do not achieve and maintain an adequate level of acceptance, we may not generate material revenues from sales of these products. The degree of market acceptance of our products will depend on a number of factors, including: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provide acceptable evidence of safety and efficacy;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prevalence and severity of any side effects;</w:t>
      </w:r>
    </w:p>
    <w:p>
      <w:pPr>
        <w:sectPr>
          <w:pgSz w:w="11900" w:h="16838" w:orient="portrait"/>
          <w:cols w:equalWidth="0" w:num="1">
            <w:col w:w="11420"/>
          </w:cols>
          <w:pgMar w:left="240" w:top="125" w:right="239" w:bottom="0" w:gutter="0" w:footer="0" w:header="0"/>
        </w:sectPr>
      </w:pPr>
    </w:p>
    <w:bookmarkStart w:id="25" w:name="page26"/>
    <w:bookmarkEnd w:id="25"/>
    <w:p>
      <w:pPr>
        <w:spacing w:after="0" w:line="74" w:lineRule="exact"/>
        <w:rPr>
          <w:sz w:val="20"/>
          <w:szCs w:val="20"/>
          <w:color w:val="auto"/>
        </w:rPr>
      </w:pPr>
    </w:p>
    <w:p>
      <w:pPr>
        <w:ind w:left="660" w:right="4540"/>
        <w:spacing w:after="0" w:line="256" w:lineRule="auto"/>
        <w:rPr>
          <w:sz w:val="20"/>
          <w:szCs w:val="20"/>
          <w:color w:val="auto"/>
        </w:rPr>
      </w:pPr>
      <w:r>
        <w:rPr>
          <w:rFonts w:ascii="Arial" w:cs="Arial" w:eastAsia="Arial" w:hAnsi="Arial"/>
          <w:sz w:val="18"/>
          <w:szCs w:val="18"/>
          <w:color w:val="auto"/>
        </w:rPr>
        <w:t>availability, relative cost and relative efficacy of alternative and competing treatments; the ability to offer our products for sale at competitive prices; the relative convenience and ease of administration;</w:t>
      </w:r>
    </w:p>
    <w:p>
      <w:pPr>
        <w:ind w:left="660" w:right="2660"/>
        <w:spacing w:after="0" w:line="250" w:lineRule="auto"/>
        <w:rPr>
          <w:sz w:val="20"/>
          <w:szCs w:val="20"/>
          <w:color w:val="auto"/>
        </w:rPr>
      </w:pPr>
      <w:r>
        <w:rPr>
          <w:rFonts w:ascii="Arial" w:cs="Arial" w:eastAsia="Arial" w:hAnsi="Arial"/>
          <w:sz w:val="18"/>
          <w:szCs w:val="18"/>
          <w:color w:val="auto"/>
        </w:rPr>
        <w:t>the willingness of the target patient population to try new products and of physicians to prescribe these products; the strength of marketing and distribution support;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publicity concerning our products or competing products and treatments;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sufficiency of coverage or reimbursement by third parties.</w:t>
      </w:r>
    </w:p>
    <w:p>
      <w:pPr>
        <w:spacing w:after="0" w:line="2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our products and product candidates do not become widely accepted by potential government customers, physicians, patients, third-party payors and other members of the medical community, our business, financial condition and operating results could be materially and adversely affected.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 care systems and payer reimbursement policies could result in a decline in our potential sales and a reduction in our expected revenue from our products.</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revenues and profitability of biopharmaceutical companies like ours may be affected by the continuing efforts of government and third-party payers to contain or reduce the costs of health care through various means. For example, in certain foreign markets, pricing or profitability of therapeutic and other pharmaceutical products is subject to governmental control. In the United States, there have been, and we expect that there will continue to be, a number of federal and state proposals to implement similar governmental control. Recent U.S. legislation, rules and regulations instituted significant changes to the U.S. healthcare system that could have a material adverse effect on our business, financial condition and profitability. We cannot predict what effects, if any, this legislation might have on our company and our products as this legislation is implemented over the next few years, nor can we predict whether additional legislative or regulatory proposals may be adopted.</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in the U.S. and elsewhere, sales of therapeutic and other pharmaceutical products depend, in part, on the availability of reimbursement from third-party payers, such as government and private insurance plans. Third-party payers are increasingly challenging the prices charged for medical products and services. Third-party payers may limit access to biopharmaceutical products through the use of prior authorizations and step therapy. Any reimbursement granted may not be maintained, or limits on reimbursement available from third parties may reduce the demand for or negatively affect the price and profitability of those products. Payers may pursue aggressive cost cutting initiatives such as comparing the effectiveness, benefits and costs of similar treatments, which could result in lower reimbursement. Policies that decrease reimbursement would likely have a material adverse effect on our business, financial condition and results of operations. Our ability to successfully commercialize our products and product candidates and the demand for our products depend, in part, on the extent to which reimbursement and access is available from such third-party payers.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Competition for BioThrax, WinRho SDF, BAT, AIGIV, HepaGam B, VARIZIG and VIGIV, or our "Biologic Products," may be affected by follow-on biologics, which are also referred to as "biosimilars," in the U.S. and other jurisdictions. Regulatory and legislative activity in the U.S.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although the European Medicines Agency has expressly excluded blood or plasma-derived products and their recombinant alternatives from the biosimilar pathway for a period of time. Vaccine and allergen products are considered on a case-by-case basis. The specific regulatory framework for this new approval pathway, whether the FDA will permit biosimilars for blood products and vaccines, and the extent to which an approved biosimilar would be substituted for the innovator biologic are not yet clear and will depend on many factors that are currently unknown. If a biosimilar version of one of our Biologic Products were approved, it could have a material adverse effect on the sales and gross profits of the affected Biologic Product and adversely affect our business and operating results.</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Products developed to treat diseases caused by or to combat CBRN (Chemical, Biological, Radiological and Nuclear) threats are subject to changing political and social environments. The political responses and social awareness of the risks of biowarfare and bioterrorism attacks on military personnel or civilians may vary over time. Changes in the leadership of prominent terrorist networks could result in a public perception that the risk of bioterrorism is reduced. This perception, as well as political or social pressures, could delay or cause resistance to bringing our products to market or limit pricing or purchases of our products, any of which could negatively affect our revenues.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Biodefense products and thereby limit the demand for our Biodefense products, which would adversely affect our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 term success depends, in part, upon our ability to develop, receive regulatory approval for and commercialize product candidates and, if we are not successful, our business and operating results may suffer.</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 We have limited experience in preparing, filing and prosecuting the applications necessary to gain regulatory approvals and expect to rely on third-party contract research organizations and consultants to assist us in this process.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and efficacy in treating the targeted indication based on data derived from adequate and well-controlled clinical trials, including Phase III safety and efficacy trials conducted in patients with the disease or condition being targeted.</w:t>
      </w:r>
    </w:p>
    <w:p>
      <w:pPr>
        <w:sectPr>
          <w:pgSz w:w="11900" w:h="16912" w:orient="portrait"/>
          <w:cols w:equalWidth="0" w:num="1">
            <w:col w:w="11420"/>
          </w:cols>
          <w:pgMar w:left="240" w:top="125" w:right="239" w:bottom="0" w:gutter="0" w:footer="0" w:header="0"/>
        </w:sectPr>
      </w:pPr>
    </w:p>
    <w:bookmarkStart w:id="26" w:name="page27"/>
    <w:bookmarkEnd w:id="26"/>
    <w:p>
      <w:pPr>
        <w:jc w:val="both"/>
        <w:ind w:firstLine="648"/>
        <w:spacing w:after="0" w:line="270" w:lineRule="auto"/>
        <w:rPr>
          <w:sz w:val="20"/>
          <w:szCs w:val="20"/>
          <w:color w:val="auto"/>
        </w:rPr>
      </w:pPr>
      <w:r>
        <w:rPr>
          <w:rFonts w:ascii="Arial" w:cs="Arial" w:eastAsia="Arial" w:hAnsi="Arial"/>
          <w:sz w:val="17"/>
          <w:szCs w:val="17"/>
          <w:color w:val="auto"/>
        </w:rPr>
        <w:t>However, NuThrax and PreviThrax are subject to a different regulatory approval pathway. Specifically, because humans are rarely exposed to anthrax toxins under natural conditions, and cannot be intentionally exposed, statistically significant efficacy for these product candidates cannot be demonstrated in humans. Instead, efficacy must be demonstrated, in part, by utilizing animal models before they can be approved for marketing. This is known as the FDA's "Animal Rule." We cannot guarantee that the FDA will permit us to proceed with licensure of NuThrax, PreviThrax or any Biodefense product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drug's clinical benefit and to assess its safety when used as indicated. We cannot guarantee that we will be able to meet this regulatory requirement even if one or more of our product candidates is approved under the Animal Rule.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for a submitted product application, may cause delays in the approval or rejection of an application.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current good manufacturing practices, or cGMP, requirements relating to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 enforces its cGMP and other requirements through periodic unannounced inspections of manufacturing facilities. The FDA is authorized to inspect domestic manufacturing facilities without prior notice at reasonable times and in a reasonable manner. The FDA conducts periodic inspections of our facilities. For example, our Lansing facility was inspected most recently in November 2013. Following each of these inspections, the FDA has issued inspectional observations, some of which were significant, but all of which are being addressed through corrective actions. If, in connection with any future inspection, the FDA finds that we are not in substantial compliance with cGMP requirements, or if the FDA is not satisfied with the corrective actions we take, the FDA may undertake enforcement action against us, which may include: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warning letters and other communications;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seizure or withdrawal of the product from the market;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restrictions on the marketing or manufacturing of a product;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suspension or withdrawal of regulatory approvals or refusal to approve pending applications or supplements to approved applications;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fines or disgorgement of profits or revenue;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 action may be taken against us upon our failure to comply with regulatory requirements, or later discovery of previously unknown problems with our products or manufacturing processes.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sell and intend to sell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We and our collaborators may not be able to obtain foreign regulatory approvals on a timely basis, if at all, and therefore we may be unable to commercialize our products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outside the United States are found to be in violation of the FCPA or similar foreign laws,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ectPr>
          <w:pgSz w:w="11900" w:h="16838" w:orient="portrait"/>
          <w:cols w:equalWidth="0" w:num="1">
            <w:col w:w="11420"/>
          </w:cols>
          <w:pgMar w:left="240" w:top="368" w:right="239" w:bottom="0" w:gutter="0" w:footer="0" w:header="0"/>
        </w:sectPr>
      </w:pPr>
    </w:p>
    <w:bookmarkStart w:id="27" w:name="page28"/>
    <w:bookmarkEnd w:id="27"/>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biologic products and product candidates are complex to manufacture and ship, which could cause us to experience delays in product manufacturing or development and resulting delays in revenues.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BioThrax, WinRho SDF, BAT, AIGIV, HepaGam B, VARIZIG, VIGIV and all of our current product candidates, are biologics. Manufacturing biologic products, especially in large quantities, is complex. The products must be made consistently and in compliance with a clearly defined manufacturing process. Problems may arise during manufacturing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filtration, filling, labeling, packaging, storage and shipping, and quality control testing, may result in lot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or cause the FDA to cease releasing product until the deviations are explained and corrected, any of which could be costly to us, damage our reputation and negatively impact our business.</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FDA approval is required for the release of each lot of BioThrax. We will not be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control lot and periodically produce and qualify a new control lot to replace the existing control lot. If we are not able to produce and qualify a new control lot or otherwise satisfy the FDA's requirements for release of BioThrax, our ability to sell BioThrax would be impaired until such time as we become able to meet the FDA's requirements, which would significantly impact our revenues, require us to utilize our cash balances to help fund our ongoing operations and otherwise harm our business.</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contractually required to ship our biologic products at a prescribed temperature range and variations from that temperature range could result in loss of product and could significantly impact our revenues.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in the process of expanding our manufacturing facilities. Delays in completing our facilities, or delays or failures in obtaining regulatory approvals for our new manufacturing facilities, could limit our ability to expand our revenues.</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constructed Building 55, a large-scale manufacturing facility on our Lansing, Michigan campus for which we received a development contract from BARDA in July 2010 for scale-up, qualification and validation to manufacture BioThrax. Additionally, in 2009, we acquired a facility in Baltimore, Maryland, which we intend to utilize for certain product development or manufacturing projects, including projects performed under a separate development contract from BARDA to establish a Center for Innovation in Advanced Development and Manufacturing. The process for qualifying and validating these facilities may result in unanticipated delays and may cost more than expected due to a number of factors, including regulatory requirements. The costs and time required to comply with cGMP regulations or similar foreign regulatory requirements for sales of our products may be significant. In addition, if we experience delays, we may be in breach of the obligations under our government-funded development contracts. We have experienced such delays in the past and may experience further delays in the future. If our facility licensure activities are delayed, we may not be able to utilize Building 55 to increase our production of BioThrax or manufacture product candidates in our Baltimore facility, which could significantly impact our future revenues.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Currently, only Building 12, our manufacturing facility in Lansing, Michigan has regulatory approval to manufacture BioThrax. A significant interruption of the ability of this facility to manufacture BioThrax would reduce our revenues and materially harm our business, financial condition, operating results and cash flow.</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rely on our manufacturing facility at a single location in Lansing, Michigan, Building 12, for the production of BioThrax. Any interruption in manufacturing operations at this location could result in our inability to satisfy the product demand of the U.S. government or other BioThrax customers. A number of factors could cause interruptions, including: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equipment malfunctions or failures;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technology malfunctions;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cyber-attacks;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work stoppages or slow-downs;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protests, including by animal rights activists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damage to or destruction of the facility; 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tampering.</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Providers of bioterrorism countermeasures could be subject to an increased risk of terrorist activities. The U.S. government has designated both our Lansing, Michigan and our Biodefense Baltimore facility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facility in Winnipeg, Manitoba, Canada. Any such disruption, damage, or destruction of these facilities could impede our ability to manufacture our Biologic Products and our product candidates, result in losses and delays, including delay in the performance of our contractual obligations or delay in our clinical trials, any of which could be costly to us and materially harm our business, financial condition and operating results.</w:t>
      </w:r>
    </w:p>
    <w:p>
      <w:pPr>
        <w:sectPr>
          <w:pgSz w:w="11900" w:h="16925" w:orient="portrait"/>
          <w:cols w:equalWidth="0" w:num="1">
            <w:col w:w="11420"/>
          </w:cols>
          <w:pgMar w:left="240" w:top="121" w:right="239" w:bottom="0" w:gutter="0" w:footer="0" w:header="0"/>
        </w:sect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are unable to obtain supplies for the manufacture of BioThrax or our other products and product candidates in sufficient quantities and at an acceptable cost, our ability to manufacture BioThrax or to develop and commercialize our other products and product candidates could be impaired, which could harm our revenues, lead to a termination of one or more of our contracts, lead to delays in clinical trials or otherwise harm our business.</w:t>
      </w:r>
    </w:p>
    <w:p>
      <w:pPr>
        <w:sectPr>
          <w:pgSz w:w="11900" w:h="16925" w:orient="portrait"/>
          <w:cols w:equalWidth="0" w:num="1">
            <w:col w:w="11420"/>
          </w:cols>
          <w:pgMar w:left="240" w:top="121" w:right="239" w:bottom="0" w:gutter="0" w:footer="0" w:header="0"/>
          <w:type w:val="continuous"/>
        </w:sectPr>
      </w:pPr>
    </w:p>
    <w:bookmarkStart w:id="28" w:name="page29"/>
    <w:bookmarkEnd w:id="28"/>
    <w:p>
      <w:pPr>
        <w:jc w:val="both"/>
        <w:ind w:firstLine="648"/>
        <w:spacing w:after="0" w:line="254" w:lineRule="auto"/>
        <w:rPr>
          <w:sz w:val="20"/>
          <w:szCs w:val="20"/>
          <w:color w:val="auto"/>
        </w:rPr>
      </w:pPr>
      <w:r>
        <w:rPr>
          <w:rFonts w:ascii="Arial" w:cs="Arial" w:eastAsia="Arial" w:hAnsi="Arial"/>
          <w:sz w:val="18"/>
          <w:szCs w:val="18"/>
          <w:color w:val="auto"/>
        </w:rPr>
        <w:t>We depend on certain single-source suppliers for materials and services necessary for the manufacture of BioThrax and our other products and product candidates. For example, we rely on a single-source supplier to provide us with Alhydrogel in sufficient quantities to meet our needs to manufacture BioThrax and NuThrax. We also rely on single-source suppliers for the sponge applicator device and the active ingredient used to make RSDL and the specialty plasma in our hyperimmune specialty plasma products. A disruption in the availability of such materials or services from these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harm our business, financial condition and operating results.</w:t>
      </w:r>
    </w:p>
    <w:p>
      <w:pPr>
        <w:spacing w:after="0" w:line="2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are currently dependent on third-party manufacturers for the manufacture of RSDL and episil</w:t>
      </w:r>
      <w:r>
        <w:rPr>
          <w:rFonts w:ascii="Arial" w:cs="Arial" w:eastAsia="Arial" w:hAnsi="Arial"/>
          <w:sz w:val="18"/>
          <w:szCs w:val="18"/>
          <w:color w:val="auto"/>
        </w:rPr>
        <w:t>®</w:t>
      </w:r>
      <w:r>
        <w:rPr>
          <w:rFonts w:ascii="Arial" w:cs="Arial" w:eastAsia="Arial" w:hAnsi="Arial"/>
          <w:sz w:val="18"/>
          <w:szCs w:val="18"/>
          <w:b w:val="1"/>
          <w:bCs w:val="1"/>
          <w:i w:val="1"/>
          <w:iCs w:val="1"/>
          <w:color w:val="auto"/>
        </w:rPr>
        <w:t>. Certain of our third-party manufacturers currently constitute the sole source supplier for these products, and we have and will continue to have limited control over the manufacturing process and costs of these products.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Third-party manufacturers currently supply a significant amount of RSDL and episil® pursuant to contractual arrangements. Certain manufacturers currently constitute the sole source for RSDL and episil®. For example, E-Z-EM Canada Inc. (dba Therapex) is our sole source manufacturer for RSDL. Because of contractual restraints and the lead-time necessary to obtain FDA approval of a new manufacturer, replacement of any of these manufacturers may be expensive and time consuming and may cause interruptions in our supply of these products to our customers.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 limited ability to control the manufacturing process or costs related to the third-party manufacture of our products. Increases in the prices we pay our manufacturers, interruptions in the supply of our products or lapses in quality could adversely impact our margins, profitability and cash flows. We are reliant on our third-party manufacturers to maintain the facilities at which they manufacture our products in compliance with all FDA and other applicable regulatory requirements. If these manufacturers fail to maintain compliance with FDA or other applicable regulatory requirements, they could be ordered to cease manufacturing, which could have a materially adverse impact on our revenues and operating results.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our products.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operations involve the use of hazardous materials, including chemicals, bacteria, viruses and radioactive materials, and may produce dangerous waste products. Accordingly, we, along with the third parties that conduct clinical trials on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1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invested significant efforts and financial resources in the development of our vaccines and therapeutic product candidates and the acquisition of additional product candidates. In addition to our product sales, our ability to generate revenue is dependent on the success of our development programs, on the U.S. government's interest in providing development funding for or procuring certain of our Biodefense Division product candidates, on the interest of non-governmental organizations and other commercial entities in providing grant funding for development of certain of our Biosciences Division product candidates and on the commercial viability of our acquired or developed product candidates. The commercial success of our product candidates will depend on many factors, including accomplishing the following in an economical manner: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successful development, formulation and cGMP scale-up of biological manufacturing that meets FDA requirements;</w:t>
      </w:r>
    </w:p>
    <w:p>
      <w:pPr>
        <w:spacing w:after="0" w:line="23" w:lineRule="exact"/>
        <w:rPr>
          <w:sz w:val="20"/>
          <w:szCs w:val="20"/>
          <w:color w:val="auto"/>
        </w:rPr>
      </w:pPr>
    </w:p>
    <w:p>
      <w:pPr>
        <w:ind w:left="660" w:right="1300"/>
        <w:spacing w:after="0" w:line="250" w:lineRule="auto"/>
        <w:rPr>
          <w:sz w:val="20"/>
          <w:szCs w:val="20"/>
          <w:color w:val="auto"/>
        </w:rPr>
      </w:pPr>
      <w:r>
        <w:rPr>
          <w:rFonts w:ascii="Arial" w:cs="Arial" w:eastAsia="Arial" w:hAnsi="Arial"/>
          <w:sz w:val="18"/>
          <w:szCs w:val="18"/>
          <w:color w:val="auto"/>
        </w:rPr>
        <w:t>successful completion of clinical or non-clinical development, including toxicology studies and studies in approved animal models; receipt of marketing approvals from the FDA and equivalent foreign regulatory authorities;</w:t>
      </w:r>
    </w:p>
    <w:p>
      <w:pPr>
        <w:spacing w:after="0" w:line="1" w:lineRule="exact"/>
        <w:rPr>
          <w:sz w:val="20"/>
          <w:szCs w:val="20"/>
          <w:color w:val="auto"/>
        </w:rPr>
      </w:pPr>
    </w:p>
    <w:p>
      <w:pPr>
        <w:ind w:left="660" w:right="1280"/>
        <w:spacing w:after="0" w:line="265" w:lineRule="auto"/>
        <w:rPr>
          <w:sz w:val="20"/>
          <w:szCs w:val="20"/>
          <w:color w:val="auto"/>
        </w:rPr>
      </w:pPr>
      <w:r>
        <w:rPr>
          <w:rFonts w:ascii="Arial" w:cs="Arial" w:eastAsia="Arial" w:hAnsi="Arial"/>
          <w:sz w:val="17"/>
          <w:szCs w:val="17"/>
          <w:color w:val="auto"/>
        </w:rPr>
        <w:t>establishment of commercial manufacturing processes and product supply of our own or arrangements with contract manufacturers; establishment and training of a commercial sales force for the product, whether alone or in collaboration with others; successful registration and maintenance of patent and/or other proprietary protection for our commercial products;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acceptance of the product by potential government customers, physicians, patients, healthcare payors and others in the medical community.</w:t>
      </w:r>
    </w:p>
    <w:p>
      <w:pPr>
        <w:spacing w:after="0" w:line="2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we are delayed or prevented from developing or commercializing a product candidate in a profitable manner, or if doing so requires us to incur significant unanticipated costs, our growth could be materially and adversely affected.</w:t>
      </w:r>
    </w:p>
    <w:p>
      <w:pPr>
        <w:sectPr>
          <w:pgSz w:w="11900" w:h="16838" w:orient="portrait"/>
          <w:cols w:equalWidth="0" w:num="1">
            <w:col w:w="11420"/>
          </w:cols>
          <w:pgMar w:left="240" w:top="368" w:right="239" w:bottom="0" w:gutter="0" w:footer="0" w:header="0"/>
        </w:sectPr>
      </w:pP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w:t>
      </w:r>
    </w:p>
    <w:p>
      <w:pPr>
        <w:sectPr>
          <w:pgSz w:w="11900" w:h="16838" w:orient="portrait"/>
          <w:cols w:equalWidth="0" w:num="1">
            <w:col w:w="11420"/>
          </w:cols>
          <w:pgMar w:left="240" w:top="368" w:right="239" w:bottom="0" w:gutter="0" w:footer="0" w:header="0"/>
          <w:type w:val="continuous"/>
        </w:sectPr>
      </w:pPr>
    </w:p>
    <w:bookmarkStart w:id="29" w:name="page30"/>
    <w:bookmarkEnd w:id="29"/>
    <w:p>
      <w:pPr>
        <w:jc w:val="both"/>
        <w:ind w:firstLine="648"/>
        <w:spacing w:after="0" w:line="276" w:lineRule="auto"/>
        <w:rPr>
          <w:sz w:val="20"/>
          <w:szCs w:val="20"/>
          <w:color w:val="auto"/>
        </w:rPr>
      </w:pPr>
      <w:r>
        <w:rPr>
          <w:rFonts w:ascii="Arial" w:cs="Arial" w:eastAsia="Arial" w:hAnsi="Arial"/>
          <w:sz w:val="17"/>
          <w:szCs w:val="17"/>
          <w:color w:val="auto"/>
        </w:rPr>
        <w:t>Before obtaining regulatory approval for the sale of our product candidates, we and our collaborative partners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certain of our Biodefense product candidates, we expect to rely on the Animal Rule to obtain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 Under the Project BioShield Act of 2004, the Secretary of HHS can contract to purchase countermeasures for the SNS prior to FDA approval of the countermeasure in specified circumstances. Project BioShield also allows the FDA commissioner to authorize the emergency use of medical products that have not yet been approved by the FDA under an Emergency Use Authorization, or EUA. If our Biodefense product candidates are not selected under this Project BioShield authority, they generally will have to be approved by the FDA through traditional regulatory mechanisms.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experience unforeseen events or issues during, or as a result of, preclinical testing, clinical trials or animal efficacy studies. These issues and events could delay or prevent our ability to receive regulatory approval for a product candidate and include, among others: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sz w:val="20"/>
          <w:szCs w:val="20"/>
          <w:color w:val="auto"/>
        </w:rPr>
      </w:pPr>
    </w:p>
    <w:p>
      <w:pPr>
        <w:ind w:left="660" w:right="4820"/>
        <w:spacing w:after="0" w:line="250" w:lineRule="auto"/>
        <w:rPr>
          <w:sz w:val="20"/>
          <w:szCs w:val="20"/>
          <w:color w:val="auto"/>
        </w:rPr>
      </w:pPr>
      <w:r>
        <w:rPr>
          <w:rFonts w:ascii="Arial" w:cs="Arial" w:eastAsia="Arial" w:hAnsi="Arial"/>
          <w:sz w:val="18"/>
          <w:szCs w:val="18"/>
          <w:color w:val="auto"/>
        </w:rPr>
        <w:t>the unavailability or variability in the number and types of subjects for each study; safety issues or inconclusive or incomplete testing, trial or study results; lack of efficacy of product candidates during the trials;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government or regulatory restrictions or delays;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greater than anticipated costs of trials.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example, in February 2013, we announced results of a Phase IIb clinical trial evaluating the safety and efficacy of MVA85A in preventing tuberculosis in infants, which indicated that a single dose of MVA85A was not sufficient to confer statistically significant protection against tuberculosis in infants. As a consequence of these results, we ceased further development work on MVA85A.</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may suffer.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continue to evaluate our business strategy and, as a result, may modify our strategy in the future. In this regard, we may, from time to time, focus our product development efforts on different product candidates or may delay or halt the development of various product candidates. For example, in February 2013, as a consequence of clinical trial results, we ceased further development work on MVA85A, our tuberculosis vaccine candidate. As a result of changes in our strategy, we may change or refocus our existing product development, commercialization and manufacturing activities.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our business could be harmed.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particularly with respect to the Biosciences portion of our business, will depend, in large part, on our ability to obtain and maintain protection in the U.S. and other countries for the intellectual property covering or incorporated into our technology, products and product candidates. Obtaining and maintaining this protection is very costly. The patentability of technology in the field of vaccines, therapeutics and medical devices generally is highly uncertain and involves complex legal and scientific questions.</w:t>
      </w:r>
    </w:p>
    <w:p>
      <w:pPr>
        <w:sectPr>
          <w:pgSz w:w="11900" w:h="16838" w:orient="portrait"/>
          <w:cols w:equalWidth="0" w:num="1">
            <w:col w:w="11420"/>
          </w:cols>
          <w:pgMar w:left="240" w:top="125" w:right="239" w:bottom="0" w:gutter="0" w:footer="0" w:header="0"/>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We have in the past, and may in the future, abandon the prosecution and/or maintenance of a family of patent applications in the ordinary course of business. If these patent rights are later determined to be valuable or necessary to our business, our competitive position may be adversely affected. Changes in patent laws or administrative patent office rules or changes in interpretations of patent laws in the U.S. and in other countries may diminish the value of our intellectual property or narrow the scope of our patent protection, or result in costly defensive measures.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21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For example, we license an oligonucleotide adjuvant, CPG 7909, for use in NuThrax from Pfizer. One of the licensed U.S. patents related to CPG 7909 has been revoked by the U.S. Patent and Trademark Office, as a result of a patent interference between Pfizer and a third party.</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Third parties may choose to file patent infringement claims against us; defending ourselves from such allegations would be costly, time-consuming, distracting to management and could be materially adverse to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U.S. and abroad. These third parties may have substantially greater financial resources than us and could bring claims against us that would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in which event we might not be able to market any product that is covered by the licensed patents and may be subject to damages.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as to our proprietary manufacturing processes. Because we do not have patent protection for any of our current products, our only intellectual property protection for these products, other than trademarks, is confidentiality regarding our manufacturing capability and specialty know-how, such as techniques, processes and unique starting materials. However,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STRATEGIC ACQUISITIONS AND COLLABORATIONS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business strategy includes growing our business through acquisition and in-licensing transactions. We may not be successful in identifying, effectively evaluating,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w:t>
      </w:r>
    </w:p>
    <w:p>
      <w:pPr>
        <w:sectPr>
          <w:pgSz w:w="11900" w:h="16838" w:orient="portrait"/>
          <w:cols w:equalWidth="0" w:num="1">
            <w:col w:w="11420"/>
          </w:cols>
          <w:pgMar w:left="240" w:top="125" w:right="239" w:bottom="0" w:gutter="0" w:footer="0" w:header="0"/>
        </w:sectPr>
      </w:pPr>
    </w:p>
    <w:bookmarkStart w:id="31" w:name="page32"/>
    <w:bookmarkEnd w:id="31"/>
    <w:p>
      <w:pPr>
        <w:jc w:val="both"/>
        <w:spacing w:after="0" w:line="342" w:lineRule="auto"/>
        <w:rPr>
          <w:sz w:val="20"/>
          <w:szCs w:val="20"/>
          <w:color w:val="auto"/>
        </w:rPr>
      </w:pPr>
      <w:r>
        <w:rPr>
          <w:rFonts w:ascii="Arial" w:cs="Arial" w:eastAsia="Arial" w:hAnsi="Arial"/>
          <w:sz w:val="16"/>
          <w:szCs w:val="16"/>
          <w:color w:val="auto"/>
        </w:rPr>
        <w:t>number of more established companies are also pursuing strategies to acquire or in-license products in the vaccine and therapeutic field. These companies may have a competitive advantage over us due to their size, cash resources and greater clinical development and commercialization capabilities.</w:t>
      </w:r>
    </w:p>
    <w:p>
      <w:pPr>
        <w:spacing w:after="0" w:line="15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product or company,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in part to fund our acquisition of Cangene Corporation, we issued $250 million of senior convertible notes in January 2014. If we are unsuccessful in our efforts to acquire other companies or in-license and develop additional products, or if we acquire or in-license unproductive assets, it could have a material adverse effect on the growth of our business.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including our recent acquisitions of Cangene Corporation and the Healthcare Protective Products Division from Bracco Diagnostics Inc., could adversely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not be able to integrate any acquired business successfully, including our recent acquisitions of Cangene Corporation and the Healthcare Protective Products Division from Bracco Diagnostics Inc., or operate any acquired business profitably. In addition, cost synergies, if achieved at all, may be less than we expect, or may take greater time to achieve than we anticipate.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include, among others: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retaining existing customers and attracting new customers;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retaining key employees;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diversion of management attention and resources;</w:t>
      </w:r>
    </w:p>
    <w:p>
      <w:pPr>
        <w:spacing w:after="0" w:line="9" w:lineRule="exact"/>
        <w:rPr>
          <w:sz w:val="20"/>
          <w:szCs w:val="20"/>
          <w:color w:val="auto"/>
        </w:rPr>
      </w:pPr>
    </w:p>
    <w:p>
      <w:pPr>
        <w:ind w:left="660" w:right="3480"/>
        <w:spacing w:after="0" w:line="250" w:lineRule="auto"/>
        <w:rPr>
          <w:sz w:val="20"/>
          <w:szCs w:val="20"/>
          <w:color w:val="auto"/>
        </w:rPr>
      </w:pPr>
      <w:r>
        <w:rPr>
          <w:rFonts w:ascii="Arial" w:cs="Arial" w:eastAsia="Arial" w:hAnsi="Arial"/>
          <w:sz w:val="18"/>
          <w:szCs w:val="18"/>
          <w:color w:val="auto"/>
        </w:rPr>
        <w:t>conforming internal controls, policies and procedures, business cultures and compensation programs; consolidating corporate and administrative infrastructures; consolidating sales and marketing operations;</w:t>
      </w:r>
    </w:p>
    <w:p>
      <w:pPr>
        <w:spacing w:after="0" w:line="1" w:lineRule="exact"/>
        <w:rPr>
          <w:sz w:val="20"/>
          <w:szCs w:val="20"/>
          <w:color w:val="auto"/>
        </w:rPr>
      </w:pPr>
    </w:p>
    <w:p>
      <w:pPr>
        <w:ind w:left="660" w:right="4860"/>
        <w:spacing w:after="0" w:line="250" w:lineRule="auto"/>
        <w:rPr>
          <w:sz w:val="20"/>
          <w:szCs w:val="20"/>
          <w:color w:val="auto"/>
        </w:rPr>
      </w:pPr>
      <w:r>
        <w:rPr>
          <w:rFonts w:ascii="Arial" w:cs="Arial" w:eastAsia="Arial" w:hAnsi="Arial"/>
          <w:sz w:val="18"/>
          <w:szCs w:val="18"/>
          <w:color w:val="auto"/>
        </w:rPr>
        <w:t>identifying and eliminating redundant and underperforming operations and assets; assumption of known and unknown liabilities; coordinating geographically dispersed organizations;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managing tax costs or inefficiencies associated with integrating operations.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successfully integrate the Cangene acquisition, the Healthcare Protective Products Division from Bracco Diagnostics Inc. or future acquisitions with our existing businesses, we may not obtain the advantages that the acquisitions were intended to create, which may materially adversely affect our business and our ability to develop and introduce new products.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collaborations to leverage our capabilities to develop and commercialize our product candidates.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each of our product candidates, including otlertuzumab (Humanized Anti-CD37 therapeutic) (formerly known as TRU-016), we plan to evaluate the merits of entering into collaboration arrangements with leading biopharmaceutical companies or non-governmental organizations. We expect to selectively pursue collaboration arrangements with collaborators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acceptable terms, or if the arrangements we establish are unproductive for us, we may fail to meet our business objectives for the particular product candidate.</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collaboration that we enter into may not be successful and the success of our collaboration arrangements will depend heavily on the efforts and activities of our collaborators. It is likely that our collaborators will have significant discretion in determining the efforts and resources that they will apply to these collaborations.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risks that we are subject to in any of our collaborations include the following, among others:</w:t>
      </w:r>
    </w:p>
    <w:p>
      <w:pPr>
        <w:spacing w:after="0" w:line="252"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our collaborators may not commit adequate resources to the development, marketing and distribution of any collaboration products, limiting our potential revenues from these products;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collaborators may experience financial difficulties and may therefore be unable to meet their commitments to us;</w:t>
      </w:r>
    </w:p>
    <w:p>
      <w:pPr>
        <w:spacing w:after="0" w:line="9"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our collaborators may pursue a competing product candidate developed either independently or in collaboration with others, including our competitors;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collaborators may terminate our relationship.</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our previous collaborative partner Pfizer Inc. terminated its collaboration with us for the development of SBI-087 following a portfolio reprioritization process in 2012. As a result, we experienced a charge of $9.6 million in 2012 attributable to impairment of our SBI-087 in-process research and development asset. Similarly, our previous collaborative partner Abbott Laboratories terminated its collaboration with us for the development of otlertuzumab (formerly TRU-016) following a similar portfolio reprioritization process.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Failure of any of our future collaborative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ectPr>
          <w:pgSz w:w="11900" w:h="16838" w:orient="portrait"/>
          <w:cols w:equalWidth="0" w:num="1">
            <w:col w:w="11420"/>
          </w:cols>
          <w:pgMar w:left="240" w:top="125" w:right="239" w:bottom="229"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operations to pay our substantial debt.</w:t>
      </w:r>
    </w:p>
    <w:p>
      <w:pPr>
        <w:sectPr>
          <w:pgSz w:w="11900" w:h="16838" w:orient="portrait"/>
          <w:cols w:equalWidth="0" w:num="1">
            <w:col w:w="11420"/>
          </w:cols>
          <w:pgMar w:left="240" w:top="125" w:right="239" w:bottom="229" w:gutter="0" w:footer="0" w:header="0"/>
          <w:type w:val="continuous"/>
        </w:sectPr>
      </w:pPr>
    </w:p>
    <w:bookmarkStart w:id="32" w:name="page33"/>
    <w:bookmarkEnd w:id="32"/>
    <w:p>
      <w:pPr>
        <w:jc w:val="both"/>
        <w:ind w:firstLine="648"/>
        <w:spacing w:after="0" w:line="291" w:lineRule="auto"/>
        <w:rPr>
          <w:sz w:val="20"/>
          <w:szCs w:val="20"/>
          <w:color w:val="auto"/>
        </w:rPr>
      </w:pPr>
      <w:r>
        <w:rPr>
          <w:rFonts w:ascii="Arial" w:cs="Arial" w:eastAsia="Arial" w:hAnsi="Arial"/>
          <w:sz w:val="16"/>
          <w:szCs w:val="16"/>
          <w:color w:val="auto"/>
        </w:rPr>
        <w:t>As of July 31, 2014, our total consolidated indebtedness was $251 million, including $250 million of our obligations under our senior convertible notes. Our ability to make scheduled payments of the principal of, to pay interest on or to refinance our indebtedness, including the senior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our current debt, we also have a senior secured revolving credit facility with available capacity of up to $100 million effective until December 11, 2018 (or such earlier date to the extent required by the terms of this facility). We may seek additional debt financing to support our ongoing activities or to provide additional financial flexibility. Debt financing could have significant adverse consequences for our business, including:</w:t>
      </w:r>
    </w:p>
    <w:p>
      <w:pPr>
        <w:spacing w:after="0" w:line="193"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spacing w:after="0" w:line="1" w:lineRule="exact"/>
        <w:rPr>
          <w:sz w:val="20"/>
          <w:szCs w:val="20"/>
          <w:color w:val="auto"/>
        </w:rPr>
      </w:pPr>
    </w:p>
    <w:p>
      <w:pPr>
        <w:ind w:left="660" w:right="2800"/>
        <w:spacing w:after="0" w:line="281" w:lineRule="auto"/>
        <w:rPr>
          <w:sz w:val="20"/>
          <w:szCs w:val="20"/>
          <w:color w:val="auto"/>
        </w:rPr>
      </w:pPr>
      <w:r>
        <w:rPr>
          <w:rFonts w:ascii="Arial" w:cs="Arial" w:eastAsia="Arial" w:hAnsi="Arial"/>
          <w:sz w:val="16"/>
          <w:szCs w:val="16"/>
          <w:color w:val="auto"/>
        </w:rPr>
        <w:t>requiring us to pledge our assets as collateral, which could limit our ability to obtain additional debt financing; limiting our flexibility in planning for, or reacting to, general adverse economic and industry conditions; and</w:t>
      </w:r>
    </w:p>
    <w:p>
      <w:pPr>
        <w:spacing w:after="0" w:line="1"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if any, in our assets securing our indebtedness.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business, results of operations and financial condition.</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require significant additional funding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2014, we had approximately $246.4 million of cash, cash equivalents and accounts receivable. Our future capital requirements will depend on many factors, including, among others: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timing and cost of product sales;</w:t>
      </w:r>
    </w:p>
    <w:p>
      <w:pPr>
        <w:spacing w:after="0" w:line="23" w:lineRule="exact"/>
        <w:rPr>
          <w:sz w:val="20"/>
          <w:szCs w:val="20"/>
          <w:color w:val="auto"/>
        </w:rPr>
      </w:pPr>
    </w:p>
    <w:p>
      <w:pPr>
        <w:ind w:left="660" w:right="4140"/>
        <w:spacing w:after="0" w:line="250" w:lineRule="auto"/>
        <w:rPr>
          <w:sz w:val="20"/>
          <w:szCs w:val="20"/>
          <w:color w:val="auto"/>
        </w:rPr>
      </w:pPr>
      <w:r>
        <w:rPr>
          <w:rFonts w:ascii="Arial" w:cs="Arial" w:eastAsia="Arial" w:hAnsi="Arial"/>
          <w:sz w:val="18"/>
          <w:szCs w:val="18"/>
          <w:color w:val="auto"/>
        </w:rPr>
        <w:t>the extent to which we acquire or invest in companies, businesses, products or technologies; the acquisition of new facilities and capital improvements to new or existing facilities; the payment obligations under our indebtedness;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progress, results and costs of our development activities;</w:t>
      </w:r>
    </w:p>
    <w:p>
      <w:pPr>
        <w:spacing w:after="0" w:line="9"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of commercialization activities, including product marketing, sales and distribution.</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We have an effective shelf registration statement on file with the Securities and Exchange Commission, effective until June 2015 that allows us to issue up to an aggregate of $180 million of equity, debt and certain other types of securities through one or more future offerings. 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senior convertible notes from incurring additional debt, securing existing or future debt, recapitalizing our debt or taking a number of other actions that could have the effect of diminishing our ability to make payments on our indebtedness.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first quarters of 2014, 2013 and 2012.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Additionally, our profitability may be adversely affected as we progress through various stages of ongoing or planned clinical trials for our product candidates. We may not be able to achieve consistent profitability on a quarterly basis or sustain or increase profitability on an annual basis.</w:t>
      </w:r>
    </w:p>
    <w:p>
      <w:pPr>
        <w:sectPr>
          <w:pgSz w:w="11900" w:h="16838" w:orient="portrait"/>
          <w:cols w:equalWidth="0" w:num="1">
            <w:col w:w="11420"/>
          </w:cols>
          <w:pgMar w:left="240" w:top="125" w:right="239" w:bottom="0" w:gutter="0" w:footer="0" w:header="0"/>
        </w:sectPr>
      </w:pPr>
    </w:p>
    <w:bookmarkStart w:id="33" w:name="page34"/>
    <w:bookmarkEnd w:id="33"/>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measure of protection against such lawsuits is coverage under the Public Readiness and Emergency Preparedness Act, or PREP Act, which was signed into law in December 2005. The PREP Act creates immunity for manufacturers of biodefense countermeasures when the Secretary of HHS issues a declaration for their manufacture, administration or use. A PREP Act declaration is meant to provide immunity from all claims under federal or state law for loss arising out of the administration or use of a covered countermeasure. The Secretary of HHS has issued PREP Act declarations identifying BioThrax, BAT, AIGIV and VIGIV as covered countermeasures.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decreased demand or withdrawal of a product;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injury to our reputation;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withdrawal of clinical trial participants;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to defend the related litigation;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loss of revenue;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inability to commercialize products that we may develop.</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BAT, AIGIV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associated with foreign currency fluctuations.</w:t>
      </w:r>
    </w:p>
    <w:p>
      <w:pPr>
        <w:spacing w:after="0" w:line="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our acquisition of Cangene Corporation, we expect to incur a significant Canadian-dollar denominated expense in our Canadian operations. Our net income may be materially affected directly by exchange-rate fluctuations as net income from Canadian operations is translated into U.S. dollars for reporting purposes.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adversely affect our business, financial condition and operating results.</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If we fail to attract or retain key personnel, we may be unable to maintain or expand our business.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lose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ectPr>
          <w:pgSz w:w="11900" w:h="16880" w:orient="portrait"/>
          <w:cols w:equalWidth="0" w:num="1">
            <w:col w:w="11420"/>
          </w:cols>
          <w:pgMar w:left="240" w:top="121"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Fuad El-Hibri, executive chairman of our Board of Directors, has significant influence over us through his significant beneficial ownership of our common stock, including an ability to significantly influence the election of the members of our Board of Directors, or delay or prevent a change of control of us.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Mr. El-Hibri has the ability to significantly influence the election of the members of our Board of Directors due to his significant beneficial ownership of our common stock. As of July 31, 2014, Mr. El-Hibri was the beneficial owner of approximately 16% of our outstanding common stock. Because of Mr. El-Hibri's significant beneficial ownership of our common stock, Mr. El-Hibri also has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classification of our directors;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limitations on changing the number of directors then in office;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limitations on the removal of directors;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limitations on filling vacancies on the board;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limitations on the removal and appointment of the chairman of our Board of Directors;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inability of stockholders to act by written consent;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inability of stockholders to call special meetings;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ability of our Board of Directors to designate the terms of and issue a new series of preferred stock without stockholder approval.</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us in instances in which some stockholders may believe a change in control is in their best interests.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July 31, 2014, our common stock has traded as high as $28.48 per share and as low as $4.40 per share. The stock market in general and the market for biopharmaceutical companies in particular have experienced extreme volatility that has often been unrelated to the operating performance of particular companies. The market price of our common stock may be influenced by many factors, including, among others:</w:t>
      </w:r>
    </w:p>
    <w:p>
      <w:pPr>
        <w:spacing w:after="0" w:line="194" w:lineRule="exact"/>
        <w:rPr>
          <w:sz w:val="20"/>
          <w:szCs w:val="20"/>
          <w:color w:val="auto"/>
        </w:rPr>
      </w:pPr>
    </w:p>
    <w:p>
      <w:pPr>
        <w:ind w:left="660" w:right="5000"/>
        <w:spacing w:after="0" w:line="258" w:lineRule="auto"/>
        <w:rPr>
          <w:sz w:val="20"/>
          <w:szCs w:val="20"/>
          <w:color w:val="auto"/>
        </w:rPr>
      </w:pPr>
      <w:r>
        <w:rPr>
          <w:rFonts w:ascii="Arial" w:cs="Arial" w:eastAsia="Arial" w:hAnsi="Arial"/>
          <w:sz w:val="18"/>
          <w:szCs w:val="18"/>
          <w:color w:val="auto"/>
        </w:rPr>
        <w:t>decisions and procurement policies by the U.S. government affecting BioThrax; the success of competitive products or technologies;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results of clinical and non-clinical trials of our product candidates;</w:t>
      </w:r>
    </w:p>
    <w:p>
      <w:pPr>
        <w:spacing w:after="0" w:line="9" w:lineRule="exact"/>
        <w:rPr>
          <w:sz w:val="20"/>
          <w:szCs w:val="20"/>
          <w:color w:val="auto"/>
        </w:rPr>
      </w:pPr>
    </w:p>
    <w:p>
      <w:pPr>
        <w:ind w:left="660" w:right="4600"/>
        <w:spacing w:after="0" w:line="250" w:lineRule="auto"/>
        <w:rPr>
          <w:sz w:val="20"/>
          <w:szCs w:val="20"/>
          <w:color w:val="auto"/>
        </w:rPr>
      </w:pPr>
      <w:r>
        <w:rPr>
          <w:rFonts w:ascii="Arial" w:cs="Arial" w:eastAsia="Arial" w:hAnsi="Arial"/>
          <w:sz w:val="18"/>
          <w:szCs w:val="18"/>
          <w:color w:val="auto"/>
        </w:rPr>
        <w:t>announcements of acquisitions, collaborations, financings or other transactions by us; public concern as to the safety of our products; termination or delay of a development program;</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recruitment or departure of key personnel;</w:t>
      </w:r>
    </w:p>
    <w:p>
      <w:pPr>
        <w:sectPr>
          <w:pgSz w:w="11900" w:h="16838" w:orient="portrait"/>
          <w:cols w:equalWidth="0" w:num="1">
            <w:col w:w="11420"/>
          </w:cols>
          <w:pgMar w:left="240" w:top="364" w:right="239" w:bottom="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variations in our product revenue and profitability; and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other factors described in this "Risk Factors" section.</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intention to pay dividends in the foreseeable future, investors will benefit from an investment in our common stock only if it appreciates in value.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do not anticipate paying dividends on our common stock in the foreseeable future. Our senior secured credit facility and any future debt agreements that we enter into may limit our ability to pay dividends. As a result, capital appreciation, if any, of our common stock will be the sole source of gain for our stockholders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2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July 31, 2014, have the right to require us to register these shares of common stock under specified circumstances. In 2012, the SEC declared effective our shelf registration statement that included registration of up to 3 million of these shares to be sold by these holders from time to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by Item 601 of Regulation S-K are listed in the Exhibit Index immediately preceding the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J. Abdun-Nabi</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7,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Kramer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3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85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82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176530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000" w:space="720"/>
            <w:col w:w="5700"/>
          </w:cols>
          <w:pgMar w:left="240" w:top="850" w:right="239" w:bottom="1440" w:gutter="0" w:footer="0" w:header="0"/>
          <w:type w:val="continuous"/>
        </w:sectPr>
      </w:pPr>
    </w:p>
    <w:p>
      <w:pPr>
        <w:spacing w:after="0" w:line="61" w:lineRule="exact"/>
        <w:rPr>
          <w:sz w:val="20"/>
          <w:szCs w:val="20"/>
          <w:color w:val="auto"/>
        </w:rPr>
      </w:pPr>
    </w:p>
    <w:p>
      <w:pPr>
        <w:ind w:left="900" w:right="60" w:hanging="892"/>
        <w:spacing w:after="0" w:line="251"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Amended and Restated Emergent BioSolutions Inc. 2006 Stock Incentive Plan (incorporated by reference to Appendix A to the Company's definitive proxy statement on Schedule 14A filed with the Securities and Exchange Commission on April 7, 2014).</w:t>
      </w:r>
    </w:p>
    <w:tbl>
      <w:tblPr>
        <w:tblLayout w:type="fixed"/>
        <w:tblInd w:w="0" w:type="dxa"/>
        <w:tblCellMar>
          <w:top w:w="0" w:type="dxa"/>
          <w:left w:w="0" w:type="dxa"/>
          <w:bottom w:w="0" w:type="dxa"/>
          <w:right w:w="0" w:type="dxa"/>
        </w:tblCellMar>
      </w:tblPr>
      <w:tr>
        <w:trPr>
          <w:trHeight w:val="206"/>
        </w:trPr>
        <w:tc>
          <w:tcPr>
            <w:tcW w:w="800" w:type="dxa"/>
            <w:vAlign w:val="bottom"/>
          </w:tcPr>
          <w:p>
            <w:pPr>
              <w:spacing w:after="0" w:line="205" w:lineRule="exact"/>
              <w:rPr>
                <w:sz w:val="20"/>
                <w:szCs w:val="20"/>
                <w:color w:val="auto"/>
              </w:rPr>
            </w:pPr>
            <w:r>
              <w:rPr>
                <w:rFonts w:ascii="Arial" w:cs="Arial" w:eastAsia="Arial" w:hAnsi="Arial"/>
                <w:sz w:val="15"/>
                <w:szCs w:val="15"/>
                <w:color w:val="auto"/>
              </w:rPr>
              <w:t>12</w:t>
            </w:r>
            <w:r>
              <w:rPr>
                <w:rFonts w:ascii="Arial" w:cs="Arial" w:eastAsia="Arial" w:hAnsi="Arial"/>
                <w:sz w:val="23"/>
                <w:szCs w:val="23"/>
                <w:color w:val="auto"/>
                <w:vertAlign w:val="superscript"/>
              </w:rPr>
              <w:t>#</w:t>
            </w:r>
          </w:p>
        </w:tc>
        <w:tc>
          <w:tcPr>
            <w:tcW w:w="10600" w:type="dxa"/>
            <w:vAlign w:val="bottom"/>
          </w:tcPr>
          <w:p>
            <w:pPr>
              <w:ind w:left="100"/>
              <w:spacing w:after="0" w:line="206" w:lineRule="exact"/>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31.1</w:t>
            </w:r>
            <w:r>
              <w:rPr>
                <w:rFonts w:ascii="Arial" w:cs="Arial" w:eastAsia="Arial" w:hAnsi="Arial"/>
                <w:sz w:val="25"/>
                <w:szCs w:val="25"/>
                <w:color w:val="auto"/>
                <w:vertAlign w:val="superscript"/>
              </w:rPr>
              <w:t>#</w:t>
            </w:r>
          </w:p>
        </w:tc>
        <w:tc>
          <w:tcPr>
            <w:tcW w:w="1060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216"/>
        </w:trPr>
        <w:tc>
          <w:tcPr>
            <w:tcW w:w="800" w:type="dxa"/>
            <w:vAlign w:val="bottom"/>
          </w:tcPr>
          <w:p>
            <w:pPr>
              <w:spacing w:after="0" w:line="216" w:lineRule="exact"/>
              <w:rPr>
                <w:sz w:val="20"/>
                <w:szCs w:val="20"/>
                <w:color w:val="auto"/>
              </w:rPr>
            </w:pPr>
            <w:r>
              <w:rPr>
                <w:rFonts w:ascii="Arial" w:cs="Arial" w:eastAsia="Arial" w:hAnsi="Arial"/>
                <w:sz w:val="16"/>
                <w:szCs w:val="16"/>
                <w:color w:val="auto"/>
              </w:rPr>
              <w:t>31.2</w:t>
            </w:r>
            <w:r>
              <w:rPr>
                <w:rFonts w:ascii="Arial" w:cs="Arial" w:eastAsia="Arial" w:hAnsi="Arial"/>
                <w:sz w:val="25"/>
                <w:szCs w:val="25"/>
                <w:color w:val="auto"/>
                <w:vertAlign w:val="superscript"/>
              </w:rPr>
              <w:t>#</w:t>
            </w:r>
          </w:p>
        </w:tc>
        <w:tc>
          <w:tcPr>
            <w:tcW w:w="1060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226"/>
        </w:trPr>
        <w:tc>
          <w:tcPr>
            <w:tcW w:w="800" w:type="dxa"/>
            <w:vAlign w:val="bottom"/>
          </w:tcPr>
          <w:p>
            <w:pPr>
              <w:spacing w:after="0" w:line="226" w:lineRule="exact"/>
              <w:rPr>
                <w:sz w:val="20"/>
                <w:szCs w:val="20"/>
                <w:color w:val="auto"/>
              </w:rPr>
            </w:pPr>
            <w:r>
              <w:rPr>
                <w:rFonts w:ascii="Arial" w:cs="Arial" w:eastAsia="Arial" w:hAnsi="Arial"/>
                <w:sz w:val="16"/>
                <w:szCs w:val="16"/>
                <w:color w:val="auto"/>
              </w:rPr>
              <w:t>32.1</w:t>
            </w:r>
            <w:r>
              <w:rPr>
                <w:rFonts w:ascii="Arial" w:cs="Arial" w:eastAsia="Arial" w:hAnsi="Arial"/>
                <w:sz w:val="26"/>
                <w:szCs w:val="26"/>
                <w:color w:val="auto"/>
                <w:vertAlign w:val="superscript"/>
              </w:rPr>
              <w:t>#</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20"/>
                <w:szCs w:val="20"/>
                <w:color w:val="auto"/>
              </w:rPr>
            </w:pPr>
            <w:r>
              <w:rPr>
                <w:rFonts w:ascii="Arial" w:cs="Arial" w:eastAsia="Arial" w:hAnsi="Arial"/>
                <w:sz w:val="18"/>
                <w:szCs w:val="18"/>
                <w:color w:val="auto"/>
              </w:rPr>
              <w:t>32.2</w:t>
            </w:r>
            <w:r>
              <w:rPr>
                <w:rFonts w:ascii="Arial" w:cs="Arial" w:eastAsia="Arial" w:hAnsi="Arial"/>
                <w:sz w:val="30"/>
                <w:szCs w:val="30"/>
                <w:color w:val="auto"/>
                <w:vertAlign w:val="superscript"/>
              </w:rPr>
              <w:t>#</w:t>
            </w:r>
          </w:p>
        </w:tc>
        <w:tc>
          <w:tcPr>
            <w:tcW w:w="1060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 INS</w:t>
            </w:r>
          </w:p>
        </w:tc>
        <w:tc>
          <w:tcPr>
            <w:tcW w:w="1060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60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tcPr>
          <w:p>
            <w:pPr>
              <w:ind w:left="100"/>
              <w:spacing w:after="0"/>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tcPr>
          <w:p>
            <w:pPr>
              <w:ind w:left="100"/>
              <w:spacing w:after="0"/>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tcPr>
          <w:p>
            <w:pPr>
              <w:ind w:left="100"/>
              <w:spacing w:after="0"/>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tcPr>
          <w:p>
            <w:pPr>
              <w:ind w:left="100"/>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w:t>
      </w:r>
    </w:p>
    <w:p>
      <w:pPr>
        <w:spacing w:after="0" w:line="23" w:lineRule="exact"/>
        <w:rPr>
          <w:sz w:val="20"/>
          <w:szCs w:val="20"/>
          <w:color w:val="auto"/>
        </w:rPr>
      </w:pPr>
    </w:p>
    <w:p>
      <w:pPr>
        <w:ind w:left="700" w:hanging="20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Condensed Consolidated Statements of Operations for the three and six months ended June 30, 2014 and June 30, 2013;</w:t>
      </w:r>
    </w:p>
    <w:p>
      <w:pPr>
        <w:spacing w:after="0" w:line="9" w:lineRule="exact"/>
        <w:rPr>
          <w:rFonts w:ascii="Arial" w:cs="Arial" w:eastAsia="Arial" w:hAnsi="Arial"/>
          <w:sz w:val="18"/>
          <w:szCs w:val="18"/>
          <w:color w:val="auto"/>
        </w:rPr>
      </w:pPr>
    </w:p>
    <w:p>
      <w:pPr>
        <w:ind w:left="760" w:hanging="26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(Loss) for the three and six months ended June 30, 2014 and 2013;</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Condensed Consolidated Balance Sheets at June 30, 2014 and December 31, 2013;</w:t>
      </w:r>
    </w:p>
    <w:p>
      <w:pPr>
        <w:spacing w:after="0" w:line="9"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2014 and 2013;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filed or part of a registration statement or prospectus for purposes of sections 11 or 12 of the Securities Act, is deemed filed for purposes of Section 18 of the Exchange Act, and otherwise is not subject to liability under these sections.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420"/>
          </w:cols>
          <w:pgMar w:left="240" w:top="850" w:right="2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22"/>
                <w:szCs w:val="22"/>
                <w:b w:val="1"/>
                <w:bCs w:val="1"/>
                <w:color w:val="auto"/>
                <w:w w:val="90"/>
              </w:rPr>
              <w:t>Exhibit 12</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300" w:type="dxa"/>
            <w:vAlign w:val="bottom"/>
            <w:tcBorders>
              <w:top w:val="single" w:sz="8" w:color="646464"/>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1"/>
              </w:rPr>
              <w:t>Period Ended</w:t>
            </w:r>
          </w:p>
        </w:tc>
        <w:tc>
          <w:tcPr>
            <w:tcW w:w="100" w:type="dxa"/>
            <w:vAlign w:val="bottom"/>
            <w:tcBorders>
              <w:top w:val="single" w:sz="8" w:color="646464"/>
            </w:tcBorders>
          </w:tcPr>
          <w:p>
            <w:pPr>
              <w:spacing w:after="0"/>
              <w:rPr>
                <w:sz w:val="17"/>
                <w:szCs w:val="17"/>
                <w:color w:val="auto"/>
              </w:rPr>
            </w:pPr>
          </w:p>
        </w:tc>
        <w:tc>
          <w:tcPr>
            <w:tcW w:w="180" w:type="dxa"/>
            <w:vAlign w:val="bottom"/>
            <w:tcBorders>
              <w:top w:val="single" w:sz="8" w:color="646464"/>
            </w:tcBorders>
          </w:tcPr>
          <w:p>
            <w:pPr>
              <w:spacing w:after="0"/>
              <w:rPr>
                <w:sz w:val="17"/>
                <w:szCs w:val="17"/>
                <w:color w:val="auto"/>
              </w:rPr>
            </w:pPr>
          </w:p>
        </w:tc>
        <w:tc>
          <w:tcPr>
            <w:tcW w:w="980" w:type="dxa"/>
            <w:vAlign w:val="bottom"/>
            <w:tcBorders>
              <w:top w:val="single" w:sz="8" w:color="646464"/>
            </w:tcBorders>
          </w:tcPr>
          <w:p>
            <w:pPr>
              <w:spacing w:after="0"/>
              <w:rPr>
                <w:sz w:val="17"/>
                <w:szCs w:val="17"/>
                <w:color w:val="auto"/>
              </w:rPr>
            </w:pPr>
          </w:p>
        </w:tc>
        <w:tc>
          <w:tcPr>
            <w:tcW w:w="220" w:type="dxa"/>
            <w:vAlign w:val="bottom"/>
            <w:tcBorders>
              <w:top w:val="single" w:sz="8" w:color="646464"/>
            </w:tcBorders>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646464"/>
            </w:tcBorders>
          </w:tcPr>
          <w:p>
            <w:pPr>
              <w:spacing w:after="0"/>
              <w:rPr>
                <w:sz w:val="17"/>
                <w:szCs w:val="17"/>
                <w:color w:val="auto"/>
              </w:rPr>
            </w:pPr>
          </w:p>
        </w:tc>
        <w:tc>
          <w:tcPr>
            <w:tcW w:w="90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646464"/>
            </w:tcBorders>
          </w:tcPr>
          <w:p>
            <w:pPr>
              <w:spacing w:after="0"/>
              <w:rPr>
                <w:sz w:val="17"/>
                <w:szCs w:val="17"/>
                <w:color w:val="auto"/>
              </w:rPr>
            </w:pPr>
          </w:p>
        </w:tc>
        <w:tc>
          <w:tcPr>
            <w:tcW w:w="960" w:type="dxa"/>
            <w:vAlign w:val="bottom"/>
            <w:tcBorders>
              <w:top w:val="single" w:sz="8" w:color="646464"/>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646464"/>
            </w:tcBorders>
          </w:tcPr>
          <w:p>
            <w:pPr>
              <w:spacing w:after="0"/>
              <w:rPr>
                <w:sz w:val="19"/>
                <w:szCs w:val="19"/>
                <w:color w:val="auto"/>
              </w:rPr>
            </w:pPr>
          </w:p>
        </w:tc>
        <w:tc>
          <w:tcPr>
            <w:tcW w:w="1000" w:type="dxa"/>
            <w:vAlign w:val="bottom"/>
            <w:tcBorders>
              <w:bottom w:val="single" w:sz="8" w:color="646464"/>
            </w:tcBorders>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646464"/>
              <w:bottom w:val="single" w:sz="8" w:color="646464"/>
            </w:tcBorders>
          </w:tcPr>
          <w:p>
            <w:pPr>
              <w:spacing w:after="0"/>
              <w:rPr>
                <w:sz w:val="19"/>
                <w:szCs w:val="19"/>
                <w:color w:val="auto"/>
              </w:rPr>
            </w:pPr>
          </w:p>
        </w:tc>
        <w:tc>
          <w:tcPr>
            <w:tcW w:w="980" w:type="dxa"/>
            <w:vAlign w:val="bottom"/>
            <w:tcBorders>
              <w:top w:val="single" w:sz="8" w:color="646464"/>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646464"/>
            </w:tcBorders>
          </w:tcPr>
          <w:p>
            <w:pPr>
              <w:spacing w:after="0"/>
              <w:rPr>
                <w:sz w:val="19"/>
                <w:szCs w:val="19"/>
                <w:color w:val="auto"/>
              </w:rPr>
            </w:pPr>
          </w:p>
        </w:tc>
        <w:tc>
          <w:tcPr>
            <w:tcW w:w="240" w:type="dxa"/>
            <w:vAlign w:val="bottom"/>
            <w:tcBorders>
              <w:top w:val="single" w:sz="8" w:color="646464"/>
              <w:bottom w:val="single" w:sz="8" w:color="646464"/>
            </w:tcBorders>
          </w:tcPr>
          <w:p>
            <w:pPr>
              <w:spacing w:after="0"/>
              <w:rPr>
                <w:sz w:val="19"/>
                <w:szCs w:val="19"/>
                <w:color w:val="auto"/>
              </w:rPr>
            </w:pPr>
          </w:p>
        </w:tc>
        <w:tc>
          <w:tcPr>
            <w:tcW w:w="900" w:type="dxa"/>
            <w:vAlign w:val="bottom"/>
            <w:tcBorders>
              <w:top w:val="single" w:sz="8" w:color="646464"/>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646464"/>
              <w:bottom w:val="single" w:sz="8" w:color="646464"/>
            </w:tcBorders>
          </w:tcPr>
          <w:p>
            <w:pPr>
              <w:spacing w:after="0"/>
              <w:rPr>
                <w:sz w:val="19"/>
                <w:szCs w:val="19"/>
                <w:color w:val="auto"/>
              </w:rPr>
            </w:pPr>
          </w:p>
        </w:tc>
        <w:tc>
          <w:tcPr>
            <w:tcW w:w="900" w:type="dxa"/>
            <w:vAlign w:val="bottom"/>
            <w:tcBorders>
              <w:top w:val="single" w:sz="8" w:color="646464"/>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240" w:type="dxa"/>
            <w:vAlign w:val="bottom"/>
            <w:tcBorders>
              <w:top w:val="single" w:sz="8" w:color="646464"/>
              <w:bottom w:val="single" w:sz="8" w:color="646464"/>
            </w:tcBorders>
          </w:tcPr>
          <w:p>
            <w:pPr>
              <w:spacing w:after="0"/>
              <w:rPr>
                <w:sz w:val="19"/>
                <w:szCs w:val="19"/>
                <w:color w:val="auto"/>
              </w:rPr>
            </w:pPr>
          </w:p>
        </w:tc>
        <w:tc>
          <w:tcPr>
            <w:tcW w:w="900" w:type="dxa"/>
            <w:vAlign w:val="bottom"/>
            <w:tcBorders>
              <w:top w:val="single" w:sz="8" w:color="646464"/>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646464"/>
              <w:bottom w:val="single" w:sz="8" w:color="646464"/>
            </w:tcBorders>
          </w:tcPr>
          <w:p>
            <w:pPr>
              <w:spacing w:after="0"/>
              <w:rPr>
                <w:sz w:val="19"/>
                <w:szCs w:val="19"/>
                <w:color w:val="auto"/>
              </w:rPr>
            </w:pPr>
          </w:p>
        </w:tc>
        <w:tc>
          <w:tcPr>
            <w:tcW w:w="960" w:type="dxa"/>
            <w:vAlign w:val="bottom"/>
            <w:tcBorders>
              <w:top w:val="single" w:sz="8" w:color="646464"/>
              <w:bottom w:val="single" w:sz="8" w:color="646464"/>
            </w:tcBorders>
          </w:tcPr>
          <w:p>
            <w:pPr>
              <w:jc w:val="right"/>
              <w:ind w:right="308"/>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Pretax income (loss) from continuing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operations (1)</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(20,947)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37,446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38,849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77,880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46,110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Debt issuance cost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(2)</w:t>
            </w:r>
          </w:p>
        </w:tc>
        <w:tc>
          <w:tcPr>
            <w:tcW w:w="160" w:type="dxa"/>
            <w:vAlign w:val="bottom"/>
            <w:tcBorders>
              <w:top w:val="single" w:sz="8" w:color="646464"/>
            </w:tcBorders>
            <w:shd w:val="clear" w:color="auto" w:fill="CCEEFF"/>
          </w:tcPr>
          <w:p>
            <w:pPr>
              <w:spacing w:after="0"/>
              <w:rPr>
                <w:sz w:val="18"/>
                <w:szCs w:val="18"/>
                <w:color w:val="auto"/>
              </w:rPr>
            </w:pPr>
          </w:p>
        </w:tc>
        <w:tc>
          <w:tcPr>
            <w:tcW w:w="100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646464"/>
            </w:tcBorders>
            <w:shd w:val="clear" w:color="auto" w:fill="CCEEFF"/>
          </w:tcPr>
          <w:p>
            <w:pPr>
              <w:spacing w:after="0"/>
              <w:rPr>
                <w:sz w:val="18"/>
                <w:szCs w:val="18"/>
                <w:color w:val="auto"/>
              </w:rPr>
            </w:pPr>
          </w:p>
        </w:tc>
        <w:tc>
          <w:tcPr>
            <w:tcW w:w="98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646464"/>
            </w:tcBorders>
            <w:shd w:val="clear" w:color="auto" w:fill="CCEEFF"/>
          </w:tcPr>
          <w:p>
            <w:pPr>
              <w:spacing w:after="0"/>
              <w:rPr>
                <w:sz w:val="18"/>
                <w:szCs w:val="18"/>
                <w:color w:val="auto"/>
              </w:rPr>
            </w:pPr>
          </w:p>
        </w:tc>
        <w:tc>
          <w:tcPr>
            <w:tcW w:w="90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646464"/>
            </w:tcBorders>
            <w:shd w:val="clear" w:color="auto" w:fill="CCEEFF"/>
          </w:tcPr>
          <w:p>
            <w:pPr>
              <w:spacing w:after="0"/>
              <w:rPr>
                <w:sz w:val="18"/>
                <w:szCs w:val="18"/>
                <w:color w:val="auto"/>
              </w:rPr>
            </w:pPr>
          </w:p>
        </w:tc>
        <w:tc>
          <w:tcPr>
            <w:tcW w:w="90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646464"/>
            </w:tcBorders>
            <w:shd w:val="clear" w:color="auto" w:fill="CCEEFF"/>
          </w:tcPr>
          <w:p>
            <w:pPr>
              <w:spacing w:after="0"/>
              <w:rPr>
                <w:sz w:val="18"/>
                <w:szCs w:val="18"/>
                <w:color w:val="auto"/>
              </w:rPr>
            </w:pPr>
          </w:p>
        </w:tc>
        <w:tc>
          <w:tcPr>
            <w:tcW w:w="90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646464"/>
            </w:tcBorders>
            <w:shd w:val="clear" w:color="auto" w:fill="CCEEFF"/>
          </w:tcPr>
          <w:p>
            <w:pPr>
              <w:spacing w:after="0"/>
              <w:rPr>
                <w:sz w:val="18"/>
                <w:szCs w:val="18"/>
                <w:color w:val="auto"/>
              </w:rPr>
            </w:pPr>
          </w:p>
        </w:tc>
        <w:tc>
          <w:tcPr>
            <w:tcW w:w="960" w:type="dxa"/>
            <w:vAlign w:val="bottom"/>
            <w:tcBorders>
              <w:top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Noncontrolling interest in pretax income (3)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Capitalized interest (4)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Earnings ((1) + (2) -(3) -(4))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32,138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73,461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41,677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J. Abdun-Nabi certify that:</w:t>
      </w:r>
    </w:p>
    <w:p>
      <w:pPr>
        <w:spacing w:after="0" w:line="21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certify that:</w:t>
      </w:r>
    </w:p>
    <w:p>
      <w:pPr>
        <w:spacing w:after="0" w:line="211"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2014 as filed with the Securities and Exchange Commission on the date hereof (the "Report"), the undersigned, Daniel Abdun-Nabi, Chief Executive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7,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0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2014 as filed with the Securities and Exchange Commission on the date hereof (the "Report"), the undersigned, Robert Kramer, Chief Financial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7,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Roman"/>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0"/>
    </w:lvl>
  </w:abstractNum>
  <w:abstractNum w:abstractNumId="17">
    <w:nsid w:val="2D1D5AE9"/>
    <w:multiLevelType w:val="hybridMultilevel"/>
    <w:lvl w:ilvl="0">
      <w:lvlJc w:val="left"/>
      <w:lvlText w:val="(%1)"/>
      <w:numFmt w:val="lowerRoman"/>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2019-12-07T13:45:55Z</dcterms:created>
  <dcterms:modified xsi:type="dcterms:W3CDTF">2019-12-07T13:45:55Z</dcterms:modified>
</cp:coreProperties>
</file>