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56"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00" w:lineRule="exact"/>
        <w:rPr>
          <w:sz w:val="24"/>
          <w:szCs w:val="24"/>
          <w:color w:val="auto"/>
        </w:rPr>
      </w:pPr>
    </w:p>
    <w:p>
      <w:pPr>
        <w:spacing w:after="0" w:line="26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June 1, 2012</w:t>
      </w: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Emergent BioSolutions Inc.</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4180" w:type="dxa"/>
            <w:vAlign w:val="bottom"/>
          </w:tcPr>
          <w:p>
            <w:pPr>
              <w:jc w:val="center"/>
              <w:ind w:right="213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001-33137</w:t>
            </w:r>
          </w:p>
        </w:tc>
        <w:tc>
          <w:tcPr>
            <w:tcW w:w="262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14-1902018</w:t>
            </w:r>
          </w:p>
        </w:tc>
      </w:tr>
      <w:tr>
        <w:trPr>
          <w:trHeight w:val="216"/>
        </w:trPr>
        <w:tc>
          <w:tcPr>
            <w:tcW w:w="4180" w:type="dxa"/>
            <w:vAlign w:val="bottom"/>
          </w:tcPr>
          <w:p>
            <w:pPr>
              <w:jc w:val="center"/>
              <w:ind w:right="2130"/>
              <w:spacing w:after="0"/>
              <w:rPr>
                <w:sz w:val="20"/>
                <w:szCs w:val="20"/>
                <w:color w:val="auto"/>
              </w:rPr>
            </w:pPr>
            <w:r>
              <w:rPr>
                <w:rFonts w:ascii="Arial" w:cs="Arial" w:eastAsia="Arial" w:hAnsi="Arial"/>
                <w:sz w:val="18"/>
                <w:szCs w:val="18"/>
                <w:color w:val="auto"/>
                <w:w w:val="91"/>
              </w:rPr>
              <w:t>(State or Other Jurisdiction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4180" w:type="dxa"/>
            <w:vAlign w:val="bottom"/>
          </w:tcPr>
          <w:p>
            <w:pPr>
              <w:jc w:val="center"/>
              <w:ind w:right="2130"/>
              <w:spacing w:after="0"/>
              <w:rPr>
                <w:sz w:val="20"/>
                <w:szCs w:val="20"/>
                <w:color w:val="auto"/>
              </w:rPr>
            </w:pPr>
            <w:r>
              <w:rPr>
                <w:rFonts w:ascii="Arial" w:cs="Arial" w:eastAsia="Arial" w:hAnsi="Arial"/>
                <w:sz w:val="18"/>
                <w:szCs w:val="18"/>
                <w:color w:val="auto"/>
                <w:w w:val="94"/>
              </w:rPr>
              <w:t>of Incorporation)</w:t>
            </w:r>
          </w:p>
        </w:tc>
        <w:tc>
          <w:tcPr>
            <w:tcW w:w="2260" w:type="dxa"/>
            <w:vAlign w:val="bottom"/>
          </w:tcPr>
          <w:p>
            <w:pPr>
              <w:jc w:val="center"/>
              <w:ind w:right="1170"/>
              <w:spacing w:after="0"/>
              <w:rPr>
                <w:sz w:val="20"/>
                <w:szCs w:val="20"/>
                <w:color w:val="auto"/>
              </w:rPr>
            </w:pPr>
            <w:r>
              <w:rPr>
                <w:rFonts w:ascii="Arial" w:cs="Arial" w:eastAsia="Arial" w:hAnsi="Arial"/>
                <w:sz w:val="18"/>
                <w:szCs w:val="18"/>
                <w:color w:val="auto"/>
                <w:w w:val="92"/>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688"/>
        </w:trPr>
        <w:tc>
          <w:tcPr>
            <w:tcW w:w="6440" w:type="dxa"/>
            <w:vAlign w:val="bottom"/>
            <w:gridSpan w:val="2"/>
          </w:tcPr>
          <w:p>
            <w:pPr>
              <w:jc w:val="center"/>
              <w:ind w:right="970"/>
              <w:spacing w:after="0"/>
              <w:rPr>
                <w:sz w:val="20"/>
                <w:szCs w:val="20"/>
                <w:color w:val="auto"/>
              </w:rPr>
            </w:pPr>
            <w:r>
              <w:rPr>
                <w:rFonts w:ascii="Arial" w:cs="Arial" w:eastAsia="Arial" w:hAnsi="Arial"/>
                <w:sz w:val="18"/>
                <w:szCs w:val="18"/>
                <w:b w:val="1"/>
                <w:bCs w:val="1"/>
                <w:color w:val="auto"/>
                <w:w w:val="90"/>
              </w:rPr>
              <w:t>2273 Research Boulevard, Suite 400, Rockville, Maryland</w:t>
            </w:r>
          </w:p>
        </w:tc>
        <w:tc>
          <w:tcPr>
            <w:tcW w:w="2620" w:type="dxa"/>
            <w:vAlign w:val="bottom"/>
          </w:tcPr>
          <w:p>
            <w:pPr>
              <w:jc w:val="center"/>
              <w:ind w:left="1210"/>
              <w:spacing w:after="0"/>
              <w:rPr>
                <w:sz w:val="20"/>
                <w:szCs w:val="20"/>
                <w:color w:val="auto"/>
              </w:rPr>
            </w:pPr>
            <w:r>
              <w:rPr>
                <w:rFonts w:ascii="Arial" w:cs="Arial" w:eastAsia="Arial" w:hAnsi="Arial"/>
                <w:sz w:val="18"/>
                <w:szCs w:val="18"/>
                <w:b w:val="1"/>
                <w:bCs w:val="1"/>
                <w:color w:val="auto"/>
                <w:w w:val="87"/>
              </w:rPr>
              <w:t>20850</w:t>
            </w:r>
          </w:p>
        </w:tc>
      </w:tr>
      <w:tr>
        <w:trPr>
          <w:trHeight w:val="230"/>
        </w:trPr>
        <w:tc>
          <w:tcPr>
            <w:tcW w:w="4180" w:type="dxa"/>
            <w:vAlign w:val="bottom"/>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0"/>
                <w:szCs w:val="20"/>
                <w:color w:val="auto"/>
              </w:rPr>
            </w:pPr>
          </w:p>
        </w:tc>
        <w:tc>
          <w:tcPr>
            <w:tcW w:w="2620" w:type="dxa"/>
            <w:vAlign w:val="bottom"/>
          </w:tcPr>
          <w:p>
            <w:pPr>
              <w:jc w:val="center"/>
              <w:ind w:left="12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(301) 795-1800</w:t>
      </w:r>
    </w:p>
    <w:p>
      <w:pPr>
        <w:spacing w:after="0" w:line="25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Not applicable</w:t>
      </w:r>
    </w:p>
    <w:p>
      <w:pPr>
        <w:spacing w:after="0" w:line="256"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80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80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49"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Biomedical Advanced Research and Development Authority Contract Modification</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1, 2012, Emergent BioDefense Operations Lansing LLC (“EBOL”), a wholly-owned subsidiary of Emergent BioSolutions Inc.(“Company”), entered into a contract modification with the Biomedical Advanced Research and Development Authority of the U.S. Department of Health and Human Services to conduct a non-interference study to be used to support Post-Exposure Prophylaxis (“PEP”) indication for BioThrax® (“Anthrax Vaccine Adsorbed”). The modification requires EBOL to conduct the study, provides the Company with up to $8.4 million in additional funding, extends the base period of performance of the contract from September 25, 2007 through March 31, 2016, and modifies the Milestone Table and Deliverables to incorporate the new study and extended base period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Date: June 7, 2012</w:t>
            </w:r>
          </w:p>
        </w:tc>
        <w:tc>
          <w:tcPr>
            <w:tcW w:w="7820" w:type="dxa"/>
            <w:vAlign w:val="bottom"/>
            <w:gridSpan w:val="3"/>
          </w:tcPr>
          <w:p>
            <w:pPr>
              <w:ind w:left="2180"/>
              <w:spacing w:after="0"/>
              <w:rPr>
                <w:sz w:val="20"/>
                <w:szCs w:val="20"/>
                <w:color w:val="auto"/>
              </w:rPr>
            </w:pPr>
            <w:r>
              <w:rPr>
                <w:rFonts w:ascii="Arial" w:cs="Arial" w:eastAsia="Arial" w:hAnsi="Arial"/>
                <w:sz w:val="18"/>
                <w:szCs w:val="18"/>
                <w:color w:val="auto"/>
              </w:rPr>
              <w:t>EMERGENT BIOSOLUTIONS INC.</w:t>
            </w:r>
          </w:p>
        </w:tc>
      </w:tr>
      <w:tr>
        <w:trPr>
          <w:trHeight w:val="190"/>
        </w:trPr>
        <w:tc>
          <w:tcPr>
            <w:tcW w:w="3600" w:type="dxa"/>
            <w:vAlign w:val="bottom"/>
          </w:tcPr>
          <w:p>
            <w:pPr>
              <w:spacing w:after="0"/>
              <w:rPr>
                <w:sz w:val="16"/>
                <w:szCs w:val="16"/>
                <w:color w:val="auto"/>
              </w:rPr>
            </w:pPr>
          </w:p>
        </w:tc>
        <w:tc>
          <w:tcPr>
            <w:tcW w:w="7820" w:type="dxa"/>
            <w:vAlign w:val="bottom"/>
            <w:gridSpan w:val="3"/>
          </w:tcPr>
          <w:p>
            <w:pPr>
              <w:ind w:left="2500"/>
              <w:spacing w:after="0" w:line="190" w:lineRule="exact"/>
              <w:rPr>
                <w:sz w:val="20"/>
                <w:szCs w:val="20"/>
                <w:color w:val="auto"/>
              </w:rPr>
            </w:pPr>
            <w:r>
              <w:rPr>
                <w:rFonts w:ascii="Arial" w:cs="Arial" w:eastAsia="Arial" w:hAnsi="Arial"/>
                <w:sz w:val="18"/>
                <w:szCs w:val="18"/>
                <w:color w:val="auto"/>
              </w:rPr>
              <w:t>By:/s/Jay G. Reilly</w:t>
            </w:r>
          </w:p>
        </w:tc>
      </w:tr>
      <w:tr>
        <w:trPr>
          <w:trHeight w:val="222"/>
        </w:trPr>
        <w:tc>
          <w:tcPr>
            <w:tcW w:w="36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Jay G. Reilly</w:t>
            </w:r>
          </w:p>
        </w:tc>
        <w:tc>
          <w:tcPr>
            <w:tcW w:w="3940" w:type="dxa"/>
            <w:vAlign w:val="bottom"/>
          </w:tcPr>
          <w:p>
            <w:pPr>
              <w:spacing w:after="0"/>
              <w:rPr>
                <w:sz w:val="19"/>
                <w:szCs w:val="19"/>
                <w:color w:val="auto"/>
              </w:rPr>
            </w:pPr>
          </w:p>
        </w:tc>
      </w:tr>
      <w:tr>
        <w:trPr>
          <w:trHeight w:val="230"/>
        </w:trPr>
        <w:tc>
          <w:tcPr>
            <w:tcW w:w="36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General Counsel</w:t>
            </w:r>
          </w:p>
        </w:tc>
      </w:tr>
      <w:tr>
        <w:trPr>
          <w:trHeight w:val="1361"/>
        </w:trPr>
        <w:tc>
          <w:tcPr>
            <w:tcW w:w="360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2019-12-09T16:59:08Z</dcterms:created>
  <dcterms:modified xsi:type="dcterms:W3CDTF">2019-12-09T16:59:08Z</dcterms:modified>
</cp:coreProperties>
</file>