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8-K</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CURRENT REPORT</w:t>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August 4, 2020</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EMERGENT BIOSOLUTIONS INC.</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80"/>
          </w:cols>
          <w:pgMar w:left="300" w:top="542" w:right="419" w:bottom="1440" w:gutter="0" w:footer="0" w:header="0"/>
        </w:sectPr>
      </w:pPr>
    </w:p>
    <w:p>
      <w:pPr>
        <w:spacing w:after="0" w:line="290"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jc w:val="center"/>
        <w:ind w:right="2120"/>
        <w:spacing w:after="0"/>
        <w:rPr>
          <w:sz w:val="20"/>
          <w:szCs w:val="20"/>
          <w:color w:val="auto"/>
        </w:rPr>
      </w:pPr>
      <w:r>
        <w:rPr>
          <w:rFonts w:ascii="Arial" w:cs="Arial" w:eastAsia="Arial" w:hAnsi="Arial"/>
          <w:sz w:val="12"/>
          <w:szCs w:val="12"/>
          <w:b w:val="1"/>
          <w:bCs w:val="1"/>
          <w:color w:val="auto"/>
        </w:rPr>
        <w:t>001-33137</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14-1902018</w:t>
      </w:r>
    </w:p>
    <w:p>
      <w:pPr>
        <w:spacing w:after="0" w:line="67" w:lineRule="exact"/>
        <w:rPr>
          <w:sz w:val="24"/>
          <w:szCs w:val="24"/>
          <w:color w:val="auto"/>
        </w:rPr>
      </w:pPr>
    </w:p>
    <w:p>
      <w:pPr>
        <w:sectPr>
          <w:pgSz w:w="11900" w:h="16838" w:orient="portrait"/>
          <w:cols w:equalWidth="0" w:num="3">
            <w:col w:w="4620" w:space="720"/>
            <w:col w:w="2740" w:space="720"/>
            <w:col w:w="2380"/>
          </w:cols>
          <w:pgMar w:left="300" w:top="542" w:right="419" w:bottom="1440" w:gutter="0" w:footer="0" w:header="0"/>
          <w:type w:val="continuous"/>
        </w:sectPr>
      </w:pPr>
    </w:p>
    <w:p>
      <w:pPr>
        <w:jc w:val="center"/>
        <w:ind w:left="120"/>
        <w:spacing w:after="0"/>
        <w:rPr>
          <w:sz w:val="20"/>
          <w:szCs w:val="20"/>
          <w:color w:val="auto"/>
        </w:rPr>
      </w:pPr>
      <w:r>
        <w:rPr>
          <w:rFonts w:ascii="Arial" w:cs="Arial" w:eastAsia="Arial" w:hAnsi="Arial"/>
          <w:sz w:val="12"/>
          <w:szCs w:val="12"/>
          <w:color w:val="auto"/>
        </w:rPr>
        <w:t>(State or other jurisdiction</w:t>
      </w:r>
    </w:p>
    <w:p>
      <w:pPr>
        <w:spacing w:after="0" w:line="74" w:lineRule="exact"/>
        <w:rPr>
          <w:sz w:val="24"/>
          <w:szCs w:val="24"/>
          <w:color w:val="auto"/>
        </w:rPr>
      </w:pPr>
    </w:p>
    <w:p>
      <w:pPr>
        <w:jc w:val="center"/>
        <w:ind w:left="12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color w:val="auto"/>
        </w:rPr>
        <w:t>(IRS Employer</w:t>
      </w:r>
    </w:p>
    <w:p>
      <w:pPr>
        <w:spacing w:after="0" w:line="51" w:lineRule="exact"/>
        <w:rPr>
          <w:sz w:val="24"/>
          <w:szCs w:val="24"/>
          <w:color w:val="auto"/>
        </w:rPr>
      </w:pPr>
    </w:p>
    <w:p>
      <w:pPr>
        <w:jc w:val="center"/>
        <w:ind w:right="1500"/>
        <w:spacing w:after="0"/>
        <w:rPr>
          <w:sz w:val="20"/>
          <w:szCs w:val="20"/>
          <w:color w:val="auto"/>
        </w:rPr>
      </w:pPr>
      <w:r>
        <w:rPr>
          <w:rFonts w:ascii="Arial" w:cs="Arial" w:eastAsia="Arial" w:hAnsi="Arial"/>
          <w:sz w:val="13"/>
          <w:szCs w:val="13"/>
          <w:color w:val="auto"/>
        </w:rPr>
        <w:t>Identification No.)</w:t>
      </w:r>
    </w:p>
    <w:p>
      <w:pPr>
        <w:spacing w:after="0" w:line="42" w:lineRule="exact"/>
        <w:rPr>
          <w:sz w:val="24"/>
          <w:szCs w:val="24"/>
          <w:color w:val="auto"/>
        </w:rPr>
      </w:pPr>
    </w:p>
    <w:p>
      <w:pPr>
        <w:sectPr>
          <w:pgSz w:w="11900" w:h="16838" w:orient="portrait"/>
          <w:cols w:equalWidth="0" w:num="3">
            <w:col w:w="4160" w:space="720"/>
            <w:col w:w="3020" w:space="720"/>
            <w:col w:w="2560"/>
          </w:cols>
          <w:pgMar w:left="300" w:top="542" w:right="419" w:bottom="1440" w:gutter="0" w:footer="0" w:header="0"/>
          <w:type w:val="continuous"/>
        </w:sectPr>
      </w:pPr>
    </w:p>
    <w:p>
      <w:pPr>
        <w:ind w:left="4460"/>
        <w:spacing w:after="0"/>
        <w:rPr>
          <w:sz w:val="20"/>
          <w:szCs w:val="20"/>
          <w:color w:val="auto"/>
        </w:rPr>
      </w:pPr>
      <w:r>
        <w:rPr>
          <w:rFonts w:ascii="Arial" w:cs="Arial" w:eastAsia="Arial" w:hAnsi="Arial"/>
          <w:sz w:val="17"/>
          <w:szCs w:val="17"/>
          <w:b w:val="1"/>
          <w:bCs w:val="1"/>
          <w:color w:val="auto"/>
        </w:rPr>
        <w:t>400 Professional Drive, Suite 400,</w:t>
      </w:r>
    </w:p>
    <w:p>
      <w:pPr>
        <w:spacing w:after="0" w:line="24"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Gaithersburg, Maryland 20879</w:t>
      </w:r>
    </w:p>
    <w:p>
      <w:pPr>
        <w:spacing w:after="0" w:line="62"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(240) 631-3200</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180"/>
          </w:cols>
          <w:pgMar w:left="300" w:top="542" w:right="419" w:bottom="1440" w:gutter="0" w:footer="0" w:header="0"/>
          <w:type w:val="continuous"/>
        </w:sectPr>
      </w:pPr>
    </w:p>
    <w:p>
      <w:pPr>
        <w:spacing w:after="0" w:line="16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right="4700" w:firstLine="5"/>
        <w:spacing w:after="0" w:line="534" w:lineRule="auto"/>
        <w:tabs>
          <w:tab w:leader="none" w:pos="163"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59" w:lineRule="exact"/>
        <w:rPr>
          <w:sz w:val="24"/>
          <w:szCs w:val="24"/>
          <w:color w:val="auto"/>
        </w:rPr>
      </w:pPr>
    </w:p>
    <w:tbl>
      <w:tblPr>
        <w:tblLayout w:type="fixed"/>
        <w:tblInd w:w="250" w:type="dxa"/>
        <w:tblCellMar>
          <w:top w:w="0" w:type="dxa"/>
          <w:left w:w="0" w:type="dxa"/>
          <w:bottom w:w="0" w:type="dxa"/>
          <w:right w:w="0" w:type="dxa"/>
        </w:tblCellMar>
      </w:tblPr>
      <w:tr>
        <w:trPr>
          <w:trHeight w:val="201"/>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226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$0.001 per share</w:t>
            </w:r>
          </w:p>
        </w:tc>
        <w:tc>
          <w:tcPr>
            <w:tcW w:w="22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EBS</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New York Stock Exchange</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bl>
    <w:p>
      <w:pPr>
        <w:spacing w:after="0" w:line="159" w:lineRule="exact"/>
        <w:rPr>
          <w:sz w:val="24"/>
          <w:szCs w:val="24"/>
          <w:color w:val="auto"/>
        </w:rPr>
      </w:pPr>
    </w:p>
    <w:p>
      <w:pPr>
        <w:ind w:right="48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61" w:lineRule="exact"/>
        <w:tabs>
          <w:tab w:leader="none" w:pos="17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ind w:right="120"/>
        <w:spacing w:after="0" w:line="183"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4"/>
          <w:szCs w:val="14"/>
          <w:color w:val="auto"/>
        </w:rPr>
        <w:t>☐</w:t>
      </w:r>
    </w:p>
    <w:p>
      <w:pPr>
        <w:sectPr>
          <w:pgSz w:w="11900" w:h="16838" w:orient="portrait"/>
          <w:cols w:equalWidth="0" w:num="1">
            <w:col w:w="11180"/>
          </w:cols>
          <w:pgMar w:left="300" w:top="542"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8.01 Other Events.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Pricing of Senior Unsecured Notes Offering</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On August 4, 2020, Emergent BioSolutions Inc. (the “Company”) announced the pricing of $450 million aggregate principal amount of 3.875% Senior Unsecured Notes due 2028 (the “Notes”) in a previously announced private offering (the “Offering”). The size of the Offering reflects an increase of $50 million in aggregate principal amount of the Notes from the previously announced offering size of $400 million. Company intends to use the net proceeds from the sale of the Notes to repay the $353 million outstanding under its $600 million revolving credit facility with the remainder to be used for general corporate purposes. The sale of the Notes is expected to close on August 7, 2020, subject to customary closing conditions. A copy of the press release announcing the pricing of the offering is attached hereto as Exhibit 99 and is incorporated herein by reference.</w:t>
      </w:r>
    </w:p>
    <w:p>
      <w:pPr>
        <w:spacing w:after="0" w:line="62"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The Notes are being sold in a private placement to qualified institutional buyers in reliance on Rule 144A under the Securities Act of 1933, as amended (the “Securities Act”), and outside the United States to non-U.S. persons in reliance on Regulation S under the Securities Act.</w:t>
      </w:r>
    </w:p>
    <w:p>
      <w:pPr>
        <w:spacing w:after="0" w:line="47"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The Notes may not be offered or sold in the United States except pursuant to an exemption from, or in a transaction not subject to, the registration requirements of the Securities Act and applicable state securities laws.</w:t>
      </w:r>
    </w:p>
    <w:p>
      <w:pPr>
        <w:spacing w:after="0" w:line="47"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This Current Report on Form 8-K is neither an offer to sell nor the solicitation of an offer to buy the Notes, and there shall not be any offer to sell, solicitation of an offer to buy or sale of the Notes in any jurisdiction in which, or to any person to whom, such an offering, solicitation or sale is unlawful.</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Credit Agreement Amendment</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is seeking an amendment to the credit agreement governing its senior secured term loan facility and senior secured revolving credit facility (the “Credit Agreement Amendment”). The Credit Agreement Amendment is expected to become effective concurrently with the closing of the Offering, but the Offering is not conditioned upon the effectiveness of the Credit Agreement Amendment.</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Credit Agreement Amendment is expected to (i) accommodate the incurrence of the indebtedness with respect to the Notes, (ii) increase the applicable margin by 0.25% if the Company’s consolidated net leverage ratio equals or exceeds 3.50 to 1.00, (iii) make certain amendments to the covenants, (iv) amend the consolidated net leverage ratio financial covenant by increasing the maximum level to 4.50 to 1.00 at all times after the effectiveness of the Credit Agreement Amendment and (v) permit incremental term loan facilities, or one or more increases in the commitments under the Company’s senior secured revolving credit facility up to amounts subject to certain limitations related to the Company’s consolidated secured net leverage ratio and cash flow.</w:t>
      </w:r>
    </w:p>
    <w:p>
      <w:pPr>
        <w:spacing w:after="0" w:line="13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Credit Agreement Amendment is subject to the approval of the requisite lenders under the Company’s senior secured term loan facility and senior secured revolving credit facility. The terms of the Credit Agreement Amendment are subject to change, and there can be no assurances that the Company will enter into the Credit Agreement Amendment on the terms described above, if at all.</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on Forward-Looking Statements</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3"/>
          <w:szCs w:val="13"/>
          <w:color w:val="auto"/>
        </w:rPr>
        <w:t>Statements in this Current Report on Form 8-K constitute “forward-looking statements” within the meaning of the Private Securities Litigation Reform Act of 1995. Any statements, other than statements of historical fact, including statements regarding the anticipated completion of the sale and issuance of the Notes, the intended use of proceeds and the expected terms of the potential Credit Agreement Amendment, are forward-looking statements. We generally identify forward-looking statements by using words like "will," "believes," "expects," "anticipates," "intends," "plans," "forecasts," "estimates" and similar expressions.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Current Report on Form 8-K, and, except as required by law, we do not undertake to update any forward-looking statement to reflect new information, events or circumstances. There are a number of important factors that could cause our actual results to differ materially from those indicated by such forward-looking statements, including uncertainties related to market conditions, the satisfaction of closing conditions, the completion of the sale and issuance of the Notes on the anticipated terms or at all and the completion of the Credit Agreement Amendment on the anticipated terms or at all. Investors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280"/>
          </w:cols>
          <w:pgMar w:left="300" w:top="464"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60" w:type="dxa"/>
            <w:vAlign w:val="bottom"/>
          </w:tcPr>
          <w:p>
            <w:pPr>
              <w:spacing w:after="0"/>
              <w:rPr>
                <w:sz w:val="20"/>
                <w:szCs w:val="20"/>
                <w:color w:val="auto"/>
              </w:rPr>
            </w:pPr>
            <w:r>
              <w:rPr>
                <w:rFonts w:ascii="Arial" w:cs="Arial" w:eastAsia="Arial" w:hAnsi="Arial"/>
                <w:sz w:val="14"/>
                <w:szCs w:val="14"/>
                <w:color w:val="auto"/>
              </w:rPr>
              <w:t>(d)</w:t>
            </w: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Exhibits.</w:t>
            </w:r>
          </w:p>
        </w:tc>
        <w:tc>
          <w:tcPr>
            <w:tcW w:w="38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0"/>
        </w:trPr>
        <w:tc>
          <w:tcPr>
            <w:tcW w:w="46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380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
        </w:trPr>
        <w:tc>
          <w:tcPr>
            <w:tcW w:w="4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46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99</w:t>
            </w:r>
          </w:p>
        </w:tc>
        <w:tc>
          <w:tcPr>
            <w:tcW w:w="300" w:type="dxa"/>
            <w:vAlign w:val="bottom"/>
          </w:tcPr>
          <w:p>
            <w:pPr>
              <w:spacing w:after="0"/>
              <w:rPr>
                <w:sz w:val="24"/>
                <w:szCs w:val="24"/>
                <w:color w:val="auto"/>
              </w:rPr>
            </w:pPr>
          </w:p>
        </w:tc>
        <w:tc>
          <w:tcPr>
            <w:tcW w:w="3800" w:type="dxa"/>
            <w:vAlign w:val="bottom"/>
          </w:tcPr>
          <w:p>
            <w:pPr>
              <w:ind w:left="2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Press release issued by the Company on August 4, 2020</w:t>
              </w:r>
            </w:hyperlink>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40" w:type="dxa"/>
            <w:vAlign w:val="bottom"/>
            <w:gridSpan w:val="3"/>
          </w:tcPr>
          <w:p>
            <w:pPr>
              <w:ind w:left="20"/>
              <w:spacing w:after="0"/>
              <w:rPr>
                <w:sz w:val="20"/>
                <w:szCs w:val="20"/>
                <w:color w:val="auto"/>
              </w:rPr>
            </w:pPr>
            <w:r>
              <w:rPr>
                <w:rFonts w:ascii="Arial" w:cs="Arial" w:eastAsia="Arial" w:hAnsi="Arial"/>
                <w:sz w:val="14"/>
                <w:szCs w:val="14"/>
                <w:color w:val="auto"/>
                <w:w w:val="93"/>
              </w:rPr>
              <w:t>Emergent BioSolutions Inc. Current Report on Form 8-K, dated August 4, 2020, formatted in XBRL (Extensible Business Reporting Language):</w:t>
            </w:r>
          </w:p>
        </w:tc>
      </w:tr>
      <w:tr>
        <w:trPr>
          <w:trHeight w:val="170"/>
        </w:trPr>
        <w:tc>
          <w:tcPr>
            <w:tcW w:w="460" w:type="dxa"/>
            <w:vAlign w:val="bottom"/>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101</w:t>
            </w:r>
          </w:p>
        </w:tc>
        <w:tc>
          <w:tcPr>
            <w:tcW w:w="300" w:type="dxa"/>
            <w:vAlign w:val="bottom"/>
          </w:tcPr>
          <w:p>
            <w:pPr>
              <w:spacing w:after="0"/>
              <w:rPr>
                <w:sz w:val="14"/>
                <w:szCs w:val="14"/>
                <w:color w:val="auto"/>
              </w:rPr>
            </w:pPr>
          </w:p>
        </w:tc>
        <w:tc>
          <w:tcPr>
            <w:tcW w:w="8340" w:type="dxa"/>
            <w:vAlign w:val="bottom"/>
            <w:gridSpan w:val="3"/>
          </w:tcPr>
          <w:p>
            <w:pPr>
              <w:ind w:left="20"/>
              <w:spacing w:after="0"/>
              <w:rPr>
                <w:sz w:val="20"/>
                <w:szCs w:val="20"/>
                <w:color w:val="auto"/>
              </w:rPr>
            </w:pPr>
            <w:r>
              <w:rPr>
                <w:rFonts w:ascii="Arial" w:cs="Arial" w:eastAsia="Arial" w:hAnsi="Arial"/>
                <w:sz w:val="14"/>
                <w:szCs w:val="14"/>
                <w:color w:val="auto"/>
                <w:w w:val="94"/>
              </w:rPr>
              <w:t>Cover Page. The instance document does not appear in the Interactive Data File because its XBRL tags are embedded within the Inline XBRL</w:t>
            </w:r>
          </w:p>
        </w:tc>
      </w:tr>
      <w:tr>
        <w:trPr>
          <w:trHeight w:val="180"/>
        </w:trPr>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document.</w:t>
            </w: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46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104</w:t>
            </w:r>
          </w:p>
        </w:tc>
        <w:tc>
          <w:tcPr>
            <w:tcW w:w="300" w:type="dxa"/>
            <w:vAlign w:val="bottom"/>
          </w:tcPr>
          <w:p>
            <w:pPr>
              <w:spacing w:after="0"/>
              <w:rPr>
                <w:sz w:val="18"/>
                <w:szCs w:val="18"/>
                <w:color w:val="auto"/>
              </w:rPr>
            </w:pPr>
          </w:p>
        </w:tc>
        <w:tc>
          <w:tcPr>
            <w:tcW w:w="8340" w:type="dxa"/>
            <w:vAlign w:val="bottom"/>
            <w:gridSpan w:val="3"/>
          </w:tcPr>
          <w:p>
            <w:pPr>
              <w:ind w:left="2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r>
        <w:trPr>
          <w:trHeight w:val="361"/>
        </w:trPr>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ind w:left="2760"/>
              <w:spacing w:after="0"/>
              <w:rPr>
                <w:sz w:val="20"/>
                <w:szCs w:val="20"/>
                <w:color w:val="auto"/>
              </w:rPr>
            </w:pPr>
            <w:r>
              <w:rPr>
                <w:rFonts w:ascii="Arial" w:cs="Arial" w:eastAsia="Arial" w:hAnsi="Arial"/>
                <w:sz w:val="14"/>
                <w:szCs w:val="14"/>
                <w:b w:val="1"/>
                <w:bCs w:val="1"/>
                <w:color w:val="auto"/>
              </w:rPr>
              <w:t>SIGNATURE</w:t>
            </w: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10300" w:type="dxa"/>
            <w:vAlign w:val="bottom"/>
            <w:gridSpan w:val="5"/>
          </w:tcPr>
          <w:p>
            <w:pPr>
              <w:ind w:left="20"/>
              <w:spacing w:after="0"/>
              <w:rPr>
                <w:sz w:val="20"/>
                <w:szCs w:val="20"/>
                <w:color w:val="auto"/>
              </w:rPr>
            </w:pPr>
            <w:r>
              <w:rPr>
                <w:rFonts w:ascii="Arial" w:cs="Arial" w:eastAsia="Arial" w:hAnsi="Arial"/>
                <w:sz w:val="14"/>
                <w:szCs w:val="14"/>
                <w:color w:val="auto"/>
                <w:w w:val="90"/>
              </w:rPr>
              <w:t>Pursuant to the requirements of the Securities Exchange Act of 1934, the registrant has duly caused this report to be signed on its behalf by the undersigned hereunto duly authorized.</w:t>
            </w:r>
          </w:p>
        </w:tc>
      </w:tr>
      <w:tr>
        <w:trPr>
          <w:trHeight w:val="467"/>
        </w:trPr>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40" w:type="dxa"/>
            <w:vAlign w:val="bottom"/>
            <w:gridSpan w:val="3"/>
          </w:tcPr>
          <w:p>
            <w:pPr>
              <w:ind w:left="3320"/>
              <w:spacing w:after="0"/>
              <w:rPr>
                <w:sz w:val="20"/>
                <w:szCs w:val="20"/>
                <w:color w:val="auto"/>
              </w:rPr>
            </w:pPr>
            <w:r>
              <w:rPr>
                <w:rFonts w:ascii="Arial" w:cs="Arial" w:eastAsia="Arial" w:hAnsi="Arial"/>
                <w:sz w:val="14"/>
                <w:szCs w:val="14"/>
                <w:b w:val="1"/>
                <w:bCs w:val="1"/>
                <w:color w:val="auto"/>
              </w:rPr>
              <w:t>EMERGENT BIOSOLUTIONS INC.</w:t>
            </w:r>
          </w:p>
        </w:tc>
      </w:tr>
      <w:tr>
        <w:trPr>
          <w:trHeight w:val="424"/>
        </w:trPr>
        <w:tc>
          <w:tcPr>
            <w:tcW w:w="46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Dated: August 4, 2020</w:t>
            </w:r>
          </w:p>
        </w:tc>
        <w:tc>
          <w:tcPr>
            <w:tcW w:w="3800" w:type="dxa"/>
            <w:vAlign w:val="bottom"/>
          </w:tcPr>
          <w:p>
            <w:pPr>
              <w:ind w:left="3320"/>
              <w:spacing w:after="0"/>
              <w:rPr>
                <w:sz w:val="20"/>
                <w:szCs w:val="20"/>
                <w:color w:val="auto"/>
              </w:rPr>
            </w:pPr>
            <w:r>
              <w:rPr>
                <w:rFonts w:ascii="Arial" w:cs="Arial" w:eastAsia="Arial" w:hAnsi="Arial"/>
                <w:sz w:val="14"/>
                <w:szCs w:val="14"/>
                <w:color w:val="auto"/>
              </w:rPr>
              <w:t>By:</w:t>
            </w:r>
          </w:p>
        </w:tc>
        <w:tc>
          <w:tcPr>
            <w:tcW w:w="4540" w:type="dxa"/>
            <w:vAlign w:val="bottom"/>
            <w:gridSpan w:val="2"/>
          </w:tcPr>
          <w:p>
            <w:pPr>
              <w:ind w:left="20"/>
              <w:spacing w:after="0"/>
              <w:rPr>
                <w:sz w:val="20"/>
                <w:szCs w:val="20"/>
                <w:color w:val="auto"/>
              </w:rPr>
            </w:pPr>
            <w:r>
              <w:rPr>
                <w:rFonts w:ascii="Arial" w:cs="Arial" w:eastAsia="Arial" w:hAnsi="Arial"/>
                <w:sz w:val="14"/>
                <w:szCs w:val="14"/>
                <w:color w:val="auto"/>
              </w:rPr>
              <w:t>/s/ RICHARD S. LINDAHL</w:t>
            </w:r>
          </w:p>
        </w:tc>
      </w:tr>
      <w:tr>
        <w:trPr>
          <w:trHeight w:val="22"/>
        </w:trPr>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540" w:type="dxa"/>
            <w:vAlign w:val="bottom"/>
            <w:tcBorders>
              <w:bottom w:val="single" w:sz="8" w:color="auto"/>
            </w:tcBorders>
            <w:gridSpan w:val="2"/>
          </w:tcPr>
          <w:p>
            <w:pPr>
              <w:spacing w:after="0" w:line="20" w:lineRule="exact"/>
              <w:rPr>
                <w:sz w:val="1"/>
                <w:szCs w:val="1"/>
                <w:color w:val="auto"/>
              </w:rPr>
            </w:pPr>
          </w:p>
        </w:tc>
      </w:tr>
      <w:tr>
        <w:trPr>
          <w:trHeight w:val="171"/>
        </w:trPr>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color w:val="auto"/>
              </w:rPr>
              <w:t>Name:Richard S. Lindahl</w:t>
            </w:r>
          </w:p>
        </w:tc>
      </w:tr>
      <w:tr>
        <w:trPr>
          <w:trHeight w:val="170"/>
        </w:trPr>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color w:val="auto"/>
              </w:rPr>
              <w:t>Title: Executive Vice President, Chief Financial</w:t>
            </w:r>
          </w:p>
        </w:tc>
      </w:tr>
      <w:tr>
        <w:trPr>
          <w:trHeight w:val="180"/>
        </w:trPr>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540" w:type="dxa"/>
            <w:vAlign w:val="bottom"/>
            <w:gridSpan w:val="2"/>
          </w:tcPr>
          <w:p>
            <w:pPr>
              <w:ind w:left="520"/>
              <w:spacing w:after="0"/>
              <w:rPr>
                <w:sz w:val="20"/>
                <w:szCs w:val="20"/>
                <w:color w:val="auto"/>
              </w:rPr>
            </w:pPr>
            <w:r>
              <w:rPr>
                <w:rFonts w:ascii="Arial" w:cs="Arial" w:eastAsia="Arial" w:hAnsi="Arial"/>
                <w:sz w:val="14"/>
                <w:szCs w:val="14"/>
                <w:color w:val="auto"/>
              </w:rPr>
              <w:t>Officer and Treasurer</w:t>
            </w:r>
          </w:p>
        </w:tc>
      </w:tr>
    </w:tbl>
    <w:p>
      <w:pPr>
        <w:sectPr>
          <w:pgSz w:w="11900" w:h="16838" w:orient="portrait"/>
          <w:cols w:equalWidth="0" w:num="1">
            <w:col w:w="10800"/>
          </w:cols>
          <w:pgMar w:left="300" w:top="507" w:right="7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4786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79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5650" cy="477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2020-08-05T05:21:49Z</dcterms:created>
  <dcterms:modified xsi:type="dcterms:W3CDTF">2020-08-05T05:21:49Z</dcterms:modified>
</cp:coreProperties>
</file>