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470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705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SARAN ATUL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1000"/>
        <w:spacing w:after="0" w:line="305" w:lineRule="auto"/>
        <w:rPr>
          <w:sz w:val="20"/>
          <w:szCs w:val="20"/>
          <w:color w:val="auto"/>
        </w:rPr>
      </w:pPr>
      <w:r>
        <w:rPr>
          <w:rFonts w:ascii="Arial" w:cs="Arial" w:eastAsia="Arial" w:hAnsi="Arial"/>
          <w:sz w:val="17"/>
          <w:szCs w:val="17"/>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20"/>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02/28/2022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20"/>
        <w:spacing w:after="0"/>
        <w:rPr>
          <w:sz w:val="20"/>
          <w:szCs w:val="20"/>
          <w:color w:val="auto"/>
        </w:rPr>
      </w:pPr>
      <w:r>
        <w:rPr>
          <w:rFonts w:ascii="Arial" w:cs="Arial" w:eastAsia="Arial" w:hAnsi="Arial"/>
          <w:sz w:val="17"/>
          <w:szCs w:val="17"/>
          <w:color w:val="0000FF"/>
        </w:rPr>
        <w:t>EVP, Chief Strat &amp; Dev Officer</w:t>
      </w:r>
    </w:p>
    <w:p>
      <w:pPr>
        <w:spacing w:after="0" w:line="43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8"/>
          </w:tcPr>
          <w:p>
            <w:pPr>
              <w:jc w:val="center"/>
              <w:ind w:right="28"/>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0"/>
          </w:tcPr>
          <w:p>
            <w:pPr>
              <w:ind w:left="30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16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GAITHERSBURG MD</w:t>
            </w:r>
          </w:p>
        </w:tc>
        <w:tc>
          <w:tcPr>
            <w:tcW w:w="1140" w:type="dxa"/>
            <w:vAlign w:val="bottom"/>
            <w:vMerge w:val="restart"/>
          </w:tcPr>
          <w:p>
            <w:pPr>
              <w:ind w:left="100"/>
              <w:spacing w:after="0"/>
              <w:rPr>
                <w:sz w:val="20"/>
                <w:szCs w:val="20"/>
                <w:color w:val="auto"/>
              </w:rPr>
            </w:pPr>
            <w:r>
              <w:rPr>
                <w:rFonts w:ascii="Arial" w:cs="Arial" w:eastAsia="Arial" w:hAnsi="Arial"/>
                <w:sz w:val="17"/>
                <w:szCs w:val="17"/>
                <w:color w:val="0000FF"/>
              </w:rPr>
              <w:t>20879</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1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6"/>
          </w:tcPr>
          <w:p>
            <w:pPr>
              <w:ind w:left="12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jc w:val="center"/>
              <w:ind w:left="5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0"/>
              <w:spacing w:after="0"/>
              <w:rPr>
                <w:sz w:val="20"/>
                <w:szCs w:val="20"/>
                <w:color w:val="auto"/>
              </w:rPr>
            </w:pPr>
            <w:r>
              <w:rPr>
                <w:rFonts w:ascii="Arial" w:cs="Arial" w:eastAsia="Arial" w:hAnsi="Arial"/>
                <w:sz w:val="17"/>
                <w:szCs w:val="17"/>
                <w:color w:val="0000FF"/>
                <w:w w:val="89"/>
              </w:rPr>
              <w:t>03/01/2022</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jc w:val="center"/>
              <w:ind w:left="73"/>
              <w:spacing w:after="0"/>
              <w:rPr>
                <w:sz w:val="20"/>
                <w:szCs w:val="20"/>
                <w:color w:val="auto"/>
              </w:rPr>
            </w:pPr>
            <w:r>
              <w:rPr>
                <w:rFonts w:ascii="Arial" w:cs="Arial" w:eastAsia="Arial" w:hAnsi="Arial"/>
                <w:sz w:val="17"/>
                <w:szCs w:val="17"/>
                <w:color w:val="0000FF"/>
                <w:w w:val="83"/>
              </w:rPr>
              <w:t>31,417</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480" w:type="dxa"/>
            <w:vAlign w:val="bottom"/>
            <w:tcBorders>
              <w:bottom w:val="single" w:sz="8" w:color="2C2C2C"/>
            </w:tcBorders>
          </w:tcPr>
          <w:p>
            <w:pPr>
              <w:jc w:val="center"/>
              <w:ind w:left="193"/>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74,630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0"/>
              <w:spacing w:after="0"/>
              <w:rPr>
                <w:sz w:val="20"/>
                <w:szCs w:val="20"/>
                <w:color w:val="auto"/>
              </w:rPr>
            </w:pPr>
            <w:r>
              <w:rPr>
                <w:rFonts w:ascii="Arial" w:cs="Arial" w:eastAsia="Arial" w:hAnsi="Arial"/>
                <w:sz w:val="17"/>
                <w:szCs w:val="17"/>
                <w:color w:val="0000FF"/>
                <w:w w:val="89"/>
              </w:rPr>
              <w:t>03/01/2022</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jc w:val="center"/>
              <w:ind w:left="73"/>
              <w:spacing w:after="0"/>
              <w:rPr>
                <w:sz w:val="20"/>
                <w:szCs w:val="20"/>
                <w:color w:val="auto"/>
              </w:rPr>
            </w:pPr>
            <w:r>
              <w:rPr>
                <w:rFonts w:ascii="Arial" w:cs="Arial" w:eastAsia="Arial" w:hAnsi="Arial"/>
                <w:sz w:val="17"/>
                <w:szCs w:val="17"/>
                <w:color w:val="0000FF"/>
                <w:w w:val="83"/>
              </w:rPr>
              <w:t>16,916</w:t>
            </w:r>
            <w:r>
              <w:rPr>
                <w:rFonts w:ascii="Arial" w:cs="Arial" w:eastAsia="Arial" w:hAnsi="Arial"/>
                <w:sz w:val="21"/>
                <w:szCs w:val="21"/>
                <w:color w:val="008000"/>
                <w:w w:val="83"/>
                <w:vertAlign w:val="superscript"/>
              </w:rPr>
              <w:t>(2)</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480" w:type="dxa"/>
            <w:vAlign w:val="bottom"/>
            <w:tcBorders>
              <w:bottom w:val="single" w:sz="8" w:color="2C2C2C"/>
            </w:tcBorders>
          </w:tcPr>
          <w:p>
            <w:pPr>
              <w:jc w:val="center"/>
              <w:ind w:left="193"/>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91,546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0"/>
              <w:spacing w:after="0"/>
              <w:rPr>
                <w:sz w:val="20"/>
                <w:szCs w:val="20"/>
                <w:color w:val="auto"/>
              </w:rPr>
            </w:pPr>
            <w:r>
              <w:rPr>
                <w:rFonts w:ascii="Arial" w:cs="Arial" w:eastAsia="Arial" w:hAnsi="Arial"/>
                <w:sz w:val="17"/>
                <w:szCs w:val="17"/>
                <w:color w:val="0000FF"/>
                <w:w w:val="89"/>
              </w:rPr>
              <w:t>02/28/2022</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660" w:type="dxa"/>
            <w:vAlign w:val="bottom"/>
            <w:tcBorders>
              <w:bottom w:val="single" w:sz="8" w:color="2C2C2C"/>
            </w:tcBorders>
          </w:tcPr>
          <w:p>
            <w:pPr>
              <w:jc w:val="center"/>
              <w:ind w:left="213"/>
              <w:spacing w:after="0"/>
              <w:rPr>
                <w:sz w:val="20"/>
                <w:szCs w:val="20"/>
                <w:color w:val="auto"/>
              </w:rPr>
            </w:pPr>
            <w:r>
              <w:rPr>
                <w:rFonts w:ascii="Arial" w:cs="Arial" w:eastAsia="Arial" w:hAnsi="Arial"/>
                <w:sz w:val="17"/>
                <w:szCs w:val="17"/>
                <w:color w:val="0000FF"/>
                <w:w w:val="91"/>
              </w:rPr>
              <w:t>764</w:t>
            </w: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39.64</w:t>
            </w: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90,782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1"/>
          </w:tcPr>
          <w:p>
            <w:pPr>
              <w:jc w:val="center"/>
              <w:ind w:left="59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jc w:val="center"/>
              <w:ind w:right="421"/>
              <w:spacing w:after="0"/>
              <w:rPr>
                <w:sz w:val="20"/>
                <w:szCs w:val="20"/>
                <w:color w:val="auto"/>
              </w:rPr>
            </w:pPr>
            <w:r>
              <w:rPr>
                <w:rFonts w:ascii="Arial" w:cs="Arial" w:eastAsia="Arial" w:hAnsi="Arial"/>
                <w:sz w:val="12"/>
                <w:szCs w:val="12"/>
                <w:b w:val="1"/>
                <w:bCs w:val="1"/>
                <w:color w:val="auto"/>
                <w:w w:val="99"/>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3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jc w:val="center"/>
              <w:ind w:right="421"/>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(4)</w:t>
            </w:r>
          </w:p>
        </w:tc>
        <w:tc>
          <w:tcPr>
            <w:tcW w:w="66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480" w:type="dxa"/>
            <w:vAlign w:val="bottom"/>
            <w:vMerge w:val="restart"/>
          </w:tcPr>
          <w:p>
            <w:pPr>
              <w:spacing w:after="0"/>
              <w:rPr>
                <w:sz w:val="20"/>
                <w:szCs w:val="20"/>
                <w:color w:val="auto"/>
              </w:rPr>
            </w:pPr>
            <w:r>
              <w:rPr>
                <w:rFonts w:ascii="Arial" w:cs="Arial" w:eastAsia="Arial" w:hAnsi="Arial"/>
                <w:sz w:val="17"/>
                <w:szCs w:val="17"/>
                <w:color w:val="0000FF"/>
                <w:w w:val="88"/>
              </w:rPr>
              <w:t>38,664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Options</w:t>
            </w:r>
          </w:p>
        </w:tc>
        <w:tc>
          <w:tcPr>
            <w:tcW w:w="780" w:type="dxa"/>
            <w:vAlign w:val="bottom"/>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41.38</w:t>
            </w:r>
          </w:p>
        </w:tc>
        <w:tc>
          <w:tcPr>
            <w:tcW w:w="1040" w:type="dxa"/>
            <w:vAlign w:val="bottom"/>
          </w:tcPr>
          <w:p>
            <w:pPr>
              <w:ind w:left="260"/>
              <w:spacing w:after="0" w:line="125" w:lineRule="exact"/>
              <w:rPr>
                <w:sz w:val="20"/>
                <w:szCs w:val="20"/>
                <w:color w:val="auto"/>
              </w:rPr>
            </w:pPr>
            <w:r>
              <w:rPr>
                <w:rFonts w:ascii="Arial" w:cs="Arial" w:eastAsia="Arial" w:hAnsi="Arial"/>
                <w:sz w:val="13"/>
                <w:szCs w:val="13"/>
                <w:color w:val="0000FF"/>
              </w:rPr>
              <w:t>03/01/2022</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600" w:type="dxa"/>
            <w:vAlign w:val="bottom"/>
          </w:tcPr>
          <w:p>
            <w:pPr>
              <w:ind w:left="180"/>
              <w:spacing w:after="0" w:line="125" w:lineRule="exact"/>
              <w:rPr>
                <w:sz w:val="20"/>
                <w:szCs w:val="20"/>
                <w:color w:val="auto"/>
              </w:rPr>
            </w:pPr>
            <w:r>
              <w:rPr>
                <w:rFonts w:ascii="Arial" w:cs="Arial" w:eastAsia="Arial" w:hAnsi="Arial"/>
                <w:sz w:val="13"/>
                <w:szCs w:val="13"/>
                <w:color w:val="0000FF"/>
              </w:rPr>
              <w:t>38,664</w:t>
            </w:r>
          </w:p>
        </w:tc>
        <w:tc>
          <w:tcPr>
            <w:tcW w:w="3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tcPr>
          <w:p>
            <w:pPr>
              <w:spacing w:after="0" w:line="125" w:lineRule="exact"/>
              <w:rPr>
                <w:sz w:val="20"/>
                <w:szCs w:val="20"/>
                <w:color w:val="auto"/>
              </w:rPr>
            </w:pPr>
            <w:r>
              <w:rPr>
                <w:rFonts w:ascii="Arial" w:cs="Arial" w:eastAsia="Arial" w:hAnsi="Arial"/>
                <w:sz w:val="13"/>
                <w:szCs w:val="13"/>
                <w:color w:val="0000FF"/>
                <w:w w:val="98"/>
              </w:rPr>
              <w:t>02/28/2029</w:t>
            </w:r>
          </w:p>
        </w:tc>
        <w:tc>
          <w:tcPr>
            <w:tcW w:w="68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41.38</w:t>
            </w:r>
          </w:p>
        </w:tc>
        <w:tc>
          <w:tcPr>
            <w:tcW w:w="600" w:type="dxa"/>
            <w:vAlign w:val="bottom"/>
          </w:tcPr>
          <w:p>
            <w:pPr>
              <w:ind w:left="240"/>
              <w:spacing w:after="0" w:line="125" w:lineRule="exact"/>
              <w:rPr>
                <w:sz w:val="20"/>
                <w:szCs w:val="20"/>
                <w:color w:val="auto"/>
              </w:rPr>
            </w:pPr>
            <w:r>
              <w:rPr>
                <w:rFonts w:ascii="Arial" w:cs="Arial" w:eastAsia="Arial" w:hAnsi="Arial"/>
                <w:sz w:val="13"/>
                <w:szCs w:val="13"/>
                <w:color w:val="0000FF"/>
                <w:w w:val="85"/>
              </w:rPr>
              <w:t>38,664</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20" w:firstLine="2"/>
        <w:spacing w:after="0" w:line="268"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restricted stock units granted under the company's Stock Incentive Plan. These restricted stock units vest either in three equal annual installments beginning on the day prior to the first anniversary of the date of grant (9,667 shares) or on the day prior to the second anniversary date of the grant (21,750 shares), assuming continued service with the company. Each restricted stock unit represents the right of the Reporting Person to receive one share of common stock of Emergent BioSolutions Inc., subject to adjustment as provided in the grant agreement.</w:t>
      </w:r>
    </w:p>
    <w:p>
      <w:pPr>
        <w:spacing w:after="0" w:line="14" w:lineRule="exact"/>
        <w:rPr>
          <w:rFonts w:ascii="Arial" w:cs="Arial" w:eastAsia="Arial" w:hAnsi="Arial"/>
          <w:sz w:val="12"/>
          <w:szCs w:val="12"/>
          <w:color w:val="008000"/>
        </w:rPr>
      </w:pPr>
    </w:p>
    <w:p>
      <w:pPr>
        <w:ind w:left="40" w:right="1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performance stock units granted under the Emergent BioSolutions Inc. Stock Incentive Plan. Each PSU represents a right to receive one share of common stock. The PSUs vest upon achievement with respect to adjusted EBITDA as a percentage of total GAAP revenue calculated on a cumulative basis over the three-year period beginning January 1, 2022 and ending December 31, 2024, as certified by the Compensation Committee following the performance period. The amount reported is based on the target performance payout factor, or 100%.</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withheld by the Company in exchange for payment of the employee's withholding taxes.</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beginning on the day prior to the anniversary date of the grant.</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S. Scott Lieberman,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03/02/2022</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Attorney-in-fact</w:t>
            </w: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1070"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2022-03-02T17:47:06Z</dcterms:created>
  <dcterms:modified xsi:type="dcterms:W3CDTF">2022-03-02T17:47:06Z</dcterms:modified>
</cp:coreProperties>
</file>