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3, 2012</w:t>
      </w:r>
    </w:p>
    <w:p>
      <w:pPr>
        <w:spacing w:after="0" w:line="21" w:lineRule="exact"/>
        <w:rPr>
          <w:sz w:val="24"/>
          <w:szCs w:val="24"/>
          <w:color w:val="auto"/>
        </w:rPr>
      </w:pPr>
    </w:p>
    <w:p>
      <w:pPr>
        <w:ind w:left="966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EMERGENT BIOSOLUTIONS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900" w:orient="portrait"/>
          <w:cols w:equalWidth="0" w:num="1">
            <w:col w:w="11420"/>
          </w:cols>
          <w:pgMar w:left="240" w:top="233" w:right="239" w:bottom="0" w:gutter="0" w:footer="0" w:header="0"/>
        </w:sectPr>
      </w:pPr>
    </w:p>
    <w:p>
      <w:pPr>
        <w:spacing w:after="0" w:line="19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14-1902018</w:t>
      </w:r>
    </w:p>
    <w:p>
      <w:pPr>
        <w:spacing w:after="0" w:line="56" w:lineRule="exact"/>
        <w:rPr>
          <w:sz w:val="24"/>
          <w:szCs w:val="24"/>
          <w:color w:val="auto"/>
        </w:rPr>
      </w:pPr>
    </w:p>
    <w:p>
      <w:pPr>
        <w:sectPr>
          <w:pgSz w:w="11900" w:h="16900" w:orient="portrait"/>
          <w:cols w:equalWidth="0" w:num="2">
            <w:col w:w="7540" w:space="720"/>
            <w:col w:w="3160"/>
          </w:cols>
          <w:pgMar w:left="240" w:top="233" w:right="239" w:bottom="0" w:gutter="0" w:footer="0" w:header="0"/>
          <w:type w:val="continuous"/>
        </w:sectPr>
      </w:pPr>
    </w:p>
    <w:p>
      <w:pPr>
        <w:ind w:left="11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79" w:lineRule="exact"/>
        <w:rPr>
          <w:sz w:val="24"/>
          <w:szCs w:val="24"/>
          <w:color w:val="auto"/>
        </w:rPr>
      </w:pPr>
    </w:p>
    <w:p>
      <w:pPr>
        <w:sectPr>
          <w:pgSz w:w="11900" w:h="16900" w:orient="portrait"/>
          <w:cols w:equalWidth="0" w:num="2">
            <w:col w:w="6800" w:space="720"/>
            <w:col w:w="3900"/>
          </w:cols>
          <w:pgMar w:left="240" w:top="233"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2273 Research Boulevard, Suite 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795-1800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 Don Elsey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Chief Financial Officer and Treasurer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2273 Research Boulevard, Suite 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795-1800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80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Copies to:</w:t>
            </w:r>
          </w:p>
        </w:tc>
      </w:tr>
      <w:tr>
        <w:trPr>
          <w:trHeight w:val="406"/>
        </w:trPr>
        <w:tc>
          <w:tcPr>
            <w:tcW w:w="3800" w:type="dxa"/>
            <w:vAlign w:val="bottom"/>
          </w:tcPr>
          <w:p>
            <w:pPr>
              <w:jc w:val="center"/>
              <w:ind w:right="312"/>
              <w:spacing w:after="0"/>
              <w:rPr>
                <w:sz w:val="20"/>
                <w:szCs w:val="20"/>
                <w:color w:val="auto"/>
              </w:rPr>
            </w:pPr>
            <w:r>
              <w:rPr>
                <w:rFonts w:ascii="Arial" w:cs="Arial" w:eastAsia="Arial" w:hAnsi="Arial"/>
                <w:sz w:val="18"/>
                <w:szCs w:val="18"/>
                <w:b w:val="1"/>
                <w:bCs w:val="1"/>
                <w:color w:val="auto"/>
                <w:w w:val="89"/>
              </w:rPr>
              <w:t>David E. Redlick, Esq.</w:t>
            </w:r>
          </w:p>
        </w:tc>
        <w:tc>
          <w:tcPr>
            <w:tcW w:w="5620" w:type="dxa"/>
            <w:vAlign w:val="bottom"/>
          </w:tcPr>
          <w:p>
            <w:pPr>
              <w:jc w:val="center"/>
              <w:ind w:left="1752"/>
              <w:spacing w:after="0"/>
              <w:rPr>
                <w:sz w:val="20"/>
                <w:szCs w:val="20"/>
                <w:color w:val="auto"/>
              </w:rPr>
            </w:pPr>
            <w:r>
              <w:rPr>
                <w:rFonts w:ascii="Arial" w:cs="Arial" w:eastAsia="Arial" w:hAnsi="Arial"/>
                <w:sz w:val="18"/>
                <w:szCs w:val="18"/>
                <w:b w:val="1"/>
                <w:bCs w:val="1"/>
                <w:color w:val="auto"/>
                <w:w w:val="88"/>
              </w:rPr>
              <w:t>Jay G. Reilly, Esq.</w:t>
            </w:r>
          </w:p>
        </w:tc>
      </w:tr>
      <w:tr>
        <w:trPr>
          <w:trHeight w:val="216"/>
        </w:trPr>
        <w:tc>
          <w:tcPr>
            <w:tcW w:w="380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Brian A. Johnson, Esq.</w:t>
            </w:r>
          </w:p>
        </w:tc>
        <w:tc>
          <w:tcPr>
            <w:tcW w:w="5620" w:type="dxa"/>
            <w:vAlign w:val="bottom"/>
          </w:tcPr>
          <w:p>
            <w:pPr>
              <w:jc w:val="center"/>
              <w:ind w:left="1732"/>
              <w:spacing w:after="0"/>
              <w:rPr>
                <w:sz w:val="20"/>
                <w:szCs w:val="20"/>
                <w:color w:val="auto"/>
              </w:rPr>
            </w:pPr>
            <w:r>
              <w:rPr>
                <w:rFonts w:ascii="Arial" w:cs="Arial" w:eastAsia="Arial" w:hAnsi="Arial"/>
                <w:sz w:val="18"/>
                <w:szCs w:val="18"/>
                <w:b w:val="1"/>
                <w:bCs w:val="1"/>
                <w:color w:val="auto"/>
                <w:w w:val="88"/>
              </w:rPr>
              <w:t>Vice President, Legal Affairs and Compliance, and</w:t>
            </w:r>
          </w:p>
        </w:tc>
      </w:tr>
      <w:tr>
        <w:trPr>
          <w:trHeight w:val="216"/>
        </w:trPr>
        <w:tc>
          <w:tcPr>
            <w:tcW w:w="3800" w:type="dxa"/>
            <w:vAlign w:val="bottom"/>
          </w:tcPr>
          <w:p>
            <w:pPr>
              <w:jc w:val="center"/>
              <w:ind w:right="312"/>
              <w:spacing w:after="0"/>
              <w:rPr>
                <w:sz w:val="20"/>
                <w:szCs w:val="20"/>
                <w:color w:val="auto"/>
              </w:rPr>
            </w:pPr>
            <w:r>
              <w:rPr>
                <w:rFonts w:ascii="Arial" w:cs="Arial" w:eastAsia="Arial" w:hAnsi="Arial"/>
                <w:sz w:val="18"/>
                <w:szCs w:val="18"/>
                <w:b w:val="1"/>
                <w:bCs w:val="1"/>
                <w:color w:val="auto"/>
                <w:w w:val="93"/>
              </w:rPr>
              <w:t>Wilmer Cutler Pickering Hale and Dorr LLP</w:t>
            </w:r>
          </w:p>
        </w:tc>
        <w:tc>
          <w:tcPr>
            <w:tcW w:w="5620" w:type="dxa"/>
            <w:vAlign w:val="bottom"/>
          </w:tcPr>
          <w:p>
            <w:pPr>
              <w:jc w:val="center"/>
              <w:ind w:left="1732"/>
              <w:spacing w:after="0"/>
              <w:rPr>
                <w:sz w:val="20"/>
                <w:szCs w:val="20"/>
                <w:color w:val="auto"/>
              </w:rPr>
            </w:pPr>
            <w:r>
              <w:rPr>
                <w:rFonts w:ascii="Arial" w:cs="Arial" w:eastAsia="Arial" w:hAnsi="Arial"/>
                <w:sz w:val="18"/>
                <w:szCs w:val="18"/>
                <w:b w:val="1"/>
                <w:bCs w:val="1"/>
                <w:color w:val="auto"/>
                <w:w w:val="88"/>
              </w:rPr>
              <w:t>General Counsel and Corporate Secretary</w:t>
            </w:r>
          </w:p>
        </w:tc>
      </w:tr>
      <w:tr>
        <w:trPr>
          <w:trHeight w:val="216"/>
        </w:trPr>
        <w:tc>
          <w:tcPr>
            <w:tcW w:w="380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399 Park Avenue</w:t>
            </w:r>
          </w:p>
        </w:tc>
        <w:tc>
          <w:tcPr>
            <w:tcW w:w="5620" w:type="dxa"/>
            <w:vAlign w:val="bottom"/>
          </w:tcPr>
          <w:p>
            <w:pPr>
              <w:jc w:val="center"/>
              <w:ind w:left="1752"/>
              <w:spacing w:after="0"/>
              <w:rPr>
                <w:sz w:val="20"/>
                <w:szCs w:val="20"/>
                <w:color w:val="auto"/>
              </w:rPr>
            </w:pPr>
            <w:r>
              <w:rPr>
                <w:rFonts w:ascii="Arial" w:cs="Arial" w:eastAsia="Arial" w:hAnsi="Arial"/>
                <w:sz w:val="18"/>
                <w:szCs w:val="18"/>
                <w:b w:val="1"/>
                <w:bCs w:val="1"/>
                <w:color w:val="auto"/>
                <w:w w:val="87"/>
              </w:rPr>
              <w:t>Emergent BioSolutions Inc.</w:t>
            </w:r>
          </w:p>
        </w:tc>
      </w:tr>
      <w:tr>
        <w:trPr>
          <w:trHeight w:val="216"/>
        </w:trPr>
        <w:tc>
          <w:tcPr>
            <w:tcW w:w="3800" w:type="dxa"/>
            <w:vAlign w:val="bottom"/>
          </w:tcPr>
          <w:p>
            <w:pPr>
              <w:jc w:val="center"/>
              <w:ind w:right="292"/>
              <w:spacing w:after="0"/>
              <w:rPr>
                <w:sz w:val="20"/>
                <w:szCs w:val="20"/>
                <w:color w:val="auto"/>
              </w:rPr>
            </w:pPr>
            <w:r>
              <w:rPr>
                <w:rFonts w:ascii="Arial" w:cs="Arial" w:eastAsia="Arial" w:hAnsi="Arial"/>
                <w:sz w:val="18"/>
                <w:szCs w:val="18"/>
                <w:b w:val="1"/>
                <w:bCs w:val="1"/>
                <w:color w:val="auto"/>
                <w:w w:val="89"/>
              </w:rPr>
              <w:t>New York, New York 10022</w:t>
            </w:r>
          </w:p>
        </w:tc>
        <w:tc>
          <w:tcPr>
            <w:tcW w:w="5620" w:type="dxa"/>
            <w:vAlign w:val="bottom"/>
          </w:tcPr>
          <w:p>
            <w:pPr>
              <w:jc w:val="center"/>
              <w:ind w:left="1732"/>
              <w:spacing w:after="0"/>
              <w:rPr>
                <w:sz w:val="20"/>
                <w:szCs w:val="20"/>
                <w:color w:val="auto"/>
              </w:rPr>
            </w:pPr>
            <w:r>
              <w:rPr>
                <w:rFonts w:ascii="Arial" w:cs="Arial" w:eastAsia="Arial" w:hAnsi="Arial"/>
                <w:sz w:val="18"/>
                <w:szCs w:val="18"/>
                <w:b w:val="1"/>
                <w:bCs w:val="1"/>
                <w:color w:val="auto"/>
                <w:w w:val="86"/>
              </w:rPr>
              <w:t>2273 Research Boulevard, Suite 400</w:t>
            </w:r>
          </w:p>
        </w:tc>
      </w:tr>
      <w:tr>
        <w:trPr>
          <w:trHeight w:val="216"/>
        </w:trPr>
        <w:tc>
          <w:tcPr>
            <w:tcW w:w="380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Telephone: (212) 230-8800</w:t>
            </w:r>
          </w:p>
        </w:tc>
        <w:tc>
          <w:tcPr>
            <w:tcW w:w="5620" w:type="dxa"/>
            <w:vAlign w:val="bottom"/>
          </w:tcPr>
          <w:p>
            <w:pPr>
              <w:jc w:val="center"/>
              <w:ind w:left="1752"/>
              <w:spacing w:after="0"/>
              <w:rPr>
                <w:sz w:val="20"/>
                <w:szCs w:val="20"/>
                <w:color w:val="auto"/>
              </w:rPr>
            </w:pPr>
            <w:r>
              <w:rPr>
                <w:rFonts w:ascii="Arial" w:cs="Arial" w:eastAsia="Arial" w:hAnsi="Arial"/>
                <w:sz w:val="18"/>
                <w:szCs w:val="18"/>
                <w:b w:val="1"/>
                <w:bCs w:val="1"/>
                <w:color w:val="auto"/>
                <w:w w:val="90"/>
              </w:rPr>
              <w:t>Rockville, Maryland 20850</w:t>
            </w:r>
          </w:p>
        </w:tc>
      </w:tr>
      <w:tr>
        <w:trPr>
          <w:trHeight w:val="216"/>
        </w:trPr>
        <w:tc>
          <w:tcPr>
            <w:tcW w:w="3800" w:type="dxa"/>
            <w:vAlign w:val="bottom"/>
          </w:tcPr>
          <w:p>
            <w:pPr>
              <w:jc w:val="center"/>
              <w:ind w:right="292"/>
              <w:spacing w:after="0"/>
              <w:rPr>
                <w:sz w:val="20"/>
                <w:szCs w:val="20"/>
                <w:color w:val="auto"/>
              </w:rPr>
            </w:pPr>
            <w:r>
              <w:rPr>
                <w:rFonts w:ascii="Arial" w:cs="Arial" w:eastAsia="Arial" w:hAnsi="Arial"/>
                <w:sz w:val="18"/>
                <w:szCs w:val="18"/>
                <w:b w:val="1"/>
                <w:bCs w:val="1"/>
                <w:color w:val="auto"/>
                <w:w w:val="87"/>
              </w:rPr>
              <w:t>Telecopy: (212) 230-8888</w:t>
            </w:r>
          </w:p>
        </w:tc>
        <w:tc>
          <w:tcPr>
            <w:tcW w:w="5620" w:type="dxa"/>
            <w:vAlign w:val="bottom"/>
          </w:tcPr>
          <w:p>
            <w:pPr>
              <w:jc w:val="center"/>
              <w:ind w:left="1732"/>
              <w:spacing w:after="0"/>
              <w:rPr>
                <w:sz w:val="20"/>
                <w:szCs w:val="20"/>
                <w:color w:val="auto"/>
              </w:rPr>
            </w:pPr>
            <w:r>
              <w:rPr>
                <w:rFonts w:ascii="Arial" w:cs="Arial" w:eastAsia="Arial" w:hAnsi="Arial"/>
                <w:sz w:val="18"/>
                <w:szCs w:val="18"/>
                <w:b w:val="1"/>
                <w:bCs w:val="1"/>
                <w:color w:val="auto"/>
                <w:w w:val="87"/>
              </w:rPr>
              <w:t>Telephone: (301) 795-1800</w:t>
            </w:r>
          </w:p>
        </w:tc>
      </w:tr>
      <w:tr>
        <w:trPr>
          <w:trHeight w:val="228"/>
        </w:trPr>
        <w:tc>
          <w:tcPr>
            <w:tcW w:w="3800" w:type="dxa"/>
            <w:vAlign w:val="bottom"/>
          </w:tcPr>
          <w:p>
            <w:pPr>
              <w:spacing w:after="0"/>
              <w:rPr>
                <w:sz w:val="19"/>
                <w:szCs w:val="19"/>
                <w:color w:val="auto"/>
              </w:rPr>
            </w:pPr>
          </w:p>
        </w:tc>
        <w:tc>
          <w:tcPr>
            <w:tcW w:w="5620" w:type="dxa"/>
            <w:vAlign w:val="bottom"/>
          </w:tcPr>
          <w:p>
            <w:pPr>
              <w:jc w:val="center"/>
              <w:ind w:left="1752"/>
              <w:spacing w:after="0"/>
              <w:rPr>
                <w:sz w:val="20"/>
                <w:szCs w:val="20"/>
                <w:color w:val="auto"/>
              </w:rPr>
            </w:pPr>
            <w:r>
              <w:rPr>
                <w:rFonts w:ascii="Arial" w:cs="Arial" w:eastAsia="Arial" w:hAnsi="Arial"/>
                <w:sz w:val="18"/>
                <w:szCs w:val="18"/>
                <w:b w:val="1"/>
                <w:bCs w:val="1"/>
                <w:color w:val="auto"/>
                <w:w w:val="87"/>
              </w:rPr>
              <w:t>Telecopy: (301) 795-1899</w:t>
            </w:r>
          </w:p>
        </w:tc>
      </w:tr>
    </w:tbl>
    <w:p>
      <w:pPr>
        <w:spacing w:after="0" w:line="163"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public: </w:t>
      </w:r>
      <w:r>
        <w:rPr>
          <w:rFonts w:ascii="Arial" w:cs="Arial" w:eastAsia="Arial" w:hAnsi="Arial"/>
          <w:sz w:val="16"/>
          <w:szCs w:val="16"/>
          <w:color w:val="auto"/>
        </w:rPr>
        <w:t>From time to time after the effective date of this Registration Statement.</w:t>
      </w:r>
    </w:p>
    <w:p>
      <w:pPr>
        <w:spacing w:after="0" w:line="20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38" w:lineRule="exact"/>
        <w:rPr>
          <w:sz w:val="24"/>
          <w:szCs w:val="24"/>
          <w:color w:val="auto"/>
        </w:rPr>
      </w:pPr>
    </w:p>
    <w:p>
      <w:pPr>
        <w:ind w:left="180"/>
        <w:spacing w:after="0" w:line="181" w:lineRule="exact"/>
        <w:rPr>
          <w:sz w:val="20"/>
          <w:szCs w:val="20"/>
          <w:color w:val="auto"/>
        </w:rPr>
      </w:pPr>
      <w:r>
        <w:rPr>
          <w:rFonts w:ascii="MS PGothic" w:cs="MS PGothic" w:eastAsia="MS PGothic" w:hAnsi="MS PGothic"/>
          <w:sz w:val="18"/>
          <w:szCs w:val="18"/>
          <w:color w:val="auto"/>
        </w:rPr>
        <w:t>☐</w:t>
      </w:r>
    </w:p>
    <w:p>
      <w:pPr>
        <w:spacing w:after="0" w:line="192"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40" w:type="dxa"/>
            <w:vAlign w:val="bottom"/>
            <w:gridSpan w:val="2"/>
          </w:tcPr>
          <w:p>
            <w:pPr>
              <w:spacing w:after="0"/>
              <w:rPr>
                <w:sz w:val="20"/>
                <w:szCs w:val="20"/>
                <w:color w:val="auto"/>
              </w:rPr>
            </w:pPr>
            <w:r>
              <w:rPr>
                <w:rFonts w:ascii="Arial" w:cs="Arial" w:eastAsia="Arial" w:hAnsi="Arial"/>
                <w:sz w:val="18"/>
                <w:szCs w:val="18"/>
                <w:color w:val="auto"/>
                <w:w w:val="90"/>
              </w:rPr>
              <w:t>Large accelerated filer</w:t>
            </w:r>
          </w:p>
        </w:tc>
        <w:tc>
          <w:tcPr>
            <w:tcW w:w="2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20" w:type="dxa"/>
            <w:vAlign w:val="bottom"/>
            <w:gridSpan w:val="2"/>
          </w:tcPr>
          <w:p>
            <w:pPr>
              <w:ind w:left="600"/>
              <w:spacing w:after="0"/>
              <w:rPr>
                <w:sz w:val="20"/>
                <w:szCs w:val="20"/>
                <w:color w:val="auto"/>
              </w:rPr>
            </w:pPr>
            <w:r>
              <w:rPr>
                <w:rFonts w:ascii="Arial" w:cs="Arial" w:eastAsia="Arial" w:hAnsi="Arial"/>
                <w:sz w:val="18"/>
                <w:szCs w:val="18"/>
                <w:color w:val="auto"/>
              </w:rPr>
              <w:t>Accelerated filer</w:t>
            </w:r>
          </w:p>
        </w:tc>
        <w:tc>
          <w:tcPr>
            <w:tcW w:w="960" w:type="dxa"/>
            <w:vAlign w:val="bottom"/>
          </w:tcPr>
          <w:p>
            <w:pPr>
              <w:spacing w:after="0"/>
              <w:rPr>
                <w:sz w:val="23"/>
                <w:szCs w:val="23"/>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40" w:type="dxa"/>
            <w:vAlign w:val="bottom"/>
            <w:gridSpan w:val="2"/>
          </w:tcPr>
          <w:p>
            <w:pPr>
              <w:spacing w:after="0"/>
              <w:rPr>
                <w:sz w:val="20"/>
                <w:szCs w:val="20"/>
                <w:color w:val="auto"/>
              </w:rPr>
            </w:pPr>
            <w:r>
              <w:rPr>
                <w:rFonts w:ascii="Arial" w:cs="Arial" w:eastAsia="Arial" w:hAnsi="Arial"/>
                <w:sz w:val="18"/>
                <w:szCs w:val="18"/>
                <w:color w:val="auto"/>
                <w:w w:val="97"/>
              </w:rPr>
              <w:t>Non-accelerated filer</w:t>
            </w:r>
          </w:p>
        </w:tc>
        <w:tc>
          <w:tcPr>
            <w:tcW w:w="5260" w:type="dxa"/>
            <w:vAlign w:val="bottom"/>
            <w:gridSpan w:val="5"/>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8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560" w:type="dxa"/>
            <w:vAlign w:val="bottom"/>
            <w:gridSpan w:val="5"/>
          </w:tcPr>
          <w:p>
            <w:pPr>
              <w:ind w:left="3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94"/>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5"/>
              <w:spacing w:after="0" w:line="117" w:lineRule="exact"/>
              <w:rPr>
                <w:sz w:val="20"/>
                <w:szCs w:val="20"/>
                <w:color w:val="auto"/>
              </w:rPr>
            </w:pPr>
            <w:r>
              <w:rPr>
                <w:rFonts w:ascii="Arial" w:cs="Arial" w:eastAsia="Arial" w:hAnsi="Arial"/>
                <w:sz w:val="12"/>
                <w:szCs w:val="12"/>
                <w:b w:val="1"/>
                <w:bCs w:val="1"/>
                <w:color w:val="auto"/>
              </w:rPr>
              <w:t>Proposed Maximum</w:t>
            </w:r>
          </w:p>
        </w:tc>
        <w:tc>
          <w:tcPr>
            <w:tcW w:w="320" w:type="dxa"/>
            <w:vAlign w:val="bottom"/>
          </w:tcPr>
          <w:p>
            <w:pPr>
              <w:spacing w:after="0"/>
              <w:rPr>
                <w:sz w:val="10"/>
                <w:szCs w:val="10"/>
                <w:color w:val="auto"/>
              </w:rPr>
            </w:pPr>
          </w:p>
        </w:tc>
        <w:tc>
          <w:tcPr>
            <w:tcW w:w="9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Title of Each Class of</w:t>
            </w:r>
          </w:p>
        </w:tc>
        <w:tc>
          <w:tcPr>
            <w:tcW w:w="8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6"/>
              </w:rPr>
              <w:t>Aggregate</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2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 to be Registered(1)</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Per Share</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9"/>
              </w:rPr>
              <w:t>Offering Price(2)(3)</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c>
          <w:tcPr>
            <w:tcW w:w="28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Primary Offering:</w:t>
            </w:r>
          </w:p>
        </w:tc>
        <w:tc>
          <w:tcPr>
            <w:tcW w:w="20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131"/>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r>
    </w:tbl>
    <w:p>
      <w:pPr>
        <w:sectPr>
          <w:pgSz w:w="11900" w:h="16900"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Common Stock, $0.001 par value per share (including associated</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w:t>
            </w:r>
          </w:p>
        </w:tc>
      </w:tr>
      <w:tr>
        <w:trPr>
          <w:trHeight w:val="223"/>
        </w:trPr>
        <w:tc>
          <w:tcPr>
            <w:tcW w:w="20" w:type="dxa"/>
            <w:vAlign w:val="bottom"/>
          </w:tcPr>
          <w:p>
            <w:pPr>
              <w:spacing w:after="0"/>
              <w:rPr>
                <w:sz w:val="19"/>
                <w:szCs w:val="19"/>
                <w:color w:val="auto"/>
              </w:rPr>
            </w:pPr>
          </w:p>
        </w:tc>
        <w:tc>
          <w:tcPr>
            <w:tcW w:w="50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preferred stock purchase rights)(4)(5)</w:t>
            </w: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 $0.001 par value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 for Primary Offering (7)</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$180,000,000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$20,628.00</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Secondary Offering:</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01"/>
        </w:trPr>
        <w:tc>
          <w:tcPr>
            <w:tcW w:w="50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6"/>
              </w:rPr>
              <w:t>Common Stock, $0.001 par value per share (including associated</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0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preferred stock purchase rights)(5)(8)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$13.96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$41,880,000</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7"/>
              </w:rPr>
              <w:t>$4,799.45</w:t>
            </w:r>
          </w:p>
        </w:tc>
      </w:tr>
      <w:tr>
        <w:trPr>
          <w:trHeight w:val="212"/>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$221,880,000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$25,427.45</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With respect to the primary offering, 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will have an aggregate initial offering price not to exceed $180,000,000. If any debt securities are issued in a primary offering at an original issue discount, then the issue price, and not the principal amount, of such debt securities shall be used for purposes of calculating the aggregate initial offering price of all securities issued. Any securities registered hereunder in a primary offering may be sold separately or as units with other securities registered hereunder. The securities registered in a primary offering also include such indeterminate amounts and numbers of shares of common stock and numbers of shares of preferred stock, and principal amounts of debt securities, as may be issued upon conversion of or exchange for preferred stock or debt securities that provide for conversion or exchange, upon exercise of warrants or pursuant to the anti-dilution provisions of any such securities. In addition to the primary offering, there are being registered hereunder up to 3,000,000 shares of common stock that the selling stockholders may sell from time to time.</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U.S. dollars or the equivalent thereof in any other currency, currency unit or units, or composite currency or currencies.</w:t>
      </w:r>
    </w:p>
    <w:p>
      <w:pPr>
        <w:spacing w:after="0" w:line="9"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With respect to the primary offering, the proposed maximum per unit and aggregate offering prices per class of security will be determined from time to time by the registrant in connection with the issuance by the registrant of the securities registered under this Registration Statement.</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respect to the primary offering, the aggregate amount of common stock registered under this Registration Statement is limited, with respect to at the market offerings, to that which is permissible under Rule 415(a)(4) under the Securities Act.</w:t>
      </w:r>
    </w:p>
    <w:p>
      <w:pPr>
        <w:ind w:left="460" w:right="7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includes one series A junior participating preferred stock purchase right. The value attributable to the series A junior participating preferred stock purchase rights, if any, will be reflected in the offering price of the common stock.</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required to be included in accordance with General Instruction II.D. of Form S-3.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determining the registration fee pursuant to Rule 457(o) under the Securities Act.</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determining the registration fee pursuant to Rule 457(c) under the Securities Act, based on the average high and low prices per share of the common stock as reported on the New York Stock Exchange on May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 w:name="page3"/>
    <w:bookmarkEnd w:id="2"/>
    <w:p>
      <w:pPr>
        <w:ind w:right="100"/>
        <w:spacing w:after="0" w:line="262" w:lineRule="auto"/>
        <w:rPr>
          <w:sz w:val="20"/>
          <w:szCs w:val="20"/>
          <w:color w:val="auto"/>
        </w:rPr>
      </w:pPr>
      <w:r>
        <w:rPr>
          <w:rFonts w:ascii="Arial" w:cs="Arial" w:eastAsia="Arial" w:hAnsi="Arial"/>
          <w:sz w:val="18"/>
          <w:szCs w:val="18"/>
          <w:b w:val="1"/>
          <w:bCs w:val="1"/>
          <w:color w:val="DE1A1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DE1A1E"/>
        </w:rPr>
        <w:t>SUBJECT TO COMPLETION,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DE1A1E"/>
        </w:rPr>
        <w:t>DATED MAY 3, 2012</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EMERGENT BIOSOLUTIONS INC.</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$180,000,000</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Warrants</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3,000,000 Shares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issue securities from time to time in one or more primary offerings of up to $180,000,000 in aggregate dollar amount.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primary offering of securities described above, selling stockholders may from time to time sell up to 3,000,000 shares of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if any, of common stock by the selling stockholders.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93345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8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prospectus may not be used to consummate sales of securities unless, to the extent required by applicable law, it is accompanied by a prospectus supplement.</w:t>
      </w:r>
    </w:p>
    <w:p>
      <w:pPr>
        <w:spacing w:after="0" w:line="126" w:lineRule="exact"/>
        <w:rPr>
          <w:sz w:val="20"/>
          <w:szCs w:val="20"/>
          <w:color w:val="auto"/>
        </w:rPr>
      </w:pPr>
    </w:p>
    <w:tbl>
      <w:tblPr>
        <w:tblLayout w:type="fixed"/>
        <w:tblInd w:w="4540" w:type="dxa"/>
        <w:tblCellMar>
          <w:top w:w="0" w:type="dxa"/>
          <w:left w:w="0" w:type="dxa"/>
          <w:bottom w:w="0" w:type="dxa"/>
          <w:right w:w="0" w:type="dxa"/>
        </w:tblCellMar>
      </w:tblPr>
      <w:tr>
        <w:trPr>
          <w:trHeight w:val="228"/>
        </w:trPr>
        <w:tc>
          <w:tcPr>
            <w:tcW w:w="158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2012.</w:t>
            </w:r>
          </w:p>
        </w:tc>
      </w:tr>
    </w:tbl>
    <w:p>
      <w:pPr>
        <w:sectPr>
          <w:pgSz w:w="11900" w:h="16838" w:orient="portrait"/>
          <w:cols w:equalWidth="0" w:num="1">
            <w:col w:w="11280"/>
          </w:cols>
          <w:pgMar w:left="240" w:top="27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71"/>
        </w:trPr>
        <w:tc>
          <w:tcPr>
            <w:tcW w:w="812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04"/>
        </w:trPr>
        <w:tc>
          <w:tcPr>
            <w:tcW w:w="2180" w:type="dxa"/>
            <w:vAlign w:val="bottom"/>
            <w:tcBorders>
              <w:top w:val="single" w:sz="8" w:color="0000EE"/>
            </w:tcBorders>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5940" w:type="dxa"/>
            <w:vAlign w:val="bottom"/>
            <w:gridSpan w:val="9"/>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04"/>
        </w:trPr>
        <w:tc>
          <w:tcPr>
            <w:tcW w:w="81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04"/>
        </w:trPr>
        <w:tc>
          <w:tcPr>
            <w:tcW w:w="52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SPECIAL NOTE REGARDING FORWARD-LOOKING STATEMENTS</w:t>
              </w:r>
            </w:hyperlink>
          </w:p>
        </w:tc>
        <w:tc>
          <w:tcPr>
            <w:tcW w:w="290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81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04"/>
        </w:trPr>
        <w:tc>
          <w:tcPr>
            <w:tcW w:w="81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RATIO OF EARNINGS TO FIXED CHARGES</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DESCRIPTION OF SECURITIES</w:t>
              </w:r>
            </w:hyperlink>
          </w:p>
        </w:tc>
        <w:tc>
          <w:tcPr>
            <w:tcW w:w="960" w:type="dxa"/>
            <w:vAlign w:val="bottom"/>
            <w:tcBorders>
              <w:top w:val="single" w:sz="8" w:color="0000EE"/>
            </w:tcBorders>
            <w:gridSpan w:val="2"/>
          </w:tcPr>
          <w:p>
            <w:pPr>
              <w:spacing w:after="0"/>
              <w:rPr>
                <w:sz w:val="24"/>
                <w:szCs w:val="24"/>
                <w:color w:val="auto"/>
              </w:rPr>
            </w:pPr>
          </w:p>
        </w:tc>
        <w:tc>
          <w:tcPr>
            <w:tcW w:w="4700" w:type="dxa"/>
            <w:vAlign w:val="bottom"/>
            <w:gridSpan w:val="5"/>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12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DESCRIPTION OF COMMON STOCK AND PREFERRED STOCK</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9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DESCRIPTION OF DEBT SECURITIES</w:t>
              </w:r>
            </w:hyperlink>
          </w:p>
        </w:tc>
        <w:tc>
          <w:tcPr>
            <w:tcW w:w="2000" w:type="dxa"/>
            <w:vAlign w:val="bottom"/>
            <w:tcBorders>
              <w:top w:val="single" w:sz="8" w:color="0000EE"/>
            </w:tcBorders>
            <w:gridSpan w:val="4"/>
          </w:tcPr>
          <w:p>
            <w:pPr>
              <w:spacing w:after="0"/>
              <w:rPr>
                <w:sz w:val="24"/>
                <w:szCs w:val="24"/>
                <w:color w:val="auto"/>
              </w:rPr>
            </w:pPr>
          </w:p>
        </w:tc>
        <w:tc>
          <w:tcPr>
            <w:tcW w:w="3160" w:type="dxa"/>
            <w:vAlign w:val="bottom"/>
            <w:gridSpan w:val="2"/>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812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DESCRIPTION OF WARRANTS</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9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FORMS OF SECURITIES</w:t>
              </w:r>
            </w:hyperlink>
          </w:p>
        </w:tc>
        <w:tc>
          <w:tcPr>
            <w:tcW w:w="500" w:type="dxa"/>
            <w:vAlign w:val="bottom"/>
            <w:tcBorders>
              <w:top w:val="single" w:sz="8" w:color="0000EE"/>
            </w:tcBorders>
            <w:gridSpan w:val="4"/>
          </w:tcPr>
          <w:p>
            <w:pPr>
              <w:spacing w:after="0"/>
              <w:rPr>
                <w:sz w:val="24"/>
                <w:szCs w:val="24"/>
                <w:color w:val="auto"/>
              </w:rPr>
            </w:pPr>
          </w:p>
        </w:tc>
        <w:tc>
          <w:tcPr>
            <w:tcW w:w="5700" w:type="dxa"/>
            <w:vAlign w:val="bottom"/>
            <w:gridSpan w:val="8"/>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81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SELLING STOCKHOLDERS</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216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PLAN OF DISTRIBUTION</w:t>
              </w:r>
            </w:hyperlink>
          </w:p>
        </w:tc>
        <w:tc>
          <w:tcPr>
            <w:tcW w:w="5960" w:type="dxa"/>
            <w:vAlign w:val="bottom"/>
            <w:gridSpan w:val="10"/>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200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6120" w:type="dxa"/>
            <w:vAlign w:val="bottom"/>
            <w:gridSpan w:val="11"/>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24"/>
                <w:szCs w:val="24"/>
                <w:color w:val="auto"/>
              </w:rPr>
            </w:pPr>
          </w:p>
        </w:tc>
        <w:tc>
          <w:tcPr>
            <w:tcW w:w="6700" w:type="dxa"/>
            <w:vAlign w:val="bottom"/>
            <w:gridSpan w:val="14"/>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12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720" w:type="dxa"/>
            <w:vAlign w:val="bottom"/>
            <w:gridSpan w:val="14"/>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04"/>
        </w:trPr>
        <w:tc>
          <w:tcPr>
            <w:tcW w:w="812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INCORPORATION OF CERTAIN DOCUMENTS BY REFERENCE</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ectPr>
          <w:pgSz w:w="11900" w:h="16838" w:orient="portrait"/>
          <w:cols w:equalWidth="0" w:num="1">
            <w:col w:w="11360"/>
          </w:cols>
          <w:pgMar w:left="240" w:top="274" w:right="29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THIS PROSPECTUS</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registration process, we may from time to time sell common stock, preferred stock, debt securities or warrants, or any combination of these securities, in one or more primary offerings up to a total dollar amount of $180,000,000. In addition to the primary offering of securities, selling stockholders may from time to time sell up to 3,000,000 shares of our common stock in one or more secondary offerings.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provides you with a general description of the securities we and the selling stockholders may offer. Each time we or the selling stockholders sell securities, we will provide one or more prospectus supplements that will contain specific information about the terms of the offering. The prospectus supplement and any free writing prospectus may also add,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read both this prospectus and the accompanying prospectus supplement together with the additional information described under the heading “Where You Can Find More Information” beginning on page 28 of this prospectus.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274" w:right="31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Inc.</w:t>
      </w:r>
    </w:p>
    <w:p>
      <w:pPr>
        <w:spacing w:after="0" w:line="96"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We are a biopharmaceutical company focused on protecting and enhancing life by developing and manufacturing vaccines and therapeutics that are supplied to healthcare providers and purchasers for use in preventing and treating disease. For financial reporting purposes, we operate in two business segments, Biodefense and Biosciences.</w:t>
      </w:r>
    </w:p>
    <w:p>
      <w:pPr>
        <w:spacing w:after="0" w:line="140"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Our Biodefense segment is directed to government-sponsored development and supply of countermeasures against potential agents of bioterror or biowarfare and targets the infectious disease anthrax. Our programs in this division include a pipeline of investigational product candidates and one marketed product, BioThrax</w:t>
      </w:r>
      <w:r>
        <w:rPr>
          <w:rFonts w:ascii="Arial" w:cs="Arial" w:eastAsia="Arial" w:hAnsi="Arial"/>
          <w:sz w:val="11"/>
          <w:szCs w:val="11"/>
          <w:color w:val="auto"/>
        </w:rPr>
        <w:t>®</w:t>
      </w:r>
      <w:r>
        <w:rPr>
          <w:rFonts w:ascii="Arial" w:cs="Arial" w:eastAsia="Arial" w:hAnsi="Arial"/>
          <w:sz w:val="18"/>
          <w:szCs w:val="18"/>
          <w:color w:val="auto"/>
        </w:rPr>
        <w:t xml:space="preserve"> (Anthrax Vaccine Adsorbed), the only vaccine approved by the U.S. Food and Drug Administration for the prevention of anthrax disease. Operations in this segment include biologics manufacturing, regulatory and quality affairs in support of BioThrax and a product development infrastructure in support of our investigational product candidates.</w:t>
      </w:r>
    </w:p>
    <w:p>
      <w:pPr>
        <w:spacing w:after="0" w:line="143"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Our Biosciences segment is directed to commercial opportunities and targets oncology indications, including B-cell malignancies, chronic lymphocytic leukemia and non-Hodgkin’s lymphoma, as well as T-cell malignancies, cutaneous T-cell lymphoma and peripheral T-cell lymphoma; autoimmune and inflammatory disorders; and infectious diseases such as tuberculosis and influenza. Our programs in this division include clinical and preclinical stage investigational product candidates and development programs for our platform technologies. Operations in this segment include product development in support of our investigational product candidates, and manufacturing and related infrastructure initiatives in support of our technology platforms.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We were incorporated as BioPort Corporation, or BioPort, under the laws of Michigan in May 1998 and commenced operations as BioPort in September 1998 through an acquisition from the Michigan Biologic Products Institute of rights to the marketed product, BioThrax, vaccine manufacturing facilities at a multi-building campus on approximately 12.5 acres in Lansing, Michigan and vaccine development and production know-how. In December 2003, we began a corporate reorganization in which we formed a new corporate parent, Emergent BioSolutions Inc., or Emergent, a Delaware corporation. In June 2004, we completed a corporate reorganization whereby Emergent issued shares of class A common stock to stockholders of BioPort in exchange for an equal number of outstanding shares of common stock of BioPort. As a result of this reorganization, BioPort became our wholly owned subsidiary which we subsequently converted to Emergent Biodefense Operations Lansing LLC. We have established additional subsidiaries, each primarily consisting of an operational component of our business, including, among others, manufacturing in Baltimore, Maryland, product development in Gaithersburg, Maryland, the United Kingdom, Germany and Singapore and research and product development in Seattle, Washington.</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principal executive offices are located at 2273 Research Boulevard, Suite 400, Rockville, Maryland 20850. Our telephone number is (301) 795-1800. Our website address is www.emergentbiosolutions.com. We have included our website address as an inactive textual reference only. The information contained on, or that can be accessed through, our website is not a part of this prospectus.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this prospectus, unless otherwise stated or the context otherwise requires, references to “Emergent,” “we,” “us” and “our” and similar references refer to Emergent BioSolutions Inc. BioThrax</w:t>
      </w:r>
      <w:r>
        <w:rPr>
          <w:rFonts w:ascii="Arial" w:cs="Arial" w:eastAsia="Arial" w:hAnsi="Arial"/>
          <w:sz w:val="11"/>
          <w:szCs w:val="11"/>
          <w:color w:val="auto"/>
        </w:rPr>
        <w:t>®</w:t>
      </w:r>
      <w:r>
        <w:rPr>
          <w:rFonts w:ascii="Arial" w:cs="Arial" w:eastAsia="Arial" w:hAnsi="Arial"/>
          <w:sz w:val="18"/>
          <w:szCs w:val="18"/>
          <w:color w:val="auto"/>
        </w:rPr>
        <w:t>, NuThrax™, PreviThrax™, Anthrivig™, Thravixa™, MVAtor™, SMIP™, SCORPION</w:t>
      </w:r>
      <w:r>
        <w:rPr>
          <w:rFonts w:ascii="Arial" w:cs="Arial" w:eastAsia="Arial" w:hAnsi="Arial"/>
          <w:sz w:val="11"/>
          <w:szCs w:val="11"/>
          <w:color w:val="auto"/>
        </w:rPr>
        <w:t>TM</w:t>
      </w:r>
      <w:r>
        <w:rPr>
          <w:rFonts w:ascii="Arial" w:cs="Arial" w:eastAsia="Arial" w:hAnsi="Arial"/>
          <w:sz w:val="18"/>
          <w:szCs w:val="18"/>
          <w:color w:val="auto"/>
        </w:rPr>
        <w:t>, TRU-ADhanCe</w:t>
      </w:r>
      <w:r>
        <w:rPr>
          <w:rFonts w:ascii="Arial" w:cs="Arial" w:eastAsia="Arial" w:hAnsi="Arial"/>
          <w:sz w:val="11"/>
          <w:szCs w:val="11"/>
          <w:color w:val="auto"/>
        </w:rPr>
        <w:t>TM</w:t>
      </w:r>
      <w:r>
        <w:rPr>
          <w:rFonts w:ascii="Arial" w:cs="Arial" w:eastAsia="Arial" w:hAnsi="Arial"/>
          <w:sz w:val="18"/>
          <w:szCs w:val="18"/>
          <w:color w:val="auto"/>
        </w:rPr>
        <w:t xml:space="preserve"> and Typhella™ are the registrant’s trademarks. Each of the other trademarks, trade names or service marks appearing or incorporated by reference in this prospectus or any applicable prospectus supplement are the property of their respective owners.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1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An investment in our securities involves significant risks. You should carefully consider the risks and uncertainties described in this prospectus and any prospectus supplement, including the risk factors set forth in the documents and reports filed with the SEC that are incorporated by reference herein, such as the risk factors under the heading “Risk Factors” in our Annual Report on Form 10-K for the year ended December 31, 2011 on file with the SEC, before you make an investment decision pursuant to this prospectus and any accompanying prospectus supplement. Additional risks and uncertainties not presently known to us or that we currently deem immaterial may also affect our business operations.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“will” and “would” and similar expressions are intended to identify forward-looking statements, although not all forward-looking statements contain these identifying words.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and incorporated by reference in this prospectus that we believe could cause actual results or events to differ materially from the forward-looking statements that we make. See “Risk Factors” for more information. You should consider these factors and other cautionary statements made in this prospectus and in the documents we incorporate by reference as being applicable to all related forward-looking statements wherever they appear in the prospectus and in the documents incorporated by reference. Unless specifically indicated, our forward-looking statements do not reflect the potential impact of any future acquisitions, mergers, dispositions, joint ventures or investments we may make. We do not assume any obligation to update any forward-looking statements.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Unless otherwise provided in the applicable prospectus supplement, we currently intend to use the net proceeds from the sale of the securities from primary offerings under this prospectus for general corporate purposes, including development of our product candidates, the acquisition or in-license of technologies, products or businesses, repayment and refinancing of debt, working capital and capital expenditures. We may set forth additional information on the use of proceeds from the sale of securities we offer under this prospectus in a prospectus supplement relating to the specific primary offering. We have not determined the amount of net proceeds to be used specifically for the foregoing purposes. As a result, our management will have broad discretion in the allocation of the net proceeds. Pending use of the net proceeds, we intend to invest the proceeds in a variety of capital preservation instruments, including short-term, investment-grade, interest-bearing instruments.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receive any proceeds from the sale of shares of common stock in a secondary offering by the selling stockholders. The selling stockholders will pay any underwriting or broker discounts and commissions and expenses incurred by the selling stockholders for brokerage, accounting, tax or legal services or any other expenses incurred by the selling stockholders in disposing of the shares of common stock in a secondary offering. We will bear all other costs, fees and expenses incurred in effecting the registration of the securities covered by this prospectus, including, without limitation, all registration and filing fees and fees and expenses of our counsel and our accountants.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RATIO OF EARNINGS TO FIXED CHARGES</w:t>
      </w:r>
    </w:p>
    <w:p>
      <w:pPr>
        <w:spacing w:after="0" w:line="177"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The following table sets forth our consolidated ratio of earnings to fixed charges for each of the periods indicated. You should read this table in conjunction with the consolidated financial statements and notes incorporated by reference in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color w:val="auto"/>
                <w:w w:val="87"/>
              </w:rPr>
              <w:t>Fiscal Year Ended</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13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4"/>
              </w:rPr>
              <w:t>December 31,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84"/>
              </w:rPr>
              <w:t>December 31,</w:t>
            </w:r>
          </w:p>
        </w:tc>
        <w:tc>
          <w:tcPr>
            <w:tcW w:w="58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6"/>
              </w:rPr>
              <w:t>December 31,</w:t>
            </w: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84"/>
              </w:rPr>
              <w:t>December 31,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4"/>
              </w:rPr>
              <w:t>December 31,</w:t>
            </w:r>
          </w:p>
        </w:tc>
      </w:tr>
      <w:tr>
        <w:trPr>
          <w:trHeight w:val="159"/>
        </w:trPr>
        <w:tc>
          <w:tcPr>
            <w:tcW w:w="5160" w:type="dxa"/>
            <w:vAlign w:val="bottom"/>
          </w:tcPr>
          <w:p>
            <w:pPr>
              <w:spacing w:after="0"/>
              <w:rPr>
                <w:sz w:val="13"/>
                <w:szCs w:val="13"/>
                <w:color w:val="auto"/>
              </w:rPr>
            </w:pPr>
          </w:p>
        </w:tc>
        <w:tc>
          <w:tcPr>
            <w:tcW w:w="760" w:type="dxa"/>
            <w:vAlign w:val="bottom"/>
          </w:tcPr>
          <w:p>
            <w:pPr>
              <w:jc w:val="right"/>
              <w:ind w:right="166"/>
              <w:spacing w:after="0" w:line="159" w:lineRule="exact"/>
              <w:rPr>
                <w:sz w:val="20"/>
                <w:szCs w:val="20"/>
                <w:color w:val="auto"/>
              </w:rPr>
            </w:pPr>
            <w:r>
              <w:rPr>
                <w:rFonts w:ascii="Arial" w:cs="Arial" w:eastAsia="Arial" w:hAnsi="Arial"/>
                <w:sz w:val="14"/>
                <w:szCs w:val="14"/>
                <w:color w:val="auto"/>
              </w:rPr>
              <w:t>2011</w:t>
            </w:r>
          </w:p>
        </w:tc>
        <w:tc>
          <w:tcPr>
            <w:tcW w:w="580" w:type="dxa"/>
            <w:vAlign w:val="bottom"/>
          </w:tcPr>
          <w:p>
            <w:pPr>
              <w:spacing w:after="0"/>
              <w:rPr>
                <w:sz w:val="13"/>
                <w:szCs w:val="13"/>
                <w:color w:val="auto"/>
              </w:rPr>
            </w:pPr>
          </w:p>
        </w:tc>
        <w:tc>
          <w:tcPr>
            <w:tcW w:w="780" w:type="dxa"/>
            <w:vAlign w:val="bottom"/>
          </w:tcPr>
          <w:p>
            <w:pPr>
              <w:jc w:val="right"/>
              <w:ind w:right="186"/>
              <w:spacing w:after="0" w:line="159" w:lineRule="exact"/>
              <w:rPr>
                <w:sz w:val="20"/>
                <w:szCs w:val="20"/>
                <w:color w:val="auto"/>
              </w:rPr>
            </w:pPr>
            <w:r>
              <w:rPr>
                <w:rFonts w:ascii="Arial" w:cs="Arial" w:eastAsia="Arial" w:hAnsi="Arial"/>
                <w:sz w:val="14"/>
                <w:szCs w:val="14"/>
                <w:color w:val="auto"/>
              </w:rPr>
              <w:t>2010</w:t>
            </w:r>
          </w:p>
        </w:tc>
        <w:tc>
          <w:tcPr>
            <w:tcW w:w="1340" w:type="dxa"/>
            <w:vAlign w:val="bottom"/>
            <w:gridSpan w:val="2"/>
          </w:tcPr>
          <w:p>
            <w:pPr>
              <w:jc w:val="center"/>
              <w:ind w:left="512"/>
              <w:spacing w:after="0" w:line="159" w:lineRule="exact"/>
              <w:rPr>
                <w:sz w:val="20"/>
                <w:szCs w:val="20"/>
                <w:color w:val="auto"/>
              </w:rPr>
            </w:pPr>
            <w:r>
              <w:rPr>
                <w:rFonts w:ascii="Arial" w:cs="Arial" w:eastAsia="Arial" w:hAnsi="Arial"/>
                <w:sz w:val="14"/>
                <w:szCs w:val="14"/>
                <w:color w:val="auto"/>
                <w:w w:val="89"/>
              </w:rPr>
              <w:t>2009</w:t>
            </w:r>
          </w:p>
        </w:tc>
        <w:tc>
          <w:tcPr>
            <w:tcW w:w="580" w:type="dxa"/>
            <w:vAlign w:val="bottom"/>
          </w:tcPr>
          <w:p>
            <w:pPr>
              <w:spacing w:after="0"/>
              <w:rPr>
                <w:sz w:val="13"/>
                <w:szCs w:val="13"/>
                <w:color w:val="auto"/>
              </w:rPr>
            </w:pPr>
          </w:p>
        </w:tc>
        <w:tc>
          <w:tcPr>
            <w:tcW w:w="780" w:type="dxa"/>
            <w:vAlign w:val="bottom"/>
          </w:tcPr>
          <w:p>
            <w:pPr>
              <w:jc w:val="right"/>
              <w:ind w:right="186"/>
              <w:spacing w:after="0" w:line="159" w:lineRule="exact"/>
              <w:rPr>
                <w:sz w:val="20"/>
                <w:szCs w:val="20"/>
                <w:color w:val="auto"/>
              </w:rPr>
            </w:pPr>
            <w:r>
              <w:rPr>
                <w:rFonts w:ascii="Arial" w:cs="Arial" w:eastAsia="Arial" w:hAnsi="Arial"/>
                <w:sz w:val="14"/>
                <w:szCs w:val="14"/>
                <w:color w:val="auto"/>
              </w:rPr>
              <w:t>2008</w:t>
            </w:r>
          </w:p>
        </w:tc>
        <w:tc>
          <w:tcPr>
            <w:tcW w:w="580" w:type="dxa"/>
            <w:vAlign w:val="bottom"/>
          </w:tcPr>
          <w:p>
            <w:pPr>
              <w:spacing w:after="0"/>
              <w:rPr>
                <w:sz w:val="13"/>
                <w:szCs w:val="13"/>
                <w:color w:val="auto"/>
              </w:rPr>
            </w:pPr>
          </w:p>
        </w:tc>
        <w:tc>
          <w:tcPr>
            <w:tcW w:w="760" w:type="dxa"/>
            <w:vAlign w:val="bottom"/>
          </w:tcPr>
          <w:p>
            <w:pPr>
              <w:jc w:val="right"/>
              <w:ind w:right="166"/>
              <w:spacing w:after="0" w:line="15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3"/>
                <w:szCs w:val="13"/>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ratios of earnings to fixed charges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calculating the ratios in the table above:</w:t>
      </w:r>
    </w:p>
    <w:p>
      <w:pPr>
        <w:spacing w:after="0" w:line="90" w:lineRule="exact"/>
        <w:rPr>
          <w:sz w:val="20"/>
          <w:szCs w:val="20"/>
          <w:color w:val="auto"/>
        </w:rPr>
      </w:pPr>
    </w:p>
    <w:p>
      <w:pPr>
        <w:ind w:left="1480" w:right="480" w:hanging="446"/>
        <w:spacing w:after="0" w:line="332"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earnings consist of pretax income from continuing operations plus fixed charges and amortization of capitalized interest minus interest capitalized and noncontrolling interest in pre-tax income of subsidiaries that have not incurred fixed charges; and</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fixed charges consist of interest on debt expensed and capitalized and amortization of deferred debt issuance costs.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ratios presented in the table above are based solely on historical financial information, and no pro forma adjustments have been made thereto. As of the date of this prospectus, we have no shares of preferred stock outstanding and have not declared or paid any preferred stock dividends for the periods set forth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SECURITIES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descriptions of the securities contained in this prospectus, together with the applicable prospectus supplements, summarize the material terms and provisions of the various types of securities that we or the selling stockholders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U.S. federal income tax considerations relating to the securities, and the securities exchange, if any, on which the securities will be listed.</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We may sell from time to time, in one or more primary offerings, common stock, preferred stock, debt securities and warrants to purchase any such securities. The selling stockholders may from time to time offer our common stock for resale in one or more secondary offerings.</w:t>
      </w:r>
    </w:p>
    <w:p>
      <w:pPr>
        <w:spacing w:after="0" w:line="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this prospectus, we refer to the common stock, preferred stock, debt securities and warrants to be sold by us in a primary offering collectively as “securities.” The total dollar amount of all securities that we may issue under the registration statement of which this prospectus forms a part, not including the value of the 3,000,000 shares of common stock that may be offered for resale by the selling stockholders, will not exceed $180,000,000.</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we issue debt securities at a discount from their original stated principal amount, then we will use the issue price, and not the principal amount, of such debt securities for purposes of calculating the total dollar amount of all securities issued under this prospectus.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COMMON STOCK AND PREFERRED STOCK</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description of our common stock and preferred stock, together with any additional information we include in any applicable prospectus supplements, summarizes the material terms and provisions of our common stock and the preferred stock that we may offer in primary offerings under this prospectus. This summary is not complete. For the complete terms of our common stock and preferred stock, please refer to our certificate of incorporation and by-laws, which are exhibits to the registration statement that includes this prospectus. The terms of our common stock and preferred stock may also be affected by Delaware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our certificate of incorporation, our authorized capital stock consists of 100,000,000 shares of common stock, $0.001 par value per share, and 15,000,000 shares of preferred stock, $0.001 par value per share, of which 100,000 shares have been designated as series A junior participating preferred stock. As of April 30, 2012, we had 36,160,577 shares of common stock outstanding and no shares of preferred stock outstanding. We will describe the specific terms of any common stock or preferred stock we may offer in more detail in a prospectus supplement relating to the offering of shares of common stock or preferred stock. If we so indicate in a prospectus supplement, the terms of any common stock or preferred stock offered under that prospectus supplement may differ from the terms 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our common stock are entitled to one vote per share with respect to each matter presented to our stockholders 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stock are entitled to vote and do not have cumulative voting rights. An election of directors by our stockholders is determined by a plurality of the votes cast by the stockholders entitled to vote on the election.</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proportionately any dividends as may be declared by our board of directors,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preferential dividend rights of outstanding preferred stock.</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In the event of our liquidation or dissolution, the holders of common stock are entitled to receive ratably all assets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for distribution to stockholders after the payment of all debts and other liabilities and subject to the prior rights of any outstanding preferred stock.</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common stock have no preemptive, subscription, redemption or conversion rights. The rights, preferences and privileges of</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stock are subject to and may be adversely affected by the rights of the holders of shares of any series of preferred stock that we may designate and issue in the future.</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Our common stock is listed on the New York Stock Exchange under the symbol “EBS.” As of April 30, 2012, the closing price per share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on the New York Stock Exchange was $14.06, and we had approximately 33 holders of record of our common stock.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Authorizing our board of directors to issue preferred stock and determine its rights and preferences has the effect of eliminating delays associated with a stockholder vote on specific issuances. Currently, we have no shares of preferred stock outstanding. Our board of directors has authorized 100,000 shares of series A junior participating preferred stock for issuance under our stockholder rights plan. See “—Stockholder Rights Plan” below.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 w:name="page11"/>
    <w:bookmarkEnd w:id="10"/>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we decide to issue any preferred stock pursuant to this prospectus, we will describe in a prospectus supplement the specific terms of the preferred stock, including, if applicable, the following:</w:t>
      </w:r>
    </w:p>
    <w:p>
      <w:pPr>
        <w:spacing w:after="0" w:line="51"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dividends will be cumulative and, if cumulative, the date from which dividends will accumulate;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ranking and preference of the preferred stock as to dividend rights and rights if we liquidate, dissolve or wind up our affairs;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procedures for any auction and remarketing;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provisions for a sinking fund;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provisions for redemption or repurchase and any restrictions on our ability to exercise those redemption and repurchase rights;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listing of the preferred stock on any securities exchange or market;</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convertible, the conversion price, or how it will be calculated, and the conversion period;</w:t>
      </w:r>
    </w:p>
    <w:p>
      <w:pPr>
        <w:spacing w:after="0" w:line="50" w:lineRule="exact"/>
        <w:rPr>
          <w:rFonts w:ascii="Arial" w:cs="Arial" w:eastAsia="Arial" w:hAnsi="Arial"/>
          <w:sz w:val="18"/>
          <w:szCs w:val="18"/>
          <w:color w:val="auto"/>
        </w:rPr>
      </w:pPr>
    </w:p>
    <w:p>
      <w:pPr>
        <w:ind w:left="1480" w:right="8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exchangeable, the exchange price, or how it will be calculated, and the exchange period;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preemptive rights;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preferred stock;</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preferred stock could have other rights, including economic rights that are senior to our common stock that could adversely affect the market value of our common stock. The issuance of the preferred stock may also have the effect of delaying, deferring or preventing a change in control of us without any action by the shareholders.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Rights Plan</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party to a rights agreement pursuant to which we issue to our stockholders one preferred stock purchase right for each outstanding share of our common stock. Each right, when exercisable, will entitle the registered holder to purchase from us a unit consisting of one one-thousandth of a share of series A junior participating preferred stock.</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following description is a summary of the material terms of our stockholder rights plan. It does not restate these terms in their entirety. This summary is not complete and is qualified in its entirety by reference to the rights agreement, which is an exhibit to the registration statement that contains this prospectus. We urge you to read the rights agreement because it, and not this description, defines its terms and provisions.</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Rights. </w:t>
      </w:r>
      <w:r>
        <w:rPr>
          <w:rFonts w:ascii="Arial" w:cs="Arial" w:eastAsia="Arial" w:hAnsi="Arial"/>
          <w:sz w:val="16"/>
          <w:szCs w:val="16"/>
          <w:color w:val="auto"/>
        </w:rPr>
        <w:t>Each share of common stock has attached to it one right. Initially, the rights are not exercisable and are attached to all certificates representing</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our common stock, and we will not distribute separate rights certificates. The rights are exercisable under limited circumstances specified in the rights agreement when there has been a distribution of the rights and the rights are no longer redeemable by us.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will expire at the close of business on November 14, 2016, unless we redeem or exchange them earlier as described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Prior to the Rights Distribution Date. </w:t>
      </w:r>
      <w:r>
        <w:rPr>
          <w:rFonts w:ascii="Arial" w:cs="Arial" w:eastAsia="Arial" w:hAnsi="Arial"/>
          <w:sz w:val="18"/>
          <w:szCs w:val="18"/>
          <w:color w:val="auto"/>
        </w:rPr>
        <w:t>Prior to the rights distribution date:</w:t>
      </w:r>
    </w:p>
    <w:p>
      <w:pPr>
        <w:spacing w:after="0" w:line="90"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rights are evidenced by our common stock certificates and will be transferred with and only with such common stock certificates; and</w:t>
      </w:r>
    </w:p>
    <w:p>
      <w:pPr>
        <w:spacing w:after="0" w:line="113" w:lineRule="exact"/>
        <w:rPr>
          <w:rFonts w:ascii="Arial" w:cs="Arial" w:eastAsia="Arial" w:hAnsi="Arial"/>
          <w:sz w:val="16"/>
          <w:szCs w:val="16"/>
          <w:color w:val="auto"/>
        </w:rPr>
      </w:pPr>
    </w:p>
    <w:p>
      <w:pPr>
        <w:ind w:left="1480" w:right="18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surrender for transfer of any certificates of our common stock will also constitute the transfer of the rights associated with our common stock represented by such certificate.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Rights Distribution Date. </w:t>
      </w:r>
      <w:r>
        <w:rPr>
          <w:rFonts w:ascii="Arial" w:cs="Arial" w:eastAsia="Arial" w:hAnsi="Arial"/>
          <w:sz w:val="16"/>
          <w:szCs w:val="16"/>
          <w:color w:val="auto"/>
        </w:rPr>
        <w:t>The rights will separate from our common stock, and a rights distribution date will occur, upon the earlier of the following events:</w:t>
      </w:r>
    </w:p>
    <w:p>
      <w:pPr>
        <w:spacing w:after="0" w:line="113" w:lineRule="exact"/>
        <w:rPr>
          <w:sz w:val="20"/>
          <w:szCs w:val="20"/>
          <w:color w:val="auto"/>
        </w:rPr>
      </w:pPr>
    </w:p>
    <w:p>
      <w:pPr>
        <w:ind w:left="1480" w:right="280" w:hanging="446"/>
        <w:spacing w:after="0" w:line="259"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business days following the later of (1) a public announcement that a person or group, other than an exempted person, has acquired, or obtained the right to acquire beneficial ownership of 15% or more of the outstanding shares of our common stock or (2) the first date on which one of our executive officers has actual knowledge of such an event; and</w:t>
      </w:r>
    </w:p>
    <w:p>
      <w:pPr>
        <w:spacing w:after="0" w:line="59"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business days following the start of a tender offer or exchange offer that would result in a person or group, other than an exempted person, beneficially owning 15% or more of the outstanding shares of our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distribution date may be deferred by our board of directors and some inadvertent actions will not trigger the occurrence of the rights distribution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addition, a rights distribution date will not occur as a result of the ownership of our stock by the following exempted persons:</w:t>
      </w:r>
    </w:p>
    <w:p>
      <w:pPr>
        <w:spacing w:after="0" w:line="84" w:lineRule="exact"/>
        <w:rPr>
          <w:sz w:val="20"/>
          <w:szCs w:val="20"/>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Fuad El-Hibri and his wife and any entity controlled by either of them; and</w:t>
      </w:r>
    </w:p>
    <w:p>
      <w:pPr>
        <w:spacing w:after="0" w:line="90" w:lineRule="exact"/>
        <w:rPr>
          <w:rFonts w:ascii="Arial" w:cs="Arial" w:eastAsia="Arial" w:hAnsi="Arial"/>
          <w:sz w:val="18"/>
          <w:szCs w:val="18"/>
          <w:color w:val="auto"/>
        </w:rPr>
      </w:pPr>
    </w:p>
    <w:p>
      <w:pPr>
        <w:jc w:val="both"/>
        <w:ind w:left="1480" w:right="460" w:hanging="446"/>
        <w:spacing w:after="0" w:line="259"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other holder of our common stock immediately prior to our initial public offering to the extent such person’s beneficial ownership exceeds 15% solely as a result of the fact that the person is a party to certain voting agreements in place at the time of our initial public offering.</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soon as practicable after the rights distribution date, separate rights certificates will be mailed to the holders of record of our common stock as of the close of business on the rights distribution date. From and after the rights distribution date, the separate rights certificates alone will represent the rights. All shares of our common stock issued prior to the rights distribution date will be issued with rights. Shares of our common stock issued after the rights distribution date in connection with specified employee benefit plans or upon conversion of specified securities will be issued with rights. Except as otherwise determined by our board of directors, no other shares of our common stock issued after the rights distribution date will be issued with rights.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 w:name="page13"/>
    <w:bookmarkEnd w:id="12"/>
    <w:p>
      <w:pPr>
        <w:ind w:right="40"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Flip-in Event. </w:t>
      </w:r>
      <w:r>
        <w:rPr>
          <w:rFonts w:ascii="Arial" w:cs="Arial" w:eastAsia="Arial" w:hAnsi="Arial"/>
          <w:sz w:val="16"/>
          <w:szCs w:val="16"/>
          <w:color w:val="auto"/>
        </w:rPr>
        <w:t>If a person or group, other than an exempted person, becomes the beneficial owner of 15% or more of the outstanding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except as described below, each holder of a right will thereafter have the right to receive, upon exercise, a number of shares of our common stock, or, in some circumstances, cash, property or other securities of ours, which equals the exercise price of the right divided by one-half of the current market price of our common stock on the date the acquisition occurs. However, following the acquisition:</w:t>
      </w:r>
    </w:p>
    <w:p>
      <w:pPr>
        <w:spacing w:after="0" w:line="32" w:lineRule="exact"/>
        <w:rPr>
          <w:sz w:val="20"/>
          <w:szCs w:val="20"/>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rights will not be exercisable until the rights are no longer redeemable by us as set forth below; and</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rights that are, or were, under the circumstances specified in the rights agreement, beneficially owned by any acquiring person will be null and void.</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event set forth in this paragraph is referred to as a flip-in event. A flip-in event would not occur if there is an offer for all of our outstanding shares of common stock that at least 75% of our board of directors determines is fair to our stockholders and in their best interests.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Flip-over Event. </w:t>
      </w:r>
      <w:r>
        <w:rPr>
          <w:rFonts w:ascii="Arial" w:cs="Arial" w:eastAsia="Arial" w:hAnsi="Arial"/>
          <w:sz w:val="18"/>
          <w:szCs w:val="18"/>
          <w:color w:val="auto"/>
        </w:rPr>
        <w:t>If at any time after a person or group, other than an exempted person, has become the beneficial owner of 15% or more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w:t>
      </w:r>
    </w:p>
    <w:p>
      <w:pPr>
        <w:spacing w:after="0" w:line="51"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acquired in a merger or other business combination transaction in which we are not the surviving corporation;</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the surviving entity in a merger of other business combination transaction but our common stock is changed or exchanged for stock or securities of any other person or for cash or any other property;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more than 50% of our assets or earning power is sold or transferred,</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then each holder of a right, except rights which previously have been voided as set forth above, shall thereafter have the right to receive, upon exercise, that number of shares of common stock of the acquiring company which equals the exercise price of the right divided by one-half of the current market price of that company’s common stock at the date of the occurrence of the event. The event described in this paragraph is referred to as a flip-over event. A flip-over event does not arise if the merger or other transaction follows an offer for all of our outstanding shares of common stock that at least 75% of our board of directors determines is fair to our stockholders and in their best interests.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Exchange of Rights. </w:t>
      </w:r>
      <w:r>
        <w:rPr>
          <w:rFonts w:ascii="Arial" w:cs="Arial" w:eastAsia="Arial" w:hAnsi="Arial"/>
          <w:sz w:val="18"/>
          <w:szCs w:val="18"/>
          <w:color w:val="auto"/>
        </w:rPr>
        <w:t>At any time after a flip-in event, when no person owns a majority of our common stock, our board of directors may exchange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other than rights owned by the acquiring person that have become void, in whole or in part, at an exchange ratio of one share of our common stock, or one one-thousandth of a share of series A junior participating preferred stock, or of a share of a class or series of preferred stock having equivalent rights, preferences and privileges, per right.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The purchase price of the rights, and the number of securities purchasable, are subject to adjustment from time to time to prevent dilution.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rights associated with each share of common stock is also subject to adjustment in the event of stock splits, subdivisions, consolidations or combinations of our common stock that occur prior to the rights distribution date.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Series A Junior Participating Preferred Stock. </w:t>
      </w:r>
      <w:r>
        <w:rPr>
          <w:rFonts w:ascii="Arial" w:cs="Arial" w:eastAsia="Arial" w:hAnsi="Arial"/>
          <w:sz w:val="16"/>
          <w:szCs w:val="16"/>
          <w:color w:val="auto"/>
        </w:rPr>
        <w:t>Series A junior participating preferred stock purchasable upon exercise of the rights will not be redeemable.</w:t>
      </w:r>
      <w:r>
        <w:rPr>
          <w:rFonts w:ascii="Arial" w:cs="Arial" w:eastAsia="Arial" w:hAnsi="Arial"/>
          <w:sz w:val="16"/>
          <w:szCs w:val="16"/>
          <w:i w:val="1"/>
          <w:iCs w:val="1"/>
          <w:color w:val="auto"/>
        </w:rPr>
        <w:t xml:space="preserve"> </w:t>
      </w:r>
      <w:r>
        <w:rPr>
          <w:rFonts w:ascii="Arial" w:cs="Arial" w:eastAsia="Arial" w:hAnsi="Arial"/>
          <w:sz w:val="16"/>
          <w:szCs w:val="16"/>
          <w:color w:val="auto"/>
        </w:rPr>
        <w:t>Each share of series A junior participating preferred stock will be entitled to receive when, as and if declared by our board of directors, a minimum preferential quarterly dividend payment of $10 per share or, if greater, an aggregate dividend of 1,000 times the dividend declared per share of our common stock. In the event of liquidation, the holders of the series A junior participating preferred stock will be entitled to a minimum preferential liquidation payment of $1,000 per share, plus accrued and unpaid dividends, and will be entitled to an aggregate payment of 1,000 times the payment made per share of our common stock.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 w:name="page14"/>
    <w:bookmarkEnd w:id="13"/>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share of series A junior participating preferred stock will have 1,000 votes, voting together with our common stock. In the event of any merger, consolidation or other transaction in which our common stock is changed or exchanged, each share of series A junior participating preferred stock will be entitled to receive 1,000 times the amount received per share of our common stock. These rights are protected by customary antidilution provisions.</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Because of the nature of the series A junior participating preferred stock’s dividend, liquidation and voting rights, the value of one one-thousandth of a share of series A junior participating preferred stock purchasable upon exercise of each right should approximate the value of one share of common stock.</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Redemption of Rights. </w:t>
      </w:r>
      <w:r>
        <w:rPr>
          <w:rFonts w:ascii="Arial" w:cs="Arial" w:eastAsia="Arial" w:hAnsi="Arial"/>
          <w:sz w:val="16"/>
          <w:szCs w:val="16"/>
          <w:color w:val="auto"/>
        </w:rPr>
        <w:t>At any time until ten business days following the date of a public announcement that a person or group, other than an exempted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 has acquired or obtained the right to acquire beneficial ownership of 15% or more of the outstanding shares of our common stock, or such later date upon which one of our executive officers first has actual knowledge of such event or such later date as our board of directors may determine, we may redeem the rights in whole, but not in part, at a price of $0.001 per right, payable in cash or stock. Immediately upon the redemption of the rights or such earlier time as established by our board of directors, the rights will terminate and the only right of the holders of rights will be to receive the redemption price.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Status of Rights Holder and Tax Effects. </w:t>
      </w:r>
      <w:r>
        <w:rPr>
          <w:rFonts w:ascii="Arial" w:cs="Arial" w:eastAsia="Arial" w:hAnsi="Arial"/>
          <w:sz w:val="18"/>
          <w:szCs w:val="18"/>
          <w:color w:val="auto"/>
        </w:rPr>
        <w:t>Until a right is exercised, the holder of the right, as such, will have no rights as a stockholder of ours, including no</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vote or to receive dividends. Although the distribution of the rights should not be taxable to stockholders or to us, stockholders may, depending upon the circumstances, recognize taxable income in the event that the rights become exercisable for our common stock, or other consideration, or for common stock of the acquiring company as described above.</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Board’s Authority to Amend. </w:t>
      </w:r>
      <w:r>
        <w:rPr>
          <w:rFonts w:ascii="Arial" w:cs="Arial" w:eastAsia="Arial" w:hAnsi="Arial"/>
          <w:sz w:val="16"/>
          <w:szCs w:val="16"/>
          <w:color w:val="auto"/>
        </w:rPr>
        <w:t>Our board of directors may amend any provision of the rights agreement, other than the redemption price, prior to the date 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rights are no longer redeemable. Once the rights are no longer redeemable, our board’s authority to amend the rights agreement is limited to correcting ambiguities or defective or inconsistent provisions in a manner that does not adversely affect the interest of holders of rights.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Effects of the Rights. </w:t>
      </w:r>
      <w:r>
        <w:rPr>
          <w:rFonts w:ascii="Arial" w:cs="Arial" w:eastAsia="Arial" w:hAnsi="Arial"/>
          <w:sz w:val="16"/>
          <w:szCs w:val="16"/>
          <w:color w:val="auto"/>
        </w:rPr>
        <w:t>The rights are intended to protect our stockholders in the event of an unfair or coercive offer to acquire our company and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with adequate time to evaluate unsolicited offers. The rights may have anti-takeover effects. The rights will cause substantial dilution to a person or group that attempts to acquire us without conditioning the offer on a substantial number of rights being acquired. The rights, however, should not affect any prospective offeror willing to make an offer at a fair price and otherwise in the best interests of us and our stockholders, as determined by our board of directors. The rights should not interfere with any merger or other business combination approved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certificate of incorporation and by-laws and Delaware law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As of April 30, 2012, Fuad El-Hibri, our executive chairman, was the beneficial owner of approximately 28.4% of our outstanding common stock. As a result, Mr. El-Hibri has significant influence over the election of the members of our board of directors. The percentage ownership of our common stock by Mr. El-Hibri following the offering and sale of our securities under this prospectus will be summarized in the prospectus supplement relating to such offering. This control could discourage others from initiating a potential merger, takeover or other change of control transaction that other stockholders may view as beneficial.</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Number of Directors. </w:t>
      </w:r>
      <w:r>
        <w:rPr>
          <w:rFonts w:ascii="Arial" w:cs="Arial" w:eastAsia="Arial" w:hAnsi="Arial"/>
          <w:sz w:val="18"/>
          <w:szCs w:val="18"/>
          <w:color w:val="auto"/>
        </w:rPr>
        <w:t>Subject to the rights of holders of any series of preferred stock to elect directors, our board of directors will establish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20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Staggered Board; Removal of Directors. </w:t>
      </w:r>
      <w:r>
        <w:rPr>
          <w:rFonts w:ascii="Arial" w:cs="Arial" w:eastAsia="Arial" w:hAnsi="Arial"/>
          <w:sz w:val="18"/>
          <w:szCs w:val="18"/>
          <w:color w:val="auto"/>
        </w:rPr>
        <w:t>Our certificate of incorporation and our by-laws divide our directors into three classes with staggered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Our directors may be removed from office only for cause and only by the affirmative vote of holders of our capital stock representing at least 75% of the voting power of all outstanding stock entitled to vote.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 vacancy on our board of directors, including a vacancy resulting from an enlargement of our board of directors, may be filled only by the affirmative vote of a majority of our directors present at a meeting duly held at which a quorum is present.</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32"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i w:val="1"/>
          <w:iCs w:val="1"/>
          <w:color w:val="auto"/>
        </w:rPr>
        <w:t xml:space="preserve">Stockholder Action by Written Consent; Special Meetings. </w:t>
      </w:r>
      <w:r>
        <w:rPr>
          <w:rFonts w:ascii="Arial" w:cs="Arial" w:eastAsia="Arial" w:hAnsi="Arial"/>
          <w:sz w:val="16"/>
          <w:szCs w:val="16"/>
          <w:color w:val="auto"/>
        </w:rPr>
        <w:t>Our certificate of incorporation and our by-laws provide that any action required or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board of directors, our chairman of the board or our president.</w:t>
      </w:r>
    </w:p>
    <w:p>
      <w:pPr>
        <w:spacing w:after="0" w:line="113" w:lineRule="exact"/>
        <w:rPr>
          <w:sz w:val="20"/>
          <w:szCs w:val="20"/>
          <w:color w:val="auto"/>
        </w:rPr>
      </w:pPr>
    </w:p>
    <w:p>
      <w:pPr>
        <w:jc w:val="both"/>
        <w:ind w:right="20" w:firstLine="913"/>
        <w:spacing w:after="0" w:line="291"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an advance notice procedure for stockholder proposals to be brought before an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stockholders, including proposed nominations of persons for election to the board of directors.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2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i w:val="1"/>
          <w:iCs w:val="1"/>
          <w:color w:val="auto"/>
        </w:rPr>
        <w:t xml:space="preserve">Delaware Business Combination Statute. </w:t>
      </w:r>
      <w:r>
        <w:rPr>
          <w:rFonts w:ascii="Arial" w:cs="Arial" w:eastAsia="Arial" w:hAnsi="Arial"/>
          <w:sz w:val="16"/>
          <w:szCs w:val="16"/>
          <w:color w:val="auto"/>
        </w:rPr>
        <w:t>We are subject to Section 203 of the General Corporation Law of Delaware. Subject to certain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2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i w:val="1"/>
          <w:iCs w:val="1"/>
          <w:color w:val="auto"/>
        </w:rPr>
        <w:t xml:space="preserve">Super-Majority Voting. </w:t>
      </w:r>
      <w:r>
        <w:rPr>
          <w:rFonts w:ascii="Arial" w:cs="Arial" w:eastAsia="Arial" w:hAnsi="Arial"/>
          <w:sz w:val="18"/>
          <w:szCs w:val="18"/>
          <w:color w:val="auto"/>
        </w:rPr>
        <w:t>The General Corporation Law of Delaware provides generally that the affirmative vote of a majority of the shares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on any matter is required to amend a corporation’s certificate of incorporation or by-laws, unless a corporation’s certificate of incorporation or by-laws, as the case may be, requires a greater percentage. The affirmative vote of holders of our capital stock representing at least 75% of the voting power of all outstanding stock entitled to vote is required to amend or repeal the provisions of our certificate of incorporation described in this section entitled “Anti-takeover Effects of Delaware Law and our Certificate of Incorporation and By-laws”.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have shares of common stock and preferred stock available for future issuance without stockholder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 w:name="page16"/>
    <w:bookmarkEnd w:id="1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Our certificate of incorporation contains provisions permitted under the General Corporation Law of Delaware relating to the liability of directors. The provisions eliminate a director’s liability for monetary damages for a breach of fiduciary duty, except in circumstances involving wrongful acts, such as the breach of a director’s duty of loyalty or acts or omissions that involve intentional misconduct or a knowing violation of law. Further, our certificate of incorporation contains provisions to indemnify our directors and officers to the fullest extent permitted by the General Corporation Law of Delaware.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BioPharm, L.L.C., Biovac, L.L.C. and Intervac, L.L.C. hold an aggregate of 8,725,992 shares of our common stock as of April 30, 2012 and have the right to require us to register these shares of common stock under the Securities Act under specified circumstances, including any additional shares issued or distributed by way of a dividend, stock split or other distribution in respect of these shares.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Subject to specified limitations, holders of these registrations rights may require that we register all or part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the registration rights for sale under the Securities Act. These holders may demand registration of our common stock so long as the offering price to the public of the shares requested to be registered is at least $25,000,000. We are required to effect only one demand registration, subject to specified exceptions.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Incidental Registration Rights. </w:t>
      </w:r>
      <w:r>
        <w:rPr>
          <w:rFonts w:ascii="Arial" w:cs="Arial" w:eastAsia="Arial" w:hAnsi="Arial"/>
          <w:sz w:val="16"/>
          <w:szCs w:val="16"/>
          <w:color w:val="auto"/>
        </w:rPr>
        <w:t>If we propose to register any of our common stock under the Securities Act, subject to specified exceptions, either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own account or for the account of other security holders, holders of registration rights are entitled to notice of the registration and to include shares of common stock subject to the registration rights in the registered offering. The holders of these registration rights have waived such rights in connection with the filing of the registration statement, of which this prospectus forms a part, including any offering under this prospectus, in exchange for the inclusion in the registration statement of shares of common stock held by such stockholders.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Limitations and Expenses. </w:t>
      </w:r>
      <w:r>
        <w:rPr>
          <w:rFonts w:ascii="Arial" w:cs="Arial" w:eastAsia="Arial" w:hAnsi="Arial"/>
          <w:sz w:val="18"/>
          <w:szCs w:val="18"/>
          <w:color w:val="auto"/>
        </w:rPr>
        <w:t>With specified exceptions, the right to include shares in a registration is subject to the right of underwriters for the offering to</w:t>
      </w:r>
      <w:r>
        <w:rPr>
          <w:rFonts w:ascii="Arial" w:cs="Arial" w:eastAsia="Arial" w:hAnsi="Arial"/>
          <w:sz w:val="18"/>
          <w:szCs w:val="18"/>
          <w:i w:val="1"/>
          <w:iCs w:val="1"/>
          <w:color w:val="auto"/>
        </w:rPr>
        <w:t xml:space="preserve"> </w:t>
      </w:r>
      <w:r>
        <w:rPr>
          <w:rFonts w:ascii="Arial" w:cs="Arial" w:eastAsia="Arial" w:hAnsi="Arial"/>
          <w:sz w:val="18"/>
          <w:szCs w:val="18"/>
          <w:color w:val="auto"/>
        </w:rPr>
        <w:t>limit the number of shares included in the offering. We are required to pay one-half of all fees, costs and expenses of any demand registration, other than underwriting discounts and commissions.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DEBT SECURITIES</w:t>
      </w:r>
    </w:p>
    <w:p>
      <w:pPr>
        <w:spacing w:after="0" w:line="17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that we may offer in a primary offering under this prospectus.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Emergent BioSolutions, Inc. excluding, unless the context otherwise requires or as otherwise expressly stated, our subsidiaries.</w:t>
      </w:r>
    </w:p>
    <w:p>
      <w:pPr>
        <w:spacing w:after="0" w:line="120"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2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None of the indentures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senior debt securities will constitute our unsecured and unsubordinated general obligations and will rank pari passu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 Subordination.”</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The applicable prospectus supplement and any free writing prospectus will include any additional or different terms of the debt securities being offered, including the following terms:</w:t>
      </w:r>
    </w:p>
    <w:p>
      <w:pPr>
        <w:spacing w:after="0" w:line="51"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9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debt securities issued under the subordinated indenture the terms on which they are subordinated;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left="1480" w:right="32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or dates from which such interest will accrue, the interest payment dates on which such interest will be payable or the manner of determination of such interest payment dates and the related record dates;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9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the debt securities will be issued in definitive or global form or in definitive form only upon satisfaction of certain conditions;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series of debt securities will be guaranteed as to payment or performance;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17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8" w:name="page19"/>
    <w:bookmarkEnd w:id="18"/>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jc w:val="both"/>
        <w:ind w:firstLine="913"/>
        <w:spacing w:after="0" w:line="335" w:lineRule="auto"/>
        <w:rPr>
          <w:sz w:val="20"/>
          <w:szCs w:val="20"/>
          <w:color w:val="auto"/>
        </w:rPr>
      </w:pPr>
      <w:r>
        <w:rPr>
          <w:rFonts w:ascii="Arial" w:cs="Arial" w:eastAsia="Arial" w:hAnsi="Arial"/>
          <w:sz w:val="15"/>
          <w:szCs w:val="15"/>
          <w:i w:val="1"/>
          <w:iCs w:val="1"/>
          <w:color w:val="auto"/>
        </w:rPr>
        <w:t xml:space="preserve">Covenants. </w:t>
      </w:r>
      <w:r>
        <w:rPr>
          <w:rFonts w:ascii="Arial" w:cs="Arial" w:eastAsia="Arial" w:hAnsi="Arial"/>
          <w:sz w:val="15"/>
          <w:szCs w:val="15"/>
          <w:color w:val="auto"/>
        </w:rPr>
        <w:t>Unless we indicate otherwise in a prospectus supplement, the senior debt securities will not contain any financial or restrictive covenants,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8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Unless we indicate otherwise in a prospectus supplement, we may not consolidate with or merge into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 in a transaction in which we are not the surviving corporation, or convey, transfer or lease our properties and assets substantially as an entirety to any person, in either case, unless:</w:t>
      </w:r>
    </w:p>
    <w:p>
      <w:pPr>
        <w:spacing w:after="0" w:line="59" w:lineRule="exact"/>
        <w:rPr>
          <w:sz w:val="20"/>
          <w:szCs w:val="20"/>
          <w:color w:val="auto"/>
        </w:rPr>
      </w:pPr>
    </w:p>
    <w:p>
      <w:pPr>
        <w:ind w:left="1480" w:right="80" w:hanging="446"/>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 (subject to certain exceptions provided for in the senior indenture);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71" w:lineRule="exact"/>
        <w:rPr>
          <w:sz w:val="20"/>
          <w:szCs w:val="20"/>
          <w:color w:val="auto"/>
        </w:rPr>
      </w:pPr>
    </w:p>
    <w:p>
      <w:pPr>
        <w:jc w:val="both"/>
        <w:ind w:right="300" w:firstLine="913"/>
        <w:spacing w:after="0" w:line="306"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The following are events of default under the senior indenture for any series of senior debt securities:</w:t>
      </w:r>
    </w:p>
    <w:p>
      <w:pPr>
        <w:spacing w:after="0" w:line="90" w:lineRule="exact"/>
        <w:rPr>
          <w:sz w:val="20"/>
          <w:szCs w:val="20"/>
          <w:color w:val="auto"/>
        </w:rPr>
      </w:pPr>
    </w:p>
    <w:p>
      <w:pPr>
        <w:ind w:left="1480" w:right="140" w:hanging="446"/>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90 days (or such other period as may be specified for such series);</w:t>
      </w:r>
    </w:p>
    <w:p>
      <w:pPr>
        <w:spacing w:after="0" w:line="50" w:lineRule="exact"/>
        <w:rPr>
          <w:rFonts w:ascii="Arial" w:cs="Arial" w:eastAsia="Arial" w:hAnsi="Arial"/>
          <w:sz w:val="18"/>
          <w:szCs w:val="18"/>
          <w:color w:val="auto"/>
        </w:rPr>
      </w:pPr>
    </w:p>
    <w:p>
      <w:pPr>
        <w:ind w:left="1480" w:right="760" w:hanging="446"/>
        <w:spacing w:after="0" w:line="332"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4" w:lineRule="exact"/>
        <w:rPr>
          <w:rFonts w:ascii="Arial" w:cs="Arial" w:eastAsia="Arial" w:hAnsi="Arial"/>
          <w:sz w:val="16"/>
          <w:szCs w:val="16"/>
          <w:color w:val="auto"/>
        </w:rPr>
      </w:pPr>
    </w:p>
    <w:p>
      <w:pPr>
        <w:ind w:left="1480" w:right="160" w:hanging="446"/>
        <w:spacing w:after="0" w:line="256"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9" w:name="page20"/>
    <w:bookmarkEnd w:id="19"/>
    <w:p>
      <w:pPr>
        <w:ind w:right="16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16"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become immediately due and payable.</w:t>
      </w:r>
    </w:p>
    <w:p>
      <w:pPr>
        <w:spacing w:after="0" w:line="132"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prior to a declaration of acceleration and subject to various provisions in the senior indenture, the holders of a majority in aggregate principal amount of a series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8"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39"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0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0" w:name="page21"/>
    <w:bookmarkEnd w:id="20"/>
    <w:p>
      <w:pPr>
        <w:ind w:left="9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Satisfaction and Discharge</w:t>
      </w:r>
      <w:r>
        <w:rPr>
          <w:rFonts w:ascii="Arial" w:cs="Arial" w:eastAsia="Arial" w:hAnsi="Arial"/>
          <w:sz w:val="18"/>
          <w:szCs w:val="18"/>
          <w:color w:val="auto"/>
        </w:rPr>
        <w:t>. We can satisfy and discharge our obligations to holders of any series of debt securities if:</w:t>
      </w:r>
    </w:p>
    <w:p>
      <w:pPr>
        <w:spacing w:after="0" w:line="90" w:lineRule="exact"/>
        <w:rPr>
          <w:sz w:val="20"/>
          <w:szCs w:val="20"/>
          <w:color w:val="auto"/>
        </w:rPr>
      </w:pPr>
    </w:p>
    <w:p>
      <w:pPr>
        <w:ind w:left="1480" w:right="640" w:hanging="446"/>
        <w:spacing w:after="0" w:line="268"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senior debt securities of such series outstanding under the senior indenture; or</w:t>
      </w:r>
    </w:p>
    <w:p>
      <w:pPr>
        <w:spacing w:after="0" w:line="50" w:lineRule="exact"/>
        <w:rPr>
          <w:rFonts w:ascii="Arial" w:cs="Arial" w:eastAsia="Arial" w:hAnsi="Arial"/>
          <w:sz w:val="18"/>
          <w:szCs w:val="18"/>
          <w:color w:val="auto"/>
        </w:rPr>
      </w:pPr>
    </w:p>
    <w:p>
      <w:pPr>
        <w:jc w:val="both"/>
        <w:ind w:left="1480" w:right="40" w:hanging="446"/>
        <w:spacing w:after="0" w:line="335"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all senior debt securities of such series have become due and payable or will become due and payable within one year (or are to be called for redemption within one year) and we deposit in trust a combination of cash and U.S. government or U.S. government agency obligations that will generate enough cash to make interest, principal and any other payments on the debt securities of that series on their various due dates.</w:t>
      </w:r>
    </w:p>
    <w:p>
      <w:pPr>
        <w:spacing w:after="0" w:line="8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1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discharge and</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defeasance will apply to any series of debt securities issued under the indentures.</w:t>
      </w:r>
    </w:p>
    <w:p>
      <w:pPr>
        <w:spacing w:after="0" w:line="132"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51" w:lineRule="exact"/>
        <w:rPr>
          <w:sz w:val="20"/>
          <w:szCs w:val="20"/>
          <w:color w:val="auto"/>
        </w:rPr>
      </w:pPr>
    </w:p>
    <w:p>
      <w:pPr>
        <w:ind w:left="1480" w:right="160" w:hanging="446"/>
        <w:spacing w:after="0" w:line="259"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w:t>
      </w:r>
    </w:p>
    <w:p>
      <w:pPr>
        <w:spacing w:after="0" w:line="59" w:lineRule="exact"/>
        <w:rPr>
          <w:rFonts w:ascii="Arial" w:cs="Arial" w:eastAsia="Arial" w:hAnsi="Arial"/>
          <w:sz w:val="18"/>
          <w:szCs w:val="18"/>
          <w:color w:val="auto"/>
        </w:rPr>
      </w:pPr>
    </w:p>
    <w:p>
      <w:pPr>
        <w:ind w:left="1480" w:hanging="446"/>
        <w:spacing w:after="0" w:line="294"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34" w:lineRule="exact"/>
        <w:rPr>
          <w:rFonts w:ascii="Arial" w:cs="Arial" w:eastAsia="Arial" w:hAnsi="Arial"/>
          <w:sz w:val="16"/>
          <w:szCs w:val="16"/>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171"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If we ever did accomplish legal defeasance, as described above, you would have to rely solely on the trust deposit for repayment of the debt securities. You could not look to us for repayment in the event of any shortfall.</w:t>
      </w:r>
    </w:p>
    <w:p>
      <w:pPr>
        <w:spacing w:after="0" w:line="132"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of current U.S. federal tax law, we can make the same type of deposit described above and be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62" w:lineRule="exact"/>
        <w:rPr>
          <w:sz w:val="20"/>
          <w:szCs w:val="20"/>
          <w:color w:val="auto"/>
        </w:rPr>
      </w:pPr>
    </w:p>
    <w:p>
      <w:pPr>
        <w:ind w:left="1480" w:right="140" w:hanging="446"/>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w:t>
      </w:r>
    </w:p>
    <w:p>
      <w:pPr>
        <w:spacing w:after="0" w:line="59" w:lineRule="exact"/>
        <w:rPr>
          <w:rFonts w:ascii="Arial" w:cs="Arial" w:eastAsia="Arial" w:hAnsi="Arial"/>
          <w:sz w:val="18"/>
          <w:szCs w:val="18"/>
          <w:color w:val="auto"/>
        </w:rPr>
      </w:pPr>
    </w:p>
    <w:p>
      <w:pPr>
        <w:ind w:left="1480" w:right="220" w:hanging="446"/>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1" w:name="page22"/>
    <w:bookmarkEnd w:id="21"/>
    <w:p>
      <w:pPr>
        <w:ind w:left="9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Modification and Waiver. </w:t>
      </w:r>
      <w:r>
        <w:rPr>
          <w:rFonts w:ascii="Arial" w:cs="Arial" w:eastAsia="Arial" w:hAnsi="Arial"/>
          <w:sz w:val="16"/>
          <w:szCs w:val="16"/>
          <w:color w:val="auto"/>
        </w:rPr>
        <w:t>We and the trustee may amend or supplement the senior indenture or the senior debt securities without the consent of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84"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w:t>
      </w:r>
    </w:p>
    <w:p>
      <w:pPr>
        <w:spacing w:after="0" w:line="50" w:lineRule="exact"/>
        <w:rPr>
          <w:rFonts w:ascii="Arial" w:cs="Arial" w:eastAsia="Arial" w:hAnsi="Arial"/>
          <w:sz w:val="18"/>
          <w:szCs w:val="18"/>
          <w:color w:val="auto"/>
        </w:rPr>
      </w:pPr>
    </w:p>
    <w:p>
      <w:pPr>
        <w:ind w:left="1480" w:right="120" w:hanging="446"/>
        <w:spacing w:after="0" w:line="259"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59" w:lineRule="exact"/>
        <w:rPr>
          <w:rFonts w:ascii="Arial" w:cs="Arial" w:eastAsia="Arial" w:hAnsi="Arial"/>
          <w:sz w:val="18"/>
          <w:szCs w:val="18"/>
          <w:color w:val="auto"/>
        </w:rPr>
      </w:pPr>
    </w:p>
    <w:p>
      <w:pPr>
        <w:ind w:left="1480" w:right="60" w:hanging="446"/>
        <w:spacing w:after="0" w:line="259"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1480" w:right="320" w:hanging="446"/>
        <w:spacing w:after="0" w:line="357" w:lineRule="auto"/>
        <w:tabs>
          <w:tab w:leader="none" w:pos="1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ind w:left="1480" w:right="6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purposes of issue, authentication and delivery of any series of senior debt securities;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make any change to the senior debt securities of any series so long as no senior debt securities of such series are outstanding; or</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171"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all series affected by the amendment or modification (voting together as a single class); provided, however, that each affected holder must consent to any modification, amendment or waiver that:</w:t>
      </w:r>
    </w:p>
    <w:p>
      <w:pPr>
        <w:spacing w:after="0" w:line="32"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reduces the principal amount of on any senior debt securities of such series;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reduces the rate or extends the time of payment of interest on any senior debt securities of such series;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w:t>
      </w:r>
    </w:p>
    <w:p>
      <w:pPr>
        <w:spacing w:after="0" w:line="90" w:lineRule="exact"/>
        <w:rPr>
          <w:rFonts w:ascii="Arial" w:cs="Arial" w:eastAsia="Arial" w:hAnsi="Arial"/>
          <w:sz w:val="18"/>
          <w:szCs w:val="18"/>
          <w:color w:val="auto"/>
        </w:rPr>
      </w:pPr>
    </w:p>
    <w:p>
      <w:pPr>
        <w:ind w:left="1480" w:right="780" w:hanging="446"/>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2" w:name="page23"/>
    <w:bookmarkEnd w:id="22"/>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waives a default in the payment of principal of or interest on the senior debt securities;</w:t>
      </w:r>
    </w:p>
    <w:p>
      <w:pPr>
        <w:spacing w:after="0" w:line="90" w:lineRule="exact"/>
        <w:rPr>
          <w:rFonts w:ascii="Arial" w:cs="Arial" w:eastAsia="Arial" w:hAnsi="Arial"/>
          <w:sz w:val="18"/>
          <w:szCs w:val="18"/>
          <w:color w:val="auto"/>
        </w:rPr>
      </w:pPr>
    </w:p>
    <w:p>
      <w:pPr>
        <w:ind w:left="1480" w:right="20" w:hanging="446"/>
        <w:spacing w:after="0" w:line="332" w:lineRule="auto"/>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or conversion of any senior debt securities of such series on or after the due date therefor;</w:t>
      </w:r>
    </w:p>
    <w:p>
      <w:pPr>
        <w:spacing w:after="0" w:line="4" w:lineRule="exact"/>
        <w:rPr>
          <w:rFonts w:ascii="Arial" w:cs="Arial" w:eastAsia="Arial" w:hAnsi="Arial"/>
          <w:sz w:val="16"/>
          <w:szCs w:val="16"/>
          <w:color w:val="auto"/>
        </w:rPr>
      </w:pPr>
    </w:p>
    <w:p>
      <w:pPr>
        <w:ind w:left="1480" w:right="300" w:hanging="446"/>
        <w:spacing w:after="0" w:line="259"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or</w:t>
      </w:r>
    </w:p>
    <w:p>
      <w:pPr>
        <w:spacing w:after="0" w:line="59" w:lineRule="exact"/>
        <w:rPr>
          <w:rFonts w:ascii="Arial" w:cs="Arial" w:eastAsia="Arial" w:hAnsi="Arial"/>
          <w:sz w:val="18"/>
          <w:szCs w:val="18"/>
          <w:color w:val="auto"/>
        </w:rPr>
      </w:pPr>
    </w:p>
    <w:p>
      <w:pPr>
        <w:ind w:left="1480" w:right="460" w:hanging="446"/>
        <w:spacing w:after="0" w:line="332" w:lineRule="auto"/>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reduces the above-stated percentage of outstanding senior debt securities of such series whose holders must consent to a supplemental indenture or to modify or amend or to waive certain provisions of or defaults under the senior indenture.</w:t>
      </w:r>
    </w:p>
    <w:p>
      <w:pPr>
        <w:spacing w:after="0" w:line="8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43"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i w:val="1"/>
          <w:iCs w:val="1"/>
          <w:color w:val="auto"/>
        </w:rPr>
        <w:t xml:space="preserve">No Personal Liability of Incorporators, Stockholders, Officers, Directors. </w:t>
      </w:r>
      <w:r>
        <w:rPr>
          <w:rFonts w:ascii="Arial" w:cs="Arial" w:eastAsia="Arial" w:hAnsi="Arial"/>
          <w:sz w:val="16"/>
          <w:szCs w:val="16"/>
          <w:color w:val="auto"/>
        </w:rPr>
        <w:t>The senior indenture provides that no recourse shall be had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i w:val="1"/>
          <w:iCs w:val="1"/>
          <w:color w:val="auto"/>
        </w:rPr>
        <w:t xml:space="preserve">Concerning the Trustee. </w:t>
      </w:r>
      <w:r>
        <w:rPr>
          <w:rFonts w:ascii="Arial" w:cs="Arial" w:eastAsia="Arial" w:hAnsi="Arial"/>
          <w:sz w:val="18"/>
          <w:szCs w:val="18"/>
          <w:color w:val="auto"/>
        </w:rPr>
        <w:t>The senior indenture provides that, except during the continuance of an event of default, the trustee will not be liable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43"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senior indenture and the provisions of the Trust Indenture Act of 1939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the senior debt securities that remain unclaimed for two years after the date upon which such principal, premium or interest became due and payable will be repaid to us. Thereafter, any right of any holder of senior debt securities to such funds shall be enforceable only against us, and the trustee and paying agents will have no liability therefor.</w:t>
      </w:r>
    </w:p>
    <w:p>
      <w:pPr>
        <w:spacing w:after="0" w:line="14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3" w:name="page24"/>
    <w:bookmarkEnd w:id="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or different subordination terms may be specified in the prospectus supplement applicable to a particular series.</w:t>
      </w:r>
    </w:p>
    <w:p>
      <w:pPr>
        <w:spacing w:after="0" w:line="17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securities sold by that person for money;</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1480" w:hanging="446"/>
        <w:spacing w:after="0" w:line="259"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1480" w:right="60" w:hanging="446"/>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debt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WARRANTS</w:t>
      </w:r>
    </w:p>
    <w:p>
      <w:pPr>
        <w:spacing w:after="0" w:line="17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may issue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62" w:lineRule="exact"/>
        <w:rPr>
          <w:sz w:val="20"/>
          <w:szCs w:val="20"/>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1480" w:right="240" w:hanging="446"/>
        <w:spacing w:after="0" w:line="332"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90" w:lineRule="exact"/>
        <w:rPr>
          <w:rFonts w:ascii="Arial" w:cs="Arial" w:eastAsia="Arial" w:hAnsi="Arial"/>
          <w:sz w:val="18"/>
          <w:szCs w:val="18"/>
          <w:color w:val="auto"/>
        </w:rPr>
      </w:pPr>
    </w:p>
    <w:p>
      <w:pPr>
        <w:ind w:left="1480" w:right="260" w:hanging="446"/>
        <w:spacing w:after="0" w:line="332"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designation, aggregate principal amount, currency and terms of any debt securities that may be purchased upon exercise of the warrants;</w:t>
      </w:r>
    </w:p>
    <w:p>
      <w:pPr>
        <w:spacing w:after="0" w:line="124" w:lineRule="exact"/>
        <w:rPr>
          <w:rFonts w:ascii="Arial" w:cs="Arial" w:eastAsia="Arial" w:hAnsi="Arial"/>
          <w:sz w:val="15"/>
          <w:szCs w:val="15"/>
          <w:color w:val="auto"/>
        </w:rPr>
      </w:pPr>
    </w:p>
    <w:p>
      <w:pPr>
        <w:ind w:left="1480" w:right="16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preferred stock or common stock with which the warrants are issued and, the number of warrants issued with each security;</w:t>
      </w:r>
    </w:p>
    <w:p>
      <w:pPr>
        <w:spacing w:after="0" w:line="5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or common stock will be separately transferable;</w:t>
      </w:r>
    </w:p>
    <w:p>
      <w:pPr>
        <w:spacing w:after="0" w:line="5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preferred stock or the number of shares of common stock purchasable upon exercise of a warrant and the price at which those shares may be purchased;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FORMS OF SECURITIES</w:t>
      </w:r>
    </w:p>
    <w:p>
      <w:pPr>
        <w:spacing w:after="0" w:line="177"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Each debt security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9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We may issue the registered debt securities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44" w:lineRule="exact"/>
        <w:rPr>
          <w:sz w:val="20"/>
          <w:szCs w:val="20"/>
          <w:color w:val="auto"/>
        </w:rPr>
      </w:pPr>
    </w:p>
    <w:p>
      <w:pPr>
        <w:jc w:val="both"/>
        <w:ind w:right="540" w:firstLine="913"/>
        <w:spacing w:after="0" w:line="259"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2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us, the trustees, the warrant agents,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agent of ours, agent of the trustees or agent of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44"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If the depositary for any of the securities represented by a registered global security is at any time unwilling or unable to continue as depositary or ceases to be a clearing agency registered under the Securities Exchange Act of 1934, and a successor depositary registered as a clearing agency under the Securities Exchange Act of 1934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STOCKHOLDERS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selling stockholders may from time to time offer and sell pursuant to this prospectus and the applicable prospectus supplement up to an aggregate of 3,000,000 shares of common stock. The stockholders that may participate in any such offering are our executive chairman, Fuad El-Hibri, and entities that hold common stock that is deemed to be beneficially owned by Mr. El-Hibri, including BioPharm, L.L.C., Biovac, L.L.C. and Intervac, L.L.C. Shares of our common stock that may be sold by Mr. El-Hibri were previously acquired under our stock option and incentive plans or pursuant to distributions from the other selling stockholders. The other selling stockholders acquired shares of our class A common stock in June 2004 in connection with a corporate reorganization in which Emergent BioSolutions Inc. issued shares of class A common stock to stockholders of BioPort Corporation in exchange for an equal number of shares of common stock of BioPort. As a result of this reorganization, BioPort became a wholly owned subsidiary of Emergent. These selling stockholders originally acquired shares of common stock between 1998 and 2001 in connection with the founding of BioPort and related early stage financing provided to BioPort in transactions exempt from the registration provisions of the Securities Act pursuant to the exemption set forth in Section 4(2) thereof relative to sales by an issuer not involving any public offering. Our class A common stock was reclassified as common stock in October 2006 prior to the completion of our initial public offering in November 2006. Mr. El-Hibri has served as our executive chairman since April 2012. Mr. El-Hibri previously served as our chief executive officer and as chairman of our board of directors from June 2004 through March 2012. Mr. El-Hibri also served as our president from March 2006 to April 2007. As of April 30, 2012, Mr. El-Hibri beneficially owned 10,231,677 shares of our common stock, representing approximately 28.4% of our outstanding common stock.</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do not know when or in what amounts the selling stockholders may offer shares of our common stock for sale or which selling stockholders will participate in any such offering. The prospectus supplement for any offering by the selling stockholders of shares of common stock will include the following information:</w:t>
      </w:r>
    </w:p>
    <w:p>
      <w:pPr>
        <w:spacing w:after="0" w:line="59"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of each participating selling stockholder;</w:t>
      </w:r>
    </w:p>
    <w:p>
      <w:pPr>
        <w:spacing w:after="0" w:line="90" w:lineRule="exact"/>
        <w:rPr>
          <w:rFonts w:ascii="Arial" w:cs="Arial" w:eastAsia="Arial" w:hAnsi="Arial"/>
          <w:sz w:val="18"/>
          <w:szCs w:val="18"/>
          <w:color w:val="auto"/>
        </w:rPr>
      </w:pPr>
    </w:p>
    <w:p>
      <w:pPr>
        <w:ind w:left="440" w:right="420" w:hanging="324"/>
        <w:spacing w:after="0" w:line="268"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nature of any position, office or other material relationship which each selling stockholder has had within the past three years with us or any of our predecessors or affiliates;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held by each selling stockholder prior to the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to be offered for each selling stockholder’s account; and</w:t>
      </w:r>
    </w:p>
    <w:p>
      <w:pPr>
        <w:spacing w:after="0" w:line="90" w:lineRule="exact"/>
        <w:rPr>
          <w:rFonts w:ascii="Arial" w:cs="Arial" w:eastAsia="Arial" w:hAnsi="Arial"/>
          <w:sz w:val="18"/>
          <w:szCs w:val="18"/>
          <w:color w:val="auto"/>
        </w:rPr>
      </w:pPr>
    </w:p>
    <w:p>
      <w:pPr>
        <w:ind w:left="440" w:right="80" w:hanging="324"/>
        <w:spacing w:after="0" w:line="332"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and, if applicable, the percentage of shares of common stock held by each of the selling stockholders before and after completion of the sale of the maximum number of shares that may be offered by such selling stockholder under such prospectus supplement.</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Alternatively, we may provide this information in a post-effective amendment to the registration statement of which this prospectus forms a part or in a periodic or current report that we file pursuant to Section 13 or 15(d) of the Exchange Act and that is incorporated by reference into this prospectus. See “Incorporation of Certain Documents by Reference” for more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OF DISTRIBUTION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may sell securities:</w:t>
      </w:r>
    </w:p>
    <w:p>
      <w:pPr>
        <w:spacing w:after="0" w:line="90"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90"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prospectus supplement with respect to the securities of a particular series will describe the terms of the offering of the securities, including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274" w:right="379" w:bottom="1440" w:gutter="0" w:footer="0" w:header="0"/>
        </w:sectPr>
      </w:pPr>
    </w:p>
    <w:bookmarkStart w:id="29" w:name="page30"/>
    <w:bookmarkEnd w:id="29"/>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dealer is utilized in the sale of the securities in respect of which the prospectus is delivered, we will sell such securities to the dealer, as principal.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165"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0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39" w:lineRule="exact"/>
        <w:rPr>
          <w:sz w:val="20"/>
          <w:szCs w:val="20"/>
          <w:color w:val="auto"/>
        </w:rPr>
      </w:pPr>
    </w:p>
    <w:p>
      <w:pPr>
        <w:ind w:left="148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0" w:lineRule="exact"/>
        <w:rPr>
          <w:rFonts w:ascii="Arial" w:cs="Arial" w:eastAsia="Arial" w:hAnsi="Arial"/>
          <w:sz w:val="18"/>
          <w:szCs w:val="18"/>
          <w:color w:val="auto"/>
        </w:rPr>
      </w:pPr>
    </w:p>
    <w:p>
      <w:pPr>
        <w:ind w:left="1480" w:right="20" w:hanging="446"/>
        <w:spacing w:after="0" w:line="259"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0" w:lineRule="exact"/>
        <w:rPr>
          <w:sz w:val="20"/>
          <w:szCs w:val="20"/>
          <w:color w:val="auto"/>
        </w:rPr>
      </w:pPr>
    </w:p>
    <w:p>
      <w:pPr>
        <w:jc w:val="both"/>
        <w:ind w:right="60" w:firstLine="913"/>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6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16"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0" w:name="page31"/>
    <w:bookmarkEnd w:id="30"/>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Common Stock Offered by the Selling Stockholders</w:t>
      </w:r>
    </w:p>
    <w:p>
      <w:pPr>
        <w:spacing w:after="0" w:line="96"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The shares of common stock covered by this prospectus may be offered and sold from time to time by the selling stockholders. The term “selling stockholders” includes donees, pledgees, transferees or other successors-in-interest selling shares received after the date of this prospectus from a selling stockholder as a gift, pledge, partnership distribution or other non-sale related transfer. The selling stockholders may offer and sell the shares of common stock covered by this prospectus from time to time on any stock exchange on which the shares are listed, in the over-the-counter market, in privately negotiated transactions or otherwise, at fixed prices that may be changed, at market prices prevailing at the time of sale, at prices related to prevailing market prices or at prices otherwise negotiated. The selling stockholders will act independently of us in making decisions with respect to the timing, manner and size of each sale, and we cannot assure you that the selling stockholders will sell all or any portion of the shares offered hereby. We will not receive any proceeds from the sale of shares of common stock by the selling stockholders.</w:t>
      </w:r>
    </w:p>
    <w:p>
      <w:pPr>
        <w:spacing w:after="0" w:line="118"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The selling stockholders may offer and sell the shares of common stock covered by this prospectus by one or more of the following methods, including, without limitation:</w:t>
      </w:r>
    </w:p>
    <w:p>
      <w:pPr>
        <w:spacing w:after="0" w:line="51" w:lineRule="exact"/>
        <w:rPr>
          <w:sz w:val="20"/>
          <w:szCs w:val="20"/>
          <w:color w:val="auto"/>
        </w:rPr>
      </w:pPr>
    </w:p>
    <w:p>
      <w:pPr>
        <w:ind w:left="1480" w:right="34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block trades in which the broker or dealer so engaged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purchases by a broker or dealer as principal and resale by the broker or dealer for its own account pursuant to this prospectus;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the market” transactions to or through market makers or into an existing market for our common stock;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options, swaps or other derivative transactions that may or may not be listed on an exchange;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or more underwritten offerings on a firm commitment or best efforts basis;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171"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The selling stockholders may engage brokers and dealers, and any brokers or dealers may arrange for other brokers or dealers to participate in effecting sales of the shares. These brokers, dealers or underwriters may act as principals, or as agents of the selling stockholders. Broker-dealers may agree with the selling stockholders to sell a specified number of the shares of common stock at a stipulated price per share. If a broker-dealer is unable to sell shares of common stock acting as agent for the selling stockholders, it may purchase as principal any unsold shares of common stock at the stipulated price. Broker-dealers who acquire shares of common stock as principals may thereafter resell the shares of common stock from time to time in transactions in any stock exchange on which the shares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spacing w:after="0" w:line="10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To the extent required under the Securities Act, the aggregate amount of the shares of common stock being offered by the selling stockholders and the terms of the offering, the names of any agents, brokers, dealers or underwriters and any applicable commission with respect to a particular offering will be set forth in an accompanying prospectus supplement. Any underwriters,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31" w:name="page32"/>
    <w:bookmarkEnd w:id="31"/>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dealers, brokers or agents participating in the distribution of the shares may receive compensation in the form of underwriting discounts, concessions, commissions or fees from the selling stockholders and/or purchasers of the selling stockholders’ shares, for whom they may act, which compensation as to a particular broker-dealer might be in excess of customary commissions.</w:t>
      </w:r>
    </w:p>
    <w:p>
      <w:pPr>
        <w:spacing w:after="0" w:line="140"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Any underwriters, brokers, dealers or agents that participate in the distribution of the shares of common stock may be deemed to be underwriters within the meaning of the Securities Act, and any discounts, concessions, commissions or fees received by them and any profit on the resale of the shares of common stock sold by them may be deemed to be underwriting discounts and commissions.</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selling stockholders may enter into hedging transactions with broker-dealers and the broker-dealers may engage in short sales of the common stock in the course of hedging the positions they assume with the selling stockholders, including, without limitation, in connection with distributions of the shares of common stock by those broker-dealers. The selling stockholders may enter into option or other transactions with broker-dealers that involve the delivery of the shares of common stock offered hereby to the broker-dealers, who may then resell or otherwise transfer those securities.</w:t>
      </w:r>
    </w:p>
    <w:p>
      <w:pPr>
        <w:spacing w:after="0" w:line="113"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The selling stockholders and other persons participating in the sale or distribution of the shares of common stock will be subject to applicable provisions of the Exchange Act and the rules and regulations thereunder, including Regulation M. This regulation may limit the timing of purchases and sales of any of the shares of common stock by the selling stockholders and any other person. The anti-manipulation rules under the Exchange Act may apply to sales of shares of common stock in the market and to the activities of the selling stockholders and their affiliates. Furthermore, Regulation M may restrict the ability of any person engaged in the distribution of the common stock to engage in market-making activities with respect to the particular shares being distributed for a period of up to five business days before the distribution. These restrictions may affect the marketability of the common stock and the ability of any person or entity to engage in market-making activities with respect to the securities.</w:t>
      </w:r>
    </w:p>
    <w:p>
      <w:pPr>
        <w:spacing w:after="0" w:line="118"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The selling stockholders may also sell the shares in accordance with Rule 144 under the Securities Act rather than pursuant to this prospectus, regardless of whether the shares are covered by this prospectus.</w:t>
      </w:r>
    </w:p>
    <w:p>
      <w:pPr>
        <w:spacing w:after="0" w:line="132"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We will make copies of this prospectus available to the selling stockholders and any of its successors in interest for purposes of satisfying the prospectus delivery requirements of the Securities Act, if applicable.</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Pursuant to the registration rights agreements with the selling stockholders, we have agreed to indemnify in certain circumstances the selling stockholders against certain liabilities, including certain liabilities under the Securities Act. The selling stockholders have agreed to indemnify us in certain circumstances against certain liabilities, including certain liabilities under the Securities Act. The selling stockholders may indemnify any underwriter or broker-dealer that participates in transactions involving the sale of common stock against certain liabilities, including liabilities arising under the Securities Act.</w:t>
      </w:r>
    </w:p>
    <w:p>
      <w:pPr>
        <w:spacing w:after="0" w:line="113" w:lineRule="exact"/>
        <w:rPr>
          <w:sz w:val="20"/>
          <w:szCs w:val="20"/>
          <w:color w:val="auto"/>
        </w:rPr>
      </w:pPr>
    </w:p>
    <w:p>
      <w:pPr>
        <w:jc w:val="both"/>
        <w:ind w:right="40" w:firstLine="913"/>
        <w:spacing w:after="0" w:line="335" w:lineRule="auto"/>
        <w:rPr>
          <w:sz w:val="20"/>
          <w:szCs w:val="20"/>
          <w:color w:val="auto"/>
        </w:rPr>
      </w:pPr>
      <w:r>
        <w:rPr>
          <w:rFonts w:ascii="Arial" w:cs="Arial" w:eastAsia="Arial" w:hAnsi="Arial"/>
          <w:sz w:val="15"/>
          <w:szCs w:val="15"/>
          <w:color w:val="auto"/>
        </w:rPr>
        <w:t>In order to comply with the securities laws of some states, if applicable, the shares of common stock offered by this prospectus must be sold in such jurisdictions only through registered or licensed brokers or dealers. In addition, in some states the shares of common stock may not be sold unless they have been registered or qualified for sale in the applicable state or an exemption from the registration or qualification requirement is available and is complied with.</w:t>
      </w:r>
    </w:p>
    <w:p>
      <w:pPr>
        <w:spacing w:after="0" w:line="88" w:lineRule="exact"/>
        <w:rPr>
          <w:sz w:val="20"/>
          <w:szCs w:val="20"/>
          <w:color w:val="auto"/>
        </w:rPr>
      </w:pPr>
    </w:p>
    <w:p>
      <w:pPr>
        <w:jc w:val="center"/>
        <w:ind w:right="180"/>
        <w:spacing w:after="0" w:line="440"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27</w:t>
      </w:r>
    </w:p>
    <w:p>
      <w:pPr>
        <w:sectPr>
          <w:pgSz w:w="11900" w:h="16838" w:orient="portrait"/>
          <w:cols w:equalWidth="0" w:num="1">
            <w:col w:w="11380"/>
          </w:cols>
          <w:pgMar w:left="240" w:top="280"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MATTERS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2011, and the effectiveness of our internal control over financial reporting as of December 31, 2011,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We file reports, proxy statements and other documents with the SEC as required by the Exchange Act. You can find, copy and inspect information we file at the SEC’s public reference room at 100 F Street, N.E., Washington, D.C. 20549. You can call the SEC at 1-800-SEC-0330 for further information about the public reference room. You can review our electronically filed reports, proxy and information statements on the SEC’s web site at www.sec.gov or on our web site at www.emergentbiosolutions.com. Information included on our web site is not part of this prospectus or any prospectus supplement.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Any information so modified or superseded shall not be deemed, except as so modified or superseded, to constitute a part of this prospectus. This prospectus incorporates by reference the documents listed below (File No. 001-33137) and any future filings we make with the SEC under Sections 13(a), 13(c), 14 or 15(d) of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42" w:lineRule="exact"/>
        <w:rPr>
          <w:sz w:val="20"/>
          <w:szCs w:val="20"/>
          <w:color w:val="auto"/>
        </w:rPr>
      </w:pPr>
    </w:p>
    <w:p>
      <w:pPr>
        <w:ind w:left="1480" w:right="220" w:hanging="446"/>
        <w:spacing w:after="0" w:line="332" w:lineRule="auto"/>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Annual Report on Form 10-K for the year ended December 31, 2011, including the information specifically incorporated by reference into the Annual Report on Form 10-K from our definitive proxy statement for the 2012 Annual Meeting of Stockholders;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3, 2012, January 17, 2012, March 8, 2012 and March 30, 2012.</w:t>
      </w:r>
    </w:p>
    <w:p>
      <w:pPr>
        <w:spacing w:after="0" w:line="90" w:lineRule="exact"/>
        <w:rPr>
          <w:rFonts w:ascii="Arial" w:cs="Arial" w:eastAsia="Arial" w:hAnsi="Arial"/>
          <w:sz w:val="18"/>
          <w:szCs w:val="18"/>
          <w:color w:val="auto"/>
        </w:rPr>
      </w:pPr>
    </w:p>
    <w:p>
      <w:pPr>
        <w:ind w:left="1480" w:right="540" w:hanging="446"/>
        <w:spacing w:after="0" w:line="268"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November 7, 2006, including any amendments or reports filed for the purpose of updating such description.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may request a copy of these filings, at no cost, by writing or telephoning us at the following address or phone number:</w:t>
      </w:r>
    </w:p>
    <w:p>
      <w:pPr>
        <w:sectPr>
          <w:pgSz w:w="11900" w:h="16838" w:orient="portrait"/>
          <w:cols w:equalWidth="0" w:num="1">
            <w:col w:w="9299"/>
          </w:cols>
          <w:pgMar w:left="1160" w:top="280" w:right="1440" w:bottom="1440" w:gutter="0" w:footer="0" w:header="0"/>
        </w:sectPr>
      </w:pPr>
    </w:p>
    <w:p>
      <w:pPr>
        <w:spacing w:after="0" w:line="20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Emergent BioSolutions Inc.</w:t>
      </w:r>
    </w:p>
    <w:p>
      <w:pPr>
        <w:spacing w:after="0" w:line="1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2273 Research Boulevard</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Attn: Vice President, Investor Relations</w:t>
      </w:r>
    </w:p>
    <w:p>
      <w:pPr>
        <w:spacing w:after="0" w:line="3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Telephone: (301) 795-1877</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299"/>
          </w:cols>
          <w:pgMar w:left="1160" w:top="280" w:right="1440"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6"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Set forth below is an estimate (except in the case of the registration fee) of the amount of fees and expenses to be incurred in connection with the issuance and distribution of the offered securities, other than underwriting discounts and commissions, all of which will be borne by the Registrant.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25,427.45</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36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25,000</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30,000</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36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50,000</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trustee’s and depository’s fees and expenses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Miscellaneous</w:t>
            </w:r>
          </w:p>
        </w:tc>
        <w:tc>
          <w:tcPr>
            <w:tcW w:w="136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9572.55</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r>
      <w:tr>
        <w:trPr>
          <w:trHeight w:val="417"/>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All amounts except the registration fee are estimated.</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restated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18"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indemnify for such expenses which the Court of Chancery or such other court shall deem proper.</w:t>
      </w:r>
    </w:p>
    <w:p>
      <w:pPr>
        <w:spacing w:after="0" w:line="120"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The Registrant’s restated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of the Registrant, or is or was serving, or has agreed to serve, at the Registrant’s request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274" w:right="259" w:bottom="1440" w:gutter="0" w:footer="0" w:header="0"/>
        </w:sectPr>
      </w:pPr>
    </w:p>
    <w:bookmarkStart w:id="35" w:name="page36"/>
    <w:bookmarkEnd w:id="35"/>
    <w:p>
      <w:pPr>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judgments, fines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and, with respect to any criminal action or proceeding, had no reasonable cause to believe his or her conduct was unlawful. The Registrant’s restated certificate of incorporation provides that the Registrant will indemnify any Indemnitee who was or is a party to or threatened to be made a party to any threatened, pending or completed action or suit by or in the right of the Registrant to procure a judgment in our favor by reason of the fact that the Indemnitee is or was, or has agreed to become, a director or officer of the Registrant, or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except that no indemnification shall be made with respect to any claim, issue or matter as to which Indemnitee shall have been adjudged to be liable to the Registrant,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 (including attorney’s fees) which the Court of Chancery of Delaware or the court in which such action or suit was brought shall deem proper. Notwithstanding the foregoing, to the extent that an Indemnitee has been successful, on the merits or otherwise, in defense of any action, suit or proceeding, Indemnitee shall be indemnified by the Registrant against all expenses (including attorneys’ fees) actually and reasonably incurred in connection therewith. Expenses must be advanced to an Indemnitee under certain circumstances.</w:t>
      </w:r>
    </w:p>
    <w:p>
      <w:pPr>
        <w:spacing w:after="0" w:line="335"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Registrant has entered into agreements to indemnify the Registrant’s directors and executive officers. These agreements, among other things, provide that the Registrant will indemnify the director or executive officer to the fullest extent permitted by law for claims arising in his or her capacity as a director, officer, manager, employee, agent or representative of the Registrant. The indemnification agreements also establish the procedures that will apply in the event a director or officer makes a claim for indemnification.</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Registrant maintains a general liability insurance policy which covers certain liabilities of directors and officers of the Registrant arising out of claims based on acts or omissions in their capacities as directors or officers.</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any underwriting agreement the Registrant enters into in connection with the sale of common stock being registered hereby, the underwriters will agree to indemnify, under certain conditions, the Registrant, the Registrant’s directors, the Registrants officers and persons who control the Registrant with the meaning of the Securities Act of 1933 against certain liabilities.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exhibits to this Registration Statement are listed in the exhibit index, which appears elsewhere herein and is incorporated herein by reference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 as amended (the “Securities Act of 1933”);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280" w:right="279" w:bottom="1440" w:gutter="0" w:footer="0" w:header="0"/>
        </w:sectPr>
      </w:pPr>
    </w:p>
    <w:bookmarkStart w:id="36" w:name="page37"/>
    <w:bookmarkEnd w:id="36"/>
    <w:p>
      <w:pPr>
        <w:ind w:left="1920" w:right="160" w:hanging="440"/>
        <w:spacing w:after="0" w:line="289" w:lineRule="auto"/>
        <w:tabs>
          <w:tab w:leader="none" w:pos="1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37" w:lineRule="exact"/>
        <w:rPr>
          <w:rFonts w:ascii="Arial" w:cs="Arial" w:eastAsia="Arial" w:hAnsi="Arial"/>
          <w:sz w:val="16"/>
          <w:szCs w:val="16"/>
          <w:color w:val="auto"/>
        </w:rPr>
      </w:pPr>
    </w:p>
    <w:p>
      <w:pPr>
        <w:ind w:left="1920" w:hanging="440"/>
        <w:spacing w:after="0" w:line="268"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of this section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62" w:lineRule="exact"/>
        <w:rPr>
          <w:sz w:val="20"/>
          <w:szCs w:val="20"/>
          <w:color w:val="auto"/>
        </w:rPr>
      </w:pPr>
    </w:p>
    <w:p>
      <w:pPr>
        <w:jc w:val="both"/>
        <w:ind w:left="1480" w:right="100" w:hanging="567"/>
        <w:spacing w:after="0" w:line="259"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purposes of determining any liability under the Securities Act of 1933, each such post-effective amendment shall be deemed to be a new registration statement relating to the securities offered therein, and the offering of such securities at the time shall be deemed to be the initial bona fide offering thereof.</w:t>
      </w:r>
    </w:p>
    <w:p>
      <w:pPr>
        <w:spacing w:after="0" w:line="59"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1920" w:right="320" w:hanging="440"/>
        <w:spacing w:after="0" w:line="268"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920" w:right="60" w:hanging="440"/>
        <w:spacing w:after="0" w:line="286"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3" w:lineRule="exact"/>
        <w:rPr>
          <w:rFonts w:ascii="Arial" w:cs="Arial" w:eastAsia="Arial" w:hAnsi="Arial"/>
          <w:sz w:val="16"/>
          <w:szCs w:val="16"/>
          <w:color w:val="auto"/>
        </w:rPr>
      </w:pPr>
    </w:p>
    <w:p>
      <w:pPr>
        <w:ind w:left="1480" w:right="120" w:hanging="567"/>
        <w:spacing w:after="0" w:line="259"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80" w:right="239" w:bottom="1440" w:gutter="0" w:footer="0" w:header="0"/>
        </w:sectPr>
      </w:pPr>
    </w:p>
    <w:bookmarkStart w:id="37" w:name="page38"/>
    <w:bookmarkEnd w:id="37"/>
    <w:p>
      <w:pPr>
        <w:ind w:left="1480" w:right="18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ind w:left="1920" w:right="260" w:hanging="440"/>
        <w:spacing w:after="0" w:line="268"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50" w:lineRule="exact"/>
        <w:rPr>
          <w:rFonts w:ascii="Arial" w:cs="Arial" w:eastAsia="Arial" w:hAnsi="Arial"/>
          <w:sz w:val="18"/>
          <w:szCs w:val="18"/>
          <w:color w:val="auto"/>
        </w:rPr>
      </w:pPr>
    </w:p>
    <w:p>
      <w:pPr>
        <w:ind w:left="1920" w:right="60" w:hanging="440"/>
        <w:spacing w:after="0" w:line="268"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1920" w:right="680" w:hanging="440"/>
        <w:spacing w:after="0" w:line="268"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1480" w:right="180" w:hanging="567"/>
        <w:spacing w:after="0" w:line="255"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w:t>
      </w:r>
    </w:p>
    <w:p>
      <w:pPr>
        <w:spacing w:after="0" w:line="90" w:lineRule="exact"/>
        <w:rPr>
          <w:rFonts w:ascii="Arial" w:cs="Arial" w:eastAsia="Arial" w:hAnsi="Arial"/>
          <w:sz w:val="18"/>
          <w:szCs w:val="18"/>
          <w:color w:val="auto"/>
        </w:rPr>
      </w:pPr>
    </w:p>
    <w:p>
      <w:pPr>
        <w:ind w:left="1920" w:right="20" w:hanging="440"/>
        <w:spacing w:after="0" w:line="306" w:lineRule="auto"/>
        <w:tabs>
          <w:tab w:leader="none" w:pos="1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information omitted from the form of prospectus filed as part of the registration statement in reliance upon Rule 430A and contained in the form of prospectus filed by the Registrant pursuant to Rule 424(b)(1) or (4) or 497(h) under the Securities Act of 1933 shall be deemed to be part of the registration statement as of the time it was declared effective; and</w:t>
      </w:r>
    </w:p>
    <w:p>
      <w:pPr>
        <w:spacing w:after="0" w:line="25" w:lineRule="exact"/>
        <w:rPr>
          <w:rFonts w:ascii="Arial" w:cs="Arial" w:eastAsia="Arial" w:hAnsi="Arial"/>
          <w:sz w:val="16"/>
          <w:szCs w:val="16"/>
          <w:color w:val="auto"/>
        </w:rPr>
      </w:pPr>
    </w:p>
    <w:p>
      <w:pPr>
        <w:jc w:val="both"/>
        <w:ind w:left="1920" w:right="280" w:hanging="440"/>
        <w:spacing w:after="0" w:line="357" w:lineRule="auto"/>
        <w:tabs>
          <w:tab w:leader="none" w:pos="192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ind w:left="1480" w:hanging="567"/>
        <w:spacing w:after="0" w:line="370" w:lineRule="auto"/>
        <w:tabs>
          <w:tab w:leader="none" w:pos="1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62"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2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3, 2012.</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w:t>
      </w:r>
      <w:r>
        <w:rPr>
          <w:rFonts w:ascii="Arial" w:cs="Arial" w:eastAsia="Arial" w:hAnsi="Arial"/>
          <w:sz w:val="14"/>
          <w:szCs w:val="14"/>
          <w:color w:val="auto"/>
        </w:rPr>
        <w:t>ANIEL</w:t>
      </w:r>
      <w:r>
        <w:rPr>
          <w:rFonts w:ascii="Arial" w:cs="Arial" w:eastAsia="Arial" w:hAnsi="Arial"/>
          <w:sz w:val="18"/>
          <w:szCs w:val="18"/>
          <w:color w:val="auto"/>
        </w:rPr>
        <w:t xml:space="preserve"> J. A</w:t>
      </w:r>
      <w:r>
        <w:rPr>
          <w:rFonts w:ascii="Arial" w:cs="Arial" w:eastAsia="Arial" w:hAnsi="Arial"/>
          <w:sz w:val="14"/>
          <w:szCs w:val="14"/>
          <w:color w:val="auto"/>
        </w:rPr>
        <w:t>BDUN</w:t>
      </w:r>
      <w:r>
        <w:rPr>
          <w:rFonts w:ascii="Arial" w:cs="Arial" w:eastAsia="Arial" w:hAnsi="Arial"/>
          <w:sz w:val="18"/>
          <w:szCs w:val="18"/>
          <w:color w:val="auto"/>
        </w:rPr>
        <w:t>-N</w:t>
      </w:r>
      <w:r>
        <w:rPr>
          <w:rFonts w:ascii="Arial" w:cs="Arial" w:eastAsia="Arial" w:hAnsi="Arial"/>
          <w:sz w:val="14"/>
          <w:szCs w:val="14"/>
          <w:color w:val="auto"/>
        </w:rPr>
        <w:t>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Daniel J. Abdun-Nabi</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the undersigned officers and directors Emergent BioSolutions Inc., hereby severally constitute and appoint Daniel J. Abdun-Nabi, R. Don Elsey and Jay G. Reilly, and each of them singly, our true and lawful attorneys with full power to any of them, and to each of them singly, to sign for us and in our names in the capacities indicated below the Registration Statement on Form S-3 filed herewith and any and all pre-effective and post-effective amendments to said Registration Statement and any subsequent Registration Statement filed pursuant to Rule 462(b) under the Securities Act of 1933, as amended, and to file the same with all exhibits thereto, and the other documents in connection therewith, with the Securities and Exchange Commission, and generally to do all such things in our name and behalf in our capacities as officers and directors to enable Emergent BioSolutions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40" w:type="dxa"/>
            <w:vAlign w:val="bottom"/>
            <w:gridSpan w:val="4"/>
          </w:tcPr>
          <w:p>
            <w:pPr>
              <w:jc w:val="center"/>
              <w:ind w:right="1560"/>
              <w:spacing w:after="0"/>
              <w:rPr>
                <w:sz w:val="20"/>
                <w:szCs w:val="20"/>
                <w:color w:val="auto"/>
              </w:rPr>
            </w:pPr>
            <w:r>
              <w:rPr>
                <w:rFonts w:ascii="Arial" w:cs="Arial" w:eastAsia="Arial" w:hAnsi="Arial"/>
                <w:sz w:val="14"/>
                <w:szCs w:val="14"/>
                <w:b w:val="1"/>
                <w:bCs w:val="1"/>
                <w:color w:val="auto"/>
                <w:w w:val="86"/>
              </w:rPr>
              <w:t>Signature</w:t>
            </w:r>
          </w:p>
        </w:tc>
        <w:tc>
          <w:tcPr>
            <w:tcW w:w="5540" w:type="dxa"/>
            <w:vAlign w:val="bottom"/>
          </w:tcPr>
          <w:p>
            <w:pPr>
              <w:jc w:val="center"/>
              <w:ind w:left="335"/>
              <w:spacing w:after="0"/>
              <w:rPr>
                <w:sz w:val="20"/>
                <w:szCs w:val="20"/>
                <w:color w:val="auto"/>
              </w:rPr>
            </w:pPr>
            <w:r>
              <w:rPr>
                <w:rFonts w:ascii="Arial" w:cs="Arial" w:eastAsia="Arial" w:hAnsi="Arial"/>
                <w:sz w:val="14"/>
                <w:szCs w:val="14"/>
                <w:b w:val="1"/>
                <w:bCs w:val="1"/>
                <w:color w:val="auto"/>
                <w:w w:val="97"/>
              </w:rPr>
              <w:t>Title</w:t>
            </w:r>
          </w:p>
        </w:tc>
        <w:tc>
          <w:tcPr>
            <w:tcW w:w="1820" w:type="dxa"/>
            <w:vAlign w:val="bottom"/>
          </w:tcPr>
          <w:p>
            <w:pPr>
              <w:jc w:val="center"/>
              <w:ind w:left="697"/>
              <w:spacing w:after="0"/>
              <w:rPr>
                <w:sz w:val="20"/>
                <w:szCs w:val="20"/>
                <w:color w:val="auto"/>
              </w:rPr>
            </w:pPr>
            <w:r>
              <w:rPr>
                <w:rFonts w:ascii="Arial" w:cs="Arial" w:eastAsia="Arial" w:hAnsi="Arial"/>
                <w:sz w:val="14"/>
                <w:szCs w:val="14"/>
                <w:b w:val="1"/>
                <w:bCs w:val="1"/>
                <w:color w:val="auto"/>
                <w:w w:val="92"/>
              </w:rPr>
              <w:t>Date</w:t>
            </w:r>
          </w:p>
        </w:tc>
      </w:tr>
      <w:tr>
        <w:trPr>
          <w:trHeight w:val="379"/>
        </w:trPr>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ANIEL</w:t>
            </w:r>
            <w:r>
              <w:rPr>
                <w:rFonts w:ascii="Arial" w:cs="Arial" w:eastAsia="Arial" w:hAnsi="Arial"/>
                <w:sz w:val="18"/>
                <w:szCs w:val="18"/>
                <w:color w:val="auto"/>
              </w:rPr>
              <w:t xml:space="preserve"> J. A</w:t>
            </w:r>
            <w:r>
              <w:rPr>
                <w:rFonts w:ascii="Arial" w:cs="Arial" w:eastAsia="Arial" w:hAnsi="Arial"/>
                <w:sz w:val="14"/>
                <w:szCs w:val="14"/>
                <w:color w:val="auto"/>
              </w:rPr>
              <w:t>BDUN</w:t>
            </w:r>
            <w:r>
              <w:rPr>
                <w:rFonts w:ascii="Arial" w:cs="Arial" w:eastAsia="Arial" w:hAnsi="Arial"/>
                <w:sz w:val="18"/>
                <w:szCs w:val="18"/>
                <w:color w:val="auto"/>
              </w:rPr>
              <w:t>-N</w:t>
            </w:r>
            <w:r>
              <w:rPr>
                <w:rFonts w:ascii="Arial" w:cs="Arial" w:eastAsia="Arial" w:hAnsi="Arial"/>
                <w:sz w:val="14"/>
                <w:szCs w:val="14"/>
                <w:color w:val="auto"/>
              </w:rPr>
              <w:t>ABI</w:t>
            </w:r>
          </w:p>
        </w:tc>
        <w:tc>
          <w:tcPr>
            <w:tcW w:w="1220" w:type="dxa"/>
            <w:vAlign w:val="bottom"/>
          </w:tcPr>
          <w:p>
            <w:pPr>
              <w:spacing w:after="0"/>
              <w:rPr>
                <w:sz w:val="24"/>
                <w:szCs w:val="24"/>
                <w:color w:val="auto"/>
              </w:rPr>
            </w:pPr>
          </w:p>
        </w:tc>
        <w:tc>
          <w:tcPr>
            <w:tcW w:w="5540" w:type="dxa"/>
            <w:vAlign w:val="bottom"/>
          </w:tcPr>
          <w:p>
            <w:pPr>
              <w:jc w:val="center"/>
              <w:ind w:left="335"/>
              <w:spacing w:after="0"/>
              <w:rPr>
                <w:sz w:val="20"/>
                <w:szCs w:val="20"/>
                <w:color w:val="auto"/>
              </w:rPr>
            </w:pPr>
            <w:r>
              <w:rPr>
                <w:rFonts w:ascii="Arial" w:cs="Arial" w:eastAsia="Arial" w:hAnsi="Arial"/>
                <w:sz w:val="18"/>
                <w:szCs w:val="18"/>
                <w:color w:val="auto"/>
                <w:w w:val="90"/>
              </w:rPr>
              <w:t>President, Chief Executive Officer and Director</w:t>
            </w:r>
          </w:p>
        </w:tc>
        <w:tc>
          <w:tcPr>
            <w:tcW w:w="1820" w:type="dxa"/>
            <w:vAlign w:val="bottom"/>
          </w:tcPr>
          <w:p>
            <w:pPr>
              <w:spacing w:after="0"/>
              <w:rPr>
                <w:sz w:val="24"/>
                <w:szCs w:val="24"/>
                <w:color w:val="auto"/>
              </w:rPr>
            </w:pPr>
          </w:p>
        </w:tc>
      </w:tr>
      <w:tr>
        <w:trPr>
          <w:trHeight w:val="248"/>
        </w:trPr>
        <w:tc>
          <w:tcPr>
            <w:tcW w:w="3180" w:type="dxa"/>
            <w:vAlign w:val="bottom"/>
            <w:gridSpan w:val="6"/>
          </w:tcPr>
          <w:p>
            <w:pPr>
              <w:jc w:val="center"/>
              <w:ind w:right="1220"/>
              <w:spacing w:after="0"/>
              <w:rPr>
                <w:sz w:val="20"/>
                <w:szCs w:val="20"/>
                <w:color w:val="auto"/>
              </w:rPr>
            </w:pPr>
            <w:r>
              <w:rPr>
                <w:rFonts w:ascii="Arial" w:cs="Arial" w:eastAsia="Arial" w:hAnsi="Arial"/>
                <w:sz w:val="18"/>
                <w:szCs w:val="18"/>
                <w:color w:val="auto"/>
                <w:w w:val="89"/>
              </w:rPr>
              <w:t>Daniel J. Abdun-Nabi</w:t>
            </w:r>
          </w:p>
        </w:tc>
        <w:tc>
          <w:tcPr>
            <w:tcW w:w="5540" w:type="dxa"/>
            <w:vAlign w:val="bottom"/>
          </w:tcPr>
          <w:p>
            <w:pPr>
              <w:jc w:val="center"/>
              <w:ind w:left="335"/>
              <w:spacing w:after="0"/>
              <w:rPr>
                <w:sz w:val="20"/>
                <w:szCs w:val="20"/>
                <w:color w:val="auto"/>
              </w:rPr>
            </w:pPr>
            <w:r>
              <w:rPr>
                <w:rFonts w:ascii="Arial" w:cs="Arial" w:eastAsia="Arial" w:hAnsi="Arial"/>
                <w:sz w:val="18"/>
                <w:szCs w:val="18"/>
                <w:color w:val="auto"/>
                <w:w w:val="91"/>
              </w:rPr>
              <w:t>(Principal Executive Officer)</w:t>
            </w:r>
          </w:p>
        </w:tc>
        <w:tc>
          <w:tcPr>
            <w:tcW w:w="1820" w:type="dxa"/>
            <w:vAlign w:val="bottom"/>
          </w:tcPr>
          <w:p>
            <w:pPr>
              <w:jc w:val="center"/>
              <w:ind w:left="697"/>
              <w:spacing w:after="0"/>
              <w:rPr>
                <w:sz w:val="20"/>
                <w:szCs w:val="20"/>
                <w:color w:val="auto"/>
              </w:rPr>
            </w:pPr>
            <w:r>
              <w:rPr>
                <w:rFonts w:ascii="Arial" w:cs="Arial" w:eastAsia="Arial" w:hAnsi="Arial"/>
                <w:sz w:val="18"/>
                <w:szCs w:val="18"/>
                <w:color w:val="auto"/>
                <w:w w:val="88"/>
              </w:rPr>
              <w:t>May 3, 2012</w:t>
            </w:r>
          </w:p>
        </w:tc>
      </w:tr>
      <w:tr>
        <w:trPr>
          <w:trHeight w:val="394"/>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R. D</w:t>
            </w:r>
            <w:r>
              <w:rPr>
                <w:rFonts w:ascii="Arial" w:cs="Arial" w:eastAsia="Arial" w:hAnsi="Arial"/>
                <w:sz w:val="14"/>
                <w:szCs w:val="14"/>
                <w:color w:val="auto"/>
                <w:w w:val="95"/>
              </w:rPr>
              <w:t>ON</w:t>
            </w:r>
            <w:r>
              <w:rPr>
                <w:rFonts w:ascii="Arial" w:cs="Arial" w:eastAsia="Arial" w:hAnsi="Arial"/>
                <w:sz w:val="18"/>
                <w:szCs w:val="18"/>
                <w:color w:val="auto"/>
                <w:w w:val="95"/>
              </w:rPr>
              <w:t xml:space="preserve"> E</w:t>
            </w:r>
            <w:r>
              <w:rPr>
                <w:rFonts w:ascii="Arial" w:cs="Arial" w:eastAsia="Arial" w:hAnsi="Arial"/>
                <w:sz w:val="14"/>
                <w:szCs w:val="14"/>
                <w:color w:val="auto"/>
                <w:w w:val="95"/>
              </w:rPr>
              <w:t>LSEY</w:t>
            </w:r>
          </w:p>
        </w:tc>
        <w:tc>
          <w:tcPr>
            <w:tcW w:w="1560" w:type="dxa"/>
            <w:vAlign w:val="bottom"/>
            <w:gridSpan w:val="3"/>
          </w:tcPr>
          <w:p>
            <w:pPr>
              <w:spacing w:after="0"/>
              <w:rPr>
                <w:sz w:val="24"/>
                <w:szCs w:val="24"/>
                <w:color w:val="auto"/>
              </w:rPr>
            </w:pPr>
          </w:p>
        </w:tc>
        <w:tc>
          <w:tcPr>
            <w:tcW w:w="5540" w:type="dxa"/>
            <w:vAlign w:val="bottom"/>
          </w:tcPr>
          <w:p>
            <w:pPr>
              <w:jc w:val="center"/>
              <w:ind w:left="315"/>
              <w:spacing w:after="0"/>
              <w:rPr>
                <w:sz w:val="20"/>
                <w:szCs w:val="20"/>
                <w:color w:val="auto"/>
              </w:rPr>
            </w:pPr>
            <w:r>
              <w:rPr>
                <w:rFonts w:ascii="Arial" w:cs="Arial" w:eastAsia="Arial" w:hAnsi="Arial"/>
                <w:sz w:val="18"/>
                <w:szCs w:val="18"/>
                <w:color w:val="auto"/>
                <w:w w:val="89"/>
              </w:rPr>
              <w:t>Senior Vice President, Chief Financial Officer and</w:t>
            </w:r>
          </w:p>
        </w:tc>
        <w:tc>
          <w:tcPr>
            <w:tcW w:w="1820" w:type="dxa"/>
            <w:vAlign w:val="bottom"/>
          </w:tcPr>
          <w:p>
            <w:pPr>
              <w:spacing w:after="0"/>
              <w:rPr>
                <w:sz w:val="24"/>
                <w:szCs w:val="24"/>
                <w:color w:val="auto"/>
              </w:rPr>
            </w:pPr>
          </w:p>
        </w:tc>
      </w:tr>
      <w:tr>
        <w:trPr>
          <w:trHeight w:val="228"/>
        </w:trPr>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40" w:type="dxa"/>
            <w:vAlign w:val="bottom"/>
            <w:gridSpan w:val="4"/>
          </w:tcPr>
          <w:p>
            <w:pPr>
              <w:jc w:val="center"/>
              <w:ind w:right="1580"/>
              <w:spacing w:after="0"/>
              <w:rPr>
                <w:sz w:val="20"/>
                <w:szCs w:val="20"/>
                <w:color w:val="auto"/>
              </w:rPr>
            </w:pPr>
            <w:r>
              <w:rPr>
                <w:rFonts w:ascii="Arial" w:cs="Arial" w:eastAsia="Arial" w:hAnsi="Arial"/>
                <w:sz w:val="18"/>
                <w:szCs w:val="18"/>
                <w:color w:val="auto"/>
                <w:w w:val="89"/>
              </w:rPr>
              <w:t>R. Don Elsey</w:t>
            </w:r>
          </w:p>
        </w:tc>
        <w:tc>
          <w:tcPr>
            <w:tcW w:w="5540" w:type="dxa"/>
            <w:vAlign w:val="bottom"/>
          </w:tcPr>
          <w:p>
            <w:pPr>
              <w:jc w:val="center"/>
              <w:ind w:left="315"/>
              <w:spacing w:after="0"/>
              <w:rPr>
                <w:sz w:val="20"/>
                <w:szCs w:val="20"/>
                <w:color w:val="auto"/>
              </w:rPr>
            </w:pPr>
            <w:r>
              <w:rPr>
                <w:rFonts w:ascii="Arial" w:cs="Arial" w:eastAsia="Arial" w:hAnsi="Arial"/>
                <w:sz w:val="18"/>
                <w:szCs w:val="18"/>
                <w:color w:val="auto"/>
                <w:w w:val="89"/>
              </w:rPr>
              <w:t>Treasurer (Principal Financial and Accounting</w:t>
            </w:r>
          </w:p>
        </w:tc>
        <w:tc>
          <w:tcPr>
            <w:tcW w:w="1820" w:type="dxa"/>
            <w:vAlign w:val="bottom"/>
          </w:tcPr>
          <w:p>
            <w:pPr>
              <w:spacing w:after="0"/>
              <w:rPr>
                <w:sz w:val="19"/>
                <w:szCs w:val="19"/>
                <w:color w:val="auto"/>
              </w:rPr>
            </w:pPr>
          </w:p>
        </w:tc>
      </w:tr>
      <w:tr>
        <w:trPr>
          <w:trHeight w:val="222"/>
        </w:trPr>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540" w:type="dxa"/>
            <w:vAlign w:val="bottom"/>
          </w:tcPr>
          <w:p>
            <w:pPr>
              <w:jc w:val="center"/>
              <w:ind w:left="335"/>
              <w:spacing w:after="0"/>
              <w:rPr>
                <w:sz w:val="20"/>
                <w:szCs w:val="20"/>
                <w:color w:val="auto"/>
              </w:rPr>
            </w:pPr>
            <w:r>
              <w:rPr>
                <w:rFonts w:ascii="Arial" w:cs="Arial" w:eastAsia="Arial" w:hAnsi="Arial"/>
                <w:sz w:val="18"/>
                <w:szCs w:val="18"/>
                <w:color w:val="auto"/>
                <w:w w:val="94"/>
              </w:rPr>
              <w:t>Officer)</w:t>
            </w:r>
          </w:p>
        </w:tc>
        <w:tc>
          <w:tcPr>
            <w:tcW w:w="1820" w:type="dxa"/>
            <w:vAlign w:val="bottom"/>
          </w:tcPr>
          <w:p>
            <w:pPr>
              <w:jc w:val="center"/>
              <w:ind w:left="697"/>
              <w:spacing w:after="0"/>
              <w:rPr>
                <w:sz w:val="20"/>
                <w:szCs w:val="20"/>
                <w:color w:val="auto"/>
              </w:rPr>
            </w:pPr>
            <w:r>
              <w:rPr>
                <w:rFonts w:ascii="Arial" w:cs="Arial" w:eastAsia="Arial" w:hAnsi="Arial"/>
                <w:sz w:val="18"/>
                <w:szCs w:val="18"/>
                <w:color w:val="auto"/>
                <w:w w:val="88"/>
              </w:rPr>
              <w:t>May 3, 2012</w:t>
            </w:r>
          </w:p>
        </w:tc>
      </w:tr>
      <w:tr>
        <w:trPr>
          <w:trHeight w:val="394"/>
        </w:trPr>
        <w:tc>
          <w:tcPr>
            <w:tcW w:w="300" w:type="dxa"/>
            <w:vAlign w:val="bottom"/>
          </w:tcPr>
          <w:p>
            <w:pPr>
              <w:spacing w:after="0"/>
              <w:rPr>
                <w:sz w:val="24"/>
                <w:szCs w:val="2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F</w:t>
            </w:r>
            <w:r>
              <w:rPr>
                <w:rFonts w:ascii="Arial" w:cs="Arial" w:eastAsia="Arial" w:hAnsi="Arial"/>
                <w:sz w:val="14"/>
                <w:szCs w:val="14"/>
                <w:color w:val="auto"/>
              </w:rPr>
              <w:t>UAD</w:t>
            </w:r>
            <w:r>
              <w:rPr>
                <w:rFonts w:ascii="Arial" w:cs="Arial" w:eastAsia="Arial" w:hAnsi="Arial"/>
                <w:sz w:val="18"/>
                <w:szCs w:val="18"/>
                <w:color w:val="auto"/>
              </w:rPr>
              <w:t xml:space="preserve"> E</w:t>
            </w:r>
            <w:r>
              <w:rPr>
                <w:rFonts w:ascii="Arial" w:cs="Arial" w:eastAsia="Arial" w:hAnsi="Arial"/>
                <w:sz w:val="14"/>
                <w:szCs w:val="14"/>
                <w:color w:val="auto"/>
              </w:rPr>
              <w:t>L</w:t>
            </w:r>
            <w:r>
              <w:rPr>
                <w:rFonts w:ascii="Arial" w:cs="Arial" w:eastAsia="Arial" w:hAnsi="Arial"/>
                <w:sz w:val="18"/>
                <w:szCs w:val="18"/>
                <w:color w:val="auto"/>
              </w:rPr>
              <w:t>-H</w:t>
            </w:r>
            <w:r>
              <w:rPr>
                <w:rFonts w:ascii="Arial" w:cs="Arial" w:eastAsia="Arial" w:hAnsi="Arial"/>
                <w:sz w:val="14"/>
                <w:szCs w:val="14"/>
                <w:color w:val="auto"/>
              </w:rPr>
              <w:t>IBRI</w:t>
            </w:r>
          </w:p>
        </w:tc>
        <w:tc>
          <w:tcPr>
            <w:tcW w:w="1520" w:type="dxa"/>
            <w:vAlign w:val="bottom"/>
            <w:gridSpan w:val="2"/>
          </w:tcPr>
          <w:p>
            <w:pPr>
              <w:spacing w:after="0"/>
              <w:rPr>
                <w:sz w:val="24"/>
                <w:szCs w:val="24"/>
                <w:color w:val="auto"/>
              </w:rPr>
            </w:pPr>
          </w:p>
        </w:tc>
        <w:tc>
          <w:tcPr>
            <w:tcW w:w="55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48"/>
        </w:trPr>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gridSpan w:val="4"/>
          </w:tcPr>
          <w:p>
            <w:pPr>
              <w:jc w:val="center"/>
              <w:ind w:right="1580"/>
              <w:spacing w:after="0"/>
              <w:rPr>
                <w:sz w:val="20"/>
                <w:szCs w:val="20"/>
                <w:color w:val="auto"/>
              </w:rPr>
            </w:pPr>
            <w:r>
              <w:rPr>
                <w:rFonts w:ascii="Arial" w:cs="Arial" w:eastAsia="Arial" w:hAnsi="Arial"/>
                <w:sz w:val="18"/>
                <w:szCs w:val="18"/>
                <w:color w:val="auto"/>
                <w:w w:val="93"/>
              </w:rPr>
              <w:t>Fuad El-Hibri</w:t>
            </w:r>
          </w:p>
        </w:tc>
        <w:tc>
          <w:tcPr>
            <w:tcW w:w="5540" w:type="dxa"/>
            <w:vAlign w:val="bottom"/>
          </w:tcPr>
          <w:p>
            <w:pPr>
              <w:jc w:val="center"/>
              <w:ind w:left="315"/>
              <w:spacing w:after="0"/>
              <w:rPr>
                <w:sz w:val="20"/>
                <w:szCs w:val="20"/>
                <w:color w:val="auto"/>
              </w:rPr>
            </w:pPr>
            <w:r>
              <w:rPr>
                <w:rFonts w:ascii="Arial" w:cs="Arial" w:eastAsia="Arial" w:hAnsi="Arial"/>
                <w:sz w:val="18"/>
                <w:szCs w:val="18"/>
                <w:color w:val="auto"/>
                <w:w w:val="89"/>
              </w:rPr>
              <w:t>Chairman of the Board of Directors</w:t>
            </w:r>
          </w:p>
        </w:tc>
        <w:tc>
          <w:tcPr>
            <w:tcW w:w="1820" w:type="dxa"/>
            <w:vAlign w:val="bottom"/>
          </w:tcPr>
          <w:p>
            <w:pPr>
              <w:jc w:val="center"/>
              <w:ind w:left="697"/>
              <w:spacing w:after="0"/>
              <w:rPr>
                <w:sz w:val="20"/>
                <w:szCs w:val="20"/>
                <w:color w:val="auto"/>
              </w:rPr>
            </w:pPr>
            <w:r>
              <w:rPr>
                <w:rFonts w:ascii="Arial" w:cs="Arial" w:eastAsia="Arial" w:hAnsi="Arial"/>
                <w:sz w:val="18"/>
                <w:szCs w:val="18"/>
                <w:color w:val="auto"/>
                <w:w w:val="93"/>
              </w:rPr>
              <w:t>April 30, 2012</w:t>
            </w:r>
          </w:p>
        </w:tc>
      </w:tr>
      <w:tr>
        <w:trPr>
          <w:trHeight w:val="365"/>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40" w:type="dxa"/>
            <w:vAlign w:val="bottom"/>
          </w:tcPr>
          <w:p>
            <w:pPr>
              <w:ind w:left="1520"/>
              <w:spacing w:after="0"/>
              <w:rPr>
                <w:sz w:val="20"/>
                <w:szCs w:val="20"/>
                <w:color w:val="auto"/>
              </w:rPr>
            </w:pPr>
            <w:r>
              <w:rPr>
                <w:rFonts w:ascii="Arial" w:cs="Arial" w:eastAsia="Arial" w:hAnsi="Arial"/>
                <w:sz w:val="18"/>
                <w:szCs w:val="18"/>
                <w:color w:val="auto"/>
              </w:rPr>
              <w:t>II-5</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jc w:val="center"/>
        <w:ind w:right="18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4"/>
          <w:szCs w:val="14"/>
          <w:u w:val="single" w:color="auto"/>
          <w:color w:val="auto"/>
        </w:rPr>
        <w:t>S</w:t>
      </w:r>
      <w:r>
        <w:rPr>
          <w:rFonts w:ascii="Arial" w:cs="Arial" w:eastAsia="Arial" w:hAnsi="Arial"/>
          <w:sz w:val="18"/>
          <w:szCs w:val="18"/>
          <w:u w:val="single" w:color="auto"/>
          <w:color w:val="auto"/>
        </w:rPr>
        <w:t>/ Z</w:t>
      </w:r>
      <w:r>
        <w:rPr>
          <w:rFonts w:ascii="Arial" w:cs="Arial" w:eastAsia="Arial" w:hAnsi="Arial"/>
          <w:sz w:val="14"/>
          <w:szCs w:val="14"/>
          <w:u w:val="single" w:color="auto"/>
          <w:color w:val="auto"/>
        </w:rPr>
        <w:t>SOLT</w:t>
      </w:r>
      <w:r>
        <w:rPr>
          <w:rFonts w:ascii="Arial" w:cs="Arial" w:eastAsia="Arial" w:hAnsi="Arial"/>
          <w:sz w:val="18"/>
          <w:szCs w:val="18"/>
          <w:u w:val="single" w:color="auto"/>
          <w:color w:val="auto"/>
        </w:rPr>
        <w:t xml:space="preserve"> H</w:t>
      </w:r>
      <w:r>
        <w:rPr>
          <w:rFonts w:ascii="Arial" w:cs="Arial" w:eastAsia="Arial" w:hAnsi="Arial"/>
          <w:sz w:val="14"/>
          <w:szCs w:val="14"/>
          <w:u w:val="single" w:color="auto"/>
          <w:color w:val="auto"/>
        </w:rPr>
        <w:t>ARSANYI</w:t>
      </w:r>
      <w:r>
        <w:rPr>
          <w:rFonts w:ascii="Arial" w:cs="Arial" w:eastAsia="Arial" w:hAnsi="Arial"/>
          <w:sz w:val="18"/>
          <w:szCs w:val="18"/>
          <w:u w:val="single" w:color="auto"/>
          <w:color w:val="auto"/>
        </w:rPr>
        <w:t>, P</w:t>
      </w:r>
      <w:r>
        <w:rPr>
          <w:rFonts w:ascii="Arial" w:cs="Arial" w:eastAsia="Arial" w:hAnsi="Arial"/>
          <w:sz w:val="14"/>
          <w:szCs w:val="14"/>
          <w:u w:val="single" w:color="auto"/>
          <w:color w:val="auto"/>
        </w:rPr>
        <w:t>H</w:t>
      </w:r>
      <w:r>
        <w:rPr>
          <w:rFonts w:ascii="Arial" w:cs="Arial" w:eastAsia="Arial" w:hAnsi="Arial"/>
          <w:sz w:val="18"/>
          <w:szCs w:val="18"/>
          <w:u w:val="single" w:color="auto"/>
          <w:color w:val="auto"/>
        </w:rPr>
        <w:t>.D.</w:t>
      </w:r>
    </w:p>
    <w:p>
      <w:pPr>
        <w:spacing w:after="0" w:line="15"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Z</w:t>
      </w:r>
      <w:r>
        <w:rPr>
          <w:rFonts w:ascii="Arial" w:cs="Arial" w:eastAsia="Arial" w:hAnsi="Arial"/>
          <w:sz w:val="14"/>
          <w:szCs w:val="14"/>
          <w:color w:val="auto"/>
        </w:rPr>
        <w:t>SOLT</w:t>
      </w:r>
      <w:r>
        <w:rPr>
          <w:rFonts w:ascii="Arial" w:cs="Arial" w:eastAsia="Arial" w:hAnsi="Arial"/>
          <w:sz w:val="18"/>
          <w:szCs w:val="18"/>
          <w:color w:val="auto"/>
        </w:rPr>
        <w:t xml:space="preserve"> H</w:t>
      </w:r>
      <w:r>
        <w:rPr>
          <w:rFonts w:ascii="Arial" w:cs="Arial" w:eastAsia="Arial" w:hAnsi="Arial"/>
          <w:sz w:val="14"/>
          <w:szCs w:val="14"/>
          <w:color w:val="auto"/>
        </w:rPr>
        <w:t>ARSANYI</w:t>
      </w:r>
      <w:r>
        <w:rPr>
          <w:rFonts w:ascii="Arial" w:cs="Arial" w:eastAsia="Arial" w:hAnsi="Arial"/>
          <w:sz w:val="18"/>
          <w:szCs w:val="18"/>
          <w:color w:val="auto"/>
        </w:rPr>
        <w:t>, P</w:t>
      </w:r>
      <w:r>
        <w:rPr>
          <w:rFonts w:ascii="Arial" w:cs="Arial" w:eastAsia="Arial" w:hAnsi="Arial"/>
          <w:sz w:val="14"/>
          <w:szCs w:val="14"/>
          <w:color w:val="auto"/>
        </w:rPr>
        <w:t>H</w:t>
      </w:r>
      <w:r>
        <w:rPr>
          <w:rFonts w:ascii="Arial" w:cs="Arial" w:eastAsia="Arial" w:hAnsi="Arial"/>
          <w:sz w:val="18"/>
          <w:szCs w:val="18"/>
          <w:color w:val="auto"/>
        </w:rPr>
        <w:t>.D.</w:t>
      </w:r>
    </w:p>
    <w:p>
      <w:pPr>
        <w:spacing w:after="0" w:line="232" w:lineRule="exact"/>
        <w:rPr>
          <w:sz w:val="20"/>
          <w:szCs w:val="20"/>
          <w:color w:val="auto"/>
        </w:rPr>
      </w:pPr>
    </w:p>
    <w:p>
      <w:pPr>
        <w:jc w:val="center"/>
        <w:ind w:right="18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4"/>
          <w:szCs w:val="14"/>
          <w:u w:val="single" w:color="auto"/>
          <w:color w:val="auto"/>
        </w:rPr>
        <w:t>S</w:t>
      </w:r>
      <w:r>
        <w:rPr>
          <w:rFonts w:ascii="Arial" w:cs="Arial" w:eastAsia="Arial" w:hAnsi="Arial"/>
          <w:sz w:val="18"/>
          <w:szCs w:val="18"/>
          <w:u w:val="single" w:color="auto"/>
          <w:color w:val="auto"/>
        </w:rPr>
        <w:t>/ M</w:t>
      </w:r>
      <w:r>
        <w:rPr>
          <w:rFonts w:ascii="Arial" w:cs="Arial" w:eastAsia="Arial" w:hAnsi="Arial"/>
          <w:sz w:val="14"/>
          <w:szCs w:val="14"/>
          <w:u w:val="single" w:color="auto"/>
          <w:color w:val="auto"/>
        </w:rPr>
        <w:t>ARVIN</w:t>
      </w:r>
      <w:r>
        <w:rPr>
          <w:rFonts w:ascii="Arial" w:cs="Arial" w:eastAsia="Arial" w:hAnsi="Arial"/>
          <w:sz w:val="18"/>
          <w:szCs w:val="18"/>
          <w:u w:val="single" w:color="auto"/>
          <w:color w:val="auto"/>
        </w:rPr>
        <w:t xml:space="preserve"> L. W</w:t>
      </w:r>
      <w:r>
        <w:rPr>
          <w:rFonts w:ascii="Arial" w:cs="Arial" w:eastAsia="Arial" w:hAnsi="Arial"/>
          <w:sz w:val="14"/>
          <w:szCs w:val="14"/>
          <w:u w:val="single" w:color="auto"/>
          <w:color w:val="auto"/>
        </w:rPr>
        <w:t>HITE</w:t>
      </w:r>
    </w:p>
    <w:p>
      <w:pPr>
        <w:spacing w:after="0" w:line="15"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Marvin L. White</w:t>
      </w:r>
    </w:p>
    <w:p>
      <w:pPr>
        <w:spacing w:after="0" w:line="232" w:lineRule="exact"/>
        <w:rPr>
          <w:sz w:val="20"/>
          <w:szCs w:val="20"/>
          <w:color w:val="auto"/>
        </w:rPr>
      </w:pPr>
    </w:p>
    <w:p>
      <w:pPr>
        <w:jc w:val="center"/>
        <w:ind w:right="18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4"/>
          <w:szCs w:val="14"/>
          <w:u w:val="single" w:color="auto"/>
          <w:color w:val="auto"/>
        </w:rPr>
        <w:t>S</w:t>
      </w:r>
      <w:r>
        <w:rPr>
          <w:rFonts w:ascii="Arial" w:cs="Arial" w:eastAsia="Arial" w:hAnsi="Arial"/>
          <w:sz w:val="18"/>
          <w:szCs w:val="18"/>
          <w:u w:val="single" w:color="auto"/>
          <w:color w:val="auto"/>
        </w:rPr>
        <w:t>/ R</w:t>
      </w:r>
      <w:r>
        <w:rPr>
          <w:rFonts w:ascii="Arial" w:cs="Arial" w:eastAsia="Arial" w:hAnsi="Arial"/>
          <w:sz w:val="14"/>
          <w:szCs w:val="14"/>
          <w:u w:val="single" w:color="auto"/>
          <w:color w:val="auto"/>
        </w:rPr>
        <w:t>ONALD</w:t>
      </w:r>
      <w:r>
        <w:rPr>
          <w:rFonts w:ascii="Arial" w:cs="Arial" w:eastAsia="Arial" w:hAnsi="Arial"/>
          <w:sz w:val="18"/>
          <w:szCs w:val="18"/>
          <w:u w:val="single" w:color="auto"/>
          <w:color w:val="auto"/>
        </w:rPr>
        <w:t xml:space="preserve"> B. R</w:t>
      </w:r>
      <w:r>
        <w:rPr>
          <w:rFonts w:ascii="Arial" w:cs="Arial" w:eastAsia="Arial" w:hAnsi="Arial"/>
          <w:sz w:val="14"/>
          <w:szCs w:val="14"/>
          <w:u w:val="single" w:color="auto"/>
          <w:color w:val="auto"/>
        </w:rPr>
        <w:t>ICHARD</w:t>
      </w:r>
    </w:p>
    <w:p>
      <w:pPr>
        <w:spacing w:after="0" w:line="15"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Ronald B. Richard</w:t>
      </w:r>
    </w:p>
    <w:p>
      <w:pPr>
        <w:spacing w:after="0" w:line="232" w:lineRule="exact"/>
        <w:rPr>
          <w:sz w:val="20"/>
          <w:szCs w:val="20"/>
          <w:color w:val="auto"/>
        </w:rPr>
      </w:pPr>
    </w:p>
    <w:p>
      <w:pPr>
        <w:jc w:val="center"/>
        <w:ind w:right="18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4"/>
          <w:szCs w:val="14"/>
          <w:u w:val="single" w:color="auto"/>
          <w:color w:val="auto"/>
        </w:rPr>
        <w:t>S</w:t>
      </w:r>
      <w:r>
        <w:rPr>
          <w:rFonts w:ascii="Arial" w:cs="Arial" w:eastAsia="Arial" w:hAnsi="Arial"/>
          <w:sz w:val="18"/>
          <w:szCs w:val="18"/>
          <w:u w:val="single" w:color="auto"/>
          <w:color w:val="auto"/>
        </w:rPr>
        <w:t>/ L</w:t>
      </w:r>
      <w:r>
        <w:rPr>
          <w:rFonts w:ascii="Arial" w:cs="Arial" w:eastAsia="Arial" w:hAnsi="Arial"/>
          <w:sz w:val="14"/>
          <w:szCs w:val="14"/>
          <w:u w:val="single" w:color="auto"/>
          <w:color w:val="auto"/>
        </w:rPr>
        <w:t>OUIS</w:t>
      </w:r>
      <w:r>
        <w:rPr>
          <w:rFonts w:ascii="Arial" w:cs="Arial" w:eastAsia="Arial" w:hAnsi="Arial"/>
          <w:sz w:val="18"/>
          <w:szCs w:val="18"/>
          <w:u w:val="single" w:color="auto"/>
          <w:color w:val="auto"/>
        </w:rPr>
        <w:t xml:space="preserve"> W. S</w:t>
      </w:r>
      <w:r>
        <w:rPr>
          <w:rFonts w:ascii="Arial" w:cs="Arial" w:eastAsia="Arial" w:hAnsi="Arial"/>
          <w:sz w:val="14"/>
          <w:szCs w:val="14"/>
          <w:u w:val="single" w:color="auto"/>
          <w:color w:val="auto"/>
        </w:rPr>
        <w:t>ULLIVAN</w:t>
      </w:r>
      <w:r>
        <w:rPr>
          <w:rFonts w:ascii="Arial" w:cs="Arial" w:eastAsia="Arial" w:hAnsi="Arial"/>
          <w:sz w:val="18"/>
          <w:szCs w:val="18"/>
          <w:u w:val="single" w:color="auto"/>
          <w:color w:val="auto"/>
        </w:rPr>
        <w:t>, M.D.</w:t>
      </w:r>
    </w:p>
    <w:p>
      <w:pPr>
        <w:spacing w:after="0" w:line="15"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Louis W. Sullivan, M.D.</w:t>
      </w:r>
    </w:p>
    <w:p>
      <w:pPr>
        <w:spacing w:after="0" w:line="232"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Dr. Sue Bailey</w:t>
      </w:r>
    </w:p>
    <w:p>
      <w:pPr>
        <w:spacing w:after="0" w:line="219" w:lineRule="exact"/>
        <w:rPr>
          <w:sz w:val="20"/>
          <w:szCs w:val="20"/>
          <w:color w:val="auto"/>
        </w:rPr>
      </w:pPr>
    </w:p>
    <w:p>
      <w:pPr>
        <w:jc w:val="center"/>
        <w:ind w:right="18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3"/>
          <w:szCs w:val="13"/>
          <w:u w:val="single" w:color="auto"/>
          <w:color w:val="auto"/>
        </w:rPr>
        <w:t>S</w:t>
      </w:r>
      <w:r>
        <w:rPr>
          <w:rFonts w:ascii="Arial" w:cs="Arial" w:eastAsia="Arial" w:hAnsi="Arial"/>
          <w:sz w:val="16"/>
          <w:szCs w:val="16"/>
          <w:u w:val="single" w:color="auto"/>
          <w:color w:val="auto"/>
        </w:rPr>
        <w:t>/ D</w:t>
      </w:r>
      <w:r>
        <w:rPr>
          <w:rFonts w:ascii="Arial" w:cs="Arial" w:eastAsia="Arial" w:hAnsi="Arial"/>
          <w:sz w:val="13"/>
          <w:szCs w:val="13"/>
          <w:u w:val="single" w:color="auto"/>
          <w:color w:val="auto"/>
        </w:rPr>
        <w:t>R</w:t>
      </w:r>
      <w:r>
        <w:rPr>
          <w:rFonts w:ascii="Arial" w:cs="Arial" w:eastAsia="Arial" w:hAnsi="Arial"/>
          <w:sz w:val="16"/>
          <w:szCs w:val="16"/>
          <w:u w:val="single" w:color="auto"/>
          <w:color w:val="auto"/>
        </w:rPr>
        <w:t>. J</w:t>
      </w:r>
      <w:r>
        <w:rPr>
          <w:rFonts w:ascii="Arial" w:cs="Arial" w:eastAsia="Arial" w:hAnsi="Arial"/>
          <w:sz w:val="13"/>
          <w:szCs w:val="13"/>
          <w:u w:val="single" w:color="auto"/>
          <w:color w:val="auto"/>
        </w:rPr>
        <w:t>OHN</w:t>
      </w:r>
      <w:r>
        <w:rPr>
          <w:rFonts w:ascii="Arial" w:cs="Arial" w:eastAsia="Arial" w:hAnsi="Arial"/>
          <w:sz w:val="16"/>
          <w:szCs w:val="16"/>
          <w:u w:val="single" w:color="auto"/>
          <w:color w:val="auto"/>
        </w:rPr>
        <w:t xml:space="preserve"> E. N</w:t>
      </w:r>
      <w:r>
        <w:rPr>
          <w:rFonts w:ascii="Arial" w:cs="Arial" w:eastAsia="Arial" w:hAnsi="Arial"/>
          <w:sz w:val="13"/>
          <w:szCs w:val="13"/>
          <w:u w:val="single" w:color="auto"/>
          <w:color w:val="auto"/>
        </w:rPr>
        <w:t>IEDERHUBER</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Dr. John E. Niederhuber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1200" w:type="dxa"/>
        <w:tblCellMar>
          <w:top w:w="0" w:type="dxa"/>
          <w:left w:w="0" w:type="dxa"/>
          <w:bottom w:w="0" w:type="dxa"/>
          <w:right w:w="0" w:type="dxa"/>
        </w:tblCellMar>
      </w:tblP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1412"/>
              <w:spacing w:after="0"/>
              <w:rPr>
                <w:sz w:val="20"/>
                <w:szCs w:val="20"/>
                <w:color w:val="auto"/>
              </w:rPr>
            </w:pPr>
            <w:r>
              <w:rPr>
                <w:rFonts w:ascii="Arial" w:cs="Arial" w:eastAsia="Arial" w:hAnsi="Arial"/>
                <w:sz w:val="18"/>
                <w:szCs w:val="18"/>
                <w:color w:val="auto"/>
                <w:w w:val="88"/>
              </w:rPr>
              <w:t>May 1, 2012</w:t>
            </w:r>
          </w:p>
        </w:tc>
      </w:tr>
      <w:tr>
        <w:trPr>
          <w:trHeight w:val="662"/>
        </w:trPr>
        <w:tc>
          <w:tcPr>
            <w:tcW w:w="210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1412"/>
              <w:spacing w:after="0"/>
              <w:rPr>
                <w:sz w:val="20"/>
                <w:szCs w:val="20"/>
                <w:color w:val="auto"/>
              </w:rPr>
            </w:pPr>
            <w:r>
              <w:rPr>
                <w:rFonts w:ascii="Arial" w:cs="Arial" w:eastAsia="Arial" w:hAnsi="Arial"/>
                <w:sz w:val="18"/>
                <w:szCs w:val="18"/>
                <w:color w:val="auto"/>
                <w:w w:val="93"/>
              </w:rPr>
              <w:t>April 30, 2012</w:t>
            </w:r>
          </w:p>
        </w:tc>
      </w:tr>
      <w:tr>
        <w:trPr>
          <w:trHeight w:val="662"/>
        </w:trPr>
        <w:tc>
          <w:tcPr>
            <w:tcW w:w="210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1412"/>
              <w:spacing w:after="0"/>
              <w:rPr>
                <w:sz w:val="20"/>
                <w:szCs w:val="20"/>
                <w:color w:val="auto"/>
              </w:rPr>
            </w:pPr>
            <w:r>
              <w:rPr>
                <w:rFonts w:ascii="Arial" w:cs="Arial" w:eastAsia="Arial" w:hAnsi="Arial"/>
                <w:sz w:val="18"/>
                <w:szCs w:val="18"/>
                <w:color w:val="auto"/>
                <w:w w:val="93"/>
              </w:rPr>
              <w:t>April 30, 2012</w:t>
            </w:r>
          </w:p>
        </w:tc>
      </w:tr>
      <w:tr>
        <w:trPr>
          <w:trHeight w:val="662"/>
        </w:trPr>
        <w:tc>
          <w:tcPr>
            <w:tcW w:w="210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1412"/>
              <w:spacing w:after="0"/>
              <w:rPr>
                <w:sz w:val="20"/>
                <w:szCs w:val="20"/>
                <w:color w:val="auto"/>
              </w:rPr>
            </w:pPr>
            <w:r>
              <w:rPr>
                <w:rFonts w:ascii="Arial" w:cs="Arial" w:eastAsia="Arial" w:hAnsi="Arial"/>
                <w:sz w:val="18"/>
                <w:szCs w:val="18"/>
                <w:color w:val="auto"/>
                <w:w w:val="93"/>
              </w:rPr>
              <w:t>April 30, 2012</w:t>
            </w:r>
          </w:p>
        </w:tc>
      </w:tr>
      <w:tr>
        <w:trPr>
          <w:trHeight w:val="648"/>
        </w:trPr>
        <w:tc>
          <w:tcPr>
            <w:tcW w:w="210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1412"/>
              <w:spacing w:after="0"/>
              <w:rPr>
                <w:sz w:val="20"/>
                <w:szCs w:val="20"/>
                <w:color w:val="auto"/>
              </w:rPr>
            </w:pPr>
            <w:r>
              <w:rPr>
                <w:rFonts w:ascii="Arial" w:cs="Arial" w:eastAsia="Arial" w:hAnsi="Arial"/>
                <w:sz w:val="18"/>
                <w:szCs w:val="18"/>
                <w:color w:val="auto"/>
                <w:w w:val="87"/>
              </w:rPr>
              <w:t>, 2012</w:t>
            </w:r>
          </w:p>
        </w:tc>
      </w:tr>
      <w:tr>
        <w:trPr>
          <w:trHeight w:val="662"/>
        </w:trPr>
        <w:tc>
          <w:tcPr>
            <w:tcW w:w="2100" w:type="dxa"/>
            <w:vAlign w:val="bottom"/>
          </w:tcPr>
          <w:p>
            <w:pPr>
              <w:spacing w:after="0"/>
              <w:rPr>
                <w:sz w:val="20"/>
                <w:szCs w:val="20"/>
                <w:color w:val="auto"/>
              </w:rPr>
            </w:pPr>
            <w:r>
              <w:rPr>
                <w:rFonts w:ascii="Arial" w:cs="Arial" w:eastAsia="Arial" w:hAnsi="Arial"/>
                <w:sz w:val="18"/>
                <w:szCs w:val="18"/>
                <w:color w:val="auto"/>
              </w:rPr>
              <w:t>Director</w:t>
            </w:r>
          </w:p>
        </w:tc>
        <w:tc>
          <w:tcPr>
            <w:tcW w:w="2540" w:type="dxa"/>
            <w:vAlign w:val="bottom"/>
          </w:tcPr>
          <w:p>
            <w:pPr>
              <w:jc w:val="center"/>
              <w:ind w:left="1412"/>
              <w:spacing w:after="0"/>
              <w:rPr>
                <w:sz w:val="20"/>
                <w:szCs w:val="20"/>
                <w:color w:val="auto"/>
              </w:rPr>
            </w:pPr>
            <w:r>
              <w:rPr>
                <w:rFonts w:ascii="Arial" w:cs="Arial" w:eastAsia="Arial" w:hAnsi="Arial"/>
                <w:sz w:val="18"/>
                <w:szCs w:val="18"/>
                <w:color w:val="auto"/>
                <w:w w:val="93"/>
              </w:rPr>
              <w:t>April 30,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-2605405</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II-6</w:t>
      </w:r>
    </w:p>
    <w:p>
      <w:pPr>
        <w:sectPr>
          <w:pgSz w:w="11900" w:h="16838" w:orient="portrait"/>
          <w:cols w:equalWidth="0" w:num="2">
            <w:col w:w="4080" w:space="720"/>
            <w:col w:w="5840"/>
          </w:cols>
          <w:pgMar w:left="1020" w:top="496"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320" w:type="dxa"/>
            <w:vAlign w:val="bottom"/>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3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9"/>
              </w:rPr>
              <w:t>Restated Certificate of Incorporation of the Registrant (incorporated by reference to Exhibit 4.1 to the Registrant’s Registration Statement on</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S-8 (File No. 333-139190) filed on December 8,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9"/>
              </w:rPr>
              <w:t>Amended and Restated By-laws of the Registrant, as amended (incorporated by reference to Exhibit 3.2 to the Registrant’s Annual Report on</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2007 (SEC File No. 333-136622) filed on March 10,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7"/>
              </w:rPr>
              <w:t>Registration Rights Agreement, dated September 22, 2006, among the Registrant and the entities listed on Schedule 1 thereto (incorporated by</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6"/>
              </w:rPr>
              <w:t>reference to Exhibit 4.3 to Amendment No. 1 to the Registrant’s Registration Statement on Form S-1 (File No. 333-136622) filed on</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September 25,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2"/>
              </w:rPr>
              <w:t>Rights Agreement, dated November 14, 2006, between the Registrant and American Stock Transfer &amp; Trust Company (incorporated by</w:t>
            </w:r>
          </w:p>
        </w:tc>
      </w:tr>
      <w:tr>
        <w:trPr>
          <w:trHeight w:val="222"/>
        </w:trPr>
        <w:tc>
          <w:tcPr>
            <w:tcW w:w="720" w:type="dxa"/>
            <w:vAlign w:val="bottom"/>
          </w:tcPr>
          <w:p>
            <w:pPr>
              <w:spacing w:after="0"/>
              <w:rPr>
                <w:sz w:val="19"/>
                <w:szCs w:val="19"/>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7"/>
              </w:rPr>
              <w:t>reference to Exhibit 4.3 to the Registrant’s Registration Statement on Form S-8 (File No. 333-139090) filed on December 8, 2006)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Senior 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Senior Note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Subordinated Note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Certificate of Designation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Opinion of Wilmer Cutler Pickering Hale and Dorr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Calculation of Consolidated Ratios of Earnings to Fixed Charges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 independent registered public accounting firm for the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Powers of Attorney (included in the signature pages to the Registration Statement)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3"/>
              </w:rPr>
              <w:t>The Statement of Eligibility on Form T-1 under the Trust Indenture Act of 1939, as amended, of the Trustee under the Senior 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8"/>
              </w:rPr>
              <w:t>The Statement of Eligibility on Form T-1 under the Trust Indenture Act of 1939, as amended, of the Trustee under the Subordinated Indenture</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by amendment or by a Current Report on Form 8-K and incorporated herein by reference.</w:t>
      </w:r>
    </w:p>
    <w:p>
      <w:pPr>
        <w:spacing w:after="0" w:line="1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 and incorporated herein by reference.</w:t>
      </w:r>
    </w:p>
    <w:p>
      <w:pPr>
        <w:sectPr>
          <w:pgSz w:w="11900" w:h="16838" w:orient="portrait"/>
          <w:cols w:equalWidth="0" w:num="1">
            <w:col w:w="11280"/>
          </w:cols>
          <w:pgMar w:left="240" w:top="274"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4.4</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EMERGENT BIOSOLUTIONS INC.</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220"/>
          </w:cols>
          <w:pgMar w:left="1440" w:top="12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8440" w:type="dxa"/>
            <w:vAlign w:val="bottom"/>
            <w:gridSpan w:val="2"/>
          </w:tcPr>
          <w:p>
            <w:pPr>
              <w:ind w:left="1520"/>
              <w:spacing w:after="0"/>
              <w:rPr>
                <w:sz w:val="20"/>
                <w:szCs w:val="20"/>
                <w:color w:val="auto"/>
              </w:rPr>
            </w:pPr>
            <w:r>
              <w:rPr>
                <w:rFonts w:ascii="Arial" w:cs="Arial" w:eastAsia="Arial" w:hAnsi="Arial"/>
                <w:sz w:val="18"/>
                <w:szCs w:val="18"/>
                <w:color w:val="auto"/>
              </w:rPr>
              <w:t>CROSS-REFERENCE TABLE(1)</w:t>
            </w:r>
          </w:p>
        </w:tc>
        <w:tc>
          <w:tcPr>
            <w:tcW w:w="0" w:type="dxa"/>
            <w:vAlign w:val="bottom"/>
          </w:tcPr>
          <w:p>
            <w:pPr>
              <w:spacing w:after="0"/>
              <w:rPr>
                <w:sz w:val="1"/>
                <w:szCs w:val="1"/>
                <w:color w:val="auto"/>
              </w:rPr>
            </w:pPr>
          </w:p>
        </w:tc>
      </w:tr>
      <w:tr>
        <w:trPr>
          <w:trHeight w:val="342"/>
        </w:trPr>
        <w:tc>
          <w:tcPr>
            <w:tcW w:w="2980" w:type="dxa"/>
            <w:vAlign w:val="bottom"/>
            <w:vMerge w:val="restart"/>
          </w:tcPr>
          <w:p>
            <w:pPr>
              <w:spacing w:after="0"/>
              <w:rPr>
                <w:sz w:val="20"/>
                <w:szCs w:val="20"/>
                <w:color w:val="auto"/>
              </w:rPr>
            </w:pPr>
            <w:r>
              <w:rPr>
                <w:rFonts w:ascii="Arial" w:cs="Arial" w:eastAsia="Arial" w:hAnsi="Arial"/>
                <w:sz w:val="14"/>
                <w:szCs w:val="14"/>
                <w:color w:val="auto"/>
                <w:w w:val="92"/>
              </w:rPr>
              <w:t>Section of Trust Indenture Act of 1939, as amended</w:t>
            </w:r>
          </w:p>
        </w:tc>
        <w:tc>
          <w:tcPr>
            <w:tcW w:w="75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Section of</w:t>
            </w:r>
          </w:p>
        </w:tc>
        <w:tc>
          <w:tcPr>
            <w:tcW w:w="0" w:type="dxa"/>
            <w:vAlign w:val="bottom"/>
          </w:tcPr>
          <w:p>
            <w:pPr>
              <w:spacing w:after="0"/>
              <w:rPr>
                <w:sz w:val="1"/>
                <w:szCs w:val="1"/>
                <w:color w:val="auto"/>
              </w:rPr>
            </w:pPr>
          </w:p>
        </w:tc>
      </w:tr>
      <w:tr>
        <w:trPr>
          <w:trHeight w:val="166"/>
        </w:trPr>
        <w:tc>
          <w:tcPr>
            <w:tcW w:w="2980" w:type="dxa"/>
            <w:vAlign w:val="bottom"/>
            <w:tcBorders>
              <w:bottom w:val="single" w:sz="8" w:color="auto"/>
            </w:tcBorders>
            <w:vMerge w:val="continue"/>
          </w:tcPr>
          <w:p>
            <w:pPr>
              <w:spacing w:after="0"/>
              <w:rPr>
                <w:sz w:val="14"/>
                <w:szCs w:val="14"/>
                <w:color w:val="auto"/>
              </w:rPr>
            </w:pPr>
          </w:p>
        </w:tc>
        <w:tc>
          <w:tcPr>
            <w:tcW w:w="756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color w:val="auto"/>
                <w:w w:val="87"/>
              </w:rPr>
              <w:t>Indenture</w:t>
            </w:r>
          </w:p>
        </w:tc>
        <w:tc>
          <w:tcPr>
            <w:tcW w:w="0" w:type="dxa"/>
            <w:vAlign w:val="bottom"/>
          </w:tcPr>
          <w:p>
            <w:pPr>
              <w:spacing w:after="0"/>
              <w:rPr>
                <w:sz w:val="1"/>
                <w:szCs w:val="1"/>
                <w:color w:val="auto"/>
              </w:rPr>
            </w:pP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310(a)</w:t>
            </w:r>
          </w:p>
        </w:tc>
        <w:tc>
          <w:tcPr>
            <w:tcW w:w="7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310(b)</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310(c)</w:t>
            </w:r>
          </w:p>
        </w:tc>
        <w:tc>
          <w:tcPr>
            <w:tcW w:w="75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311(a)</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311(b)</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311(c)</w:t>
            </w:r>
          </w:p>
        </w:tc>
        <w:tc>
          <w:tcPr>
            <w:tcW w:w="75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312(a)</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312(b)</w:t>
            </w:r>
          </w:p>
        </w:tc>
        <w:tc>
          <w:tcPr>
            <w:tcW w:w="756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312(c)</w:t>
            </w:r>
          </w:p>
        </w:tc>
        <w:tc>
          <w:tcPr>
            <w:tcW w:w="75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313(a)</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313(b)</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313(c)</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313(d)</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314(a)</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314(b)</w:t>
            </w:r>
          </w:p>
        </w:tc>
        <w:tc>
          <w:tcPr>
            <w:tcW w:w="75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314(c)</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9.01(c)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10.01(b)</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314(d)</w:t>
            </w:r>
          </w:p>
        </w:tc>
        <w:tc>
          <w:tcPr>
            <w:tcW w:w="75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314(e)</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314(f)</w:t>
            </w:r>
          </w:p>
        </w:tc>
        <w:tc>
          <w:tcPr>
            <w:tcW w:w="75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315(a)</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315(b)</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315(c)</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315(d)</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315(e)</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316(a)</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316(b)</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316(c)</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317(a)</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317(b)</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318(a)</w:t>
            </w:r>
          </w:p>
        </w:tc>
        <w:tc>
          <w:tcPr>
            <w:tcW w:w="8440" w:type="dxa"/>
            <w:vAlign w:val="bottom"/>
            <w:gridSpan w:val="2"/>
          </w:tcPr>
          <w:p>
            <w:pPr>
              <w:ind w:left="75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Cross-Reference Table does not constitute part of the Indenture and shall not have any bearing on the interpretation of any of its terms or provisions.</w:t>
      </w:r>
    </w:p>
    <w:p>
      <w:pPr>
        <w:sectPr>
          <w:pgSz w:w="11900" w:h="16838" w:orient="portrait"/>
          <w:cols w:equalWidth="0" w:num="1">
            <w:col w:w="11420"/>
          </w:cols>
          <w:pgMar w:left="240" w:top="28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32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r>
      <w:tr>
        <w:trPr>
          <w:trHeight w:val="353"/>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PAGE</w:t>
            </w:r>
          </w:p>
        </w:tc>
      </w:tr>
      <w:tr>
        <w:trPr>
          <w:trHeight w:val="296"/>
        </w:trPr>
        <w:tc>
          <w:tcPr>
            <w:tcW w:w="960" w:type="dxa"/>
            <w:vAlign w:val="bottom"/>
          </w:tcPr>
          <w:p>
            <w:pPr>
              <w:spacing w:after="0"/>
              <w:rPr>
                <w:sz w:val="20"/>
                <w:szCs w:val="20"/>
                <w:color w:val="auto"/>
              </w:rPr>
            </w:pPr>
            <w:r>
              <w:rPr>
                <w:rFonts w:ascii="Arial" w:cs="Arial" w:eastAsia="Arial" w:hAnsi="Arial"/>
                <w:sz w:val="18"/>
                <w:szCs w:val="18"/>
                <w:color w:val="auto"/>
              </w:rPr>
              <w:t>ARTICLE 1</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1.01</w:t>
            </w:r>
          </w:p>
        </w:tc>
        <w:tc>
          <w:tcPr>
            <w:tcW w:w="9320" w:type="dxa"/>
            <w:vAlign w:val="bottom"/>
          </w:tcPr>
          <w:p>
            <w:pPr>
              <w:ind w:left="360"/>
              <w:spacing w:after="0"/>
              <w:rPr>
                <w:sz w:val="20"/>
                <w:szCs w:val="20"/>
                <w:color w:val="auto"/>
              </w:rPr>
            </w:pPr>
            <w:r>
              <w:rPr>
                <w:rFonts w:ascii="Arial" w:cs="Arial" w:eastAsia="Arial" w:hAnsi="Arial"/>
                <w:sz w:val="18"/>
                <w:szCs w:val="18"/>
                <w:color w:val="auto"/>
              </w:rPr>
              <w:t>Certain Terms Defined</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ARTICLE 2</w:t>
            </w:r>
          </w:p>
        </w:tc>
        <w:tc>
          <w:tcPr>
            <w:tcW w:w="10020" w:type="dxa"/>
            <w:vAlign w:val="bottom"/>
            <w:gridSpan w:val="2"/>
          </w:tcPr>
          <w:p>
            <w:pPr>
              <w:ind w:left="80"/>
              <w:spacing w:after="0"/>
              <w:rPr>
                <w:sz w:val="20"/>
                <w:szCs w:val="20"/>
                <w:color w:val="auto"/>
              </w:rPr>
            </w:pPr>
            <w:r>
              <w:rPr>
                <w:rFonts w:ascii="Arial" w:cs="Arial" w:eastAsia="Arial" w:hAnsi="Arial"/>
                <w:sz w:val="18"/>
                <w:szCs w:val="18"/>
                <w:color w:val="auto"/>
              </w:rPr>
              <w:t>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2.01</w:t>
            </w:r>
          </w:p>
        </w:tc>
        <w:tc>
          <w:tcPr>
            <w:tcW w:w="9320" w:type="dxa"/>
            <w:vAlign w:val="bottom"/>
          </w:tcPr>
          <w:p>
            <w:pPr>
              <w:ind w:left="360"/>
              <w:spacing w:after="0"/>
              <w:rPr>
                <w:sz w:val="20"/>
                <w:szCs w:val="20"/>
                <w:color w:val="auto"/>
              </w:rPr>
            </w:pPr>
            <w:r>
              <w:rPr>
                <w:rFonts w:ascii="Arial" w:cs="Arial" w:eastAsia="Arial" w:hAnsi="Arial"/>
                <w:sz w:val="18"/>
                <w:szCs w:val="18"/>
                <w:color w:val="auto"/>
              </w:rPr>
              <w:t>Forms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2.02</w:t>
            </w:r>
          </w:p>
        </w:tc>
        <w:tc>
          <w:tcPr>
            <w:tcW w:w="9320" w:type="dxa"/>
            <w:vAlign w:val="bottom"/>
          </w:tcPr>
          <w:p>
            <w:pPr>
              <w:ind w:left="360"/>
              <w:spacing w:after="0"/>
              <w:rPr>
                <w:sz w:val="20"/>
                <w:szCs w:val="20"/>
                <w:color w:val="auto"/>
              </w:rPr>
            </w:pPr>
            <w:r>
              <w:rPr>
                <w:rFonts w:ascii="Arial" w:cs="Arial" w:eastAsia="Arial" w:hAnsi="Arial"/>
                <w:sz w:val="18"/>
                <w:szCs w:val="18"/>
                <w:color w:val="auto"/>
              </w:rPr>
              <w:t>Form of Trustee’s Certificate of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2.03</w:t>
            </w:r>
          </w:p>
        </w:tc>
        <w:tc>
          <w:tcPr>
            <w:tcW w:w="9320" w:type="dxa"/>
            <w:vAlign w:val="bottom"/>
          </w:tcPr>
          <w:p>
            <w:pPr>
              <w:ind w:left="360"/>
              <w:spacing w:after="0"/>
              <w:rPr>
                <w:sz w:val="20"/>
                <w:szCs w:val="20"/>
                <w:color w:val="auto"/>
              </w:rPr>
            </w:pPr>
            <w:r>
              <w:rPr>
                <w:rFonts w:ascii="Arial" w:cs="Arial" w:eastAsia="Arial" w:hAnsi="Arial"/>
                <w:sz w:val="18"/>
                <w:szCs w:val="18"/>
                <w:color w:val="auto"/>
              </w:rPr>
              <w:t>Amount Unlimited; Issuable in Series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2.04</w:t>
            </w:r>
          </w:p>
        </w:tc>
        <w:tc>
          <w:tcPr>
            <w:tcW w:w="9320" w:type="dxa"/>
            <w:vAlign w:val="bottom"/>
          </w:tcPr>
          <w:p>
            <w:pPr>
              <w:ind w:left="360"/>
              <w:spacing w:after="0"/>
              <w:rPr>
                <w:sz w:val="20"/>
                <w:szCs w:val="20"/>
                <w:color w:val="auto"/>
              </w:rPr>
            </w:pPr>
            <w:r>
              <w:rPr>
                <w:rFonts w:ascii="Arial" w:cs="Arial" w:eastAsia="Arial" w:hAnsi="Arial"/>
                <w:sz w:val="18"/>
                <w:szCs w:val="18"/>
                <w:color w:val="auto"/>
              </w:rPr>
              <w:t>Authentication and Delivery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2.05</w:t>
            </w:r>
          </w:p>
        </w:tc>
        <w:tc>
          <w:tcPr>
            <w:tcW w:w="9320" w:type="dxa"/>
            <w:vAlign w:val="bottom"/>
          </w:tcPr>
          <w:p>
            <w:pPr>
              <w:ind w:left="360"/>
              <w:spacing w:after="0"/>
              <w:rPr>
                <w:sz w:val="20"/>
                <w:szCs w:val="20"/>
                <w:color w:val="auto"/>
              </w:rPr>
            </w:pPr>
            <w:r>
              <w:rPr>
                <w:rFonts w:ascii="Arial" w:cs="Arial" w:eastAsia="Arial" w:hAnsi="Arial"/>
                <w:sz w:val="18"/>
                <w:szCs w:val="18"/>
                <w:color w:val="auto"/>
              </w:rPr>
              <w:t>Execution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2.06</w:t>
            </w:r>
          </w:p>
        </w:tc>
        <w:tc>
          <w:tcPr>
            <w:tcW w:w="9320" w:type="dxa"/>
            <w:vAlign w:val="bottom"/>
          </w:tcPr>
          <w:p>
            <w:pPr>
              <w:ind w:left="360"/>
              <w:spacing w:after="0"/>
              <w:rPr>
                <w:sz w:val="20"/>
                <w:szCs w:val="20"/>
                <w:color w:val="auto"/>
              </w:rPr>
            </w:pPr>
            <w:r>
              <w:rPr>
                <w:rFonts w:ascii="Arial" w:cs="Arial" w:eastAsia="Arial" w:hAnsi="Arial"/>
                <w:sz w:val="18"/>
                <w:szCs w:val="18"/>
                <w:color w:val="auto"/>
              </w:rPr>
              <w:t>Certificate of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2.07</w:t>
            </w:r>
          </w:p>
        </w:tc>
        <w:tc>
          <w:tcPr>
            <w:tcW w:w="9320" w:type="dxa"/>
            <w:vAlign w:val="bottom"/>
          </w:tcPr>
          <w:p>
            <w:pPr>
              <w:ind w:left="360"/>
              <w:spacing w:after="0"/>
              <w:rPr>
                <w:sz w:val="20"/>
                <w:szCs w:val="20"/>
                <w:color w:val="auto"/>
              </w:rPr>
            </w:pPr>
            <w:r>
              <w:rPr>
                <w:rFonts w:ascii="Arial" w:cs="Arial" w:eastAsia="Arial" w:hAnsi="Arial"/>
                <w:sz w:val="18"/>
                <w:szCs w:val="18"/>
                <w:color w:val="auto"/>
              </w:rPr>
              <w:t>Denomination and Date of Securities; Payments of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2.08</w:t>
            </w:r>
          </w:p>
        </w:tc>
        <w:tc>
          <w:tcPr>
            <w:tcW w:w="9320" w:type="dxa"/>
            <w:vAlign w:val="bottom"/>
          </w:tcPr>
          <w:p>
            <w:pPr>
              <w:ind w:left="360"/>
              <w:spacing w:after="0"/>
              <w:rPr>
                <w:sz w:val="20"/>
                <w:szCs w:val="20"/>
                <w:color w:val="auto"/>
              </w:rPr>
            </w:pPr>
            <w:r>
              <w:rPr>
                <w:rFonts w:ascii="Arial" w:cs="Arial" w:eastAsia="Arial" w:hAnsi="Arial"/>
                <w:sz w:val="18"/>
                <w:szCs w:val="18"/>
                <w:color w:val="auto"/>
              </w:rPr>
              <w:t>Registration, Transfer and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2.09</w:t>
            </w:r>
          </w:p>
        </w:tc>
        <w:tc>
          <w:tcPr>
            <w:tcW w:w="9320" w:type="dxa"/>
            <w:vAlign w:val="bottom"/>
          </w:tcPr>
          <w:p>
            <w:pPr>
              <w:ind w:left="360"/>
              <w:spacing w:after="0"/>
              <w:rPr>
                <w:sz w:val="20"/>
                <w:szCs w:val="20"/>
                <w:color w:val="auto"/>
              </w:rPr>
            </w:pPr>
            <w:r>
              <w:rPr>
                <w:rFonts w:ascii="Arial" w:cs="Arial" w:eastAsia="Arial" w:hAnsi="Arial"/>
                <w:sz w:val="18"/>
                <w:szCs w:val="18"/>
                <w:color w:val="auto"/>
              </w:rPr>
              <w:t>Mutilated, Defaced, Destroyed, Lost and Stolen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2.10</w:t>
            </w:r>
          </w:p>
        </w:tc>
        <w:tc>
          <w:tcPr>
            <w:tcW w:w="9320" w:type="dxa"/>
            <w:vAlign w:val="bottom"/>
          </w:tcPr>
          <w:p>
            <w:pPr>
              <w:ind w:left="360"/>
              <w:spacing w:after="0"/>
              <w:rPr>
                <w:sz w:val="20"/>
                <w:szCs w:val="20"/>
                <w:color w:val="auto"/>
              </w:rPr>
            </w:pPr>
            <w:r>
              <w:rPr>
                <w:rFonts w:ascii="Arial" w:cs="Arial" w:eastAsia="Arial" w:hAnsi="Arial"/>
                <w:sz w:val="18"/>
                <w:szCs w:val="18"/>
                <w:color w:val="auto"/>
              </w:rPr>
              <w:t>Cancellation of Securities; Destruction Thereof</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2.11</w:t>
            </w:r>
          </w:p>
        </w:tc>
        <w:tc>
          <w:tcPr>
            <w:tcW w:w="9320" w:type="dxa"/>
            <w:vAlign w:val="bottom"/>
          </w:tcPr>
          <w:p>
            <w:pPr>
              <w:ind w:left="360"/>
              <w:spacing w:after="0"/>
              <w:rPr>
                <w:sz w:val="20"/>
                <w:szCs w:val="20"/>
                <w:color w:val="auto"/>
              </w:rPr>
            </w:pPr>
            <w:r>
              <w:rPr>
                <w:rFonts w:ascii="Arial" w:cs="Arial" w:eastAsia="Arial" w:hAnsi="Arial"/>
                <w:sz w:val="18"/>
                <w:szCs w:val="18"/>
                <w:color w:val="auto"/>
              </w:rPr>
              <w:t>Temporary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0980" w:type="dxa"/>
            <w:vAlign w:val="bottom"/>
            <w:gridSpan w:val="3"/>
          </w:tcPr>
          <w:p>
            <w:pPr>
              <w:spacing w:after="0"/>
              <w:rPr>
                <w:sz w:val="20"/>
                <w:szCs w:val="20"/>
                <w:color w:val="auto"/>
              </w:rPr>
            </w:pPr>
            <w:r>
              <w:rPr>
                <w:rFonts w:ascii="Arial" w:cs="Arial" w:eastAsia="Arial" w:hAnsi="Arial"/>
                <w:sz w:val="18"/>
                <w:szCs w:val="18"/>
                <w:color w:val="auto"/>
              </w:rPr>
              <w:t>ARTICLE 3  COVENANTS OF THE ISSUER</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3.01</w:t>
            </w:r>
          </w:p>
        </w:tc>
        <w:tc>
          <w:tcPr>
            <w:tcW w:w="9320" w:type="dxa"/>
            <w:vAlign w:val="bottom"/>
          </w:tcPr>
          <w:p>
            <w:pPr>
              <w:ind w:left="360"/>
              <w:spacing w:after="0"/>
              <w:rPr>
                <w:sz w:val="20"/>
                <w:szCs w:val="20"/>
                <w:color w:val="auto"/>
              </w:rPr>
            </w:pPr>
            <w:r>
              <w:rPr>
                <w:rFonts w:ascii="Arial" w:cs="Arial" w:eastAsia="Arial" w:hAnsi="Arial"/>
                <w:sz w:val="18"/>
                <w:szCs w:val="18"/>
                <w:color w:val="auto"/>
              </w:rPr>
              <w:t>Payment of Principal and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3.02</w:t>
            </w:r>
          </w:p>
        </w:tc>
        <w:tc>
          <w:tcPr>
            <w:tcW w:w="9320" w:type="dxa"/>
            <w:vAlign w:val="bottom"/>
          </w:tcPr>
          <w:p>
            <w:pPr>
              <w:ind w:left="360"/>
              <w:spacing w:after="0"/>
              <w:rPr>
                <w:sz w:val="20"/>
                <w:szCs w:val="20"/>
                <w:color w:val="auto"/>
              </w:rPr>
            </w:pPr>
            <w:r>
              <w:rPr>
                <w:rFonts w:ascii="Arial" w:cs="Arial" w:eastAsia="Arial" w:hAnsi="Arial"/>
                <w:sz w:val="18"/>
                <w:szCs w:val="18"/>
                <w:color w:val="auto"/>
              </w:rPr>
              <w:t>Offices for Payments, Etc</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3.03</w:t>
            </w:r>
          </w:p>
        </w:tc>
        <w:tc>
          <w:tcPr>
            <w:tcW w:w="9320" w:type="dxa"/>
            <w:vAlign w:val="bottom"/>
          </w:tcPr>
          <w:p>
            <w:pPr>
              <w:ind w:left="360"/>
              <w:spacing w:after="0"/>
              <w:rPr>
                <w:sz w:val="20"/>
                <w:szCs w:val="20"/>
                <w:color w:val="auto"/>
              </w:rPr>
            </w:pPr>
            <w:r>
              <w:rPr>
                <w:rFonts w:ascii="Arial" w:cs="Arial" w:eastAsia="Arial" w:hAnsi="Arial"/>
                <w:sz w:val="18"/>
                <w:szCs w:val="18"/>
                <w:color w:val="auto"/>
              </w:rPr>
              <w:t>Appointment to Fill a Vacancy in Office of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3.04</w:t>
            </w:r>
          </w:p>
        </w:tc>
        <w:tc>
          <w:tcPr>
            <w:tcW w:w="9320" w:type="dxa"/>
            <w:vAlign w:val="bottom"/>
          </w:tcPr>
          <w:p>
            <w:pPr>
              <w:ind w:left="360"/>
              <w:spacing w:after="0"/>
              <w:rPr>
                <w:sz w:val="20"/>
                <w:szCs w:val="20"/>
                <w:color w:val="auto"/>
              </w:rPr>
            </w:pPr>
            <w:r>
              <w:rPr>
                <w:rFonts w:ascii="Arial" w:cs="Arial" w:eastAsia="Arial" w:hAnsi="Arial"/>
                <w:sz w:val="18"/>
                <w:szCs w:val="18"/>
                <w:color w:val="auto"/>
              </w:rPr>
              <w:t>Paying Agents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3.05</w:t>
            </w:r>
          </w:p>
        </w:tc>
        <w:tc>
          <w:tcPr>
            <w:tcW w:w="9320" w:type="dxa"/>
            <w:vAlign w:val="bottom"/>
          </w:tcPr>
          <w:p>
            <w:pPr>
              <w:ind w:left="360"/>
              <w:spacing w:after="0"/>
              <w:rPr>
                <w:sz w:val="20"/>
                <w:szCs w:val="20"/>
                <w:color w:val="auto"/>
              </w:rPr>
            </w:pPr>
            <w:r>
              <w:rPr>
                <w:rFonts w:ascii="Arial" w:cs="Arial" w:eastAsia="Arial" w:hAnsi="Arial"/>
                <w:sz w:val="18"/>
                <w:szCs w:val="18"/>
                <w:color w:val="auto"/>
              </w:rPr>
              <w:t>Written Statement to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980" w:type="dxa"/>
            <w:vAlign w:val="bottom"/>
            <w:gridSpan w:val="3"/>
          </w:tcPr>
          <w:p>
            <w:pPr>
              <w:spacing w:after="0"/>
              <w:rPr>
                <w:sz w:val="20"/>
                <w:szCs w:val="20"/>
                <w:color w:val="auto"/>
              </w:rPr>
            </w:pPr>
            <w:r>
              <w:rPr>
                <w:rFonts w:ascii="Arial" w:cs="Arial" w:eastAsia="Arial" w:hAnsi="Arial"/>
                <w:sz w:val="18"/>
                <w:szCs w:val="18"/>
                <w:color w:val="auto"/>
              </w:rPr>
              <w:t>ARTICLE 4  SECURITYHOLDERS LISTS AND REPORTS BY THE ISSUER AND THE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4.01</w:t>
            </w:r>
          </w:p>
        </w:tc>
        <w:tc>
          <w:tcPr>
            <w:tcW w:w="9320" w:type="dxa"/>
            <w:vAlign w:val="bottom"/>
          </w:tcPr>
          <w:p>
            <w:pPr>
              <w:ind w:left="360"/>
              <w:spacing w:after="0"/>
              <w:rPr>
                <w:sz w:val="20"/>
                <w:szCs w:val="20"/>
                <w:color w:val="auto"/>
              </w:rPr>
            </w:pPr>
            <w:r>
              <w:rPr>
                <w:rFonts w:ascii="Arial" w:cs="Arial" w:eastAsia="Arial" w:hAnsi="Arial"/>
                <w:sz w:val="18"/>
                <w:szCs w:val="18"/>
                <w:color w:val="auto"/>
              </w:rPr>
              <w:t>Issuer to Furnish Trustee Information as to Names and Addresses of Securityholders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4.02</w:t>
            </w:r>
          </w:p>
        </w:tc>
        <w:tc>
          <w:tcPr>
            <w:tcW w:w="9320" w:type="dxa"/>
            <w:vAlign w:val="bottom"/>
          </w:tcPr>
          <w:p>
            <w:pPr>
              <w:ind w:left="360"/>
              <w:spacing w:after="0"/>
              <w:rPr>
                <w:sz w:val="20"/>
                <w:szCs w:val="20"/>
                <w:color w:val="auto"/>
              </w:rPr>
            </w:pPr>
            <w:r>
              <w:rPr>
                <w:rFonts w:ascii="Arial" w:cs="Arial" w:eastAsia="Arial" w:hAnsi="Arial"/>
                <w:sz w:val="18"/>
                <w:szCs w:val="18"/>
                <w:color w:val="auto"/>
              </w:rPr>
              <w:t>Reports by the Issuer</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4.03</w:t>
            </w:r>
          </w:p>
        </w:tc>
        <w:tc>
          <w:tcPr>
            <w:tcW w:w="9320" w:type="dxa"/>
            <w:vAlign w:val="bottom"/>
          </w:tcPr>
          <w:p>
            <w:pPr>
              <w:ind w:left="360"/>
              <w:spacing w:after="0"/>
              <w:rPr>
                <w:sz w:val="20"/>
                <w:szCs w:val="20"/>
                <w:color w:val="auto"/>
              </w:rPr>
            </w:pPr>
            <w:r>
              <w:rPr>
                <w:rFonts w:ascii="Arial" w:cs="Arial" w:eastAsia="Arial" w:hAnsi="Arial"/>
                <w:sz w:val="18"/>
                <w:szCs w:val="18"/>
                <w:color w:val="auto"/>
              </w:rPr>
              <w:t>Reports by the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4.04</w:t>
            </w:r>
          </w:p>
        </w:tc>
        <w:tc>
          <w:tcPr>
            <w:tcW w:w="9320" w:type="dxa"/>
            <w:vAlign w:val="bottom"/>
          </w:tcPr>
          <w:p>
            <w:pPr>
              <w:ind w:left="360"/>
              <w:spacing w:after="0"/>
              <w:rPr>
                <w:sz w:val="20"/>
                <w:szCs w:val="20"/>
                <w:color w:val="auto"/>
              </w:rPr>
            </w:pPr>
            <w:r>
              <w:rPr>
                <w:rFonts w:ascii="Arial" w:cs="Arial" w:eastAsia="Arial" w:hAnsi="Arial"/>
                <w:sz w:val="18"/>
                <w:szCs w:val="18"/>
                <w:color w:val="auto"/>
              </w:rPr>
              <w:t>Preservation of Information; Communication with Securityholders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0980" w:type="dxa"/>
            <w:vAlign w:val="bottom"/>
            <w:gridSpan w:val="3"/>
          </w:tcPr>
          <w:p>
            <w:pPr>
              <w:spacing w:after="0"/>
              <w:rPr>
                <w:sz w:val="20"/>
                <w:szCs w:val="20"/>
                <w:color w:val="auto"/>
              </w:rPr>
            </w:pPr>
            <w:r>
              <w:rPr>
                <w:rFonts w:ascii="Arial" w:cs="Arial" w:eastAsia="Arial" w:hAnsi="Arial"/>
                <w:sz w:val="18"/>
                <w:szCs w:val="18"/>
                <w:color w:val="auto"/>
              </w:rPr>
              <w:t>ARTICLE 5  REMEDIES OF THE TRUSTEE AND SECURITYHOLDERS ON EVENT OF DEFAULT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5.01</w:t>
            </w:r>
          </w:p>
        </w:tc>
        <w:tc>
          <w:tcPr>
            <w:tcW w:w="9320" w:type="dxa"/>
            <w:vAlign w:val="bottom"/>
          </w:tcPr>
          <w:p>
            <w:pPr>
              <w:ind w:left="360"/>
              <w:spacing w:after="0"/>
              <w:rPr>
                <w:sz w:val="20"/>
                <w:szCs w:val="20"/>
                <w:color w:val="auto"/>
              </w:rPr>
            </w:pPr>
            <w:r>
              <w:rPr>
                <w:rFonts w:ascii="Arial" w:cs="Arial" w:eastAsia="Arial" w:hAnsi="Arial"/>
                <w:sz w:val="18"/>
                <w:szCs w:val="18"/>
                <w:color w:val="auto"/>
              </w:rPr>
              <w:t>Event of Default Defined; Acceleration of Maturity; Waiver of Default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5.02</w:t>
            </w:r>
          </w:p>
        </w:tc>
        <w:tc>
          <w:tcPr>
            <w:tcW w:w="9320" w:type="dxa"/>
            <w:vAlign w:val="bottom"/>
          </w:tcPr>
          <w:p>
            <w:pPr>
              <w:ind w:left="360"/>
              <w:spacing w:after="0"/>
              <w:rPr>
                <w:sz w:val="20"/>
                <w:szCs w:val="20"/>
                <w:color w:val="auto"/>
              </w:rPr>
            </w:pPr>
            <w:r>
              <w:rPr>
                <w:rFonts w:ascii="Arial" w:cs="Arial" w:eastAsia="Arial" w:hAnsi="Arial"/>
                <w:sz w:val="18"/>
                <w:szCs w:val="18"/>
                <w:color w:val="auto"/>
              </w:rPr>
              <w:t>Collection of Debt by Trustee; Trustee May Prove Debt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5.03</w:t>
            </w:r>
          </w:p>
        </w:tc>
        <w:tc>
          <w:tcPr>
            <w:tcW w:w="9320" w:type="dxa"/>
            <w:vAlign w:val="bottom"/>
          </w:tcPr>
          <w:p>
            <w:pPr>
              <w:ind w:left="360"/>
              <w:spacing w:after="0"/>
              <w:rPr>
                <w:sz w:val="20"/>
                <w:szCs w:val="20"/>
                <w:color w:val="auto"/>
              </w:rPr>
            </w:pPr>
            <w:r>
              <w:rPr>
                <w:rFonts w:ascii="Arial" w:cs="Arial" w:eastAsia="Arial" w:hAnsi="Arial"/>
                <w:sz w:val="18"/>
                <w:szCs w:val="18"/>
                <w:color w:val="auto"/>
              </w:rPr>
              <w:t>Application of Proceeds</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5.04</w:t>
            </w:r>
          </w:p>
        </w:tc>
        <w:tc>
          <w:tcPr>
            <w:tcW w:w="9320" w:type="dxa"/>
            <w:vAlign w:val="bottom"/>
          </w:tcPr>
          <w:p>
            <w:pPr>
              <w:ind w:left="360"/>
              <w:spacing w:after="0"/>
              <w:rPr>
                <w:sz w:val="20"/>
                <w:szCs w:val="20"/>
                <w:color w:val="auto"/>
              </w:rPr>
            </w:pPr>
            <w:r>
              <w:rPr>
                <w:rFonts w:ascii="Arial" w:cs="Arial" w:eastAsia="Arial" w:hAnsi="Arial"/>
                <w:sz w:val="18"/>
                <w:szCs w:val="18"/>
                <w:color w:val="auto"/>
              </w:rPr>
              <w:t>Suits for Enforcement</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5.05</w:t>
            </w:r>
          </w:p>
        </w:tc>
        <w:tc>
          <w:tcPr>
            <w:tcW w:w="9320" w:type="dxa"/>
            <w:vAlign w:val="bottom"/>
          </w:tcPr>
          <w:p>
            <w:pPr>
              <w:ind w:left="360"/>
              <w:spacing w:after="0"/>
              <w:rPr>
                <w:sz w:val="20"/>
                <w:szCs w:val="20"/>
                <w:color w:val="auto"/>
              </w:rPr>
            </w:pPr>
            <w:r>
              <w:rPr>
                <w:rFonts w:ascii="Arial" w:cs="Arial" w:eastAsia="Arial" w:hAnsi="Arial"/>
                <w:sz w:val="18"/>
                <w:szCs w:val="18"/>
                <w:color w:val="auto"/>
              </w:rPr>
              <w:t>Restoration of Rights on Abandonment of Proceedings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5.06</w:t>
            </w:r>
          </w:p>
        </w:tc>
        <w:tc>
          <w:tcPr>
            <w:tcW w:w="9320" w:type="dxa"/>
            <w:vAlign w:val="bottom"/>
          </w:tcPr>
          <w:p>
            <w:pPr>
              <w:ind w:left="360"/>
              <w:spacing w:after="0"/>
              <w:rPr>
                <w:sz w:val="20"/>
                <w:szCs w:val="20"/>
                <w:color w:val="auto"/>
              </w:rPr>
            </w:pPr>
            <w:r>
              <w:rPr>
                <w:rFonts w:ascii="Arial" w:cs="Arial" w:eastAsia="Arial" w:hAnsi="Arial"/>
                <w:sz w:val="18"/>
                <w:szCs w:val="18"/>
                <w:color w:val="auto"/>
              </w:rPr>
              <w:t>Limitations on Suits by Securityholders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5.07</w:t>
            </w:r>
          </w:p>
        </w:tc>
        <w:tc>
          <w:tcPr>
            <w:tcW w:w="9320" w:type="dxa"/>
            <w:vAlign w:val="bottom"/>
          </w:tcPr>
          <w:p>
            <w:pPr>
              <w:ind w:left="360"/>
              <w:spacing w:after="0"/>
              <w:rPr>
                <w:sz w:val="20"/>
                <w:szCs w:val="20"/>
                <w:color w:val="auto"/>
              </w:rPr>
            </w:pPr>
            <w:r>
              <w:rPr>
                <w:rFonts w:ascii="Arial" w:cs="Arial" w:eastAsia="Arial" w:hAnsi="Arial"/>
                <w:sz w:val="18"/>
                <w:szCs w:val="18"/>
                <w:color w:val="auto"/>
              </w:rPr>
              <w:t>Unconditional Right of Securityholders to Institute Certain Suits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5.08</w:t>
            </w:r>
          </w:p>
        </w:tc>
        <w:tc>
          <w:tcPr>
            <w:tcW w:w="8340" w:type="dxa"/>
            <w:vAlign w:val="bottom"/>
          </w:tcPr>
          <w:p>
            <w:pPr>
              <w:ind w:left="260"/>
              <w:spacing w:after="0"/>
              <w:rPr>
                <w:sz w:val="20"/>
                <w:szCs w:val="20"/>
                <w:color w:val="auto"/>
              </w:rPr>
            </w:pPr>
            <w:r>
              <w:rPr>
                <w:rFonts w:ascii="Arial" w:cs="Arial" w:eastAsia="Arial" w:hAnsi="Arial"/>
                <w:sz w:val="18"/>
                <w:szCs w:val="18"/>
                <w:color w:val="auto"/>
              </w:rPr>
              <w:t>Powers and Remedies Cumulative; Delay or Omission Not Waiver of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5.09</w:t>
            </w:r>
          </w:p>
        </w:tc>
        <w:tc>
          <w:tcPr>
            <w:tcW w:w="8340" w:type="dxa"/>
            <w:vAlign w:val="bottom"/>
          </w:tcPr>
          <w:p>
            <w:pPr>
              <w:ind w:left="260"/>
              <w:spacing w:after="0"/>
              <w:rPr>
                <w:sz w:val="20"/>
                <w:szCs w:val="20"/>
                <w:color w:val="auto"/>
              </w:rPr>
            </w:pPr>
            <w:r>
              <w:rPr>
                <w:rFonts w:ascii="Arial" w:cs="Arial" w:eastAsia="Arial" w:hAnsi="Arial"/>
                <w:sz w:val="18"/>
                <w:szCs w:val="18"/>
                <w:color w:val="auto"/>
              </w:rPr>
              <w:t>Control by Holders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8340" w:type="dxa"/>
            <w:vAlign w:val="bottom"/>
          </w:tcPr>
          <w:p>
            <w:pPr>
              <w:ind w:left="260"/>
              <w:spacing w:after="0"/>
              <w:rPr>
                <w:sz w:val="20"/>
                <w:szCs w:val="20"/>
                <w:color w:val="auto"/>
              </w:rPr>
            </w:pPr>
            <w:r>
              <w:rPr>
                <w:rFonts w:ascii="Arial" w:cs="Arial" w:eastAsia="Arial" w:hAnsi="Arial"/>
                <w:sz w:val="18"/>
                <w:szCs w:val="18"/>
                <w:color w:val="auto"/>
              </w:rPr>
              <w:t>Waiver of Past Defaults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8340" w:type="dxa"/>
            <w:vAlign w:val="bottom"/>
          </w:tcPr>
          <w:p>
            <w:pPr>
              <w:ind w:left="260"/>
              <w:spacing w:after="0"/>
              <w:rPr>
                <w:sz w:val="20"/>
                <w:szCs w:val="20"/>
                <w:color w:val="auto"/>
              </w:rPr>
            </w:pPr>
            <w:r>
              <w:rPr>
                <w:rFonts w:ascii="Arial" w:cs="Arial" w:eastAsia="Arial" w:hAnsi="Arial"/>
                <w:sz w:val="18"/>
                <w:szCs w:val="18"/>
                <w:color w:val="auto"/>
              </w:rPr>
              <w:t>Trustee to Give Notice of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8340" w:type="dxa"/>
            <w:vAlign w:val="bottom"/>
          </w:tcPr>
          <w:p>
            <w:pPr>
              <w:ind w:left="260"/>
              <w:spacing w:after="0"/>
              <w:rPr>
                <w:sz w:val="20"/>
                <w:szCs w:val="20"/>
                <w:color w:val="auto"/>
              </w:rPr>
            </w:pPr>
            <w:r>
              <w:rPr>
                <w:rFonts w:ascii="Arial" w:cs="Arial" w:eastAsia="Arial" w:hAnsi="Arial"/>
                <w:sz w:val="18"/>
                <w:szCs w:val="18"/>
                <w:color w:val="auto"/>
              </w:rPr>
              <w:t>Right of Court to Require Filing of Undertaking to Pay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6  CONCERNING THE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6.01</w:t>
            </w:r>
          </w:p>
        </w:tc>
        <w:tc>
          <w:tcPr>
            <w:tcW w:w="8340" w:type="dxa"/>
            <w:vAlign w:val="bottom"/>
          </w:tcPr>
          <w:p>
            <w:pPr>
              <w:ind w:left="26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6.02</w:t>
            </w:r>
          </w:p>
        </w:tc>
        <w:tc>
          <w:tcPr>
            <w:tcW w:w="8340" w:type="dxa"/>
            <w:vAlign w:val="bottom"/>
          </w:tcPr>
          <w:p>
            <w:pPr>
              <w:ind w:left="260"/>
              <w:spacing w:after="0"/>
              <w:rPr>
                <w:sz w:val="20"/>
                <w:szCs w:val="20"/>
                <w:color w:val="auto"/>
              </w:rPr>
            </w:pPr>
            <w:r>
              <w:rPr>
                <w:rFonts w:ascii="Arial" w:cs="Arial" w:eastAsia="Arial" w:hAnsi="Arial"/>
                <w:sz w:val="18"/>
                <w:szCs w:val="18"/>
                <w:color w:val="auto"/>
              </w:rPr>
              <w:t>Certain Rights of the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6.03</w:t>
            </w:r>
          </w:p>
        </w:tc>
        <w:tc>
          <w:tcPr>
            <w:tcW w:w="8340" w:type="dxa"/>
            <w:vAlign w:val="bottom"/>
          </w:tcPr>
          <w:p>
            <w:pPr>
              <w:ind w:left="26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6.04</w:t>
            </w:r>
          </w:p>
        </w:tc>
        <w:tc>
          <w:tcPr>
            <w:tcW w:w="8340" w:type="dxa"/>
            <w:vAlign w:val="bottom"/>
          </w:tcPr>
          <w:p>
            <w:pPr>
              <w:ind w:left="260"/>
              <w:spacing w:after="0"/>
              <w:rPr>
                <w:sz w:val="20"/>
                <w:szCs w:val="20"/>
                <w:color w:val="auto"/>
              </w:rPr>
            </w:pPr>
            <w:r>
              <w:rPr>
                <w:rFonts w:ascii="Arial" w:cs="Arial" w:eastAsia="Arial" w:hAnsi="Arial"/>
                <w:sz w:val="18"/>
                <w:szCs w:val="18"/>
                <w:color w:val="auto"/>
              </w:rPr>
              <w:t>Trustee and Agents May Hold Securities; Collections, Etc</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6.05</w:t>
            </w:r>
          </w:p>
        </w:tc>
        <w:tc>
          <w:tcPr>
            <w:tcW w:w="8340" w:type="dxa"/>
            <w:vAlign w:val="bottom"/>
          </w:tcPr>
          <w:p>
            <w:pPr>
              <w:ind w:left="260"/>
              <w:spacing w:after="0"/>
              <w:rPr>
                <w:sz w:val="20"/>
                <w:szCs w:val="20"/>
                <w:color w:val="auto"/>
              </w:rPr>
            </w:pPr>
            <w:r>
              <w:rPr>
                <w:rFonts w:ascii="Arial" w:cs="Arial" w:eastAsia="Arial" w:hAnsi="Arial"/>
                <w:sz w:val="18"/>
                <w:szCs w:val="18"/>
                <w:color w:val="auto"/>
              </w:rPr>
              <w:t>Moneys Held by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6.06</w:t>
            </w:r>
          </w:p>
        </w:tc>
        <w:tc>
          <w:tcPr>
            <w:tcW w:w="8340" w:type="dxa"/>
            <w:vAlign w:val="bottom"/>
          </w:tcPr>
          <w:p>
            <w:pPr>
              <w:ind w:left="260"/>
              <w:spacing w:after="0"/>
              <w:rPr>
                <w:sz w:val="20"/>
                <w:szCs w:val="20"/>
                <w:color w:val="auto"/>
              </w:rPr>
            </w:pPr>
            <w:r>
              <w:rPr>
                <w:rFonts w:ascii="Arial" w:cs="Arial" w:eastAsia="Arial" w:hAnsi="Arial"/>
                <w:sz w:val="18"/>
                <w:szCs w:val="18"/>
                <w:color w:val="auto"/>
              </w:rPr>
              <w:t>Compensation and Indemnification of Trustee and Its Prior Claim</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6.07</w:t>
            </w:r>
          </w:p>
        </w:tc>
        <w:tc>
          <w:tcPr>
            <w:tcW w:w="8340" w:type="dxa"/>
            <w:vAlign w:val="bottom"/>
          </w:tcPr>
          <w:p>
            <w:pPr>
              <w:ind w:left="260"/>
              <w:spacing w:after="0"/>
              <w:rPr>
                <w:sz w:val="20"/>
                <w:szCs w:val="20"/>
                <w:color w:val="auto"/>
              </w:rPr>
            </w:pPr>
            <w:r>
              <w:rPr>
                <w:rFonts w:ascii="Arial" w:cs="Arial" w:eastAsia="Arial" w:hAnsi="Arial"/>
                <w:sz w:val="18"/>
                <w:szCs w:val="18"/>
                <w:color w:val="auto"/>
              </w:rPr>
              <w:t>Right of Trustee to Rely on Officer’s Certificate, Etc</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6.08</w:t>
            </w:r>
          </w:p>
        </w:tc>
        <w:tc>
          <w:tcPr>
            <w:tcW w:w="8340" w:type="dxa"/>
            <w:vAlign w:val="bottom"/>
          </w:tcPr>
          <w:p>
            <w:pPr>
              <w:ind w:left="260"/>
              <w:spacing w:after="0"/>
              <w:rPr>
                <w:sz w:val="20"/>
                <w:szCs w:val="20"/>
                <w:color w:val="auto"/>
              </w:rPr>
            </w:pPr>
            <w:r>
              <w:rPr>
                <w:rFonts w:ascii="Arial" w:cs="Arial" w:eastAsia="Arial" w:hAnsi="Arial"/>
                <w:sz w:val="18"/>
                <w:szCs w:val="18"/>
                <w:color w:val="auto"/>
              </w:rPr>
              <w:t>Disqualification; Conflicting Interests</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6.09</w:t>
            </w:r>
          </w:p>
        </w:tc>
        <w:tc>
          <w:tcPr>
            <w:tcW w:w="8340" w:type="dxa"/>
            <w:vAlign w:val="bottom"/>
          </w:tcPr>
          <w:p>
            <w:pPr>
              <w:ind w:left="260"/>
              <w:spacing w:after="0"/>
              <w:rPr>
                <w:sz w:val="20"/>
                <w:szCs w:val="20"/>
                <w:color w:val="auto"/>
              </w:rPr>
            </w:pPr>
            <w:r>
              <w:rPr>
                <w:rFonts w:ascii="Arial" w:cs="Arial" w:eastAsia="Arial" w:hAnsi="Arial"/>
                <w:sz w:val="18"/>
                <w:szCs w:val="18"/>
                <w:color w:val="auto"/>
              </w:rPr>
              <w:t>Persons Eligible for Appointment as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8340" w:type="dxa"/>
            <w:vAlign w:val="bottom"/>
          </w:tcPr>
          <w:p>
            <w:pPr>
              <w:ind w:left="260"/>
              <w:spacing w:after="0"/>
              <w:rPr>
                <w:sz w:val="20"/>
                <w:szCs w:val="20"/>
                <w:color w:val="auto"/>
              </w:rPr>
            </w:pPr>
            <w:r>
              <w:rPr>
                <w:rFonts w:ascii="Arial" w:cs="Arial" w:eastAsia="Arial" w:hAnsi="Arial"/>
                <w:sz w:val="18"/>
                <w:szCs w:val="18"/>
                <w:color w:val="auto"/>
              </w:rPr>
              <w:t>Resignation and Removal; Appointment of Successor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8340" w:type="dxa"/>
            <w:vAlign w:val="bottom"/>
          </w:tcPr>
          <w:p>
            <w:pPr>
              <w:ind w:left="260"/>
              <w:spacing w:after="0"/>
              <w:rPr>
                <w:sz w:val="20"/>
                <w:szCs w:val="20"/>
                <w:color w:val="auto"/>
              </w:rPr>
            </w:pPr>
            <w:r>
              <w:rPr>
                <w:rFonts w:ascii="Arial" w:cs="Arial" w:eastAsia="Arial" w:hAnsi="Arial"/>
                <w:sz w:val="18"/>
                <w:szCs w:val="18"/>
                <w:color w:val="auto"/>
              </w:rPr>
              <w:t>Acceptance of Appointment by Successor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6.12</w:t>
            </w:r>
          </w:p>
        </w:tc>
        <w:tc>
          <w:tcPr>
            <w:tcW w:w="8340" w:type="dxa"/>
            <w:vAlign w:val="bottom"/>
          </w:tcPr>
          <w:p>
            <w:pPr>
              <w:ind w:left="26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6.13</w:t>
            </w:r>
          </w:p>
        </w:tc>
        <w:tc>
          <w:tcPr>
            <w:tcW w:w="8340" w:type="dxa"/>
            <w:vAlign w:val="bottom"/>
          </w:tcPr>
          <w:p>
            <w:pPr>
              <w:ind w:left="260"/>
              <w:spacing w:after="0"/>
              <w:rPr>
                <w:sz w:val="20"/>
                <w:szCs w:val="20"/>
                <w:color w:val="auto"/>
              </w:rPr>
            </w:pPr>
            <w:r>
              <w:rPr>
                <w:rFonts w:ascii="Arial" w:cs="Arial" w:eastAsia="Arial" w:hAnsi="Arial"/>
                <w:sz w:val="18"/>
                <w:szCs w:val="18"/>
                <w:color w:val="auto"/>
              </w:rPr>
              <w:t>Preferential Collection of Claims Against the Issuer</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7  CONCERNING THE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7.01</w:t>
            </w:r>
          </w:p>
        </w:tc>
        <w:tc>
          <w:tcPr>
            <w:tcW w:w="8340" w:type="dxa"/>
            <w:vAlign w:val="bottom"/>
          </w:tcPr>
          <w:p>
            <w:pPr>
              <w:ind w:left="260"/>
              <w:spacing w:after="0"/>
              <w:rPr>
                <w:sz w:val="20"/>
                <w:szCs w:val="20"/>
                <w:color w:val="auto"/>
              </w:rPr>
            </w:pPr>
            <w:r>
              <w:rPr>
                <w:rFonts w:ascii="Arial" w:cs="Arial" w:eastAsia="Arial" w:hAnsi="Arial"/>
                <w:sz w:val="18"/>
                <w:szCs w:val="18"/>
                <w:color w:val="auto"/>
              </w:rPr>
              <w:t>Evidence of Action Taken by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7.02</w:t>
            </w:r>
          </w:p>
        </w:tc>
        <w:tc>
          <w:tcPr>
            <w:tcW w:w="8340" w:type="dxa"/>
            <w:vAlign w:val="bottom"/>
          </w:tcPr>
          <w:p>
            <w:pPr>
              <w:ind w:left="260"/>
              <w:spacing w:after="0"/>
              <w:rPr>
                <w:sz w:val="20"/>
                <w:szCs w:val="20"/>
                <w:color w:val="auto"/>
              </w:rPr>
            </w:pPr>
            <w:r>
              <w:rPr>
                <w:rFonts w:ascii="Arial" w:cs="Arial" w:eastAsia="Arial" w:hAnsi="Arial"/>
                <w:sz w:val="18"/>
                <w:szCs w:val="18"/>
                <w:color w:val="auto"/>
              </w:rPr>
              <w:t>Proof of Execution of Instruments and of Holding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7.03</w:t>
            </w:r>
          </w:p>
        </w:tc>
        <w:tc>
          <w:tcPr>
            <w:tcW w:w="8340" w:type="dxa"/>
            <w:vAlign w:val="bottom"/>
          </w:tcPr>
          <w:p>
            <w:pPr>
              <w:ind w:left="260"/>
              <w:spacing w:after="0"/>
              <w:rPr>
                <w:sz w:val="20"/>
                <w:szCs w:val="20"/>
                <w:color w:val="auto"/>
              </w:rPr>
            </w:pPr>
            <w:r>
              <w:rPr>
                <w:rFonts w:ascii="Arial" w:cs="Arial" w:eastAsia="Arial" w:hAnsi="Arial"/>
                <w:sz w:val="18"/>
                <w:szCs w:val="18"/>
                <w:color w:val="auto"/>
              </w:rPr>
              <w:t>Holders to Be Treated as Owners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7.04</w:t>
            </w:r>
          </w:p>
        </w:tc>
        <w:tc>
          <w:tcPr>
            <w:tcW w:w="8340" w:type="dxa"/>
            <w:vAlign w:val="bottom"/>
          </w:tcPr>
          <w:p>
            <w:pPr>
              <w:ind w:left="260"/>
              <w:spacing w:after="0"/>
              <w:rPr>
                <w:sz w:val="20"/>
                <w:szCs w:val="20"/>
                <w:color w:val="auto"/>
              </w:rPr>
            </w:pPr>
            <w:r>
              <w:rPr>
                <w:rFonts w:ascii="Arial" w:cs="Arial" w:eastAsia="Arial" w:hAnsi="Arial"/>
                <w:sz w:val="18"/>
                <w:szCs w:val="18"/>
                <w:color w:val="auto"/>
              </w:rPr>
              <w:t>Securities Owned by Issuer Deemed Not Outstanding</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7.05</w:t>
            </w:r>
          </w:p>
        </w:tc>
        <w:tc>
          <w:tcPr>
            <w:tcW w:w="8340" w:type="dxa"/>
            <w:vAlign w:val="bottom"/>
          </w:tcPr>
          <w:p>
            <w:pPr>
              <w:ind w:left="260"/>
              <w:spacing w:after="0"/>
              <w:rPr>
                <w:sz w:val="20"/>
                <w:szCs w:val="20"/>
                <w:color w:val="auto"/>
              </w:rPr>
            </w:pPr>
            <w:r>
              <w:rPr>
                <w:rFonts w:ascii="Arial" w:cs="Arial" w:eastAsia="Arial" w:hAnsi="Arial"/>
                <w:sz w:val="18"/>
                <w:szCs w:val="18"/>
                <w:color w:val="auto"/>
              </w:rPr>
              <w:t>Right of Revocation of Action Taken</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8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8.01</w:t>
            </w:r>
          </w:p>
        </w:tc>
        <w:tc>
          <w:tcPr>
            <w:tcW w:w="8340" w:type="dxa"/>
            <w:vAlign w:val="bottom"/>
          </w:tcPr>
          <w:p>
            <w:pPr>
              <w:ind w:left="260"/>
              <w:spacing w:after="0"/>
              <w:rPr>
                <w:sz w:val="20"/>
                <w:szCs w:val="20"/>
                <w:color w:val="auto"/>
              </w:rPr>
            </w:pPr>
            <w:r>
              <w:rPr>
                <w:rFonts w:ascii="Arial" w:cs="Arial" w:eastAsia="Arial" w:hAnsi="Arial"/>
                <w:sz w:val="18"/>
                <w:szCs w:val="18"/>
                <w:color w:val="auto"/>
              </w:rPr>
              <w:t>Supplemental Indentures Without Consent of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8.02</w:t>
            </w:r>
          </w:p>
        </w:tc>
        <w:tc>
          <w:tcPr>
            <w:tcW w:w="8340" w:type="dxa"/>
            <w:vAlign w:val="bottom"/>
          </w:tcPr>
          <w:p>
            <w:pPr>
              <w:ind w:left="260"/>
              <w:spacing w:after="0"/>
              <w:rPr>
                <w:sz w:val="20"/>
                <w:szCs w:val="20"/>
                <w:color w:val="auto"/>
              </w:rPr>
            </w:pPr>
            <w:r>
              <w:rPr>
                <w:rFonts w:ascii="Arial" w:cs="Arial" w:eastAsia="Arial" w:hAnsi="Arial"/>
                <w:sz w:val="18"/>
                <w:szCs w:val="18"/>
                <w:color w:val="auto"/>
              </w:rPr>
              <w:t>Supplemental Indentures With Consent of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8.03</w:t>
            </w:r>
          </w:p>
        </w:tc>
        <w:tc>
          <w:tcPr>
            <w:tcW w:w="8340" w:type="dxa"/>
            <w:vAlign w:val="bottom"/>
          </w:tcPr>
          <w:p>
            <w:pPr>
              <w:ind w:left="260"/>
              <w:spacing w:after="0"/>
              <w:rPr>
                <w:sz w:val="20"/>
                <w:szCs w:val="20"/>
                <w:color w:val="auto"/>
              </w:rPr>
            </w:pPr>
            <w:r>
              <w:rPr>
                <w:rFonts w:ascii="Arial" w:cs="Arial" w:eastAsia="Arial" w:hAnsi="Arial"/>
                <w:sz w:val="18"/>
                <w:szCs w:val="18"/>
                <w:color w:val="auto"/>
              </w:rPr>
              <w:t>Effect of Supplemental Indenture</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8.04</w:t>
            </w:r>
          </w:p>
        </w:tc>
        <w:tc>
          <w:tcPr>
            <w:tcW w:w="8340" w:type="dxa"/>
            <w:vAlign w:val="bottom"/>
          </w:tcPr>
          <w:p>
            <w:pPr>
              <w:ind w:left="260"/>
              <w:spacing w:after="0"/>
              <w:rPr>
                <w:sz w:val="20"/>
                <w:szCs w:val="20"/>
                <w:color w:val="auto"/>
              </w:rPr>
            </w:pPr>
            <w:r>
              <w:rPr>
                <w:rFonts w:ascii="Arial" w:cs="Arial" w:eastAsia="Arial" w:hAnsi="Arial"/>
                <w:sz w:val="18"/>
                <w:szCs w:val="18"/>
                <w:color w:val="auto"/>
              </w:rPr>
              <w:t>Documents to Be Given to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8.05</w:t>
            </w:r>
          </w:p>
        </w:tc>
        <w:tc>
          <w:tcPr>
            <w:tcW w:w="8340" w:type="dxa"/>
            <w:vAlign w:val="bottom"/>
          </w:tcPr>
          <w:p>
            <w:pPr>
              <w:ind w:left="260"/>
              <w:spacing w:after="0"/>
              <w:rPr>
                <w:sz w:val="20"/>
                <w:szCs w:val="20"/>
                <w:color w:val="auto"/>
              </w:rPr>
            </w:pPr>
            <w:r>
              <w:rPr>
                <w:rFonts w:ascii="Arial" w:cs="Arial" w:eastAsia="Arial" w:hAnsi="Arial"/>
                <w:sz w:val="18"/>
                <w:szCs w:val="18"/>
                <w:color w:val="auto"/>
              </w:rPr>
              <w:t>Notation on Securities in Respect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9  CONSOLIDATION, MERGER, SALE OR CONVEYANCE</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9.01</w:t>
            </w:r>
          </w:p>
        </w:tc>
        <w:tc>
          <w:tcPr>
            <w:tcW w:w="8340" w:type="dxa"/>
            <w:vAlign w:val="bottom"/>
          </w:tcPr>
          <w:p>
            <w:pPr>
              <w:ind w:left="260"/>
              <w:spacing w:after="0"/>
              <w:rPr>
                <w:sz w:val="20"/>
                <w:szCs w:val="20"/>
                <w:color w:val="auto"/>
              </w:rPr>
            </w:pPr>
            <w:r>
              <w:rPr>
                <w:rFonts w:ascii="Arial" w:cs="Arial" w:eastAsia="Arial" w:hAnsi="Arial"/>
                <w:sz w:val="18"/>
                <w:szCs w:val="18"/>
                <w:color w:val="auto"/>
              </w:rPr>
              <w:t>Issuer May Consolidate, Etc., on Certain Terms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9.02</w:t>
            </w:r>
          </w:p>
        </w:tc>
        <w:tc>
          <w:tcPr>
            <w:tcW w:w="8340" w:type="dxa"/>
            <w:vAlign w:val="bottom"/>
          </w:tcPr>
          <w:p>
            <w:pPr>
              <w:ind w:left="260"/>
              <w:spacing w:after="0"/>
              <w:rPr>
                <w:sz w:val="20"/>
                <w:szCs w:val="20"/>
                <w:color w:val="auto"/>
              </w:rPr>
            </w:pPr>
            <w:r>
              <w:rPr>
                <w:rFonts w:ascii="Arial" w:cs="Arial" w:eastAsia="Arial" w:hAnsi="Arial"/>
                <w:sz w:val="18"/>
                <w:szCs w:val="18"/>
                <w:color w:val="auto"/>
              </w:rPr>
              <w:t>Successor Issuer Substituted</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10  SATISFACTION AND DISCHARGE OF INDENTURE; DEFEASANCE; UNCLAIMED MONEYS</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10.01</w:t>
            </w:r>
          </w:p>
        </w:tc>
        <w:tc>
          <w:tcPr>
            <w:tcW w:w="8340" w:type="dxa"/>
            <w:vAlign w:val="bottom"/>
          </w:tcPr>
          <w:p>
            <w:pPr>
              <w:ind w:left="260"/>
              <w:spacing w:after="0"/>
              <w:rPr>
                <w:sz w:val="20"/>
                <w:szCs w:val="20"/>
                <w:color w:val="auto"/>
              </w:rPr>
            </w:pPr>
            <w:r>
              <w:rPr>
                <w:rFonts w:ascii="Arial" w:cs="Arial" w:eastAsia="Arial" w:hAnsi="Arial"/>
                <w:sz w:val="18"/>
                <w:szCs w:val="18"/>
                <w:color w:val="auto"/>
              </w:rPr>
              <w:t>Satisfaction and Discharge of Indenture;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10.02</w:t>
            </w:r>
          </w:p>
        </w:tc>
        <w:tc>
          <w:tcPr>
            <w:tcW w:w="7840" w:type="dxa"/>
            <w:vAlign w:val="bottom"/>
          </w:tcPr>
          <w:p>
            <w:pPr>
              <w:ind w:left="26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10.03</w:t>
            </w:r>
          </w:p>
        </w:tc>
        <w:tc>
          <w:tcPr>
            <w:tcW w:w="7840" w:type="dxa"/>
            <w:vAlign w:val="bottom"/>
          </w:tcPr>
          <w:p>
            <w:pPr>
              <w:ind w:left="260"/>
              <w:spacing w:after="0"/>
              <w:rPr>
                <w:sz w:val="20"/>
                <w:szCs w:val="20"/>
                <w:color w:val="auto"/>
              </w:rPr>
            </w:pPr>
            <w:r>
              <w:rPr>
                <w:rFonts w:ascii="Arial" w:cs="Arial" w:eastAsia="Arial" w:hAnsi="Arial"/>
                <w:sz w:val="18"/>
                <w:szCs w:val="18"/>
                <w:color w:val="auto"/>
              </w:rPr>
              <w:t>Repayment of Moneys Held by Paying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10.04</w:t>
            </w:r>
          </w:p>
        </w:tc>
        <w:tc>
          <w:tcPr>
            <w:tcW w:w="7840" w:type="dxa"/>
            <w:vAlign w:val="bottom"/>
          </w:tcPr>
          <w:p>
            <w:pPr>
              <w:ind w:left="26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10.05</w:t>
            </w:r>
          </w:p>
        </w:tc>
        <w:tc>
          <w:tcPr>
            <w:tcW w:w="7840" w:type="dxa"/>
            <w:vAlign w:val="bottom"/>
          </w:tcPr>
          <w:p>
            <w:pPr>
              <w:ind w:left="260"/>
              <w:spacing w:after="0"/>
              <w:rPr>
                <w:sz w:val="20"/>
                <w:szCs w:val="20"/>
                <w:color w:val="auto"/>
              </w:rPr>
            </w:pPr>
            <w:r>
              <w:rPr>
                <w:rFonts w:ascii="Arial" w:cs="Arial" w:eastAsia="Arial" w:hAnsi="Arial"/>
                <w:sz w:val="18"/>
                <w:szCs w:val="18"/>
                <w:color w:val="auto"/>
              </w:rPr>
              <w:t>Indemnity for U.S. Government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9500" w:type="dxa"/>
            <w:vAlign w:val="bottom"/>
            <w:gridSpan w:val="2"/>
          </w:tcPr>
          <w:p>
            <w:pPr>
              <w:spacing w:after="0"/>
              <w:rPr>
                <w:sz w:val="20"/>
                <w:szCs w:val="20"/>
                <w:color w:val="auto"/>
              </w:rPr>
            </w:pPr>
            <w:r>
              <w:rPr>
                <w:rFonts w:ascii="Arial" w:cs="Arial" w:eastAsia="Arial" w:hAnsi="Arial"/>
                <w:sz w:val="18"/>
                <w:szCs w:val="18"/>
                <w:color w:val="auto"/>
              </w:rPr>
              <w:t>ARTICLE 11  MISCELLANEOUS PROVISIONS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11.01</w:t>
            </w:r>
          </w:p>
        </w:tc>
        <w:tc>
          <w:tcPr>
            <w:tcW w:w="7840" w:type="dxa"/>
            <w:vAlign w:val="bottom"/>
          </w:tcPr>
          <w:p>
            <w:pPr>
              <w:ind w:left="260"/>
              <w:spacing w:after="0"/>
              <w:rPr>
                <w:sz w:val="20"/>
                <w:szCs w:val="20"/>
                <w:color w:val="auto"/>
              </w:rPr>
            </w:pPr>
            <w:r>
              <w:rPr>
                <w:rFonts w:ascii="Arial" w:cs="Arial" w:eastAsia="Arial" w:hAnsi="Arial"/>
                <w:sz w:val="18"/>
                <w:szCs w:val="18"/>
                <w:color w:val="auto"/>
              </w:rPr>
              <w:t>No Recourse</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11.02</w:t>
            </w:r>
          </w:p>
        </w:tc>
        <w:tc>
          <w:tcPr>
            <w:tcW w:w="7840" w:type="dxa"/>
            <w:vAlign w:val="bottom"/>
          </w:tcPr>
          <w:p>
            <w:pPr>
              <w:ind w:left="260"/>
              <w:spacing w:after="0"/>
              <w:rPr>
                <w:sz w:val="20"/>
                <w:szCs w:val="20"/>
                <w:color w:val="auto"/>
              </w:rPr>
            </w:pPr>
            <w:r>
              <w:rPr>
                <w:rFonts w:ascii="Arial" w:cs="Arial" w:eastAsia="Arial" w:hAnsi="Arial"/>
                <w:sz w:val="18"/>
                <w:szCs w:val="18"/>
                <w:color w:val="auto"/>
              </w:rPr>
              <w:t>Provisions of Indenture for the Sole Benefit of Parties and Holders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11.03</w:t>
            </w:r>
          </w:p>
        </w:tc>
        <w:tc>
          <w:tcPr>
            <w:tcW w:w="7840" w:type="dxa"/>
            <w:vAlign w:val="bottom"/>
          </w:tcPr>
          <w:p>
            <w:pPr>
              <w:ind w:left="260"/>
              <w:spacing w:after="0"/>
              <w:rPr>
                <w:sz w:val="20"/>
                <w:szCs w:val="20"/>
                <w:color w:val="auto"/>
              </w:rPr>
            </w:pPr>
            <w:r>
              <w:rPr>
                <w:rFonts w:ascii="Arial" w:cs="Arial" w:eastAsia="Arial" w:hAnsi="Arial"/>
                <w:sz w:val="18"/>
                <w:szCs w:val="18"/>
                <w:color w:val="auto"/>
              </w:rPr>
              <w:t>Successors and Assigns of Issuer Bound by Indenture</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11.04</w:t>
            </w:r>
          </w:p>
        </w:tc>
        <w:tc>
          <w:tcPr>
            <w:tcW w:w="7840" w:type="dxa"/>
            <w:vAlign w:val="bottom"/>
          </w:tcPr>
          <w:p>
            <w:pPr>
              <w:ind w:left="260"/>
              <w:spacing w:after="0"/>
              <w:rPr>
                <w:sz w:val="20"/>
                <w:szCs w:val="20"/>
                <w:color w:val="auto"/>
              </w:rPr>
            </w:pPr>
            <w:r>
              <w:rPr>
                <w:rFonts w:ascii="Arial" w:cs="Arial" w:eastAsia="Arial" w:hAnsi="Arial"/>
                <w:sz w:val="18"/>
                <w:szCs w:val="18"/>
                <w:color w:val="auto"/>
              </w:rPr>
              <w:t>Notices and Demands on Issuer, Trustee and Holders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11.05</w:t>
            </w:r>
          </w:p>
        </w:tc>
        <w:tc>
          <w:tcPr>
            <w:tcW w:w="7840" w:type="dxa"/>
            <w:vAlign w:val="bottom"/>
          </w:tcPr>
          <w:p>
            <w:pPr>
              <w:ind w:left="26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11.06</w:t>
            </w:r>
          </w:p>
        </w:tc>
        <w:tc>
          <w:tcPr>
            <w:tcW w:w="7840" w:type="dxa"/>
            <w:vAlign w:val="bottom"/>
          </w:tcPr>
          <w:p>
            <w:pPr>
              <w:ind w:left="260"/>
              <w:spacing w:after="0"/>
              <w:rPr>
                <w:sz w:val="20"/>
                <w:szCs w:val="20"/>
                <w:color w:val="auto"/>
              </w:rPr>
            </w:pPr>
            <w:r>
              <w:rPr>
                <w:rFonts w:ascii="Arial" w:cs="Arial" w:eastAsia="Arial" w:hAnsi="Arial"/>
                <w:sz w:val="18"/>
                <w:szCs w:val="18"/>
                <w:color w:val="auto"/>
              </w:rPr>
              <w:t>Payments Due on Saturdays, Sundays and Holidays</w:t>
            </w: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11.07</w:t>
            </w:r>
          </w:p>
        </w:tc>
        <w:tc>
          <w:tcPr>
            <w:tcW w:w="7840" w:type="dxa"/>
            <w:vAlign w:val="bottom"/>
          </w:tcPr>
          <w:p>
            <w:pPr>
              <w:ind w:left="260"/>
              <w:spacing w:after="0"/>
              <w:rPr>
                <w:sz w:val="20"/>
                <w:szCs w:val="20"/>
                <w:color w:val="auto"/>
              </w:rPr>
            </w:pPr>
            <w:r>
              <w:rPr>
                <w:rFonts w:ascii="Arial" w:cs="Arial" w:eastAsia="Arial" w:hAnsi="Arial"/>
                <w:sz w:val="18"/>
                <w:szCs w:val="18"/>
                <w:color w:val="auto"/>
              </w:rPr>
              <w:t>Conflict of Any Provision of Indenture With Trust Indenture Act of 1939</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11.08</w:t>
            </w:r>
          </w:p>
        </w:tc>
        <w:tc>
          <w:tcPr>
            <w:tcW w:w="7840" w:type="dxa"/>
            <w:vAlign w:val="bottom"/>
          </w:tcPr>
          <w:p>
            <w:pPr>
              <w:ind w:left="260"/>
              <w:spacing w:after="0"/>
              <w:rPr>
                <w:sz w:val="20"/>
                <w:szCs w:val="20"/>
                <w:color w:val="auto"/>
              </w:rPr>
            </w:pPr>
            <w:r>
              <w:rPr>
                <w:rFonts w:ascii="Arial" w:cs="Arial" w:eastAsia="Arial" w:hAnsi="Arial"/>
                <w:sz w:val="18"/>
                <w:szCs w:val="18"/>
                <w:color w:val="auto"/>
              </w:rPr>
              <w:t>New York Law to Govern</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11.09</w:t>
            </w:r>
          </w:p>
        </w:tc>
        <w:tc>
          <w:tcPr>
            <w:tcW w:w="784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11.10</w:t>
            </w:r>
          </w:p>
        </w:tc>
        <w:tc>
          <w:tcPr>
            <w:tcW w:w="7840" w:type="dxa"/>
            <w:vAlign w:val="bottom"/>
          </w:tcPr>
          <w:p>
            <w:pPr>
              <w:ind w:left="260"/>
              <w:spacing w:after="0"/>
              <w:rPr>
                <w:sz w:val="20"/>
                <w:szCs w:val="20"/>
                <w:color w:val="auto"/>
              </w:rPr>
            </w:pPr>
            <w:r>
              <w:rPr>
                <w:rFonts w:ascii="Arial" w:cs="Arial" w:eastAsia="Arial" w:hAnsi="Arial"/>
                <w:sz w:val="18"/>
                <w:szCs w:val="18"/>
                <w:color w:val="auto"/>
              </w:rPr>
              <w:t>Effect of Headings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11.11</w:t>
            </w:r>
          </w:p>
        </w:tc>
        <w:tc>
          <w:tcPr>
            <w:tcW w:w="7840" w:type="dxa"/>
            <w:vAlign w:val="bottom"/>
          </w:tcPr>
          <w:p>
            <w:pPr>
              <w:ind w:left="260"/>
              <w:spacing w:after="0"/>
              <w:rPr>
                <w:sz w:val="20"/>
                <w:szCs w:val="20"/>
                <w:color w:val="auto"/>
              </w:rPr>
            </w:pPr>
            <w:r>
              <w:rPr>
                <w:rFonts w:ascii="Arial" w:cs="Arial" w:eastAsia="Arial" w:hAnsi="Arial"/>
                <w:sz w:val="18"/>
                <w:szCs w:val="18"/>
                <w:color w:val="auto"/>
              </w:rPr>
              <w:t>Actions by Successor</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11.12</w:t>
            </w:r>
          </w:p>
        </w:tc>
        <w:tc>
          <w:tcPr>
            <w:tcW w:w="784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9500" w:type="dxa"/>
            <w:vAlign w:val="bottom"/>
            <w:gridSpan w:val="2"/>
          </w:tcPr>
          <w:p>
            <w:pPr>
              <w:spacing w:after="0"/>
              <w:rPr>
                <w:sz w:val="20"/>
                <w:szCs w:val="20"/>
                <w:color w:val="auto"/>
              </w:rPr>
            </w:pPr>
            <w:r>
              <w:rPr>
                <w:rFonts w:ascii="Arial" w:cs="Arial" w:eastAsia="Arial" w:hAnsi="Arial"/>
                <w:sz w:val="18"/>
                <w:szCs w:val="18"/>
                <w:color w:val="auto"/>
              </w:rPr>
              <w:t>ARTICLE 12  REDEMPTION OF SECURITIES AND SINKING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12.01</w:t>
            </w:r>
          </w:p>
        </w:tc>
        <w:tc>
          <w:tcPr>
            <w:tcW w:w="7840" w:type="dxa"/>
            <w:vAlign w:val="bottom"/>
          </w:tcPr>
          <w:p>
            <w:pPr>
              <w:ind w:left="260"/>
              <w:spacing w:after="0"/>
              <w:rPr>
                <w:sz w:val="20"/>
                <w:szCs w:val="20"/>
                <w:color w:val="auto"/>
              </w:rPr>
            </w:pPr>
            <w:r>
              <w:rPr>
                <w:rFonts w:ascii="Arial" w:cs="Arial" w:eastAsia="Arial" w:hAnsi="Arial"/>
                <w:sz w:val="18"/>
                <w:szCs w:val="18"/>
                <w:color w:val="auto"/>
              </w:rPr>
              <w:t>Applicability of Article</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12.02</w:t>
            </w:r>
          </w:p>
        </w:tc>
        <w:tc>
          <w:tcPr>
            <w:tcW w:w="7840" w:type="dxa"/>
            <w:vAlign w:val="bottom"/>
          </w:tcPr>
          <w:p>
            <w:pPr>
              <w:ind w:left="260"/>
              <w:spacing w:after="0"/>
              <w:rPr>
                <w:sz w:val="20"/>
                <w:szCs w:val="20"/>
                <w:color w:val="auto"/>
              </w:rPr>
            </w:pPr>
            <w:r>
              <w:rPr>
                <w:rFonts w:ascii="Arial" w:cs="Arial" w:eastAsia="Arial" w:hAnsi="Arial"/>
                <w:sz w:val="18"/>
                <w:szCs w:val="18"/>
                <w:color w:val="auto"/>
              </w:rPr>
              <w:t>Notice of Redemption; Partial Redemptions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12.03</w:t>
            </w:r>
          </w:p>
        </w:tc>
        <w:tc>
          <w:tcPr>
            <w:tcW w:w="7840" w:type="dxa"/>
            <w:vAlign w:val="bottom"/>
          </w:tcPr>
          <w:p>
            <w:pPr>
              <w:ind w:left="260"/>
              <w:spacing w:after="0"/>
              <w:rPr>
                <w:sz w:val="20"/>
                <w:szCs w:val="20"/>
                <w:color w:val="auto"/>
              </w:rPr>
            </w:pPr>
            <w:r>
              <w:rPr>
                <w:rFonts w:ascii="Arial" w:cs="Arial" w:eastAsia="Arial" w:hAnsi="Arial"/>
                <w:sz w:val="18"/>
                <w:szCs w:val="18"/>
                <w:color w:val="auto"/>
              </w:rPr>
              <w:t>Payment of Securities Called for Redemption</w:t>
            </w: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12.04</w:t>
            </w:r>
          </w:p>
        </w:tc>
        <w:tc>
          <w:tcPr>
            <w:tcW w:w="7840" w:type="dxa"/>
            <w:vAlign w:val="bottom"/>
          </w:tcPr>
          <w:p>
            <w:pPr>
              <w:ind w:left="26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12.05</w:t>
            </w:r>
          </w:p>
        </w:tc>
        <w:tc>
          <w:tcPr>
            <w:tcW w:w="7840" w:type="dxa"/>
            <w:vAlign w:val="bottom"/>
          </w:tcPr>
          <w:p>
            <w:pPr>
              <w:ind w:left="260"/>
              <w:spacing w:after="0"/>
              <w:rPr>
                <w:sz w:val="20"/>
                <w:szCs w:val="20"/>
                <w:color w:val="auto"/>
              </w:rPr>
            </w:pPr>
            <w:r>
              <w:rPr>
                <w:rFonts w:ascii="Arial" w:cs="Arial" w:eastAsia="Arial" w:hAnsi="Arial"/>
                <w:sz w:val="18"/>
                <w:szCs w:val="18"/>
                <w:color w:val="auto"/>
              </w:rPr>
              <w:t>Mandatory and Optional Sinking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46" w:name="page47"/>
    <w:bookmarkEnd w:id="46"/>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INDENTURE, dated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between Emergent BioSolutions Inc.,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-201295</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w:t>
      </w:r>
    </w:p>
    <w:p>
      <w:pPr>
        <w:spacing w:after="0" w:line="38" w:lineRule="exact"/>
        <w:rPr>
          <w:sz w:val="20"/>
          <w:szCs w:val="20"/>
          <w:color w:val="auto"/>
        </w:rPr>
      </w:pPr>
    </w:p>
    <w:p>
      <w:pPr>
        <w:sectPr>
          <w:pgSz w:w="11900" w:h="16838" w:orient="portrait"/>
          <w:cols w:equalWidth="0" w:num="4">
            <w:col w:w="3000" w:space="720"/>
            <w:col w:w="5680" w:space="580"/>
            <w:col w:w="160" w:space="440"/>
            <w:col w:w="800"/>
          </w:cols>
          <w:pgMar w:left="240" w:top="274" w:right="27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ectPr>
          <w:pgSz w:w="11900" w:h="16838" w:orient="portrait"/>
          <w:cols w:equalWidth="0" w:num="1">
            <w:col w:w="11380"/>
          </w:cols>
          <w:pgMar w:left="240" w:top="274" w:right="279" w:bottom="1440" w:gutter="0" w:footer="0" w:header="0"/>
          <w:type w:val="continuous"/>
        </w:sect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 I T N E S S E T H :</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the Issuer may from time to time duly authorize the issue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 principles</w:t>
      </w:r>
      <w:r>
        <w:rPr>
          <w:rFonts w:ascii="Arial" w:cs="Arial" w:eastAsia="Arial" w:hAnsi="Arial"/>
          <w:sz w:val="16"/>
          <w:szCs w:val="16"/>
          <w:color w:val="auto"/>
        </w:rPr>
        <w:t>” means such accounting principles as are generally accepted in 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either the Board of Directors of the Issuer or any committee of such Board duly authorized to act on its behalf.</w:t>
      </w:r>
    </w:p>
    <w:p>
      <w:pPr>
        <w:sectPr>
          <w:pgSz w:w="11900" w:h="16838" w:orient="portrait"/>
          <w:cols w:equalWidth="0" w:num="1">
            <w:col w:w="11380"/>
          </w:cols>
          <w:pgMar w:left="240" w:top="274" w:right="279" w:bottom="1440" w:gutter="0" w:footer="0" w:header="0"/>
          <w:type w:val="continuous"/>
        </w:sectPr>
      </w:pPr>
    </w:p>
    <w:bookmarkStart w:id="47" w:name="page48"/>
    <w:bookmarkEnd w:id="47"/>
    <w:p>
      <w:pPr>
        <w:ind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7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3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$0.001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 principally</w:t>
      </w:r>
    </w:p>
    <w:p>
      <w:pPr>
        <w:spacing w:after="0" w:line="44" w:lineRule="exact"/>
        <w:rPr>
          <w:sz w:val="20"/>
          <w:szCs w:val="20"/>
          <w:color w:val="auto"/>
        </w:rPr>
      </w:pPr>
    </w:p>
    <w:p>
      <w:pPr>
        <w:spacing w:after="0"/>
        <w:tabs>
          <w:tab w:leader="none" w:pos="6980" w:val="left"/>
        </w:tabs>
        <w:rPr>
          <w:sz w:val="20"/>
          <w:szCs w:val="20"/>
          <w:color w:val="auto"/>
        </w:rPr>
      </w:pPr>
      <w:r>
        <w:rPr>
          <w:rFonts w:ascii="Arial" w:cs="Arial" w:eastAsia="Arial" w:hAnsi="Arial"/>
          <w:sz w:val="18"/>
          <w:szCs w:val="18"/>
          <w:color w:val="auto"/>
        </w:rPr>
        <w:t>administered, which office is, at the date as of which this Indenture is dated, located at</w:t>
      </w:r>
      <w:r>
        <w:rPr>
          <w:sz w:val="20"/>
          <w:szCs w:val="20"/>
          <w:color w:val="auto"/>
        </w:rPr>
        <w:tab/>
      </w:r>
      <w:r>
        <w:rPr>
          <w:rFonts w:ascii="Arial" w:cs="Arial" w:eastAsia="Arial" w:hAnsi="Arial"/>
          <w:sz w:val="14"/>
          <w:szCs w:val="14"/>
          <w:color w:val="auto"/>
        </w:rPr>
        <w:t>.</w:t>
      </w:r>
    </w:p>
    <w:p>
      <w:pPr>
        <w:spacing w:after="0" w:line="15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41"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6"/>
          <w:szCs w:val="16"/>
          <w:b w:val="1"/>
          <w:bCs w:val="1"/>
          <w:color w:val="auto"/>
        </w:rPr>
        <w:t>Depositary</w:t>
      </w:r>
      <w:r>
        <w:rPr>
          <w:rFonts w:ascii="Arial" w:cs="Arial" w:eastAsia="Arial" w:hAnsi="Arial"/>
          <w:sz w:val="16"/>
          <w:szCs w:val="16"/>
          <w:color w:val="auto"/>
        </w:rPr>
        <w:t>” shall mean or include each Person who is then a Depositary hereunder, and if at any time there is more than one such Person, “</w:t>
      </w:r>
      <w:r>
        <w:rPr>
          <w:rFonts w:ascii="Arial" w:cs="Arial" w:eastAsia="Arial" w:hAnsi="Arial"/>
          <w:sz w:val="16"/>
          <w:szCs w:val="16"/>
          <w:b w:val="1"/>
          <w:bCs w:val="1"/>
          <w:color w:val="auto"/>
        </w:rPr>
        <w:t>Depositary</w:t>
      </w:r>
      <w:r>
        <w:rPr>
          <w:rFonts w:ascii="Arial" w:cs="Arial" w:eastAsia="Arial" w:hAnsi="Arial"/>
          <w:sz w:val="16"/>
          <w:szCs w:val="16"/>
          <w:color w:val="auto"/>
        </w:rPr>
        <w:t>” as used with respect to the Securities of any such series shall mean the Depositary with respect to the Global Securities of that series.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171"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ind w:right="9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7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when used with respect to non-interest bearing Securities, refers to interest payable after maturity, if 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Emergent BioSolutions Inc., a Delaware corporation, and, subject to Article 9, its successors and assigns.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shall have the meaning set forth in Section 5.01(c).</w:t>
      </w:r>
    </w:p>
    <w:p>
      <w:pPr>
        <w:spacing w:after="0" w:line="171"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32"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32"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49" w:name="page50"/>
    <w:bookmarkEnd w:id="49"/>
    <w:p>
      <w:pPr>
        <w:ind w:right="3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45" w:lineRule="exact"/>
        <w:rPr>
          <w:sz w:val="20"/>
          <w:szCs w:val="20"/>
          <w:color w:val="auto"/>
        </w:rPr>
      </w:pPr>
    </w:p>
    <w:p>
      <w:pPr>
        <w:ind w:left="1140" w:hanging="237"/>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Securities, or portions thereof, for the payment or redemption of which cash or U.S. Government Obligations (as provided for in Section 10.01</w:t>
      </w:r>
    </w:p>
    <w:p>
      <w:pPr>
        <w:spacing w:after="0" w:line="38" w:lineRule="exact"/>
        <w:rPr>
          <w:rFonts w:ascii="Arial" w:cs="Arial" w:eastAsia="Arial" w:hAnsi="Arial"/>
          <w:sz w:val="16"/>
          <w:szCs w:val="16"/>
          <w:color w:val="auto"/>
        </w:rPr>
      </w:pPr>
    </w:p>
    <w:p>
      <w:pPr>
        <w:ind w:left="460" w:right="120" w:firstLine="4"/>
        <w:spacing w:after="0" w:line="295" w:lineRule="auto"/>
        <w:tabs>
          <w:tab w:leader="none" w:pos="699"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6"/>
          <w:szCs w:val="16"/>
          <w:i w:val="1"/>
          <w:iCs w:val="1"/>
          <w:color w:val="auto"/>
        </w:rPr>
        <w:t>provided</w:t>
      </w:r>
      <w:r>
        <w:rPr>
          <w:rFonts w:ascii="Arial" w:cs="Arial" w:eastAsia="Arial" w:hAnsi="Arial"/>
          <w:sz w:val="16"/>
          <w:szCs w:val="16"/>
          <w:color w:val="auto"/>
        </w:rPr>
        <w:t>, that if such Securities, or portions thereof, are to be redeemed prior to the maturity thereof, notice of such redemption shall have been given as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provided, or provision satisfactory to the Trustee shall have been made for giving such notice; and</w:t>
      </w:r>
    </w:p>
    <w:p>
      <w:pPr>
        <w:spacing w:after="0" w:line="34" w:lineRule="exact"/>
        <w:rPr>
          <w:rFonts w:ascii="Arial" w:cs="Arial" w:eastAsia="Arial" w:hAnsi="Arial"/>
          <w:sz w:val="16"/>
          <w:szCs w:val="16"/>
          <w:color w:val="auto"/>
        </w:rPr>
      </w:pPr>
    </w:p>
    <w:p>
      <w:pPr>
        <w:ind w:left="460" w:right="120" w:firstLine="443"/>
        <w:spacing w:after="0" w:line="256" w:lineRule="auto"/>
        <w:tabs>
          <w:tab w:leader="none" w:pos="11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w:t>
      </w:r>
    </w:p>
    <w:p>
      <w:pPr>
        <w:spacing w:after="0" w:line="137"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 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shall have the meaning set forth in Section 2.07.</w:t>
      </w:r>
    </w:p>
    <w:p>
      <w:pPr>
        <w:spacing w:after="0" w:line="171"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4" w:right="359" w:bottom="1440" w:gutter="0" w:footer="0" w:header="0"/>
        </w:sectPr>
      </w:pPr>
    </w:p>
    <w:bookmarkStart w:id="50" w:name="page51"/>
    <w:bookmarkEnd w:id="50"/>
    <w:p>
      <w:pPr>
        <w:ind w:right="2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4.01(b).</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corporation of which stock having a majority of the voting power under ordinary circumstances is owned, directly or indirectly, by the Issuer or by one or more subsidiaries of the Issuer, or by the Issuer and one or more subsidiaries of the Issuer.</w:t>
      </w:r>
    </w:p>
    <w:p>
      <w:pPr>
        <w:spacing w:after="0" w:line="12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20" w:lineRule="exact"/>
        <w:rPr>
          <w:sz w:val="20"/>
          <w:szCs w:val="20"/>
          <w:color w:val="auto"/>
        </w:rPr>
      </w:pPr>
    </w:p>
    <w:p>
      <w:pPr>
        <w:jc w:val="both"/>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97"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1" w:name="page52"/>
    <w:bookmarkEnd w:id="51"/>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276860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Officer</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32" w:lineRule="exact"/>
        <w:rPr>
          <w:sz w:val="20"/>
          <w:szCs w:val="20"/>
          <w:color w:val="auto"/>
        </w:rPr>
      </w:pPr>
    </w:p>
    <w:p>
      <w:pPr>
        <w:ind w:left="1140" w:hanging="237"/>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Dollars, the Foreign Currency in which the Securities of that series are denominated;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2" w:name="page53"/>
    <w:bookmarkEnd w:id="52"/>
    <w:p>
      <w:pPr>
        <w:ind w:left="680" w:hanging="237"/>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date on which the principal of the Securities of the series is payable and the right, if any, to extend such date or dates;</w:t>
      </w:r>
    </w:p>
    <w:p>
      <w:pPr>
        <w:spacing w:after="0" w:line="90" w:lineRule="exact"/>
        <w:rPr>
          <w:rFonts w:ascii="Arial" w:cs="Arial" w:eastAsia="Arial" w:hAnsi="Arial"/>
          <w:sz w:val="18"/>
          <w:szCs w:val="18"/>
          <w:color w:val="auto"/>
        </w:rPr>
      </w:pPr>
    </w:p>
    <w:p>
      <w:pPr>
        <w:ind w:firstLine="443"/>
        <w:spacing w:after="0" w:line="306" w:lineRule="auto"/>
        <w:tabs>
          <w:tab w:leader="none" w:pos="65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the record date or dates for the determination of holders to whom interest is payable, the date or dates from which such interest shall accrue and on which such interest shall be payable and/or the method by which such rate or rates or date or dates shall be determined, and the right, if any, to extend the interest payment periods and the duration of that extension;</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 3.02);</w:t>
      </w:r>
    </w:p>
    <w:p>
      <w:pPr>
        <w:spacing w:after="0" w:line="113" w:lineRule="exact"/>
        <w:rPr>
          <w:rFonts w:ascii="Arial" w:cs="Arial" w:eastAsia="Arial" w:hAnsi="Arial"/>
          <w:sz w:val="16"/>
          <w:szCs w:val="16"/>
          <w:color w:val="auto"/>
        </w:rPr>
      </w:pPr>
    </w:p>
    <w:p>
      <w:pPr>
        <w:ind w:right="720" w:firstLine="443"/>
        <w:spacing w:after="0" w:line="268"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50" w:lineRule="exact"/>
        <w:rPr>
          <w:rFonts w:ascii="Arial" w:cs="Arial" w:eastAsia="Arial" w:hAnsi="Arial"/>
          <w:sz w:val="18"/>
          <w:szCs w:val="18"/>
          <w:color w:val="auto"/>
        </w:rPr>
      </w:pPr>
    </w:p>
    <w:p>
      <w:pPr>
        <w:ind w:right="240" w:firstLine="443"/>
        <w:spacing w:after="0" w:line="306"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w:t>
      </w:r>
    </w:p>
    <w:p>
      <w:pPr>
        <w:spacing w:after="0" w:line="25" w:lineRule="exact"/>
        <w:rPr>
          <w:rFonts w:ascii="Arial" w:cs="Arial" w:eastAsia="Arial" w:hAnsi="Arial"/>
          <w:sz w:val="16"/>
          <w:szCs w:val="16"/>
          <w:color w:val="auto"/>
        </w:rPr>
      </w:pPr>
    </w:p>
    <w:p>
      <w:pPr>
        <w:ind w:left="660" w:hanging="217"/>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13"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50" w:lineRule="exact"/>
        <w:rPr>
          <w:rFonts w:ascii="Arial" w:cs="Arial" w:eastAsia="Arial" w:hAnsi="Arial"/>
          <w:sz w:val="18"/>
          <w:szCs w:val="18"/>
          <w:color w:val="auto"/>
        </w:rPr>
      </w:pPr>
    </w:p>
    <w:p>
      <w:pPr>
        <w:ind w:right="180" w:firstLine="443"/>
        <w:spacing w:after="0" w:line="268"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that series are denominated, the currency in which payment of the principal of or interest on the Securities of such series shall be payable;</w:t>
      </w:r>
    </w:p>
    <w:p>
      <w:pPr>
        <w:spacing w:after="0" w:line="50" w:lineRule="exact"/>
        <w:rPr>
          <w:rFonts w:ascii="Arial" w:cs="Arial" w:eastAsia="Arial" w:hAnsi="Arial"/>
          <w:sz w:val="18"/>
          <w:szCs w:val="18"/>
          <w:color w:val="auto"/>
        </w:rPr>
      </w:pPr>
    </w:p>
    <w:p>
      <w:pPr>
        <w:ind w:right="200" w:firstLine="443"/>
        <w:spacing w:after="0" w:line="259" w:lineRule="auto"/>
        <w:tabs>
          <w:tab w:leader="none" w:pos="7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ind w:right="40" w:firstLine="443"/>
        <w:spacing w:after="0" w:line="259"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with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Sections 10.01(b) or 10.01(c) are inapplicable to Securities of such series;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53" w:name="page54"/>
    <w:bookmarkEnd w:id="53"/>
    <w:p>
      <w:pPr>
        <w:ind w:left="460" w:right="120" w:firstLine="443"/>
        <w:spacing w:after="0" w:line="259"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and under what circumstances the Issuer will pay additional amounts on the Securities of any series in respect of any tax, assessment or governmental charge withheld or deducted and, if so, whether the Issuer will have the option to redeem such Securities rather than pay such additional amounts;</w:t>
      </w:r>
    </w:p>
    <w:p>
      <w:pPr>
        <w:spacing w:after="0" w:line="59"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trustees, authenticating or paying agents, transfer agents or registrars or any other agents with respect to the Securities of such series;</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other events of default or covenants with respect to the Securities of such series in addition to or in lieu of those contained in this Indenture;</w:t>
      </w:r>
    </w:p>
    <w:p>
      <w:pPr>
        <w:spacing w:after="0" w:line="113" w:lineRule="exact"/>
        <w:rPr>
          <w:rFonts w:ascii="Arial" w:cs="Arial" w:eastAsia="Arial" w:hAnsi="Arial"/>
          <w:sz w:val="16"/>
          <w:szCs w:val="16"/>
          <w:color w:val="auto"/>
        </w:rPr>
      </w:pPr>
    </w:p>
    <w:p>
      <w:pPr>
        <w:ind w:left="460" w:right="40" w:firstLine="443"/>
        <w:spacing w:after="0" w:line="335" w:lineRule="auto"/>
        <w:tabs>
          <w:tab w:leader="none" w:pos="1108" w:val="left"/>
        </w:tabs>
        <w:numPr>
          <w:ilvl w:val="0"/>
          <w:numId w:val="41"/>
        </w:numPr>
        <w:rPr>
          <w:rFonts w:ascii="Arial" w:cs="Arial" w:eastAsia="Arial" w:hAnsi="Arial"/>
          <w:sz w:val="15"/>
          <w:szCs w:val="15"/>
          <w:color w:val="auto"/>
        </w:rPr>
      </w:pPr>
      <w:r>
        <w:rPr>
          <w:rFonts w:ascii="Arial" w:cs="Arial" w:eastAsia="Arial" w:hAnsi="Arial"/>
          <w:sz w:val="15"/>
          <w:szCs w:val="15"/>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 and</w:t>
      </w:r>
    </w:p>
    <w:p>
      <w:pPr>
        <w:spacing w:after="0" w:line="7" w:lineRule="exact"/>
        <w:rPr>
          <w:rFonts w:ascii="Arial" w:cs="Arial" w:eastAsia="Arial" w:hAnsi="Arial"/>
          <w:sz w:val="15"/>
          <w:szCs w:val="15"/>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7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37" w:lineRule="exact"/>
        <w:rPr>
          <w:sz w:val="20"/>
          <w:szCs w:val="20"/>
          <w:color w:val="auto"/>
        </w:rPr>
      </w:pPr>
    </w:p>
    <w:p>
      <w:pPr>
        <w:ind w:left="5680" w:right="600" w:hanging="4777"/>
        <w:spacing w:after="0" w:line="440" w:lineRule="auto"/>
        <w:tabs>
          <w:tab w:leader="none" w:pos="11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Issuer Order requesting such authentication and setting forth delivery instructions if the Securities are not to be delivered to the Issuer; 8</w:t>
      </w:r>
    </w:p>
    <w:p>
      <w:pPr>
        <w:sectPr>
          <w:pgSz w:w="11900" w:h="16838" w:orient="portrait"/>
          <w:cols w:equalWidth="0" w:num="1">
            <w:col w:w="11400"/>
          </w:cols>
          <w:pgMar w:left="240" w:top="280" w:right="259" w:bottom="1440" w:gutter="0" w:footer="0" w:header="0"/>
        </w:sectPr>
      </w:pPr>
    </w:p>
    <w:bookmarkStart w:id="54" w:name="page55"/>
    <w:bookmarkEnd w:id="54"/>
    <w:p>
      <w:pPr>
        <w:ind w:left="460" w:right="8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Board Resolution, Officer’s Certificate and/or executed supplemental indenture referred to in Sections 2.01 and 2.03 by or pursuant to which the forms and terms of the Securities were established;</w:t>
      </w:r>
    </w:p>
    <w:p>
      <w:pPr>
        <w:spacing w:after="0" w:line="50"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form or forms and terms of such Securities have been established pursuant to Sections 2.01 and 2.03 and comply with this Indenture,</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authentication and delivery of such Securities by the Trustee are authorized under the provisions of this Indenture,</w:t>
      </w:r>
    </w:p>
    <w:p>
      <w:pPr>
        <w:spacing w:after="0" w:line="90" w:lineRule="exact"/>
        <w:rPr>
          <w:rFonts w:ascii="Arial" w:cs="Arial" w:eastAsia="Arial" w:hAnsi="Arial"/>
          <w:sz w:val="18"/>
          <w:szCs w:val="18"/>
          <w:color w:val="auto"/>
        </w:rPr>
      </w:pPr>
    </w:p>
    <w:p>
      <w:pPr>
        <w:ind w:left="920" w:right="460" w:firstLine="421"/>
        <w:spacing w:after="0" w:line="268" w:lineRule="auto"/>
        <w:tabs>
          <w:tab w:leader="none" w:pos="16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such Securities when authenticated and delivered by the Trustee and issued by the Issuer in the manner and subject to any conditions specified in such Opinion of Counsel, will constitute valid and binding obligations of the Issuer,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laws and requirements in respect of the execution and delivery by the Issuer of the Securities have been complied 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covering such other matters as the Trustee may reasonably request.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1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w:t>
      </w:r>
    </w:p>
    <w:p>
      <w:pPr>
        <w:spacing w:after="0" w:line="1" w:lineRule="exact"/>
        <w:rPr>
          <w:sz w:val="20"/>
          <w:szCs w:val="20"/>
          <w:color w:val="auto"/>
        </w:rPr>
      </w:pPr>
    </w:p>
    <w:p>
      <w:pPr>
        <w:ind w:right="160" w:firstLine="8"/>
        <w:spacing w:after="0" w:line="295" w:lineRule="auto"/>
        <w:tabs>
          <w:tab w:leader="none" w:pos="3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shall be delivered by the Trustee to such Depositary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5" w:name="page56"/>
    <w:bookmarkEnd w:id="55"/>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Depositary designated pursuant to this Section must, at the time of its designation and at all times while it serves as Depositary, be a clearing agency registered under the Securities Exchange Act of 1934 and any other applicable statute or regulation.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Execution of Securities</w:t>
      </w:r>
      <w:r>
        <w:rPr>
          <w:rFonts w:ascii="Arial" w:cs="Arial" w:eastAsia="Arial" w:hAnsi="Arial"/>
          <w:sz w:val="16"/>
          <w:szCs w:val="16"/>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Certificate of Authentication</w:t>
      </w:r>
      <w:r>
        <w:rPr>
          <w:rFonts w:ascii="Arial" w:cs="Arial" w:eastAsia="Arial" w:hAnsi="Arial"/>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Denomination and Date of Securities; Payments of Interest</w:t>
      </w:r>
      <w:r>
        <w:rPr>
          <w:rFonts w:ascii="Arial" w:cs="Arial" w:eastAsia="Arial" w:hAnsi="Arial"/>
          <w:sz w:val="16"/>
          <w:szCs w:val="16"/>
          <w:color w:val="auto"/>
        </w:rPr>
        <w:t>. The Securities of each series shall be issuable in denominations established as contemplated by Section 2.03 or, if not so established, in denominations of $1,000 and any integral multiple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56" w:name="page57"/>
    <w:bookmarkEnd w:id="56"/>
    <w:p>
      <w:pPr>
        <w:ind w:right="8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7" w:name="page58"/>
    <w:bookmarkEnd w:id="57"/>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Issuer shall not be required to exchange or register a transfer of (a) any Securities of any series for a period of 15 days immediately preceding the first mailing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8" w:name="page59"/>
    <w:bookmarkEnd w:id="58"/>
    <w:p>
      <w:pPr>
        <w:ind w:left="920" w:right="20" w:firstLine="421"/>
        <w:spacing w:after="0" w:line="332" w:lineRule="auto"/>
        <w:tabs>
          <w:tab w:leader="none" w:pos="1549"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4" w:lineRule="exact"/>
        <w:rPr>
          <w:rFonts w:ascii="Arial" w:cs="Arial" w:eastAsia="Arial" w:hAnsi="Arial"/>
          <w:sz w:val="16"/>
          <w:szCs w:val="16"/>
          <w:color w:val="auto"/>
        </w:rPr>
      </w:pPr>
    </w:p>
    <w:p>
      <w:pPr>
        <w:ind w:left="920" w:right="840" w:firstLine="421"/>
        <w:spacing w:after="0" w:line="332" w:lineRule="auto"/>
        <w:tabs>
          <w:tab w:leader="none" w:pos="159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Mutilated, Defaced, Destroyed, Lost and Stolen Securities.</w:t>
      </w:r>
      <w:r>
        <w:rPr>
          <w:rFonts w:ascii="Arial" w:cs="Arial" w:eastAsia="Arial" w:hAnsi="Arial"/>
          <w:sz w:val="16"/>
          <w:szCs w:val="16"/>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59" w:name="page60"/>
    <w:bookmarkEnd w:id="5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Cancellation of Securities; Destruction Thereof.</w:t>
      </w:r>
      <w:r>
        <w:rPr>
          <w:rFonts w:ascii="Arial" w:cs="Arial" w:eastAsia="Arial" w:hAnsi="Arial"/>
          <w:sz w:val="16"/>
          <w:szCs w:val="16"/>
          <w:color w:val="auto"/>
        </w:rPr>
        <w:t xml:space="preserve"> All Securities surrendered for exchange for Securities of the same series or for payment, redemption, registration of transfer,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60" w:name="page61"/>
    <w:bookmarkEnd w:id="60"/>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THE ISSUER</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Payment of Principal and Interest.</w:t>
      </w:r>
      <w:r>
        <w:rPr>
          <w:rFonts w:ascii="Arial" w:cs="Arial" w:eastAsia="Arial" w:hAnsi="Arial"/>
          <w:sz w:val="16"/>
          <w:szCs w:val="16"/>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r>
        <w:rPr>
          <w:rFonts w:ascii="Arial" w:cs="Arial" w:eastAsia="Arial" w:hAnsi="Arial"/>
          <w:sz w:val="18"/>
          <w:szCs w:val="18"/>
          <w:color w:val="auto"/>
        </w:rPr>
        <w:t>. The Issuer will maintain (i) in , an 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ectPr>
          <w:pgSz w:w="11900" w:h="16838" w:orient="portrait"/>
          <w:cols w:equalWidth="0" w:num="1">
            <w:col w:w="11420"/>
          </w:cols>
          <w:pgMar w:left="240" w:top="280" w:right="239" w:bottom="1440" w:gutter="0" w:footer="0" w:header="0"/>
        </w:sectPr>
      </w:pP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Issuer will maintain in may be served.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 an agency where notices and demands to or upon the Issuer in respect of the Securities of any series or this Indenture</w:t>
      </w:r>
    </w:p>
    <w:p>
      <w:pPr>
        <w:spacing w:after="0" w:line="421" w:lineRule="exact"/>
        <w:rPr>
          <w:sz w:val="20"/>
          <w:szCs w:val="20"/>
          <w:color w:val="auto"/>
        </w:rPr>
      </w:pPr>
    </w:p>
    <w:p>
      <w:pPr>
        <w:sectPr>
          <w:pgSz w:w="11900" w:h="16838" w:orient="portrait"/>
          <w:cols w:equalWidth="0" w:num="2">
            <w:col w:w="2360" w:space="560"/>
            <w:col w:w="850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Issuer will give to the Trustee written notice of the location of each such agency and of any change of location thereof. In case the Issuer shall fail to</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maintain any agency required by this Section to be located in , or shall fail to give such notice of the location or of any change in the location of any of the above agencies, presentations and demands may be made and notices may be served at the Corporate Trust Office of the Trustee.</w:t>
      </w:r>
    </w:p>
    <w:p>
      <w:pPr>
        <w:spacing w:after="0" w:line="13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44"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Appointment to Fill a Vacancy in Office of Trustee.</w:t>
      </w:r>
      <w:r>
        <w:rPr>
          <w:rFonts w:ascii="Arial" w:cs="Arial" w:eastAsia="Arial" w:hAnsi="Arial"/>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type w:val="continuous"/>
        </w:sectPr>
      </w:pPr>
    </w:p>
    <w:bookmarkStart w:id="61" w:name="page62"/>
    <w:bookmarkEnd w:id="61"/>
    <w:p>
      <w:pPr>
        <w:jc w:val="both"/>
        <w:ind w:right="4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Arial" w:cs="Arial" w:eastAsia="Arial" w:hAnsi="Arial"/>
          <w:sz w:val="18"/>
          <w:szCs w:val="18"/>
          <w:i w:val="1"/>
          <w:iCs w:val="1"/>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59" w:lineRule="exact"/>
        <w:rPr>
          <w:sz w:val="20"/>
          <w:szCs w:val="20"/>
          <w:color w:val="auto"/>
        </w:rPr>
      </w:pPr>
    </w:p>
    <w:p>
      <w:pPr>
        <w:ind w:left="460" w:right="140" w:firstLine="443"/>
        <w:spacing w:after="0" w:line="259" w:lineRule="auto"/>
        <w:tabs>
          <w:tab w:leader="none" w:pos="11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59"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0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Written Statement to Trustee.</w:t>
      </w:r>
      <w:r>
        <w:rPr>
          <w:rFonts w:ascii="Arial" w:cs="Arial" w:eastAsia="Arial" w:hAnsi="Arial"/>
          <w:sz w:val="18"/>
          <w:szCs w:val="18"/>
          <w:color w:val="auto"/>
        </w:rPr>
        <w:t xml:space="preserve"> So long as any Securities are Outstanding hereunder, the Issuer will deliver to the Trustee, within 120 days after the end of each fiscal year of the Issuer ending after the date hereof, a written statement covering the previous fiscal year, signed by two of its officers (which need not comply with Section 11.05), stating that in the course of the performance of their duties as officers of the Issuer they would normally have knowledge of any default by the Issuer in the performance or fulfillment of any covenant,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62" w:name="page63"/>
    <w:bookmarkEnd w:id="62"/>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or condition contained in this Indenture, stating whether or not they have knowledge of any such default and, if so, specifying each such default of which the signers have knowledge and the nature thereof.</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SECURITYHOLDERS LISTS AND REPORTS BY THE ISSUER AND THE TRUSTEE</w:t>
      </w:r>
    </w:p>
    <w:p>
      <w:pPr>
        <w:spacing w:after="0" w:line="16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59" w:lineRule="exact"/>
        <w:rPr>
          <w:sz w:val="20"/>
          <w:szCs w:val="20"/>
          <w:color w:val="auto"/>
        </w:rPr>
      </w:pPr>
    </w:p>
    <w:p>
      <w:pPr>
        <w:ind w:left="460" w:right="40" w:firstLine="443"/>
        <w:spacing w:after="0" w:line="332"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and so long as the Trustee shall be the Security registrar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Registrar”</w:t>
      </w:r>
      <w:r>
        <w:rPr>
          <w:rFonts w:ascii="Arial" w:cs="Arial" w:eastAsia="Arial" w:hAnsi="Arial"/>
          <w:sz w:val="18"/>
          <w:szCs w:val="18"/>
          <w:color w:val="auto"/>
        </w:rPr>
        <w:t>) for such series, such list shall not be required to be furnished.</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 comply with Section 314(a) of the Trust Indenture Act insofar as it relates to information, documentations, and other reports which the Issuer may be required to file with the Commission pursuant to Section 13 or Section 15(d) of the Securities Exchange Act of 1934.</w:t>
      </w:r>
    </w:p>
    <w:p>
      <w:pPr>
        <w:spacing w:after="0" w:line="140" w:lineRule="exact"/>
        <w:rPr>
          <w:sz w:val="20"/>
          <w:szCs w:val="20"/>
          <w:color w:val="auto"/>
        </w:rPr>
      </w:pPr>
    </w:p>
    <w:p>
      <w:pPr>
        <w:ind w:left="920" w:hanging="464"/>
        <w:spacing w:after="0" w:line="305" w:lineRule="auto"/>
        <w:rPr>
          <w:sz w:val="20"/>
          <w:szCs w:val="20"/>
          <w:color w:val="auto"/>
        </w:rPr>
      </w:pPr>
      <w:r>
        <w:rPr>
          <w:rFonts w:ascii="Arial" w:cs="Arial" w:eastAsia="Arial" w:hAnsi="Arial"/>
          <w:sz w:val="15"/>
          <w:szCs w:val="15"/>
          <w:color w:val="auto"/>
        </w:rPr>
        <w:t xml:space="preserve">Section 4.03 </w:t>
      </w:r>
      <w:r>
        <w:rPr>
          <w:rFonts w:ascii="Arial" w:cs="Arial" w:eastAsia="Arial" w:hAnsi="Arial"/>
          <w:sz w:val="15"/>
          <w:szCs w:val="15"/>
          <w:i w:val="1"/>
          <w:iCs w:val="1"/>
          <w:color w:val="auto"/>
        </w:rPr>
        <w:t>Reports by the Trustee.</w:t>
      </w:r>
      <w:r>
        <w:rPr>
          <w:rFonts w:ascii="Arial" w:cs="Arial" w:eastAsia="Arial" w:hAnsi="Arial"/>
          <w:sz w:val="15"/>
          <w:szCs w:val="15"/>
          <w:color w:val="auto"/>
        </w:rPr>
        <w:t xml:space="preserve"> Any Trustee’s report required under Section 313(a) of the Trust Indenture Act of 1939 shall be transmitted on or before in each year following the date hereof, so long as any Securities are Outstanding hereunder, and shall be dated as of a date convenient to the Trustee</w:t>
      </w:r>
    </w:p>
    <w:p>
      <w:pPr>
        <w:spacing w:after="0"/>
        <w:rPr>
          <w:sz w:val="20"/>
          <w:szCs w:val="20"/>
          <w:color w:val="auto"/>
        </w:rPr>
      </w:pPr>
      <w:r>
        <w:rPr>
          <w:rFonts w:ascii="Arial" w:cs="Arial" w:eastAsia="Arial" w:hAnsi="Arial"/>
          <w:sz w:val="16"/>
          <w:szCs w:val="16"/>
          <w:color w:val="auto"/>
        </w:rPr>
        <w:t>but no more than 60 nor less than 45 days prior thereto. The Trustee shall comply with Sections 313(b), 313(c) and 313(d) of the Trust Indenture Act.</w:t>
      </w:r>
    </w:p>
    <w:p>
      <w:pPr>
        <w:spacing w:after="0" w:line="18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Preservation of Information; Communication with Securityholders.</w:t>
      </w:r>
      <w:r>
        <w:rPr>
          <w:rFonts w:ascii="Arial" w:cs="Arial" w:eastAsia="Arial" w:hAnsi="Arial"/>
          <w:sz w:val="16"/>
          <w:szCs w:val="16"/>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107" w:lineRule="exact"/>
        <w:rPr>
          <w:sz w:val="20"/>
          <w:szCs w:val="20"/>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4.01 upon receipt of a new list so furnished.</w:t>
      </w:r>
    </w:p>
    <w:p>
      <w:pPr>
        <w:spacing w:after="0" w:line="171" w:lineRule="exact"/>
        <w:rPr>
          <w:rFonts w:ascii="Arial" w:cs="Arial" w:eastAsia="Arial" w:hAnsi="Arial"/>
          <w:sz w:val="18"/>
          <w:szCs w:val="18"/>
          <w:color w:val="auto"/>
        </w:rPr>
      </w:pPr>
    </w:p>
    <w:p>
      <w:pPr>
        <w:jc w:val="both"/>
        <w:ind w:right="40" w:firstLine="464"/>
        <w:spacing w:after="0" w:line="259"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 The Issuer, the Trustee, the Security Registrar and any other Person shall have the protection of Section 312(c) of the Trust Indenture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159" w:lineRule="exact"/>
        <w:rPr>
          <w:sz w:val="20"/>
          <w:szCs w:val="20"/>
          <w:color w:val="auto"/>
        </w:rPr>
      </w:pPr>
    </w:p>
    <w:p>
      <w:pPr>
        <w:jc w:val="both"/>
        <w:ind w:right="140" w:firstLine="456"/>
        <w:spacing w:after="0" w:line="25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1" w:lineRule="exact"/>
        <w:rPr>
          <w:sz w:val="20"/>
          <w:szCs w:val="20"/>
          <w:color w:val="auto"/>
        </w:rPr>
      </w:pPr>
    </w:p>
    <w:p>
      <w:pPr>
        <w:ind w:left="460" w:right="620" w:firstLine="443"/>
        <w:spacing w:after="0" w:line="259"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90 days (or such other period as may be established for the Securities of such series as contemplated by Section 2.03); or</w:t>
      </w:r>
    </w:p>
    <w:p>
      <w:pPr>
        <w:spacing w:after="0" w:line="59" w:lineRule="exact"/>
        <w:rPr>
          <w:rFonts w:ascii="Arial" w:cs="Arial" w:eastAsia="Arial" w:hAnsi="Arial"/>
          <w:sz w:val="18"/>
          <w:szCs w:val="18"/>
          <w:color w:val="auto"/>
        </w:rPr>
      </w:pPr>
    </w:p>
    <w:p>
      <w:pPr>
        <w:ind w:left="460" w:right="520" w:firstLine="443"/>
        <w:spacing w:after="0" w:line="259"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59" w:lineRule="exact"/>
        <w:rPr>
          <w:rFonts w:ascii="Arial" w:cs="Arial" w:eastAsia="Arial" w:hAnsi="Arial"/>
          <w:sz w:val="18"/>
          <w:szCs w:val="18"/>
          <w:color w:val="auto"/>
        </w:rPr>
      </w:pPr>
    </w:p>
    <w:p>
      <w:pPr>
        <w:ind w:left="460" w:firstLine="443"/>
        <w:spacing w:after="0" w:line="294" w:lineRule="auto"/>
        <w:tabs>
          <w:tab w:leader="none" w:pos="11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hereunder; or</w:t>
      </w:r>
    </w:p>
    <w:p>
      <w:pPr>
        <w:spacing w:after="0" w:line="34" w:lineRule="exact"/>
        <w:rPr>
          <w:rFonts w:ascii="Arial" w:cs="Arial" w:eastAsia="Arial" w:hAnsi="Arial"/>
          <w:sz w:val="16"/>
          <w:szCs w:val="16"/>
          <w:color w:val="auto"/>
        </w:rPr>
      </w:pPr>
    </w:p>
    <w:p>
      <w:pPr>
        <w:ind w:left="460" w:right="160" w:firstLine="443"/>
        <w:spacing w:after="0" w:line="298" w:lineRule="auto"/>
        <w:tabs>
          <w:tab w:leader="none" w:pos="11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31" w:lineRule="exact"/>
        <w:rPr>
          <w:rFonts w:ascii="Arial" w:cs="Arial" w:eastAsia="Arial" w:hAnsi="Arial"/>
          <w:sz w:val="16"/>
          <w:szCs w:val="16"/>
          <w:color w:val="auto"/>
        </w:rPr>
      </w:pPr>
    </w:p>
    <w:p>
      <w:pPr>
        <w:ind w:left="460" w:right="300" w:firstLine="443"/>
        <w:spacing w:after="0" w:line="256"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64" w:name="page65"/>
    <w:bookmarkEnd w:id="6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 any other Event of Default provided for in such series of Securities.</w:t>
      </w:r>
    </w:p>
    <w:p>
      <w:pPr>
        <w:spacing w:after="0" w:line="171"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become immediately due and payable.</w:t>
      </w:r>
    </w:p>
    <w:p>
      <w:pPr>
        <w:spacing w:after="0" w:line="10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by acceleration, shall have been cured, waived or otherwise remedied as provided herein—then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65" w:name="page66"/>
    <w:bookmarkEnd w:id="6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Collection of Debt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37" w:lineRule="exact"/>
        <w:rPr>
          <w:sz w:val="20"/>
          <w:szCs w:val="20"/>
          <w:color w:val="auto"/>
        </w:rPr>
      </w:pPr>
    </w:p>
    <w:p>
      <w:pPr>
        <w:ind w:left="920" w:right="500" w:firstLine="421"/>
        <w:spacing w:after="0" w:line="268" w:lineRule="auto"/>
        <w:tabs>
          <w:tab w:leader="none" w:pos="15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file and prove a claim or claims for the whole amount of principal and interest (or, if the Securities of any series are Original Issue Discount Securities, such portion of the principal amount as may be specified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66" w:name="page67"/>
    <w:bookmarkEnd w:id="66"/>
    <w:p>
      <w:pPr>
        <w:ind w:left="920" w:right="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9" w:lineRule="exact"/>
        <w:rPr>
          <w:sz w:val="20"/>
          <w:szCs w:val="20"/>
          <w:color w:val="auto"/>
        </w:rPr>
      </w:pPr>
    </w:p>
    <w:p>
      <w:pPr>
        <w:ind w:left="920" w:right="160" w:firstLine="421"/>
        <w:spacing w:after="0" w:line="259" w:lineRule="auto"/>
        <w:tabs>
          <w:tab w:leader="none" w:pos="15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59" w:lineRule="exact"/>
        <w:rPr>
          <w:rFonts w:ascii="Arial" w:cs="Arial" w:eastAsia="Arial" w:hAnsi="Arial"/>
          <w:sz w:val="18"/>
          <w:szCs w:val="18"/>
          <w:color w:val="auto"/>
        </w:rPr>
      </w:pPr>
    </w:p>
    <w:p>
      <w:pPr>
        <w:ind w:left="920" w:firstLine="421"/>
        <w:spacing w:after="0" w:line="290" w:lineRule="auto"/>
        <w:tabs>
          <w:tab w:leader="none" w:pos="16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67" w:name="page68"/>
    <w:bookmarkEnd w:id="67"/>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Application of Proceeds.</w:t>
      </w:r>
      <w:r>
        <w:rPr>
          <w:rFonts w:ascii="Arial" w:cs="Arial" w:eastAsia="Arial" w:hAnsi="Arial"/>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90" w:lineRule="exact"/>
        <w:rPr>
          <w:sz w:val="20"/>
          <w:szCs w:val="20"/>
          <w:color w:val="auto"/>
        </w:rPr>
      </w:pPr>
    </w:p>
    <w:p>
      <w:pPr>
        <w:ind w:left="460" w:right="200" w:firstLine="438"/>
        <w:spacing w:after="0" w:line="294" w:lineRule="auto"/>
        <w:rPr>
          <w:sz w:val="20"/>
          <w:szCs w:val="20"/>
          <w:color w:val="auto"/>
        </w:rPr>
      </w:pPr>
      <w:r>
        <w:rPr>
          <w:rFonts w:ascii="Arial" w:cs="Arial" w:eastAsia="Arial" w:hAnsi="Arial"/>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35"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68" w:name="page69"/>
    <w:bookmarkEnd w:id="68"/>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0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Section 5.05 </w:t>
      </w:r>
      <w:r>
        <w:rPr>
          <w:rFonts w:ascii="Arial" w:cs="Arial" w:eastAsia="Arial" w:hAnsi="Arial"/>
          <w:sz w:val="15"/>
          <w:szCs w:val="15"/>
          <w:i w:val="1"/>
          <w:iCs w:val="1"/>
          <w:color w:val="auto"/>
        </w:rPr>
        <w:t>Restoration of Rights on Abandonment of Proceedings</w:t>
      </w:r>
      <w:r>
        <w:rPr>
          <w:rFonts w:ascii="Arial" w:cs="Arial" w:eastAsia="Arial" w:hAnsi="Arial"/>
          <w:sz w:val="15"/>
          <w:szCs w:val="15"/>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9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2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Unconditional Right of Securityholders to Institute Certain Suits</w:t>
      </w:r>
      <w:r>
        <w:rPr>
          <w:rFonts w:ascii="Arial" w:cs="Arial" w:eastAsia="Arial" w:hAnsi="Arial"/>
          <w:sz w:val="18"/>
          <w:szCs w:val="18"/>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or for the enforcement of such conversion right, shall not be impaired or affected without the consent of such Holder; it being understood and intended, and being expressly covenanted by the Holder of every Security with every other Holder and the Trustee, that no one or more Holders of Securities of any series shall have any right in any manner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69" w:name="page70"/>
    <w:bookmarkEnd w:id="69"/>
    <w:p>
      <w:pPr>
        <w:jc w:val="both"/>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Control by Holders of Securities</w:t>
      </w:r>
      <w:r>
        <w:rPr>
          <w:rFonts w:ascii="Arial" w:cs="Arial" w:eastAsia="Arial" w:hAnsi="Arial"/>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70" w:name="page71"/>
    <w:bookmarkEnd w:id="70"/>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5.10 </w:t>
      </w:r>
      <w:r>
        <w:rPr>
          <w:rFonts w:ascii="Arial" w:cs="Arial" w:eastAsia="Arial" w:hAnsi="Arial"/>
          <w:sz w:val="16"/>
          <w:szCs w:val="16"/>
          <w:i w:val="1"/>
          <w:iCs w:val="1"/>
          <w:color w:val="auto"/>
        </w:rPr>
        <w:t>Waiver of Past Defaults</w:t>
      </w:r>
      <w:r>
        <w:rPr>
          <w:rFonts w:ascii="Arial" w:cs="Arial" w:eastAsia="Arial" w:hAnsi="Arial"/>
          <w:sz w:val="16"/>
          <w:szCs w:val="16"/>
          <w:color w:val="auto"/>
        </w:rPr>
        <w:t>. Prior to the declaration of the acceleration of the maturity of the Securities of any series as provided in Section 5.01, the Holders of a majority in aggregate principal amount of the Securities of such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 default in the payment of the principal of, or interest on, any of the Securities of that series as and when the same shall become due by the terms of such Securities.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Trustee to Give Notice of Default</w:t>
      </w:r>
      <w:r>
        <w:rPr>
          <w:rFonts w:ascii="Arial" w:cs="Arial" w:eastAsia="Arial" w:hAnsi="Arial"/>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 4.03, unless in each case such defaults shall have been cured before the mailing or publication of such notice (the term “</w:t>
      </w:r>
      <w:r>
        <w:rPr>
          <w:rFonts w:ascii="Arial" w:cs="Arial" w:eastAsia="Arial" w:hAnsi="Arial"/>
          <w:sz w:val="16"/>
          <w:szCs w:val="16"/>
          <w:b w:val="1"/>
          <w:bCs w:val="1"/>
          <w:color w:val="auto"/>
        </w:rPr>
        <w:t>defaults</w:t>
      </w:r>
      <w:r>
        <w:rPr>
          <w:rFonts w:ascii="Arial" w:cs="Arial" w:eastAsia="Arial" w:hAnsi="Arial"/>
          <w:sz w:val="16"/>
          <w:szCs w:val="16"/>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that, except in the case of default in the payment of the principal of or interest on any of the Securities of such series, or in the payment of any sinking</w:t>
      </w:r>
      <w:r>
        <w:rPr>
          <w:rFonts w:ascii="Arial" w:cs="Arial" w:eastAsia="Arial" w:hAnsi="Arial"/>
          <w:sz w:val="16"/>
          <w:szCs w:val="16"/>
          <w:i w:val="1"/>
          <w:iCs w:val="1"/>
          <w:color w:val="auto"/>
        </w:rPr>
        <w:t xml:space="preserve"> </w:t>
      </w:r>
      <w:r>
        <w:rPr>
          <w:rFonts w:ascii="Arial" w:cs="Arial" w:eastAsia="Arial" w:hAnsi="Arial"/>
          <w:sz w:val="16"/>
          <w:szCs w:val="16"/>
          <w:color w:val="auto"/>
        </w:rPr>
        <w:t>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Right of Court to Require Filing of Undertaking to Pay Costs</w:t>
      </w:r>
      <w:r>
        <w:rPr>
          <w:rFonts w:ascii="Arial" w:cs="Arial" w:eastAsia="Arial" w:hAnsi="Arial"/>
          <w:sz w:val="16"/>
          <w:szCs w:val="16"/>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TRUSTEE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Certain Rights of the Trustee.</w:t>
      </w:r>
      <w:r>
        <w:rPr>
          <w:rFonts w:ascii="Arial" w:cs="Arial" w:eastAsia="Arial" w:hAnsi="Arial"/>
          <w:sz w:val="18"/>
          <w:szCs w:val="18"/>
          <w:color w:val="auto"/>
        </w:rPr>
        <w:t xml:space="preserve"> In furtherance of and subject to the Trust Indenture Act of 1939 and subject to Section 6.01:</w:t>
      </w:r>
    </w:p>
    <w:p>
      <w:pPr>
        <w:spacing w:after="0" w:line="90" w:lineRule="exact"/>
        <w:rPr>
          <w:sz w:val="20"/>
          <w:szCs w:val="20"/>
          <w:color w:val="auto"/>
        </w:rPr>
      </w:pPr>
    </w:p>
    <w:p>
      <w:pPr>
        <w:jc w:val="both"/>
        <w:ind w:left="460" w:firstLine="443"/>
        <w:spacing w:after="0" w:line="298" w:lineRule="auto"/>
        <w:tabs>
          <w:tab w:leader="none" w:pos="1137"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31"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50"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25" w:lineRule="exact"/>
        <w:rPr>
          <w:rFonts w:ascii="Arial" w:cs="Arial" w:eastAsia="Arial" w:hAnsi="Arial"/>
          <w:sz w:val="16"/>
          <w:szCs w:val="16"/>
          <w:color w:val="auto"/>
        </w:rPr>
      </w:pPr>
    </w:p>
    <w:p>
      <w:pPr>
        <w:ind w:left="460" w:right="180" w:firstLine="443"/>
        <w:spacing w:after="0" w:line="259"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72" w:name="page73"/>
    <w:bookmarkEnd w:id="72"/>
    <w:p>
      <w:pPr>
        <w:ind w:left="460" w:right="320" w:firstLine="443"/>
        <w:spacing w:after="0" w:line="259" w:lineRule="auto"/>
        <w:tabs>
          <w:tab w:leader="none" w:pos="1117"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59" w:lineRule="exact"/>
        <w:rPr>
          <w:rFonts w:ascii="Arial" w:cs="Arial" w:eastAsia="Arial" w:hAnsi="Arial"/>
          <w:sz w:val="18"/>
          <w:szCs w:val="18"/>
          <w:color w:val="auto"/>
        </w:rPr>
      </w:pPr>
    </w:p>
    <w:p>
      <w:pPr>
        <w:ind w:left="460" w:right="120" w:firstLine="443"/>
        <w:spacing w:after="0" w:line="332"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4" w:lineRule="exact"/>
        <w:rPr>
          <w:rFonts w:ascii="Arial" w:cs="Arial" w:eastAsia="Arial" w:hAnsi="Arial"/>
          <w:sz w:val="16"/>
          <w:szCs w:val="16"/>
          <w:color w:val="auto"/>
        </w:rPr>
      </w:pPr>
    </w:p>
    <w:p>
      <w:pPr>
        <w:ind w:left="460" w:right="100" w:firstLine="443"/>
        <w:spacing w:after="0" w:line="306"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50" w:lineRule="exact"/>
        <w:rPr>
          <w:rFonts w:ascii="Arial" w:cs="Arial" w:eastAsia="Arial" w:hAnsi="Arial"/>
          <w:sz w:val="18"/>
          <w:szCs w:val="18"/>
          <w:color w:val="auto"/>
        </w:rPr>
      </w:pPr>
    </w:p>
    <w:p>
      <w:pPr>
        <w:ind w:left="460" w:right="20" w:firstLine="443"/>
        <w:spacing w:after="0" w:line="289" w:lineRule="auto"/>
        <w:tabs>
          <w:tab w:leader="none" w:pos="1108"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37"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73" w:name="page74"/>
    <w:bookmarkEnd w:id="73"/>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8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Trustee and Agents May Hold Securities; Collections, Etc.</w:t>
      </w:r>
      <w:r>
        <w:rPr>
          <w:rFonts w:ascii="Arial" w:cs="Arial" w:eastAsia="Arial" w:hAnsi="Arial"/>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i w:val="1"/>
          <w:iCs w:val="1"/>
          <w:color w:val="auto"/>
        </w:rPr>
        <w:t>Compensation and Indemnification of Trustee and Its Prior Claim.</w:t>
      </w:r>
      <w:r>
        <w:rPr>
          <w:rFonts w:ascii="Arial" w:cs="Arial" w:eastAsia="Arial" w:hAnsi="Arial"/>
          <w:sz w:val="15"/>
          <w:szCs w:val="15"/>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1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Right of Trustee to Rely on Officer’s Certificate, Etc.</w:t>
      </w:r>
      <w:r>
        <w:rPr>
          <w:rFonts w:ascii="Arial" w:cs="Arial" w:eastAsia="Arial" w:hAnsi="Arial"/>
          <w:sz w:val="16"/>
          <w:szCs w:val="16"/>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74" w:name="page75"/>
    <w:bookmarkEnd w:id="7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Disqualification; Conflicting Interests.</w:t>
      </w:r>
      <w:r>
        <w:rPr>
          <w:rFonts w:ascii="Arial" w:cs="Arial" w:eastAsia="Arial" w:hAnsi="Arial"/>
          <w:sz w:val="16"/>
          <w:szCs w:val="16"/>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mailing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42" w:lineRule="exact"/>
        <w:rPr>
          <w:sz w:val="20"/>
          <w:szCs w:val="20"/>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49"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59" w:lineRule="exact"/>
        <w:rPr>
          <w:rFonts w:ascii="Arial" w:cs="Arial" w:eastAsia="Arial" w:hAnsi="Arial"/>
          <w:sz w:val="18"/>
          <w:szCs w:val="18"/>
          <w:color w:val="auto"/>
        </w:rPr>
      </w:pPr>
    </w:p>
    <w:p>
      <w:pPr>
        <w:ind w:left="920" w:firstLine="421"/>
        <w:spacing w:after="0" w:line="268" w:lineRule="auto"/>
        <w:tabs>
          <w:tab w:leader="none" w:pos="15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75" w:name="page76"/>
    <w:bookmarkEnd w:id="75"/>
    <w:p>
      <w:pPr>
        <w:ind w:left="920" w:right="380" w:firstLine="421"/>
        <w:spacing w:after="0" w:line="259" w:lineRule="auto"/>
        <w:tabs>
          <w:tab w:leader="none" w:pos="1647"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59"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himself or herself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39" w:lineRule="exact"/>
        <w:rPr>
          <w:sz w:val="20"/>
          <w:szCs w:val="20"/>
          <w:color w:val="auto"/>
        </w:rPr>
      </w:pPr>
    </w:p>
    <w:p>
      <w:pPr>
        <w:ind w:left="460" w:right="140" w:firstLine="443"/>
        <w:spacing w:after="0" w:line="256"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62" w:lineRule="exact"/>
        <w:rPr>
          <w:rFonts w:ascii="Arial" w:cs="Arial" w:eastAsia="Arial" w:hAnsi="Arial"/>
          <w:sz w:val="18"/>
          <w:szCs w:val="18"/>
          <w:color w:val="auto"/>
        </w:rPr>
      </w:pPr>
    </w:p>
    <w:p>
      <w:pPr>
        <w:jc w:val="both"/>
        <w:ind w:left="460" w:right="560" w:firstLine="443"/>
        <w:spacing w:after="0" w:line="259"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76" w:name="page77"/>
    <w:bookmarkEnd w:id="76"/>
    <w:p>
      <w:pPr>
        <w:ind w:right="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acceptance of appointment by any successor trustee as provided in this Section 6.11, the Issuer shall mail notice thereof to the Holders of Securities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each series affected, by mailing such notice to such Holders at their addresses as they shall appear on the Security register. If the acceptance of appointment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substantially contemporaneous with the resignation, then the notice called for by the preceding sentence may be combined with the notice called for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6.10. If the Issuer fails to mail such notice within ten days after acceptance of appointment by the successor trustee, the successor trustee shall cause such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notice to be given at the expense of the Issuer.</w:t>
      </w:r>
    </w:p>
    <w:p>
      <w:pPr>
        <w:spacing w:after="0" w:line="16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i w:val="1"/>
          <w:iCs w:val="1"/>
          <w:color w:val="auto"/>
        </w:rPr>
        <w:t>Merger, Conversion, Consolidation or Succession to Business of Trustee.</w:t>
      </w:r>
      <w:r>
        <w:rPr>
          <w:rFonts w:ascii="Arial" w:cs="Arial" w:eastAsia="Arial" w:hAnsi="Arial"/>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5"/>
          <w:szCs w:val="15"/>
          <w:i w:val="1"/>
          <w:iCs w:val="1"/>
          <w:color w:val="auto"/>
        </w:rPr>
        <w:t>provided</w:t>
      </w:r>
      <w:r>
        <w:rPr>
          <w:rFonts w:ascii="Arial" w:cs="Arial" w:eastAsia="Arial" w:hAnsi="Arial"/>
          <w:sz w:val="15"/>
          <w:szCs w:val="15"/>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7" w:name="page78"/>
    <w:bookmarkEnd w:id="77"/>
    <w:p>
      <w:pPr>
        <w:jc w:val="both"/>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6.13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SECURITYHOLDERS</w:t>
      </w:r>
    </w:p>
    <w:p>
      <w:pPr>
        <w:spacing w:after="0" w:line="165"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Evidence of Action Taken by Securityholders.</w:t>
      </w:r>
      <w:r>
        <w:rPr>
          <w:rFonts w:ascii="Arial" w:cs="Arial" w:eastAsia="Arial" w:hAnsi="Arial"/>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Proof of Execution of Instruments and of Holding of Securities.</w:t>
      </w:r>
      <w:r>
        <w:rPr>
          <w:rFonts w:ascii="Arial" w:cs="Arial" w:eastAsia="Arial" w:hAnsi="Arial"/>
          <w:sz w:val="16"/>
          <w:szCs w:val="16"/>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Holders to Be Treated as Owners.</w:t>
      </w:r>
      <w:r>
        <w:rPr>
          <w:rFonts w:ascii="Arial" w:cs="Arial" w:eastAsia="Arial" w:hAnsi="Arial"/>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Securities Owned by Issuer Deemed Not Outstanding.</w:t>
      </w:r>
      <w:r>
        <w:rPr>
          <w:rFonts w:ascii="Arial" w:cs="Arial" w:eastAsia="Arial" w:hAnsi="Arial"/>
          <w:sz w:val="18"/>
          <w:szCs w:val="18"/>
          <w:color w:val="auto"/>
        </w:rPr>
        <w:t xml:space="preserve"> In determining whether the Holders of the requisite aggregate principal amount of Outstanding Securities of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8" w:name="page79"/>
    <w:bookmarkEnd w:id="78"/>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Right of Revocation of Action Taken.</w:t>
      </w:r>
      <w:r>
        <w:rPr>
          <w:rFonts w:ascii="Arial" w:cs="Arial" w:eastAsia="Arial" w:hAnsi="Arial"/>
          <w:sz w:val="16"/>
          <w:szCs w:val="16"/>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INDENTURES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59" w:lineRule="exact"/>
        <w:rPr>
          <w:sz w:val="20"/>
          <w:szCs w:val="20"/>
          <w:color w:val="auto"/>
        </w:rPr>
      </w:pPr>
    </w:p>
    <w:p>
      <w:pPr>
        <w:ind w:left="1140" w:hanging="237"/>
        <w:spacing w:after="0"/>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Securities of one or more series any property or assets;</w:t>
      </w:r>
    </w:p>
    <w:p>
      <w:pPr>
        <w:spacing w:after="0" w:line="113" w:lineRule="exact"/>
        <w:rPr>
          <w:rFonts w:ascii="Arial" w:cs="Arial" w:eastAsia="Arial" w:hAnsi="Arial"/>
          <w:sz w:val="16"/>
          <w:szCs w:val="16"/>
          <w:color w:val="auto"/>
        </w:rPr>
      </w:pPr>
    </w:p>
    <w:p>
      <w:pPr>
        <w:ind w:left="460" w:right="580" w:firstLine="443"/>
        <w:spacing w:after="0" w:line="332"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evidence the succession of a corporation, limited liability company, partnership or trust to the Issuer, or successive successions, and the assumption by such successor of the covenants, agreements and obligations of the Issuer pursuant to Article 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79" w:name="page80"/>
    <w:bookmarkEnd w:id="79"/>
    <w:p>
      <w:pPr>
        <w:ind w:left="460" w:firstLine="443"/>
        <w:spacing w:after="0" w:line="290" w:lineRule="auto"/>
        <w:tabs>
          <w:tab w:leader="none" w:pos="1137"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37"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cure any ambiguity, defect or inconsistency, or to conform this Indenture or any supplemental indenture to the description of the Securities set forth in any prospectus or prospectus supplement related to such series of Securities;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provide for or add guarantors for the Securities of one or more series;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59"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purposes of issue, authentication and delivery of any series of Securities, as herein set forth;</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interests of the Holders of the Securities in any material respect.</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80" w:name="page81"/>
    <w:bookmarkEnd w:id="8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supplemental indenture authorized by the provisions of this Section may be executed without the consent of the Holders of any of the Securities at the time Outstanding, notwithstanding any of the provisions of Section 8.02.</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Supplemental Indentures With Consent of Securityholders.</w:t>
      </w:r>
      <w:r>
        <w:rPr>
          <w:rFonts w:ascii="Arial" w:cs="Arial" w:eastAsia="Arial" w:hAnsi="Arial"/>
          <w:sz w:val="16"/>
          <w:szCs w:val="16"/>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6"/>
          <w:szCs w:val="16"/>
          <w:i w:val="1"/>
          <w:iCs w:val="1"/>
          <w:color w:val="auto"/>
        </w:rPr>
        <w:t>provided</w:t>
      </w:r>
      <w:r>
        <w:rPr>
          <w:rFonts w:ascii="Arial" w:cs="Arial" w:eastAsia="Arial" w:hAnsi="Arial"/>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waive a default in the payment of principal of any Security or interest thereon or change a provision related to the waiver of past defaults or changes or impair the right of any Securityholder to institute suit for the payment or conversion thereof or, if the Securities provide therefor, any right of repayment at the option of the Securityholder, or (b) modify any of the provisions of this section except to increase any required percentage or to provide that certain other provisions cannot be modified or waived without the consent of the Holder of each Security so affected, or (c)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 modified.</w:t>
      </w:r>
    </w:p>
    <w:p>
      <w:pPr>
        <w:spacing w:after="0" w:line="11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81" w:name="page82"/>
    <w:bookmarkEnd w:id="81"/>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shall not be necessary for the consent of the Securityholders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a notice thereof to the Holders of then Outstanding Securities of each series affected thereby, by mailing a notice thereof by first-class mail to such Holders at their addresses as they shall appear on the Security register, and in each case such notice shall set forth in general terms the substance of such supplemental indenture. Any failure of the Trustee to mail such notice, or any defect therein, shall not, however, in any way impair or affect the validity of any such supplemental indenture.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i w:val="1"/>
          <w:iCs w:val="1"/>
          <w:color w:val="auto"/>
        </w:rPr>
        <w:t>Notation on Securities in Respect of Supplemental Indentures.</w:t>
      </w:r>
      <w:r>
        <w:rPr>
          <w:rFonts w:ascii="Arial" w:cs="Arial" w:eastAsia="Arial" w:hAnsi="Arial"/>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SALE OR CONVEYANCE</w:t>
      </w:r>
    </w:p>
    <w:p>
      <w:pPr>
        <w:spacing w:after="0" w:line="16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Issuer May Consolidate, Etc., on Certain Terms.</w:t>
      </w:r>
      <w:r>
        <w:rPr>
          <w:rFonts w:ascii="Arial" w:cs="Arial" w:eastAsia="Arial" w:hAnsi="Arial"/>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82" w:name="page83"/>
    <w:bookmarkEnd w:id="8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expressly assume, by an indenture supplemental hereto, executed and delivered to the Trustee, in form satisfactory to the Trustee, the due and punctual payment of the principal of and interest on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and treating any indebtedness which becomes an obligation of the Issuer or any Subsidiary as a result of such transaction as having been incurred by the Issuer or such Subsidiary at the time of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conditions of (a)(ii) above shall not apply in the case of a corporation or entity not organized under the laws of the United States of America, any State thereof or the District of Columbia which shall agree, in form satisfactory to the Trustee, (i) to subject itself to the jurisdiction of the United States district court for the Southern District of New York and (ii) to indemnify and hold harmless the holders of all Securities against (A) any tax, assessment or governmental charge imposed on such holders by a jurisdiction other than the United States or any political subdivision or taxing authority thereof or therein with respect to, and withheld on the making of, any payment of principal or interest on such Securities and which would not have been so imposed and withheld had such consolidation, merger, sale or conveyance not been made and (B) any tax, assessment or governmental charge imposed on or relating to, and any costs or expenses involved in, such consolidation, merger, sale or conveyance.</w:t>
      </w:r>
    </w:p>
    <w:p>
      <w:pPr>
        <w:spacing w:after="0" w:line="118"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Nothing contained in this Article shall apply to, limit or impose any requirements upon the consolidation or merger of any Person into the Issuer where the Issuer is the survivor of such transaction, or the acquisition by the Issuer, by purchase or otherwise, of all or any part of the property of any other Person (whether or not affiliated with the Issuer).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Successor Issuer Substituted.</w:t>
      </w:r>
      <w:r>
        <w:rPr>
          <w:rFonts w:ascii="Arial" w:cs="Arial" w:eastAsia="Arial" w:hAnsi="Arial"/>
          <w:sz w:val="16"/>
          <w:szCs w:val="16"/>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83" w:name="page84"/>
    <w:bookmarkEnd w:id="83"/>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any such consolidation, merger, sale, lease or conveyance, such changes in phraseology and form (but not in substance) may be made in the Securities thereafter to be issued as may be appropriate.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OF INDENTURE; DEFEASANCE; UNCLAIMED MONEYS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 Defeasance.</w:t>
      </w:r>
      <w:r>
        <w:rPr>
          <w:rFonts w:ascii="Arial" w:cs="Arial" w:eastAsia="Arial" w:hAnsi="Arial"/>
          <w:sz w:val="18"/>
          <w:szCs w:val="18"/>
          <w:color w:val="auto"/>
        </w:rPr>
        <w:t xml:space="preserve"> (a) If at any time</w:t>
      </w:r>
    </w:p>
    <w:p>
      <w:pPr>
        <w:spacing w:after="0" w:line="90" w:lineRule="exact"/>
        <w:rPr>
          <w:sz w:val="20"/>
          <w:szCs w:val="20"/>
          <w:color w:val="auto"/>
        </w:rPr>
      </w:pPr>
    </w:p>
    <w:p>
      <w:pPr>
        <w:ind w:left="920" w:right="180" w:firstLine="421"/>
        <w:spacing w:after="0" w:line="259" w:lineRule="auto"/>
        <w:tabs>
          <w:tab w:leader="none" w:pos="15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59" w:lineRule="exact"/>
        <w:rPr>
          <w:rFonts w:ascii="Arial" w:cs="Arial" w:eastAsia="Arial" w:hAnsi="Arial"/>
          <w:sz w:val="18"/>
          <w:szCs w:val="18"/>
          <w:color w:val="auto"/>
        </w:rPr>
      </w:pPr>
    </w:p>
    <w:p>
      <w:pPr>
        <w:ind w:left="920" w:firstLine="421"/>
        <w:spacing w:after="0" w:line="332" w:lineRule="auto"/>
        <w:tabs>
          <w:tab w:leader="none" w:pos="15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4" w:lineRule="exact"/>
        <w:rPr>
          <w:rFonts w:ascii="Arial" w:cs="Arial" w:eastAsia="Arial" w:hAnsi="Arial"/>
          <w:sz w:val="16"/>
          <w:szCs w:val="16"/>
          <w:color w:val="auto"/>
        </w:rPr>
      </w:pPr>
    </w:p>
    <w:p>
      <w:pPr>
        <w:ind w:left="920" w:right="220" w:firstLine="421"/>
        <w:spacing w:after="0" w:line="332" w:lineRule="auto"/>
        <w:tabs>
          <w:tab w:leader="none" w:pos="16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case of any series of Securities the exact amount (including the currency of payment) of principal of and interest due on which on the dates referred to in clause (B) below can be determined at the time of making the deposit referred to in such clause,</w:t>
      </w:r>
    </w:p>
    <w:p>
      <w:pPr>
        <w:spacing w:after="0" w:line="4" w:lineRule="exact"/>
        <w:rPr>
          <w:rFonts w:ascii="Arial" w:cs="Arial" w:eastAsia="Arial" w:hAnsi="Arial"/>
          <w:sz w:val="16"/>
          <w:szCs w:val="16"/>
          <w:color w:val="auto"/>
        </w:rPr>
      </w:pPr>
    </w:p>
    <w:p>
      <w:pPr>
        <w:ind w:left="1500" w:right="20" w:firstLine="389"/>
        <w:spacing w:after="0" w:line="259" w:lineRule="auto"/>
        <w:tabs>
          <w:tab w:leader="none" w:pos="218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w:t>
      </w:r>
    </w:p>
    <w:p>
      <w:pPr>
        <w:spacing w:after="0" w:line="59" w:lineRule="exact"/>
        <w:rPr>
          <w:rFonts w:ascii="Arial" w:cs="Arial" w:eastAsia="Arial" w:hAnsi="Arial"/>
          <w:sz w:val="18"/>
          <w:szCs w:val="18"/>
          <w:color w:val="auto"/>
        </w:rPr>
      </w:pPr>
    </w:p>
    <w:p>
      <w:pPr>
        <w:ind w:left="1500" w:firstLine="389"/>
        <w:spacing w:after="0" w:line="289" w:lineRule="auto"/>
        <w:tabs>
          <w:tab w:leader="none" w:pos="2175"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Issuer shall have irrevocably deposited or caused to be deposited with the Trustee as trust funds the entire amount in cash (other than moneys repaid by the Trustee or any paying agent to the Issuer in accordance with Section 10.04) or, in the case of any series of Securities the payments on which may only be made in Dollars, U.S. Government Obligations maturing as to principal and interest in such amounts and at such times as will insure the availability of cash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and interest due or to become due to such date of maturity, as the case may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84" w:name="page85"/>
    <w:bookmarkEnd w:id="84"/>
    <w:p>
      <w:pPr>
        <w:ind w:right="16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if, in any such case (i), (ii) or (iii),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w:t>
      </w:r>
    </w:p>
    <w:p>
      <w:pPr>
        <w:spacing w:after="0" w:line="1" w:lineRule="exact"/>
        <w:rPr>
          <w:sz w:val="20"/>
          <w:szCs w:val="20"/>
          <w:color w:val="auto"/>
        </w:rPr>
      </w:pPr>
    </w:p>
    <w:p>
      <w:pPr>
        <w:ind w:right="100" w:firstLine="8"/>
        <w:spacing w:after="0" w:line="287"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20" w:lineRule="exact"/>
        <w:rPr>
          <w:rFonts w:ascii="Arial" w:cs="Arial" w:eastAsia="Arial" w:hAnsi="Arial"/>
          <w:sz w:val="16"/>
          <w:szCs w:val="16"/>
          <w:color w:val="auto"/>
        </w:rPr>
      </w:pPr>
    </w:p>
    <w:p>
      <w:pPr>
        <w:ind w:firstLine="464"/>
        <w:spacing w:after="0" w:line="283" w:lineRule="auto"/>
        <w:tabs>
          <w:tab w:leader="none" w:pos="705"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above, the Issuer, at its option and at any time, by written notice by an officer delivered to the Trustee, may elect to have all of its obligations discharged with all Outstanding Securities of a series (“</w:t>
      </w:r>
      <w:r>
        <w:rPr>
          <w:rFonts w:ascii="Arial" w:cs="Arial" w:eastAsia="Arial" w:hAnsi="Arial"/>
          <w:sz w:val="16"/>
          <w:szCs w:val="16"/>
          <w:b w:val="1"/>
          <w:bCs w:val="1"/>
          <w:color w:val="auto"/>
        </w:rPr>
        <w:t>Legal Defeasance</w:t>
      </w:r>
      <w:r>
        <w:rPr>
          <w:rFonts w:ascii="Arial" w:cs="Arial" w:eastAsia="Arial" w:hAnsi="Arial"/>
          <w:sz w:val="16"/>
          <w:szCs w:val="16"/>
          <w:color w:val="auto"/>
        </w:rPr>
        <w:t>”), such discharge to be effective on the date that the conditions set forth in clauses (i) through (iv) and (vi) of</w:t>
      </w:r>
    </w:p>
    <w:p>
      <w:pPr>
        <w:spacing w:after="0" w:line="2" w:lineRule="exact"/>
        <w:rPr>
          <w:rFonts w:ascii="Arial" w:cs="Arial" w:eastAsia="Arial" w:hAnsi="Arial"/>
          <w:sz w:val="16"/>
          <w:szCs w:val="16"/>
          <w:color w:val="auto"/>
        </w:rPr>
      </w:pPr>
    </w:p>
    <w:p>
      <w:pPr>
        <w:ind w:right="260"/>
        <w:spacing w:after="0" w:line="281" w:lineRule="auto"/>
        <w:rPr>
          <w:rFonts w:ascii="Arial" w:cs="Arial" w:eastAsia="Arial" w:hAnsi="Arial"/>
          <w:sz w:val="16"/>
          <w:szCs w:val="16"/>
          <w:color w:val="auto"/>
        </w:rPr>
      </w:pPr>
      <w:r>
        <w:rPr>
          <w:rFonts w:ascii="Arial" w:cs="Arial" w:eastAsia="Arial" w:hAnsi="Arial"/>
          <w:sz w:val="16"/>
          <w:szCs w:val="16"/>
          <w:color w:val="auto"/>
        </w:rPr>
        <w:t>Section 10.01(d) are satisfied, and thereafter the Issuer shall be deemed to have paid and discharged the entire Debt on all the Securities of such a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w:t>
      </w:r>
    </w:p>
    <w:p>
      <w:pPr>
        <w:spacing w:after="0" w:line="2" w:lineRule="exact"/>
        <w:rPr>
          <w:rFonts w:ascii="Arial" w:cs="Arial" w:eastAsia="Arial" w:hAnsi="Arial"/>
          <w:sz w:val="16"/>
          <w:szCs w:val="16"/>
          <w:color w:val="auto"/>
        </w:rPr>
      </w:pPr>
    </w:p>
    <w:p>
      <w:pPr>
        <w:ind w:right="140" w:firstLine="8"/>
        <w:spacing w:after="0" w:line="292"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substitution of apparently mutilated, defaced, destroyed, lost or stolen Securities, (3) rights of Holders of Securities to receive, solely from the trust fund described in Section 10.01(d)(i), payments of principal thereof and interest thereon, upon the original stated due dates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16" w:lineRule="exact"/>
        <w:rPr>
          <w:rFonts w:ascii="Arial" w:cs="Arial" w:eastAsia="Arial" w:hAnsi="Arial"/>
          <w:sz w:val="16"/>
          <w:szCs w:val="16"/>
          <w:color w:val="auto"/>
        </w:rPr>
      </w:pPr>
    </w:p>
    <w:p>
      <w:pPr>
        <w:ind w:right="140" w:firstLine="464"/>
        <w:spacing w:after="0" w:line="268" w:lineRule="auto"/>
        <w:tabs>
          <w:tab w:leader="none" w:pos="6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85" w:name="page86"/>
    <w:bookmarkEnd w:id="8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6"/>
          <w:szCs w:val="16"/>
          <w:b w:val="1"/>
          <w:bCs w:val="1"/>
          <w:color w:val="auto"/>
        </w:rPr>
        <w:t>Covenant Defeasance</w:t>
      </w:r>
      <w:r>
        <w:rPr>
          <w:rFonts w:ascii="Arial" w:cs="Arial" w:eastAsia="Arial" w:hAnsi="Arial"/>
          <w:sz w:val="16"/>
          <w:szCs w:val="16"/>
          <w:color w:val="auto"/>
        </w:rPr>
        <w:t>”),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the consequences of any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124" w:lineRule="exact"/>
        <w:rPr>
          <w:sz w:val="20"/>
          <w:szCs w:val="20"/>
          <w:color w:val="auto"/>
        </w:rPr>
      </w:pPr>
    </w:p>
    <w:p>
      <w:pPr>
        <w:ind w:left="1160" w:hanging="239"/>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following shall be the conditions to the application of Legal Defeasance under subsection (b) or Covenant Defeasance under subsection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Securities of the applicable series:</w:t>
      </w:r>
    </w:p>
    <w:p>
      <w:pPr>
        <w:spacing w:after="0" w:line="83" w:lineRule="exact"/>
        <w:rPr>
          <w:rFonts w:ascii="Arial" w:cs="Arial" w:eastAsia="Arial" w:hAnsi="Arial"/>
          <w:sz w:val="18"/>
          <w:szCs w:val="18"/>
          <w:color w:val="auto"/>
        </w:rPr>
      </w:pPr>
    </w:p>
    <w:p>
      <w:pPr>
        <w:ind w:left="920" w:firstLine="421"/>
        <w:spacing w:after="0" w:line="288" w:lineRule="auto"/>
        <w:tabs>
          <w:tab w:leader="none" w:pos="1549"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cash or U.S. Government Obligations that will generate cash sufficient to pay principal of and interest on the Outstanding Securities of such series to maturity or redemption, as the case may be, and to pay all other amounts payable by it hereunder, provided that (A) the trustee of the irrevocable trust, if any, shall have been irrevocably instructed to pay such funds or the proceeds of such U.S. Government Obligations to the Trustee and (B) the Trustee shall have been irrevocably instructed to apply such funds or the proceeds of such U.S. Government Obligations to (x) the principal and interest on all Securities of such series on the date that such principal or interest is due and payable and (y) any mandatory sinking fund payments on the day on which such payments are due and payable in accordance with the terms of the Indenture and the Securities of such series, and the Issuer shall also pay or cause to be paid all other amounts payable hereunder with respect to such series;</w:t>
      </w:r>
    </w:p>
    <w:p>
      <w:pPr>
        <w:spacing w:after="0" w:line="38" w:lineRule="exact"/>
        <w:rPr>
          <w:rFonts w:ascii="Arial" w:cs="Arial" w:eastAsia="Arial" w:hAnsi="Arial"/>
          <w:sz w:val="16"/>
          <w:szCs w:val="16"/>
          <w:color w:val="auto"/>
        </w:rPr>
      </w:pPr>
    </w:p>
    <w:p>
      <w:pPr>
        <w:ind w:left="920" w:right="60" w:firstLine="421"/>
        <w:spacing w:after="0" w:line="332" w:lineRule="auto"/>
        <w:tabs>
          <w:tab w:leader="none" w:pos="1598"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86" w:name="page87"/>
    <w:bookmarkEnd w:id="86"/>
    <w:p>
      <w:pPr>
        <w:ind w:left="920" w:right="180" w:firstLine="421"/>
        <w:spacing w:after="0" w:line="332" w:lineRule="auto"/>
        <w:tabs>
          <w:tab w:leader="none" w:pos="1647"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4" w:lineRule="exact"/>
        <w:rPr>
          <w:rFonts w:ascii="Arial" w:cs="Arial" w:eastAsia="Arial" w:hAnsi="Arial"/>
          <w:sz w:val="16"/>
          <w:szCs w:val="16"/>
          <w:color w:val="auto"/>
        </w:rPr>
      </w:pPr>
    </w:p>
    <w:p>
      <w:pPr>
        <w:ind w:left="920" w:firstLine="421"/>
        <w:spacing w:after="0" w:line="291" w:lineRule="auto"/>
        <w:tabs>
          <w:tab w:leader="none" w:pos="16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39" w:lineRule="exact"/>
        <w:rPr>
          <w:rFonts w:ascii="Arial" w:cs="Arial" w:eastAsia="Arial" w:hAnsi="Arial"/>
          <w:sz w:val="16"/>
          <w:szCs w:val="16"/>
          <w:color w:val="auto"/>
        </w:rPr>
      </w:pPr>
    </w:p>
    <w:p>
      <w:pPr>
        <w:ind w:left="920" w:firstLine="421"/>
        <w:spacing w:after="0" w:line="298" w:lineRule="auto"/>
        <w:tabs>
          <w:tab w:leader="none" w:pos="158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31" w:lineRule="exact"/>
        <w:rPr>
          <w:rFonts w:ascii="Arial" w:cs="Arial" w:eastAsia="Arial" w:hAnsi="Arial"/>
          <w:sz w:val="16"/>
          <w:szCs w:val="16"/>
          <w:color w:val="auto"/>
        </w:rPr>
      </w:pPr>
    </w:p>
    <w:p>
      <w:pPr>
        <w:ind w:left="920" w:right="540" w:firstLine="421"/>
        <w:spacing w:after="0" w:line="268" w:lineRule="auto"/>
        <w:tabs>
          <w:tab w:leader="none" w:pos="16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any other provisions of this subsection (d), such defeasance shall be effected in compliance with any additional or substitute terms, conditions or limitations which may be imposed on the Issuer pursuant to Section 2.03.</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After such irrevocable deposit made pursuant to this Section 10.01(d) and satisfaction of the other conditions set forth in this subsection (d), the Trustee upon request shall execute proper instruments acknowledging the discharge of the Issuer’s obligations pursuant to this Section 10.01.</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Application by Trustee of Funds Deposited for Payment of Securities.</w:t>
      </w:r>
      <w:r>
        <w:rPr>
          <w:rFonts w:ascii="Arial" w:cs="Arial" w:eastAsia="Arial" w:hAnsi="Arial"/>
          <w:sz w:val="18"/>
          <w:szCs w:val="18"/>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80" w:right="319" w:bottom="1440" w:gutter="0" w:footer="0" w:header="0"/>
        </w:sectPr>
      </w:pPr>
    </w:p>
    <w:bookmarkStart w:id="87" w:name="page88"/>
    <w:bookmarkEnd w:id="87"/>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8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Return of Moneys Held by Trustee and Paying Agent Unclaimed for Two Years.</w:t>
      </w:r>
      <w:r>
        <w:rPr>
          <w:rFonts w:ascii="Arial" w:cs="Arial" w:eastAsia="Arial" w:hAnsi="Arial"/>
          <w:sz w:val="16"/>
          <w:szCs w:val="16"/>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i w:val="1"/>
          <w:iCs w:val="1"/>
          <w:color w:val="auto"/>
        </w:rPr>
        <w:t>Indemnity for U.S. Government Obligations.</w:t>
      </w:r>
      <w:r>
        <w:rPr>
          <w:rFonts w:ascii="Arial" w:cs="Arial" w:eastAsia="Arial" w:hAnsi="Arial"/>
          <w:sz w:val="16"/>
          <w:szCs w:val="16"/>
          <w:color w:val="auto"/>
        </w:rPr>
        <w:t xml:space="preserve"> The Issuer shall pay and indemnify the Trustee against any tax, fee or other charge imposed on or assessed against the U.S. Government Obligations deposited pursuant to Section 10.01 or the principal or interest received in respect of such obligations.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No Recourse.</w:t>
      </w:r>
      <w:r>
        <w:rPr>
          <w:rFonts w:ascii="Arial" w:cs="Arial" w:eastAsia="Arial" w:hAnsi="Arial"/>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Provisions of Indenture for the Sole Benefit of Parties and Holders of Securities.</w:t>
      </w:r>
      <w:r>
        <w:rPr>
          <w:rFonts w:ascii="Arial" w:cs="Arial" w:eastAsia="Arial" w:hAnsi="Arial"/>
          <w:sz w:val="18"/>
          <w:szCs w:val="18"/>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88" w:name="page89"/>
    <w:bookmarkEnd w:id="88"/>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or under any covenant or provision herein contained, all such covenants and provisions being for the sole benefit of the parties hereto and their successors and of the Holders of the Securities.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3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i w:val="1"/>
          <w:iCs w:val="1"/>
          <w:color w:val="auto"/>
        </w:rPr>
        <w:t>Notices and Demands on Issuer, Trustee and Holders of Securities.</w:t>
      </w:r>
      <w:r>
        <w:rPr>
          <w:rFonts w:ascii="Arial" w:cs="Arial" w:eastAsia="Arial" w:hAnsi="Arial"/>
          <w:sz w:val="15"/>
          <w:szCs w:val="15"/>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Emergent BioSolutions Inc., 2273 Research Boulevard, Suite 400, Rockville, Maryland 20850, Attn: Chief Financial Officer. Any notice, direction, request or demand by the Issuer or any Holder of Securities to or upon the Trustee shall be deemed to have been sufficiently given or made, for all purposes, if given or</w:t>
      </w:r>
    </w:p>
    <w:p>
      <w:pPr>
        <w:spacing w:after="0" w:line="2" w:lineRule="exact"/>
        <w:rPr>
          <w:sz w:val="20"/>
          <w:szCs w:val="20"/>
          <w:color w:val="auto"/>
        </w:rPr>
      </w:pPr>
    </w:p>
    <w:p>
      <w:pPr>
        <w:spacing w:after="0"/>
        <w:tabs>
          <w:tab w:leader="none" w:pos="1460" w:val="left"/>
          <w:tab w:leader="none" w:pos="2420" w:val="left"/>
          <w:tab w:leader="none" w:pos="3800" w:val="left"/>
        </w:tabs>
        <w:rPr>
          <w:sz w:val="20"/>
          <w:szCs w:val="20"/>
          <w:color w:val="auto"/>
        </w:rPr>
      </w:pPr>
      <w:r>
        <w:rPr>
          <w:rFonts w:ascii="Arial" w:cs="Arial" w:eastAsia="Arial" w:hAnsi="Arial"/>
          <w:sz w:val="18"/>
          <w:szCs w:val="18"/>
          <w:color w:val="auto"/>
        </w:rPr>
        <w:t>made 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Attn:</w:t>
      </w:r>
      <w:r>
        <w:rPr>
          <w:sz w:val="20"/>
          <w:szCs w:val="20"/>
          <w:color w:val="auto"/>
        </w:rPr>
        <w:tab/>
      </w:r>
      <w:r>
        <w:rPr>
          <w:rFonts w:ascii="Arial" w:cs="Arial" w:eastAsia="Arial" w:hAnsi="Arial"/>
          <w:sz w:val="14"/>
          <w:szCs w:val="14"/>
          <w:color w:val="auto"/>
        </w:rPr>
        <w:t>.</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Where this Indenture provides for notice to Holders of Securities, such notice shall be sufficiently given (unless otherwise herein expressly provided) if in writing and mailed, first-class postage prepaid, to each Holder entitled thereto, at his or her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Officer’s Certificates and Opinions of Counsel; Statements to Be Contained Therein.</w:t>
      </w:r>
      <w:r>
        <w:rPr>
          <w:rFonts w:ascii="Arial" w:cs="Arial" w:eastAsia="Arial" w:hAnsi="Arial"/>
          <w:sz w:val="16"/>
          <w:szCs w:val="16"/>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89" w:name="page90"/>
    <w:bookmarkEnd w:id="8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90" w:name="page91"/>
    <w:bookmarkEnd w:id="90"/>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i w:val="1"/>
          <w:iCs w:val="1"/>
          <w:color w:val="auto"/>
        </w:rPr>
        <w:t>New York Law to Govern.</w:t>
      </w:r>
      <w:r>
        <w:rPr>
          <w:rFonts w:ascii="Arial" w:cs="Arial" w:eastAsia="Arial" w:hAnsi="Arial"/>
          <w:sz w:val="16"/>
          <w:szCs w:val="16"/>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Actions by Successor</w:t>
      </w:r>
      <w:r>
        <w:rPr>
          <w:rFonts w:ascii="Arial" w:cs="Arial" w:eastAsia="Arial" w:hAnsi="Arial"/>
          <w:sz w:val="18"/>
          <w:szCs w:val="18"/>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OF SECURITIES AND SINKING FUNDS</w:t>
      </w:r>
    </w:p>
    <w:p>
      <w:pPr>
        <w:spacing w:after="0" w:line="16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91" w:name="page92"/>
    <w:bookmarkEnd w:id="91"/>
    <w:p>
      <w:pPr>
        <w:ind w:right="10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92" w:name="page93"/>
    <w:bookmarkEnd w:id="92"/>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i w:val="1"/>
          <w:iCs w:val="1"/>
          <w:color w:val="auto"/>
        </w:rPr>
        <w:t>Payment of Securities Called for Redemption.</w:t>
      </w:r>
      <w:r>
        <w:rPr>
          <w:rFonts w:ascii="Arial" w:cs="Arial" w:eastAsia="Arial" w:hAnsi="Arial"/>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i w:val="1"/>
          <w:iCs w:val="1"/>
          <w:color w:val="auto"/>
        </w:rPr>
        <w:t>Exclusion of Certain Securities from Eligibility for Selection for Redemption.</w:t>
      </w:r>
      <w:r>
        <w:rPr>
          <w:rFonts w:ascii="Arial" w:cs="Arial" w:eastAsia="Arial" w:hAnsi="Arial"/>
          <w:sz w:val="16"/>
          <w:szCs w:val="16"/>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93" w:name="page94"/>
    <w:bookmarkEnd w:id="93"/>
    <w:p>
      <w:pPr>
        <w:jc w:val="both"/>
        <w:ind w:right="28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 date</w:t>
      </w:r>
      <w:r>
        <w:rPr>
          <w:rFonts w:ascii="Arial" w:cs="Arial" w:eastAsia="Arial" w:hAnsi="Arial"/>
          <w:sz w:val="18"/>
          <w:szCs w:val="18"/>
          <w:color w:val="auto"/>
        </w:rPr>
        <w: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w:t>
      </w:r>
    </w:p>
    <w:p>
      <w:pPr>
        <w:spacing w:after="0" w:line="38" w:lineRule="exact"/>
        <w:rPr>
          <w:sz w:val="20"/>
          <w:szCs w:val="20"/>
          <w:color w:val="auto"/>
        </w:rPr>
      </w:pPr>
    </w:p>
    <w:p>
      <w:pPr>
        <w:ind w:firstLine="8"/>
        <w:spacing w:after="0" w:line="288" w:lineRule="auto"/>
        <w:tabs>
          <w:tab w:leader="none" w:pos="239"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2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2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94" w:name="page95"/>
    <w:bookmarkEnd w:id="9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13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95" w:name="page96"/>
    <w:bookmarkEnd w:id="95"/>
    <w:p>
      <w:pPr>
        <w:spacing w:after="0"/>
        <w:tabs>
          <w:tab w:leader="none" w:pos="7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EMERGENT BIOSOLUTIONS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EMERGENT BIOSOLUTIONS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Trustee</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Dated as of</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220"/>
          </w:cols>
          <w:pgMar w:left="1440" w:top="125"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8440" w:type="dxa"/>
            <w:vAlign w:val="bottom"/>
            <w:gridSpan w:val="2"/>
          </w:tcPr>
          <w:p>
            <w:pPr>
              <w:ind w:left="1520"/>
              <w:spacing w:after="0"/>
              <w:rPr>
                <w:sz w:val="20"/>
                <w:szCs w:val="20"/>
                <w:color w:val="auto"/>
              </w:rPr>
            </w:pPr>
            <w:r>
              <w:rPr>
                <w:rFonts w:ascii="Arial" w:cs="Arial" w:eastAsia="Arial" w:hAnsi="Arial"/>
                <w:sz w:val="18"/>
                <w:szCs w:val="18"/>
                <w:color w:val="auto"/>
              </w:rPr>
              <w:t>CROSS-REFERENCE TABLE(1)</w:t>
            </w:r>
          </w:p>
        </w:tc>
        <w:tc>
          <w:tcPr>
            <w:tcW w:w="0" w:type="dxa"/>
            <w:vAlign w:val="bottom"/>
          </w:tcPr>
          <w:p>
            <w:pPr>
              <w:spacing w:after="0"/>
              <w:rPr>
                <w:sz w:val="1"/>
                <w:szCs w:val="1"/>
                <w:color w:val="auto"/>
              </w:rPr>
            </w:pPr>
          </w:p>
        </w:tc>
      </w:tr>
      <w:tr>
        <w:trPr>
          <w:trHeight w:val="342"/>
        </w:trPr>
        <w:tc>
          <w:tcPr>
            <w:tcW w:w="2980" w:type="dxa"/>
            <w:vAlign w:val="bottom"/>
            <w:vMerge w:val="restart"/>
          </w:tcPr>
          <w:p>
            <w:pPr>
              <w:spacing w:after="0"/>
              <w:rPr>
                <w:sz w:val="20"/>
                <w:szCs w:val="20"/>
                <w:color w:val="auto"/>
              </w:rPr>
            </w:pPr>
            <w:r>
              <w:rPr>
                <w:rFonts w:ascii="Arial" w:cs="Arial" w:eastAsia="Arial" w:hAnsi="Arial"/>
                <w:sz w:val="14"/>
                <w:szCs w:val="14"/>
                <w:color w:val="auto"/>
                <w:w w:val="92"/>
              </w:rPr>
              <w:t>Section of Trust Indenture Act of 1939, as amended</w:t>
            </w:r>
          </w:p>
        </w:tc>
        <w:tc>
          <w:tcPr>
            <w:tcW w:w="7400" w:type="dxa"/>
            <w:vAlign w:val="bottom"/>
          </w:tcPr>
          <w:p>
            <w:pPr>
              <w:spacing w:after="0"/>
              <w:rPr>
                <w:sz w:val="24"/>
                <w:szCs w:val="24"/>
                <w:color w:val="auto"/>
              </w:rPr>
            </w:pPr>
          </w:p>
        </w:tc>
        <w:tc>
          <w:tcPr>
            <w:tcW w:w="1040" w:type="dxa"/>
            <w:vAlign w:val="bottom"/>
          </w:tcPr>
          <w:p>
            <w:pPr>
              <w:ind w:left="240"/>
              <w:spacing w:after="0"/>
              <w:rPr>
                <w:sz w:val="20"/>
                <w:szCs w:val="20"/>
                <w:color w:val="auto"/>
              </w:rPr>
            </w:pPr>
            <w:r>
              <w:rPr>
                <w:rFonts w:ascii="Arial" w:cs="Arial" w:eastAsia="Arial" w:hAnsi="Arial"/>
                <w:sz w:val="14"/>
                <w:szCs w:val="14"/>
                <w:color w:val="auto"/>
              </w:rPr>
              <w:t>Section of</w:t>
            </w:r>
          </w:p>
        </w:tc>
        <w:tc>
          <w:tcPr>
            <w:tcW w:w="0" w:type="dxa"/>
            <w:vAlign w:val="bottom"/>
          </w:tcPr>
          <w:p>
            <w:pPr>
              <w:spacing w:after="0"/>
              <w:rPr>
                <w:sz w:val="1"/>
                <w:szCs w:val="1"/>
                <w:color w:val="auto"/>
              </w:rPr>
            </w:pPr>
          </w:p>
        </w:tc>
      </w:tr>
      <w:tr>
        <w:trPr>
          <w:trHeight w:val="166"/>
        </w:trPr>
        <w:tc>
          <w:tcPr>
            <w:tcW w:w="2980" w:type="dxa"/>
            <w:vAlign w:val="bottom"/>
            <w:tcBorders>
              <w:bottom w:val="single" w:sz="8" w:color="auto"/>
            </w:tcBorders>
            <w:vMerge w:val="continue"/>
          </w:tcPr>
          <w:p>
            <w:pPr>
              <w:spacing w:after="0"/>
              <w:rPr>
                <w:sz w:val="14"/>
                <w:szCs w:val="14"/>
                <w:color w:val="auto"/>
              </w:rPr>
            </w:pPr>
          </w:p>
        </w:tc>
        <w:tc>
          <w:tcPr>
            <w:tcW w:w="7400" w:type="dxa"/>
            <w:vAlign w:val="bottom"/>
          </w:tcPr>
          <w:p>
            <w:pPr>
              <w:spacing w:after="0"/>
              <w:rPr>
                <w:sz w:val="14"/>
                <w:szCs w:val="14"/>
                <w:color w:val="auto"/>
              </w:rPr>
            </w:pPr>
          </w:p>
        </w:tc>
        <w:tc>
          <w:tcPr>
            <w:tcW w:w="1040" w:type="dxa"/>
            <w:vAlign w:val="bottom"/>
            <w:tcBorders>
              <w:bottom w:val="single" w:sz="8" w:color="auto"/>
            </w:tcBorders>
          </w:tcPr>
          <w:p>
            <w:pPr>
              <w:ind w:left="260"/>
              <w:spacing w:after="0" w:line="146" w:lineRule="exact"/>
              <w:rPr>
                <w:sz w:val="20"/>
                <w:szCs w:val="20"/>
                <w:color w:val="auto"/>
              </w:rPr>
            </w:pPr>
            <w:r>
              <w:rPr>
                <w:rFonts w:ascii="Arial" w:cs="Arial" w:eastAsia="Arial" w:hAnsi="Arial"/>
                <w:sz w:val="14"/>
                <w:szCs w:val="14"/>
                <w:color w:val="auto"/>
              </w:rPr>
              <w:t>Indenture</w:t>
            </w:r>
          </w:p>
        </w:tc>
        <w:tc>
          <w:tcPr>
            <w:tcW w:w="0" w:type="dxa"/>
            <w:vAlign w:val="bottom"/>
          </w:tcPr>
          <w:p>
            <w:pPr>
              <w:spacing w:after="0"/>
              <w:rPr>
                <w:sz w:val="1"/>
                <w:szCs w:val="1"/>
                <w:color w:val="auto"/>
              </w:rPr>
            </w:pP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310(a)</w:t>
            </w:r>
          </w:p>
        </w:tc>
        <w:tc>
          <w:tcPr>
            <w:tcW w:w="7400" w:type="dxa"/>
            <w:vAlign w:val="bottom"/>
          </w:tcPr>
          <w:p>
            <w:pPr>
              <w:spacing w:after="0"/>
              <w:rPr>
                <w:sz w:val="16"/>
                <w:szCs w:val="16"/>
                <w:color w:val="auto"/>
              </w:rPr>
            </w:pPr>
          </w:p>
        </w:tc>
        <w:tc>
          <w:tcPr>
            <w:tcW w:w="1040" w:type="dxa"/>
            <w:vAlign w:val="bottom"/>
          </w:tcPr>
          <w:p>
            <w:pPr>
              <w:spacing w:after="0" w:line="195"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310(b)</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310(c)</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311(a)</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311(b)</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311(c)</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312(a)</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312(b)</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312(c)</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313(a)</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313(b)</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313(c)</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313(d)</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314(a)</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314(b)</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314(c)</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9.01(c)</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10.01(b)</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314(d)</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314(e)</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314(f)</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315(a)</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315(b)</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315(c)</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315(d)</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315(e)</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316(a)</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316(b)</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316(c)</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317(a)</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317(b)</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318(a)</w:t>
            </w:r>
          </w:p>
        </w:tc>
        <w:tc>
          <w:tcPr>
            <w:tcW w:w="8440" w:type="dxa"/>
            <w:vAlign w:val="bottom"/>
            <w:gridSpan w:val="2"/>
          </w:tcPr>
          <w:p>
            <w:pPr>
              <w:ind w:left="74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Cross-Reference Table does not constitute part of the Indenture and shall not have any bearing on the interpretation of any of its terms or provisions.</w:t>
      </w:r>
    </w:p>
    <w:p>
      <w:pPr>
        <w:sectPr>
          <w:pgSz w:w="11900" w:h="16838" w:orient="portrait"/>
          <w:cols w:equalWidth="0" w:num="1">
            <w:col w:w="11420"/>
          </w:cols>
          <w:pgMar w:left="240" w:top="280"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4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19"/>
                <w:szCs w:val="19"/>
                <w:color w:val="auto"/>
              </w:rPr>
            </w:pPr>
          </w:p>
        </w:tc>
      </w:tr>
      <w:tr>
        <w:trPr>
          <w:trHeight w:val="366"/>
        </w:trPr>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1000" w:type="dxa"/>
            <w:vAlign w:val="bottom"/>
          </w:tcPr>
          <w:p>
            <w:pPr>
              <w:spacing w:after="0"/>
              <w:rPr>
                <w:sz w:val="20"/>
                <w:szCs w:val="20"/>
                <w:color w:val="auto"/>
              </w:rPr>
            </w:pPr>
            <w:r>
              <w:rPr>
                <w:rFonts w:ascii="Arial" w:cs="Arial" w:eastAsia="Arial" w:hAnsi="Arial"/>
                <w:sz w:val="18"/>
                <w:szCs w:val="18"/>
                <w:color w:val="auto"/>
              </w:rPr>
              <w:t>ARTICLE 1</w:t>
            </w: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DEFINITIONS</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1.01</w:t>
            </w:r>
          </w:p>
        </w:tc>
        <w:tc>
          <w:tcPr>
            <w:tcW w:w="7840" w:type="dxa"/>
            <w:vAlign w:val="bottom"/>
          </w:tcPr>
          <w:p>
            <w:pPr>
              <w:ind w:left="360"/>
              <w:spacing w:after="0"/>
              <w:rPr>
                <w:sz w:val="20"/>
                <w:szCs w:val="20"/>
                <w:color w:val="auto"/>
              </w:rPr>
            </w:pPr>
            <w:r>
              <w:rPr>
                <w:rFonts w:ascii="Arial" w:cs="Arial" w:eastAsia="Arial" w:hAnsi="Arial"/>
                <w:sz w:val="18"/>
                <w:szCs w:val="18"/>
                <w:color w:val="auto"/>
              </w:rPr>
              <w:t>Certain Terms Defined</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ARTICLE 2</w:t>
            </w: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2.01</w:t>
            </w:r>
          </w:p>
        </w:tc>
        <w:tc>
          <w:tcPr>
            <w:tcW w:w="7840" w:type="dxa"/>
            <w:vAlign w:val="bottom"/>
          </w:tcPr>
          <w:p>
            <w:pPr>
              <w:ind w:left="360"/>
              <w:spacing w:after="0"/>
              <w:rPr>
                <w:sz w:val="20"/>
                <w:szCs w:val="20"/>
                <w:color w:val="auto"/>
              </w:rPr>
            </w:pPr>
            <w:r>
              <w:rPr>
                <w:rFonts w:ascii="Arial" w:cs="Arial" w:eastAsia="Arial" w:hAnsi="Arial"/>
                <w:sz w:val="18"/>
                <w:szCs w:val="18"/>
                <w:color w:val="auto"/>
              </w:rPr>
              <w:t>Forms Generally</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2.02</w:t>
            </w:r>
          </w:p>
        </w:tc>
        <w:tc>
          <w:tcPr>
            <w:tcW w:w="7840" w:type="dxa"/>
            <w:vAlign w:val="bottom"/>
          </w:tcPr>
          <w:p>
            <w:pPr>
              <w:ind w:left="360"/>
              <w:spacing w:after="0"/>
              <w:rPr>
                <w:sz w:val="20"/>
                <w:szCs w:val="20"/>
                <w:color w:val="auto"/>
              </w:rPr>
            </w:pPr>
            <w:r>
              <w:rPr>
                <w:rFonts w:ascii="Arial" w:cs="Arial" w:eastAsia="Arial" w:hAnsi="Arial"/>
                <w:sz w:val="18"/>
                <w:szCs w:val="18"/>
                <w:color w:val="auto"/>
              </w:rPr>
              <w:t>Form of Trustee’s Certificate of Authentication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2.03</w:t>
            </w:r>
          </w:p>
        </w:tc>
        <w:tc>
          <w:tcPr>
            <w:tcW w:w="7840" w:type="dxa"/>
            <w:vAlign w:val="bottom"/>
          </w:tcPr>
          <w:p>
            <w:pPr>
              <w:ind w:left="360"/>
              <w:spacing w:after="0"/>
              <w:rPr>
                <w:sz w:val="20"/>
                <w:szCs w:val="20"/>
                <w:color w:val="auto"/>
              </w:rPr>
            </w:pPr>
            <w:r>
              <w:rPr>
                <w:rFonts w:ascii="Arial" w:cs="Arial" w:eastAsia="Arial" w:hAnsi="Arial"/>
                <w:sz w:val="18"/>
                <w:szCs w:val="18"/>
                <w:color w:val="auto"/>
              </w:rPr>
              <w:t>Amount Unlimited; Issuable in Series</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2.04</w:t>
            </w:r>
          </w:p>
        </w:tc>
        <w:tc>
          <w:tcPr>
            <w:tcW w:w="7840" w:type="dxa"/>
            <w:vAlign w:val="bottom"/>
          </w:tcPr>
          <w:p>
            <w:pPr>
              <w:ind w:left="360"/>
              <w:spacing w:after="0"/>
              <w:rPr>
                <w:sz w:val="20"/>
                <w:szCs w:val="20"/>
                <w:color w:val="auto"/>
              </w:rPr>
            </w:pPr>
            <w:r>
              <w:rPr>
                <w:rFonts w:ascii="Arial" w:cs="Arial" w:eastAsia="Arial" w:hAnsi="Arial"/>
                <w:sz w:val="18"/>
                <w:szCs w:val="18"/>
                <w:color w:val="auto"/>
              </w:rPr>
              <w:t>Authentication and Delivery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2.05</w:t>
            </w:r>
          </w:p>
        </w:tc>
        <w:tc>
          <w:tcPr>
            <w:tcW w:w="7840" w:type="dxa"/>
            <w:vAlign w:val="bottom"/>
          </w:tcPr>
          <w:p>
            <w:pPr>
              <w:ind w:left="360"/>
              <w:spacing w:after="0"/>
              <w:rPr>
                <w:sz w:val="20"/>
                <w:szCs w:val="20"/>
                <w:color w:val="auto"/>
              </w:rPr>
            </w:pPr>
            <w:r>
              <w:rPr>
                <w:rFonts w:ascii="Arial" w:cs="Arial" w:eastAsia="Arial" w:hAnsi="Arial"/>
                <w:sz w:val="18"/>
                <w:szCs w:val="18"/>
                <w:color w:val="auto"/>
              </w:rPr>
              <w:t>Execution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2.06</w:t>
            </w:r>
          </w:p>
        </w:tc>
        <w:tc>
          <w:tcPr>
            <w:tcW w:w="7840" w:type="dxa"/>
            <w:vAlign w:val="bottom"/>
          </w:tcPr>
          <w:p>
            <w:pPr>
              <w:ind w:left="360"/>
              <w:spacing w:after="0"/>
              <w:rPr>
                <w:sz w:val="20"/>
                <w:szCs w:val="20"/>
                <w:color w:val="auto"/>
              </w:rPr>
            </w:pPr>
            <w:r>
              <w:rPr>
                <w:rFonts w:ascii="Arial" w:cs="Arial" w:eastAsia="Arial" w:hAnsi="Arial"/>
                <w:sz w:val="18"/>
                <w:szCs w:val="18"/>
                <w:color w:val="auto"/>
              </w:rPr>
              <w:t>Certificate of Authentication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2.07</w:t>
            </w:r>
          </w:p>
        </w:tc>
        <w:tc>
          <w:tcPr>
            <w:tcW w:w="7840" w:type="dxa"/>
            <w:vAlign w:val="bottom"/>
          </w:tcPr>
          <w:p>
            <w:pPr>
              <w:ind w:left="360"/>
              <w:spacing w:after="0"/>
              <w:rPr>
                <w:sz w:val="20"/>
                <w:szCs w:val="20"/>
                <w:color w:val="auto"/>
              </w:rPr>
            </w:pPr>
            <w:r>
              <w:rPr>
                <w:rFonts w:ascii="Arial" w:cs="Arial" w:eastAsia="Arial" w:hAnsi="Arial"/>
                <w:sz w:val="18"/>
                <w:szCs w:val="18"/>
                <w:color w:val="auto"/>
              </w:rPr>
              <w:t>Denomination and Date of Securities; Payments of Interest</w:t>
            </w: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2.08</w:t>
            </w:r>
          </w:p>
        </w:tc>
        <w:tc>
          <w:tcPr>
            <w:tcW w:w="7840" w:type="dxa"/>
            <w:vAlign w:val="bottom"/>
          </w:tcPr>
          <w:p>
            <w:pPr>
              <w:ind w:left="360"/>
              <w:spacing w:after="0"/>
              <w:rPr>
                <w:sz w:val="20"/>
                <w:szCs w:val="20"/>
                <w:color w:val="auto"/>
              </w:rPr>
            </w:pPr>
            <w:r>
              <w:rPr>
                <w:rFonts w:ascii="Arial" w:cs="Arial" w:eastAsia="Arial" w:hAnsi="Arial"/>
                <w:sz w:val="18"/>
                <w:szCs w:val="18"/>
                <w:color w:val="auto"/>
              </w:rPr>
              <w:t>Registration, Transfer and Exchange</w:t>
            </w: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2.09</w:t>
            </w:r>
          </w:p>
        </w:tc>
        <w:tc>
          <w:tcPr>
            <w:tcW w:w="7840" w:type="dxa"/>
            <w:vAlign w:val="bottom"/>
          </w:tcPr>
          <w:p>
            <w:pPr>
              <w:ind w:left="360"/>
              <w:spacing w:after="0"/>
              <w:rPr>
                <w:sz w:val="20"/>
                <w:szCs w:val="20"/>
                <w:color w:val="auto"/>
              </w:rPr>
            </w:pPr>
            <w:r>
              <w:rPr>
                <w:rFonts w:ascii="Arial" w:cs="Arial" w:eastAsia="Arial" w:hAnsi="Arial"/>
                <w:sz w:val="18"/>
                <w:szCs w:val="18"/>
                <w:color w:val="auto"/>
              </w:rPr>
              <w:t>Mutilated, Defaced, Destroyed, Lost and Stolen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2.10</w:t>
            </w:r>
          </w:p>
        </w:tc>
        <w:tc>
          <w:tcPr>
            <w:tcW w:w="7840" w:type="dxa"/>
            <w:vAlign w:val="bottom"/>
          </w:tcPr>
          <w:p>
            <w:pPr>
              <w:ind w:left="360"/>
              <w:spacing w:after="0"/>
              <w:rPr>
                <w:sz w:val="20"/>
                <w:szCs w:val="20"/>
                <w:color w:val="auto"/>
              </w:rPr>
            </w:pPr>
            <w:r>
              <w:rPr>
                <w:rFonts w:ascii="Arial" w:cs="Arial" w:eastAsia="Arial" w:hAnsi="Arial"/>
                <w:sz w:val="18"/>
                <w:szCs w:val="18"/>
                <w:color w:val="auto"/>
              </w:rPr>
              <w:t>Cancellation of Securities; Destruction Thereof</w:t>
            </w:r>
          </w:p>
        </w:tc>
        <w:tc>
          <w:tcPr>
            <w:tcW w:w="1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2.11</w:t>
            </w:r>
          </w:p>
        </w:tc>
        <w:tc>
          <w:tcPr>
            <w:tcW w:w="7840" w:type="dxa"/>
            <w:vAlign w:val="bottom"/>
          </w:tcPr>
          <w:p>
            <w:pPr>
              <w:ind w:left="360"/>
              <w:spacing w:after="0"/>
              <w:rPr>
                <w:sz w:val="20"/>
                <w:szCs w:val="20"/>
                <w:color w:val="auto"/>
              </w:rPr>
            </w:pPr>
            <w:r>
              <w:rPr>
                <w:rFonts w:ascii="Arial" w:cs="Arial" w:eastAsia="Arial" w:hAnsi="Arial"/>
                <w:sz w:val="18"/>
                <w:szCs w:val="18"/>
                <w:color w:val="auto"/>
              </w:rPr>
              <w:t>Temporary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9500" w:type="dxa"/>
            <w:vAlign w:val="bottom"/>
            <w:gridSpan w:val="3"/>
          </w:tcPr>
          <w:p>
            <w:pPr>
              <w:spacing w:after="0"/>
              <w:rPr>
                <w:sz w:val="20"/>
                <w:szCs w:val="20"/>
                <w:color w:val="auto"/>
              </w:rPr>
            </w:pPr>
            <w:r>
              <w:rPr>
                <w:rFonts w:ascii="Arial" w:cs="Arial" w:eastAsia="Arial" w:hAnsi="Arial"/>
                <w:sz w:val="18"/>
                <w:szCs w:val="18"/>
                <w:color w:val="auto"/>
              </w:rPr>
              <w:t>ARTICLE 3   COVENANTS OF THE ISSUER</w:t>
            </w: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3.01</w:t>
            </w:r>
          </w:p>
        </w:tc>
        <w:tc>
          <w:tcPr>
            <w:tcW w:w="7840" w:type="dxa"/>
            <w:vAlign w:val="bottom"/>
          </w:tcPr>
          <w:p>
            <w:pPr>
              <w:ind w:left="360"/>
              <w:spacing w:after="0"/>
              <w:rPr>
                <w:sz w:val="20"/>
                <w:szCs w:val="20"/>
                <w:color w:val="auto"/>
              </w:rPr>
            </w:pPr>
            <w:r>
              <w:rPr>
                <w:rFonts w:ascii="Arial" w:cs="Arial" w:eastAsia="Arial" w:hAnsi="Arial"/>
                <w:sz w:val="18"/>
                <w:szCs w:val="18"/>
                <w:color w:val="auto"/>
              </w:rPr>
              <w:t>Payment of Principal and Interest</w:t>
            </w: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3.02</w:t>
            </w:r>
          </w:p>
        </w:tc>
        <w:tc>
          <w:tcPr>
            <w:tcW w:w="7840" w:type="dxa"/>
            <w:vAlign w:val="bottom"/>
          </w:tcPr>
          <w:p>
            <w:pPr>
              <w:ind w:left="360"/>
              <w:spacing w:after="0"/>
              <w:rPr>
                <w:sz w:val="20"/>
                <w:szCs w:val="20"/>
                <w:color w:val="auto"/>
              </w:rPr>
            </w:pPr>
            <w:r>
              <w:rPr>
                <w:rFonts w:ascii="Arial" w:cs="Arial" w:eastAsia="Arial" w:hAnsi="Arial"/>
                <w:sz w:val="18"/>
                <w:szCs w:val="18"/>
                <w:color w:val="auto"/>
              </w:rPr>
              <w:t>Offices for Payments, Etc</w:t>
            </w: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3.03</w:t>
            </w:r>
          </w:p>
        </w:tc>
        <w:tc>
          <w:tcPr>
            <w:tcW w:w="7840" w:type="dxa"/>
            <w:vAlign w:val="bottom"/>
          </w:tcPr>
          <w:p>
            <w:pPr>
              <w:ind w:left="360"/>
              <w:spacing w:after="0"/>
              <w:rPr>
                <w:sz w:val="20"/>
                <w:szCs w:val="20"/>
                <w:color w:val="auto"/>
              </w:rPr>
            </w:pPr>
            <w:r>
              <w:rPr>
                <w:rFonts w:ascii="Arial" w:cs="Arial" w:eastAsia="Arial" w:hAnsi="Arial"/>
                <w:sz w:val="18"/>
                <w:szCs w:val="18"/>
                <w:color w:val="auto"/>
              </w:rPr>
              <w:t>Appointment to Fill a Vacancy in Office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3.04</w:t>
            </w:r>
          </w:p>
        </w:tc>
        <w:tc>
          <w:tcPr>
            <w:tcW w:w="7840" w:type="dxa"/>
            <w:vAlign w:val="bottom"/>
          </w:tcPr>
          <w:p>
            <w:pPr>
              <w:ind w:left="360"/>
              <w:spacing w:after="0"/>
              <w:rPr>
                <w:sz w:val="20"/>
                <w:szCs w:val="20"/>
                <w:color w:val="auto"/>
              </w:rPr>
            </w:pPr>
            <w:r>
              <w:rPr>
                <w:rFonts w:ascii="Arial" w:cs="Arial" w:eastAsia="Arial" w:hAnsi="Arial"/>
                <w:sz w:val="18"/>
                <w:szCs w:val="18"/>
                <w:color w:val="auto"/>
              </w:rPr>
              <w:t>Paying Agents</w:t>
            </w:r>
          </w:p>
        </w:tc>
        <w:tc>
          <w:tcPr>
            <w:tcW w:w="1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3.05</w:t>
            </w:r>
          </w:p>
        </w:tc>
        <w:tc>
          <w:tcPr>
            <w:tcW w:w="7840" w:type="dxa"/>
            <w:vAlign w:val="bottom"/>
          </w:tcPr>
          <w:p>
            <w:pPr>
              <w:ind w:left="360"/>
              <w:spacing w:after="0"/>
              <w:rPr>
                <w:sz w:val="20"/>
                <w:szCs w:val="20"/>
                <w:color w:val="auto"/>
              </w:rPr>
            </w:pPr>
            <w:r>
              <w:rPr>
                <w:rFonts w:ascii="Arial" w:cs="Arial" w:eastAsia="Arial" w:hAnsi="Arial"/>
                <w:sz w:val="18"/>
                <w:szCs w:val="18"/>
                <w:color w:val="auto"/>
              </w:rPr>
              <w:t>Written Statement to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9500" w:type="dxa"/>
            <w:vAlign w:val="bottom"/>
            <w:gridSpan w:val="3"/>
          </w:tcPr>
          <w:p>
            <w:pPr>
              <w:spacing w:after="0"/>
              <w:rPr>
                <w:sz w:val="20"/>
                <w:szCs w:val="20"/>
                <w:color w:val="auto"/>
              </w:rPr>
            </w:pPr>
            <w:r>
              <w:rPr>
                <w:rFonts w:ascii="Arial" w:cs="Arial" w:eastAsia="Arial" w:hAnsi="Arial"/>
                <w:sz w:val="18"/>
                <w:szCs w:val="18"/>
                <w:color w:val="auto"/>
              </w:rPr>
              <w:t>ARTICLE 4   SECURITYHOLDERS LISTS AND REPORTS BY THE ISSUER AND THE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4.01</w:t>
            </w:r>
          </w:p>
        </w:tc>
        <w:tc>
          <w:tcPr>
            <w:tcW w:w="7840" w:type="dxa"/>
            <w:vAlign w:val="bottom"/>
          </w:tcPr>
          <w:p>
            <w:pPr>
              <w:ind w:left="360"/>
              <w:spacing w:after="0"/>
              <w:rPr>
                <w:sz w:val="20"/>
                <w:szCs w:val="20"/>
                <w:color w:val="auto"/>
              </w:rPr>
            </w:pPr>
            <w:r>
              <w:rPr>
                <w:rFonts w:ascii="Arial" w:cs="Arial" w:eastAsia="Arial" w:hAnsi="Arial"/>
                <w:sz w:val="18"/>
                <w:szCs w:val="18"/>
                <w:color w:val="auto"/>
              </w:rPr>
              <w:t>Issuer to Furnish Trustee Information as to Names and Addresses of Securityholders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4.02</w:t>
            </w:r>
          </w:p>
        </w:tc>
        <w:tc>
          <w:tcPr>
            <w:tcW w:w="7840" w:type="dxa"/>
            <w:vAlign w:val="bottom"/>
          </w:tcPr>
          <w:p>
            <w:pPr>
              <w:ind w:left="360"/>
              <w:spacing w:after="0"/>
              <w:rPr>
                <w:sz w:val="20"/>
                <w:szCs w:val="20"/>
                <w:color w:val="auto"/>
              </w:rPr>
            </w:pPr>
            <w:r>
              <w:rPr>
                <w:rFonts w:ascii="Arial" w:cs="Arial" w:eastAsia="Arial" w:hAnsi="Arial"/>
                <w:sz w:val="18"/>
                <w:szCs w:val="18"/>
                <w:color w:val="auto"/>
              </w:rPr>
              <w:t>Reports by the Issuer</w:t>
            </w:r>
          </w:p>
        </w:tc>
        <w:tc>
          <w:tcPr>
            <w:tcW w:w="1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4.03</w:t>
            </w:r>
          </w:p>
        </w:tc>
        <w:tc>
          <w:tcPr>
            <w:tcW w:w="7840" w:type="dxa"/>
            <w:vAlign w:val="bottom"/>
          </w:tcPr>
          <w:p>
            <w:pPr>
              <w:ind w:left="360"/>
              <w:spacing w:after="0"/>
              <w:rPr>
                <w:sz w:val="20"/>
                <w:szCs w:val="20"/>
                <w:color w:val="auto"/>
              </w:rPr>
            </w:pPr>
            <w:r>
              <w:rPr>
                <w:rFonts w:ascii="Arial" w:cs="Arial" w:eastAsia="Arial" w:hAnsi="Arial"/>
                <w:sz w:val="18"/>
                <w:szCs w:val="18"/>
                <w:color w:val="auto"/>
              </w:rPr>
              <w:t>Reports by the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4.04</w:t>
            </w:r>
          </w:p>
        </w:tc>
        <w:tc>
          <w:tcPr>
            <w:tcW w:w="7840" w:type="dxa"/>
            <w:vAlign w:val="bottom"/>
          </w:tcPr>
          <w:p>
            <w:pPr>
              <w:ind w:left="360"/>
              <w:spacing w:after="0"/>
              <w:rPr>
                <w:sz w:val="20"/>
                <w:szCs w:val="20"/>
                <w:color w:val="auto"/>
              </w:rPr>
            </w:pPr>
            <w:r>
              <w:rPr>
                <w:rFonts w:ascii="Arial" w:cs="Arial" w:eastAsia="Arial" w:hAnsi="Arial"/>
                <w:sz w:val="18"/>
                <w:szCs w:val="18"/>
                <w:color w:val="auto"/>
              </w:rPr>
              <w:t>Preservation of Information; Communication with Securityholders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9500" w:type="dxa"/>
            <w:vAlign w:val="bottom"/>
            <w:gridSpan w:val="3"/>
          </w:tcPr>
          <w:p>
            <w:pPr>
              <w:spacing w:after="0"/>
              <w:rPr>
                <w:sz w:val="20"/>
                <w:szCs w:val="20"/>
                <w:color w:val="auto"/>
              </w:rPr>
            </w:pPr>
            <w:r>
              <w:rPr>
                <w:rFonts w:ascii="Arial" w:cs="Arial" w:eastAsia="Arial" w:hAnsi="Arial"/>
                <w:sz w:val="18"/>
                <w:szCs w:val="18"/>
                <w:color w:val="auto"/>
              </w:rPr>
              <w:t>ARTICLE 5   REMEDIES OF THE TRUSTEE AND SECURITYHOLDERS ON EVENT OF DEFAULT</w:t>
            </w: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5.01</w:t>
            </w:r>
          </w:p>
        </w:tc>
        <w:tc>
          <w:tcPr>
            <w:tcW w:w="7840" w:type="dxa"/>
            <w:vAlign w:val="bottom"/>
          </w:tcPr>
          <w:p>
            <w:pPr>
              <w:ind w:left="360"/>
              <w:spacing w:after="0"/>
              <w:rPr>
                <w:sz w:val="20"/>
                <w:szCs w:val="20"/>
                <w:color w:val="auto"/>
              </w:rPr>
            </w:pPr>
            <w:r>
              <w:rPr>
                <w:rFonts w:ascii="Arial" w:cs="Arial" w:eastAsia="Arial" w:hAnsi="Arial"/>
                <w:sz w:val="18"/>
                <w:szCs w:val="18"/>
                <w:color w:val="auto"/>
              </w:rPr>
              <w:t>Event of Default Defined; Acceleration of Maturity; Waiver of Default</w:t>
            </w: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5.02</w:t>
            </w:r>
          </w:p>
        </w:tc>
        <w:tc>
          <w:tcPr>
            <w:tcW w:w="7840" w:type="dxa"/>
            <w:vAlign w:val="bottom"/>
          </w:tcPr>
          <w:p>
            <w:pPr>
              <w:ind w:left="360"/>
              <w:spacing w:after="0"/>
              <w:rPr>
                <w:sz w:val="20"/>
                <w:szCs w:val="20"/>
                <w:color w:val="auto"/>
              </w:rPr>
            </w:pPr>
            <w:r>
              <w:rPr>
                <w:rFonts w:ascii="Arial" w:cs="Arial" w:eastAsia="Arial" w:hAnsi="Arial"/>
                <w:sz w:val="18"/>
                <w:szCs w:val="18"/>
                <w:color w:val="auto"/>
              </w:rPr>
              <w:t>Collection of Debt by Trustee; Trustee May Prove Debt</w:t>
            </w:r>
          </w:p>
        </w:tc>
        <w:tc>
          <w:tcPr>
            <w:tcW w:w="1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5.03</w:t>
            </w:r>
          </w:p>
        </w:tc>
        <w:tc>
          <w:tcPr>
            <w:tcW w:w="7840" w:type="dxa"/>
            <w:vAlign w:val="bottom"/>
          </w:tcPr>
          <w:p>
            <w:pPr>
              <w:ind w:left="360"/>
              <w:spacing w:after="0"/>
              <w:rPr>
                <w:sz w:val="20"/>
                <w:szCs w:val="20"/>
                <w:color w:val="auto"/>
              </w:rPr>
            </w:pPr>
            <w:r>
              <w:rPr>
                <w:rFonts w:ascii="Arial" w:cs="Arial" w:eastAsia="Arial" w:hAnsi="Arial"/>
                <w:sz w:val="18"/>
                <w:szCs w:val="18"/>
                <w:color w:val="auto"/>
              </w:rPr>
              <w:t>Application of Proceeds</w:t>
            </w:r>
          </w:p>
        </w:tc>
        <w:tc>
          <w:tcPr>
            <w:tcW w:w="1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5.04</w:t>
            </w:r>
          </w:p>
        </w:tc>
        <w:tc>
          <w:tcPr>
            <w:tcW w:w="7840" w:type="dxa"/>
            <w:vAlign w:val="bottom"/>
          </w:tcPr>
          <w:p>
            <w:pPr>
              <w:ind w:left="360"/>
              <w:spacing w:after="0"/>
              <w:rPr>
                <w:sz w:val="20"/>
                <w:szCs w:val="20"/>
                <w:color w:val="auto"/>
              </w:rPr>
            </w:pPr>
            <w:r>
              <w:rPr>
                <w:rFonts w:ascii="Arial" w:cs="Arial" w:eastAsia="Arial" w:hAnsi="Arial"/>
                <w:sz w:val="18"/>
                <w:szCs w:val="18"/>
                <w:color w:val="auto"/>
              </w:rPr>
              <w:t>Suits for Enforcement</w:t>
            </w:r>
          </w:p>
        </w:tc>
        <w:tc>
          <w:tcPr>
            <w:tcW w:w="1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5.05</w:t>
            </w:r>
          </w:p>
        </w:tc>
        <w:tc>
          <w:tcPr>
            <w:tcW w:w="7840" w:type="dxa"/>
            <w:vAlign w:val="bottom"/>
          </w:tcPr>
          <w:p>
            <w:pPr>
              <w:ind w:left="360"/>
              <w:spacing w:after="0"/>
              <w:rPr>
                <w:sz w:val="20"/>
                <w:szCs w:val="20"/>
                <w:color w:val="auto"/>
              </w:rPr>
            </w:pPr>
            <w:r>
              <w:rPr>
                <w:rFonts w:ascii="Arial" w:cs="Arial" w:eastAsia="Arial" w:hAnsi="Arial"/>
                <w:sz w:val="18"/>
                <w:szCs w:val="18"/>
                <w:color w:val="auto"/>
              </w:rPr>
              <w:t>Restoration of Rights on Abandonment of Proceedings</w:t>
            </w:r>
          </w:p>
        </w:tc>
        <w:tc>
          <w:tcPr>
            <w:tcW w:w="1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5.06</w:t>
            </w:r>
          </w:p>
        </w:tc>
        <w:tc>
          <w:tcPr>
            <w:tcW w:w="7840" w:type="dxa"/>
            <w:vAlign w:val="bottom"/>
          </w:tcPr>
          <w:p>
            <w:pPr>
              <w:ind w:left="360"/>
              <w:spacing w:after="0"/>
              <w:rPr>
                <w:sz w:val="20"/>
                <w:szCs w:val="20"/>
                <w:color w:val="auto"/>
              </w:rPr>
            </w:pPr>
            <w:r>
              <w:rPr>
                <w:rFonts w:ascii="Arial" w:cs="Arial" w:eastAsia="Arial" w:hAnsi="Arial"/>
                <w:sz w:val="18"/>
                <w:szCs w:val="18"/>
                <w:color w:val="auto"/>
              </w:rPr>
              <w:t>Limitations on Suits by Securityholders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5.07</w:t>
            </w:r>
          </w:p>
        </w:tc>
        <w:tc>
          <w:tcPr>
            <w:tcW w:w="7840" w:type="dxa"/>
            <w:vAlign w:val="bottom"/>
          </w:tcPr>
          <w:p>
            <w:pPr>
              <w:ind w:left="360"/>
              <w:spacing w:after="0"/>
              <w:rPr>
                <w:sz w:val="20"/>
                <w:szCs w:val="20"/>
                <w:color w:val="auto"/>
              </w:rPr>
            </w:pPr>
            <w:r>
              <w:rPr>
                <w:rFonts w:ascii="Arial" w:cs="Arial" w:eastAsia="Arial" w:hAnsi="Arial"/>
                <w:sz w:val="18"/>
                <w:szCs w:val="18"/>
                <w:color w:val="auto"/>
              </w:rPr>
              <w:t>Unconditional Right of Securityholders to Institute Certain Suits</w:t>
            </w:r>
          </w:p>
        </w:tc>
        <w:tc>
          <w:tcPr>
            <w:tcW w:w="1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5.08</w:t>
            </w:r>
          </w:p>
        </w:tc>
        <w:tc>
          <w:tcPr>
            <w:tcW w:w="7840" w:type="dxa"/>
            <w:vAlign w:val="bottom"/>
          </w:tcPr>
          <w:p>
            <w:pPr>
              <w:ind w:left="360"/>
              <w:spacing w:after="0"/>
              <w:rPr>
                <w:sz w:val="20"/>
                <w:szCs w:val="20"/>
                <w:color w:val="auto"/>
              </w:rPr>
            </w:pPr>
            <w:r>
              <w:rPr>
                <w:rFonts w:ascii="Arial" w:cs="Arial" w:eastAsia="Arial" w:hAnsi="Arial"/>
                <w:sz w:val="18"/>
                <w:szCs w:val="18"/>
                <w:color w:val="auto"/>
              </w:rPr>
              <w:t>Powers and Remedies Cumulative; Delay or Omission Not Waiver of Default</w:t>
            </w:r>
          </w:p>
        </w:tc>
        <w:tc>
          <w:tcPr>
            <w:tcW w:w="1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5.09</w:t>
            </w:r>
          </w:p>
        </w:tc>
        <w:tc>
          <w:tcPr>
            <w:tcW w:w="7840" w:type="dxa"/>
            <w:vAlign w:val="bottom"/>
          </w:tcPr>
          <w:p>
            <w:pPr>
              <w:ind w:left="360"/>
              <w:spacing w:after="0"/>
              <w:rPr>
                <w:sz w:val="20"/>
                <w:szCs w:val="20"/>
                <w:color w:val="auto"/>
              </w:rPr>
            </w:pPr>
            <w:r>
              <w:rPr>
                <w:rFonts w:ascii="Arial" w:cs="Arial" w:eastAsia="Arial" w:hAnsi="Arial"/>
                <w:sz w:val="18"/>
                <w:szCs w:val="18"/>
                <w:color w:val="auto"/>
              </w:rPr>
              <w:t>Control by Holders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8340" w:type="dxa"/>
            <w:vAlign w:val="bottom"/>
          </w:tcPr>
          <w:p>
            <w:pPr>
              <w:ind w:left="260"/>
              <w:spacing w:after="0"/>
              <w:rPr>
                <w:sz w:val="20"/>
                <w:szCs w:val="20"/>
                <w:color w:val="auto"/>
              </w:rPr>
            </w:pPr>
            <w:r>
              <w:rPr>
                <w:rFonts w:ascii="Arial" w:cs="Arial" w:eastAsia="Arial" w:hAnsi="Arial"/>
                <w:sz w:val="18"/>
                <w:szCs w:val="18"/>
                <w:color w:val="auto"/>
              </w:rPr>
              <w:t>Waiver of Past Defaults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8340" w:type="dxa"/>
            <w:vAlign w:val="bottom"/>
          </w:tcPr>
          <w:p>
            <w:pPr>
              <w:ind w:left="260"/>
              <w:spacing w:after="0"/>
              <w:rPr>
                <w:sz w:val="20"/>
                <w:szCs w:val="20"/>
                <w:color w:val="auto"/>
              </w:rPr>
            </w:pPr>
            <w:r>
              <w:rPr>
                <w:rFonts w:ascii="Arial" w:cs="Arial" w:eastAsia="Arial" w:hAnsi="Arial"/>
                <w:sz w:val="18"/>
                <w:szCs w:val="18"/>
                <w:color w:val="auto"/>
              </w:rPr>
              <w:t>Trustee to Give Notice of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8340" w:type="dxa"/>
            <w:vAlign w:val="bottom"/>
          </w:tcPr>
          <w:p>
            <w:pPr>
              <w:ind w:left="260"/>
              <w:spacing w:after="0"/>
              <w:rPr>
                <w:sz w:val="20"/>
                <w:szCs w:val="20"/>
                <w:color w:val="auto"/>
              </w:rPr>
            </w:pPr>
            <w:r>
              <w:rPr>
                <w:rFonts w:ascii="Arial" w:cs="Arial" w:eastAsia="Arial" w:hAnsi="Arial"/>
                <w:sz w:val="18"/>
                <w:szCs w:val="18"/>
                <w:color w:val="auto"/>
              </w:rPr>
              <w:t>Right of Court to Require Filing of Undertaking to Pay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6   CONCERNING THE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6.01</w:t>
            </w:r>
          </w:p>
        </w:tc>
        <w:tc>
          <w:tcPr>
            <w:tcW w:w="8340" w:type="dxa"/>
            <w:vAlign w:val="bottom"/>
          </w:tcPr>
          <w:p>
            <w:pPr>
              <w:ind w:left="26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6.02</w:t>
            </w:r>
          </w:p>
        </w:tc>
        <w:tc>
          <w:tcPr>
            <w:tcW w:w="8340" w:type="dxa"/>
            <w:vAlign w:val="bottom"/>
          </w:tcPr>
          <w:p>
            <w:pPr>
              <w:ind w:left="260"/>
              <w:spacing w:after="0"/>
              <w:rPr>
                <w:sz w:val="20"/>
                <w:szCs w:val="20"/>
                <w:color w:val="auto"/>
              </w:rPr>
            </w:pPr>
            <w:r>
              <w:rPr>
                <w:rFonts w:ascii="Arial" w:cs="Arial" w:eastAsia="Arial" w:hAnsi="Arial"/>
                <w:sz w:val="18"/>
                <w:szCs w:val="18"/>
                <w:color w:val="auto"/>
              </w:rPr>
              <w:t>Certain Rights of the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6.03</w:t>
            </w:r>
          </w:p>
        </w:tc>
        <w:tc>
          <w:tcPr>
            <w:tcW w:w="8340" w:type="dxa"/>
            <w:vAlign w:val="bottom"/>
          </w:tcPr>
          <w:p>
            <w:pPr>
              <w:ind w:left="26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6.04</w:t>
            </w:r>
          </w:p>
        </w:tc>
        <w:tc>
          <w:tcPr>
            <w:tcW w:w="8340" w:type="dxa"/>
            <w:vAlign w:val="bottom"/>
          </w:tcPr>
          <w:p>
            <w:pPr>
              <w:ind w:left="260"/>
              <w:spacing w:after="0"/>
              <w:rPr>
                <w:sz w:val="20"/>
                <w:szCs w:val="20"/>
                <w:color w:val="auto"/>
              </w:rPr>
            </w:pPr>
            <w:r>
              <w:rPr>
                <w:rFonts w:ascii="Arial" w:cs="Arial" w:eastAsia="Arial" w:hAnsi="Arial"/>
                <w:sz w:val="18"/>
                <w:szCs w:val="18"/>
                <w:color w:val="auto"/>
              </w:rPr>
              <w:t>Trustee and Agents May Hold Securities; Collections, Etc</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6.05</w:t>
            </w:r>
          </w:p>
        </w:tc>
        <w:tc>
          <w:tcPr>
            <w:tcW w:w="8340" w:type="dxa"/>
            <w:vAlign w:val="bottom"/>
          </w:tcPr>
          <w:p>
            <w:pPr>
              <w:ind w:left="260"/>
              <w:spacing w:after="0"/>
              <w:rPr>
                <w:sz w:val="20"/>
                <w:szCs w:val="20"/>
                <w:color w:val="auto"/>
              </w:rPr>
            </w:pPr>
            <w:r>
              <w:rPr>
                <w:rFonts w:ascii="Arial" w:cs="Arial" w:eastAsia="Arial" w:hAnsi="Arial"/>
                <w:sz w:val="18"/>
                <w:szCs w:val="18"/>
                <w:color w:val="auto"/>
              </w:rPr>
              <w:t>Moneys Held by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6.06</w:t>
            </w:r>
          </w:p>
        </w:tc>
        <w:tc>
          <w:tcPr>
            <w:tcW w:w="8340" w:type="dxa"/>
            <w:vAlign w:val="bottom"/>
          </w:tcPr>
          <w:p>
            <w:pPr>
              <w:ind w:left="260"/>
              <w:spacing w:after="0"/>
              <w:rPr>
                <w:sz w:val="20"/>
                <w:szCs w:val="20"/>
                <w:color w:val="auto"/>
              </w:rPr>
            </w:pPr>
            <w:r>
              <w:rPr>
                <w:rFonts w:ascii="Arial" w:cs="Arial" w:eastAsia="Arial" w:hAnsi="Arial"/>
                <w:sz w:val="18"/>
                <w:szCs w:val="18"/>
                <w:color w:val="auto"/>
              </w:rPr>
              <w:t>Compensation and Indemnification of Trustee and Its Prior Claim</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6.07</w:t>
            </w:r>
          </w:p>
        </w:tc>
        <w:tc>
          <w:tcPr>
            <w:tcW w:w="8340" w:type="dxa"/>
            <w:vAlign w:val="bottom"/>
          </w:tcPr>
          <w:p>
            <w:pPr>
              <w:ind w:left="260"/>
              <w:spacing w:after="0"/>
              <w:rPr>
                <w:sz w:val="20"/>
                <w:szCs w:val="20"/>
                <w:color w:val="auto"/>
              </w:rPr>
            </w:pPr>
            <w:r>
              <w:rPr>
                <w:rFonts w:ascii="Arial" w:cs="Arial" w:eastAsia="Arial" w:hAnsi="Arial"/>
                <w:sz w:val="18"/>
                <w:szCs w:val="18"/>
                <w:color w:val="auto"/>
              </w:rPr>
              <w:t>Right of Trustee to Rely on Officer’s Certificate, Etc</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6.08</w:t>
            </w:r>
          </w:p>
        </w:tc>
        <w:tc>
          <w:tcPr>
            <w:tcW w:w="8340" w:type="dxa"/>
            <w:vAlign w:val="bottom"/>
          </w:tcPr>
          <w:p>
            <w:pPr>
              <w:ind w:left="260"/>
              <w:spacing w:after="0"/>
              <w:rPr>
                <w:sz w:val="20"/>
                <w:szCs w:val="20"/>
                <w:color w:val="auto"/>
              </w:rPr>
            </w:pPr>
            <w:r>
              <w:rPr>
                <w:rFonts w:ascii="Arial" w:cs="Arial" w:eastAsia="Arial" w:hAnsi="Arial"/>
                <w:sz w:val="18"/>
                <w:szCs w:val="18"/>
                <w:color w:val="auto"/>
              </w:rPr>
              <w:t>Disqualification; Conflicting Interests</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6.09</w:t>
            </w:r>
          </w:p>
        </w:tc>
        <w:tc>
          <w:tcPr>
            <w:tcW w:w="8340" w:type="dxa"/>
            <w:vAlign w:val="bottom"/>
          </w:tcPr>
          <w:p>
            <w:pPr>
              <w:ind w:left="260"/>
              <w:spacing w:after="0"/>
              <w:rPr>
                <w:sz w:val="20"/>
                <w:szCs w:val="20"/>
                <w:color w:val="auto"/>
              </w:rPr>
            </w:pPr>
            <w:r>
              <w:rPr>
                <w:rFonts w:ascii="Arial" w:cs="Arial" w:eastAsia="Arial" w:hAnsi="Arial"/>
                <w:sz w:val="18"/>
                <w:szCs w:val="18"/>
                <w:color w:val="auto"/>
              </w:rPr>
              <w:t>Persons Eligible for Appointment as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8340" w:type="dxa"/>
            <w:vAlign w:val="bottom"/>
          </w:tcPr>
          <w:p>
            <w:pPr>
              <w:ind w:left="260"/>
              <w:spacing w:after="0"/>
              <w:rPr>
                <w:sz w:val="20"/>
                <w:szCs w:val="20"/>
                <w:color w:val="auto"/>
              </w:rPr>
            </w:pPr>
            <w:r>
              <w:rPr>
                <w:rFonts w:ascii="Arial" w:cs="Arial" w:eastAsia="Arial" w:hAnsi="Arial"/>
                <w:sz w:val="18"/>
                <w:szCs w:val="18"/>
                <w:color w:val="auto"/>
              </w:rPr>
              <w:t>Resignation and Removal; Appointment of Successor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8340" w:type="dxa"/>
            <w:vAlign w:val="bottom"/>
          </w:tcPr>
          <w:p>
            <w:pPr>
              <w:ind w:left="260"/>
              <w:spacing w:after="0"/>
              <w:rPr>
                <w:sz w:val="20"/>
                <w:szCs w:val="20"/>
                <w:color w:val="auto"/>
              </w:rPr>
            </w:pPr>
            <w:r>
              <w:rPr>
                <w:rFonts w:ascii="Arial" w:cs="Arial" w:eastAsia="Arial" w:hAnsi="Arial"/>
                <w:sz w:val="18"/>
                <w:szCs w:val="18"/>
                <w:color w:val="auto"/>
              </w:rPr>
              <w:t>Acceptance of Appointment by Successor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6.12</w:t>
            </w:r>
          </w:p>
        </w:tc>
        <w:tc>
          <w:tcPr>
            <w:tcW w:w="8340" w:type="dxa"/>
            <w:vAlign w:val="bottom"/>
          </w:tcPr>
          <w:p>
            <w:pPr>
              <w:ind w:left="26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6.13</w:t>
            </w:r>
          </w:p>
        </w:tc>
        <w:tc>
          <w:tcPr>
            <w:tcW w:w="8340" w:type="dxa"/>
            <w:vAlign w:val="bottom"/>
          </w:tcPr>
          <w:p>
            <w:pPr>
              <w:ind w:left="260"/>
              <w:spacing w:after="0"/>
              <w:rPr>
                <w:sz w:val="20"/>
                <w:szCs w:val="20"/>
                <w:color w:val="auto"/>
              </w:rPr>
            </w:pPr>
            <w:r>
              <w:rPr>
                <w:rFonts w:ascii="Arial" w:cs="Arial" w:eastAsia="Arial" w:hAnsi="Arial"/>
                <w:sz w:val="18"/>
                <w:szCs w:val="18"/>
                <w:color w:val="auto"/>
              </w:rPr>
              <w:t>Preferential Collection of Claims Against the Issuer</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7   CONCERNING THE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7.01</w:t>
            </w:r>
          </w:p>
        </w:tc>
        <w:tc>
          <w:tcPr>
            <w:tcW w:w="8340" w:type="dxa"/>
            <w:vAlign w:val="bottom"/>
          </w:tcPr>
          <w:p>
            <w:pPr>
              <w:ind w:left="260"/>
              <w:spacing w:after="0"/>
              <w:rPr>
                <w:sz w:val="20"/>
                <w:szCs w:val="20"/>
                <w:color w:val="auto"/>
              </w:rPr>
            </w:pPr>
            <w:r>
              <w:rPr>
                <w:rFonts w:ascii="Arial" w:cs="Arial" w:eastAsia="Arial" w:hAnsi="Arial"/>
                <w:sz w:val="18"/>
                <w:szCs w:val="18"/>
                <w:color w:val="auto"/>
              </w:rPr>
              <w:t>Evidence of Action Taken by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7.02</w:t>
            </w:r>
          </w:p>
        </w:tc>
        <w:tc>
          <w:tcPr>
            <w:tcW w:w="8340" w:type="dxa"/>
            <w:vAlign w:val="bottom"/>
          </w:tcPr>
          <w:p>
            <w:pPr>
              <w:ind w:left="260"/>
              <w:spacing w:after="0"/>
              <w:rPr>
                <w:sz w:val="20"/>
                <w:szCs w:val="20"/>
                <w:color w:val="auto"/>
              </w:rPr>
            </w:pPr>
            <w:r>
              <w:rPr>
                <w:rFonts w:ascii="Arial" w:cs="Arial" w:eastAsia="Arial" w:hAnsi="Arial"/>
                <w:sz w:val="18"/>
                <w:szCs w:val="18"/>
                <w:color w:val="auto"/>
              </w:rPr>
              <w:t>Proof of Execution of Instruments and of Holding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7.03</w:t>
            </w:r>
          </w:p>
        </w:tc>
        <w:tc>
          <w:tcPr>
            <w:tcW w:w="8340" w:type="dxa"/>
            <w:vAlign w:val="bottom"/>
          </w:tcPr>
          <w:p>
            <w:pPr>
              <w:ind w:left="260"/>
              <w:spacing w:after="0"/>
              <w:rPr>
                <w:sz w:val="20"/>
                <w:szCs w:val="20"/>
                <w:color w:val="auto"/>
              </w:rPr>
            </w:pPr>
            <w:r>
              <w:rPr>
                <w:rFonts w:ascii="Arial" w:cs="Arial" w:eastAsia="Arial" w:hAnsi="Arial"/>
                <w:sz w:val="18"/>
                <w:szCs w:val="18"/>
                <w:color w:val="auto"/>
              </w:rPr>
              <w:t>Holders to Be Treated as Owners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7.04</w:t>
            </w:r>
          </w:p>
        </w:tc>
        <w:tc>
          <w:tcPr>
            <w:tcW w:w="8340" w:type="dxa"/>
            <w:vAlign w:val="bottom"/>
          </w:tcPr>
          <w:p>
            <w:pPr>
              <w:ind w:left="260"/>
              <w:spacing w:after="0"/>
              <w:rPr>
                <w:sz w:val="20"/>
                <w:szCs w:val="20"/>
                <w:color w:val="auto"/>
              </w:rPr>
            </w:pPr>
            <w:r>
              <w:rPr>
                <w:rFonts w:ascii="Arial" w:cs="Arial" w:eastAsia="Arial" w:hAnsi="Arial"/>
                <w:sz w:val="18"/>
                <w:szCs w:val="18"/>
                <w:color w:val="auto"/>
              </w:rPr>
              <w:t>Securities Owned by Issuer Deemed Not Outstanding</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7.05</w:t>
            </w:r>
          </w:p>
        </w:tc>
        <w:tc>
          <w:tcPr>
            <w:tcW w:w="8340" w:type="dxa"/>
            <w:vAlign w:val="bottom"/>
          </w:tcPr>
          <w:p>
            <w:pPr>
              <w:ind w:left="260"/>
              <w:spacing w:after="0"/>
              <w:rPr>
                <w:sz w:val="20"/>
                <w:szCs w:val="20"/>
                <w:color w:val="auto"/>
              </w:rPr>
            </w:pPr>
            <w:r>
              <w:rPr>
                <w:rFonts w:ascii="Arial" w:cs="Arial" w:eastAsia="Arial" w:hAnsi="Arial"/>
                <w:sz w:val="18"/>
                <w:szCs w:val="18"/>
                <w:color w:val="auto"/>
              </w:rPr>
              <w:t>Right of Revocation of Action Taken</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8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8.01</w:t>
            </w:r>
          </w:p>
        </w:tc>
        <w:tc>
          <w:tcPr>
            <w:tcW w:w="8340" w:type="dxa"/>
            <w:vAlign w:val="bottom"/>
          </w:tcPr>
          <w:p>
            <w:pPr>
              <w:ind w:left="260"/>
              <w:spacing w:after="0"/>
              <w:rPr>
                <w:sz w:val="20"/>
                <w:szCs w:val="20"/>
                <w:color w:val="auto"/>
              </w:rPr>
            </w:pPr>
            <w:r>
              <w:rPr>
                <w:rFonts w:ascii="Arial" w:cs="Arial" w:eastAsia="Arial" w:hAnsi="Arial"/>
                <w:sz w:val="18"/>
                <w:szCs w:val="18"/>
                <w:color w:val="auto"/>
              </w:rPr>
              <w:t>Supplemental Indentures Without Consent of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8.02</w:t>
            </w:r>
          </w:p>
        </w:tc>
        <w:tc>
          <w:tcPr>
            <w:tcW w:w="8340" w:type="dxa"/>
            <w:vAlign w:val="bottom"/>
          </w:tcPr>
          <w:p>
            <w:pPr>
              <w:ind w:left="260"/>
              <w:spacing w:after="0"/>
              <w:rPr>
                <w:sz w:val="20"/>
                <w:szCs w:val="20"/>
                <w:color w:val="auto"/>
              </w:rPr>
            </w:pPr>
            <w:r>
              <w:rPr>
                <w:rFonts w:ascii="Arial" w:cs="Arial" w:eastAsia="Arial" w:hAnsi="Arial"/>
                <w:sz w:val="18"/>
                <w:szCs w:val="18"/>
                <w:color w:val="auto"/>
              </w:rPr>
              <w:t>Supplemental Indentures With Consent of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8.03</w:t>
            </w:r>
          </w:p>
        </w:tc>
        <w:tc>
          <w:tcPr>
            <w:tcW w:w="8340" w:type="dxa"/>
            <w:vAlign w:val="bottom"/>
          </w:tcPr>
          <w:p>
            <w:pPr>
              <w:ind w:left="260"/>
              <w:spacing w:after="0"/>
              <w:rPr>
                <w:sz w:val="20"/>
                <w:szCs w:val="20"/>
                <w:color w:val="auto"/>
              </w:rPr>
            </w:pPr>
            <w:r>
              <w:rPr>
                <w:rFonts w:ascii="Arial" w:cs="Arial" w:eastAsia="Arial" w:hAnsi="Arial"/>
                <w:sz w:val="18"/>
                <w:szCs w:val="18"/>
                <w:color w:val="auto"/>
              </w:rPr>
              <w:t>Effect of Supplemental Indenture</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8.04</w:t>
            </w:r>
          </w:p>
        </w:tc>
        <w:tc>
          <w:tcPr>
            <w:tcW w:w="8340" w:type="dxa"/>
            <w:vAlign w:val="bottom"/>
          </w:tcPr>
          <w:p>
            <w:pPr>
              <w:ind w:left="260"/>
              <w:spacing w:after="0"/>
              <w:rPr>
                <w:sz w:val="20"/>
                <w:szCs w:val="20"/>
                <w:color w:val="auto"/>
              </w:rPr>
            </w:pPr>
            <w:r>
              <w:rPr>
                <w:rFonts w:ascii="Arial" w:cs="Arial" w:eastAsia="Arial" w:hAnsi="Arial"/>
                <w:sz w:val="18"/>
                <w:szCs w:val="18"/>
                <w:color w:val="auto"/>
              </w:rPr>
              <w:t>Documents to Be Given to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8.05</w:t>
            </w:r>
          </w:p>
        </w:tc>
        <w:tc>
          <w:tcPr>
            <w:tcW w:w="8340" w:type="dxa"/>
            <w:vAlign w:val="bottom"/>
          </w:tcPr>
          <w:p>
            <w:pPr>
              <w:ind w:left="260"/>
              <w:spacing w:after="0"/>
              <w:rPr>
                <w:sz w:val="20"/>
                <w:szCs w:val="20"/>
                <w:color w:val="auto"/>
              </w:rPr>
            </w:pPr>
            <w:r>
              <w:rPr>
                <w:rFonts w:ascii="Arial" w:cs="Arial" w:eastAsia="Arial" w:hAnsi="Arial"/>
                <w:sz w:val="18"/>
                <w:szCs w:val="18"/>
                <w:color w:val="auto"/>
              </w:rPr>
              <w:t>Notation on Securities in Respect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9   CONSOLIDATION, MERGER, SALE OR CONVEYANCE</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9.01</w:t>
            </w:r>
          </w:p>
        </w:tc>
        <w:tc>
          <w:tcPr>
            <w:tcW w:w="8340" w:type="dxa"/>
            <w:vAlign w:val="bottom"/>
          </w:tcPr>
          <w:p>
            <w:pPr>
              <w:ind w:left="260"/>
              <w:spacing w:after="0"/>
              <w:rPr>
                <w:sz w:val="20"/>
                <w:szCs w:val="20"/>
                <w:color w:val="auto"/>
              </w:rPr>
            </w:pPr>
            <w:r>
              <w:rPr>
                <w:rFonts w:ascii="Arial" w:cs="Arial" w:eastAsia="Arial" w:hAnsi="Arial"/>
                <w:sz w:val="18"/>
                <w:szCs w:val="18"/>
                <w:color w:val="auto"/>
              </w:rPr>
              <w:t>Issuer May Consolidate, Etc., on Certain Terms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9.02</w:t>
            </w:r>
          </w:p>
        </w:tc>
        <w:tc>
          <w:tcPr>
            <w:tcW w:w="8340" w:type="dxa"/>
            <w:vAlign w:val="bottom"/>
          </w:tcPr>
          <w:p>
            <w:pPr>
              <w:ind w:left="260"/>
              <w:spacing w:after="0"/>
              <w:rPr>
                <w:sz w:val="20"/>
                <w:szCs w:val="20"/>
                <w:color w:val="auto"/>
              </w:rPr>
            </w:pPr>
            <w:r>
              <w:rPr>
                <w:rFonts w:ascii="Arial" w:cs="Arial" w:eastAsia="Arial" w:hAnsi="Arial"/>
                <w:sz w:val="18"/>
                <w:szCs w:val="18"/>
                <w:color w:val="auto"/>
              </w:rPr>
              <w:t>Successor Issuer Substituted</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000" w:type="dxa"/>
            <w:vAlign w:val="bottom"/>
            <w:gridSpan w:val="2"/>
          </w:tcPr>
          <w:p>
            <w:pPr>
              <w:spacing w:after="0"/>
              <w:rPr>
                <w:sz w:val="20"/>
                <w:szCs w:val="20"/>
                <w:color w:val="auto"/>
              </w:rPr>
            </w:pPr>
            <w:r>
              <w:rPr>
                <w:rFonts w:ascii="Arial" w:cs="Arial" w:eastAsia="Arial" w:hAnsi="Arial"/>
                <w:sz w:val="18"/>
                <w:szCs w:val="18"/>
                <w:color w:val="auto"/>
              </w:rPr>
              <w:t>ARTICLE 10  SATISFACTION AND DISCHARGE OF INDENTURE; DEFEASANCE; UNCLAIMED MONEYS</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10.01</w:t>
            </w:r>
          </w:p>
        </w:tc>
        <w:tc>
          <w:tcPr>
            <w:tcW w:w="8340" w:type="dxa"/>
            <w:vAlign w:val="bottom"/>
          </w:tcPr>
          <w:p>
            <w:pPr>
              <w:ind w:left="260"/>
              <w:spacing w:after="0"/>
              <w:rPr>
                <w:sz w:val="20"/>
                <w:szCs w:val="20"/>
                <w:color w:val="auto"/>
              </w:rPr>
            </w:pPr>
            <w:r>
              <w:rPr>
                <w:rFonts w:ascii="Arial" w:cs="Arial" w:eastAsia="Arial" w:hAnsi="Arial"/>
                <w:sz w:val="18"/>
                <w:szCs w:val="18"/>
                <w:color w:val="auto"/>
              </w:rPr>
              <w:t>Satisfaction and Discharge of Indenture;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10.02</w:t>
            </w:r>
          </w:p>
        </w:tc>
        <w:tc>
          <w:tcPr>
            <w:tcW w:w="8340" w:type="dxa"/>
            <w:vAlign w:val="bottom"/>
          </w:tcPr>
          <w:p>
            <w:pPr>
              <w:ind w:left="26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10.03</w:t>
            </w:r>
          </w:p>
        </w:tc>
        <w:tc>
          <w:tcPr>
            <w:tcW w:w="8340" w:type="dxa"/>
            <w:vAlign w:val="bottom"/>
          </w:tcPr>
          <w:p>
            <w:pPr>
              <w:ind w:left="260"/>
              <w:spacing w:after="0"/>
              <w:rPr>
                <w:sz w:val="20"/>
                <w:szCs w:val="20"/>
                <w:color w:val="auto"/>
              </w:rPr>
            </w:pPr>
            <w:r>
              <w:rPr>
                <w:rFonts w:ascii="Arial" w:cs="Arial" w:eastAsia="Arial" w:hAnsi="Arial"/>
                <w:sz w:val="18"/>
                <w:szCs w:val="18"/>
                <w:color w:val="auto"/>
              </w:rPr>
              <w:t>Repayment of Moneys Held by Paying Agent</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10.04</w:t>
            </w:r>
          </w:p>
        </w:tc>
        <w:tc>
          <w:tcPr>
            <w:tcW w:w="8340" w:type="dxa"/>
            <w:vAlign w:val="bottom"/>
          </w:tcPr>
          <w:p>
            <w:pPr>
              <w:ind w:left="26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bl>
    <w:p>
      <w:pPr>
        <w:jc w:val="right"/>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0" w:name="page101"/>
    <w:bookmarkEnd w:id="100"/>
    <w:tbl>
      <w:tblPr>
        <w:tblLayout w:type="fixed"/>
        <w:tblInd w:w="0" w:type="dxa"/>
        <w:tblCellMar>
          <w:top w:w="0" w:type="dxa"/>
          <w:left w:w="0" w:type="dxa"/>
          <w:bottom w:w="0" w:type="dxa"/>
          <w:right w:w="0" w:type="dxa"/>
        </w:tblCellMar>
      </w:tblP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10.05</w:t>
            </w:r>
          </w:p>
        </w:tc>
        <w:tc>
          <w:tcPr>
            <w:tcW w:w="7820" w:type="dxa"/>
            <w:vAlign w:val="bottom"/>
          </w:tcPr>
          <w:p>
            <w:pPr>
              <w:ind w:left="260"/>
              <w:spacing w:after="0"/>
              <w:rPr>
                <w:sz w:val="20"/>
                <w:szCs w:val="20"/>
                <w:color w:val="auto"/>
              </w:rPr>
            </w:pPr>
            <w:r>
              <w:rPr>
                <w:rFonts w:ascii="Arial" w:cs="Arial" w:eastAsia="Arial" w:hAnsi="Arial"/>
                <w:sz w:val="18"/>
                <w:szCs w:val="18"/>
                <w:color w:val="auto"/>
              </w:rPr>
              <w:t>Indemnity for U.S. Government Obligations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9480" w:type="dxa"/>
            <w:vAlign w:val="bottom"/>
            <w:gridSpan w:val="2"/>
          </w:tcPr>
          <w:p>
            <w:pPr>
              <w:spacing w:after="0"/>
              <w:rPr>
                <w:sz w:val="20"/>
                <w:szCs w:val="20"/>
                <w:color w:val="auto"/>
              </w:rPr>
            </w:pPr>
            <w:r>
              <w:rPr>
                <w:rFonts w:ascii="Arial" w:cs="Arial" w:eastAsia="Arial" w:hAnsi="Arial"/>
                <w:sz w:val="18"/>
                <w:szCs w:val="18"/>
                <w:color w:val="auto"/>
              </w:rPr>
              <w:t>ARTICLE 11  MISCELLANEOUS PROVISIONS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11.01</w:t>
            </w:r>
          </w:p>
        </w:tc>
        <w:tc>
          <w:tcPr>
            <w:tcW w:w="7820" w:type="dxa"/>
            <w:vAlign w:val="bottom"/>
          </w:tcPr>
          <w:p>
            <w:pPr>
              <w:ind w:left="260"/>
              <w:spacing w:after="0"/>
              <w:rPr>
                <w:sz w:val="20"/>
                <w:szCs w:val="20"/>
                <w:color w:val="auto"/>
              </w:rPr>
            </w:pPr>
            <w:r>
              <w:rPr>
                <w:rFonts w:ascii="Arial" w:cs="Arial" w:eastAsia="Arial" w:hAnsi="Arial"/>
                <w:sz w:val="18"/>
                <w:szCs w:val="18"/>
                <w:color w:val="auto"/>
              </w:rPr>
              <w:t>No Recourse</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11.02</w:t>
            </w:r>
          </w:p>
        </w:tc>
        <w:tc>
          <w:tcPr>
            <w:tcW w:w="7820" w:type="dxa"/>
            <w:vAlign w:val="bottom"/>
          </w:tcPr>
          <w:p>
            <w:pPr>
              <w:ind w:left="260"/>
              <w:spacing w:after="0"/>
              <w:rPr>
                <w:sz w:val="20"/>
                <w:szCs w:val="20"/>
                <w:color w:val="auto"/>
              </w:rPr>
            </w:pPr>
            <w:r>
              <w:rPr>
                <w:rFonts w:ascii="Arial" w:cs="Arial" w:eastAsia="Arial" w:hAnsi="Arial"/>
                <w:sz w:val="18"/>
                <w:szCs w:val="18"/>
                <w:color w:val="auto"/>
              </w:rPr>
              <w:t>Provisions of Indenture for the Sole Benefit of Parties and Holders of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11.03</w:t>
            </w:r>
          </w:p>
        </w:tc>
        <w:tc>
          <w:tcPr>
            <w:tcW w:w="7820" w:type="dxa"/>
            <w:vAlign w:val="bottom"/>
          </w:tcPr>
          <w:p>
            <w:pPr>
              <w:ind w:left="260"/>
              <w:spacing w:after="0"/>
              <w:rPr>
                <w:sz w:val="20"/>
                <w:szCs w:val="20"/>
                <w:color w:val="auto"/>
              </w:rPr>
            </w:pPr>
            <w:r>
              <w:rPr>
                <w:rFonts w:ascii="Arial" w:cs="Arial" w:eastAsia="Arial" w:hAnsi="Arial"/>
                <w:sz w:val="18"/>
                <w:szCs w:val="18"/>
                <w:color w:val="auto"/>
              </w:rPr>
              <w:t>Successors and Assigns of Issuer Bound by Indenture</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11.04</w:t>
            </w:r>
          </w:p>
        </w:tc>
        <w:tc>
          <w:tcPr>
            <w:tcW w:w="7820" w:type="dxa"/>
            <w:vAlign w:val="bottom"/>
          </w:tcPr>
          <w:p>
            <w:pPr>
              <w:ind w:left="260"/>
              <w:spacing w:after="0"/>
              <w:rPr>
                <w:sz w:val="20"/>
                <w:szCs w:val="20"/>
                <w:color w:val="auto"/>
              </w:rPr>
            </w:pPr>
            <w:r>
              <w:rPr>
                <w:rFonts w:ascii="Arial" w:cs="Arial" w:eastAsia="Arial" w:hAnsi="Arial"/>
                <w:sz w:val="18"/>
                <w:szCs w:val="18"/>
                <w:color w:val="auto"/>
              </w:rPr>
              <w:t>Notices and Demands on Issuer, Trustee and Holders of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11.05</w:t>
            </w:r>
          </w:p>
        </w:tc>
        <w:tc>
          <w:tcPr>
            <w:tcW w:w="7820" w:type="dxa"/>
            <w:vAlign w:val="bottom"/>
          </w:tcPr>
          <w:p>
            <w:pPr>
              <w:ind w:left="26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11.06</w:t>
            </w:r>
          </w:p>
        </w:tc>
        <w:tc>
          <w:tcPr>
            <w:tcW w:w="7820" w:type="dxa"/>
            <w:vAlign w:val="bottom"/>
          </w:tcPr>
          <w:p>
            <w:pPr>
              <w:ind w:left="260"/>
              <w:spacing w:after="0"/>
              <w:rPr>
                <w:sz w:val="20"/>
                <w:szCs w:val="20"/>
                <w:color w:val="auto"/>
              </w:rPr>
            </w:pPr>
            <w:r>
              <w:rPr>
                <w:rFonts w:ascii="Arial" w:cs="Arial" w:eastAsia="Arial" w:hAnsi="Arial"/>
                <w:sz w:val="18"/>
                <w:szCs w:val="18"/>
                <w:color w:val="auto"/>
              </w:rPr>
              <w:t>Payments Due on Saturdays, Sundays and Holidays</w:t>
            </w:r>
          </w:p>
        </w:tc>
        <w:tc>
          <w:tcPr>
            <w:tcW w:w="1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11.07</w:t>
            </w:r>
          </w:p>
        </w:tc>
        <w:tc>
          <w:tcPr>
            <w:tcW w:w="7820" w:type="dxa"/>
            <w:vAlign w:val="bottom"/>
          </w:tcPr>
          <w:p>
            <w:pPr>
              <w:ind w:left="260"/>
              <w:spacing w:after="0"/>
              <w:rPr>
                <w:sz w:val="20"/>
                <w:szCs w:val="20"/>
                <w:color w:val="auto"/>
              </w:rPr>
            </w:pPr>
            <w:r>
              <w:rPr>
                <w:rFonts w:ascii="Arial" w:cs="Arial" w:eastAsia="Arial" w:hAnsi="Arial"/>
                <w:sz w:val="18"/>
                <w:szCs w:val="18"/>
                <w:color w:val="auto"/>
              </w:rPr>
              <w:t>Conflict of Any Provision of Indenture With Trust Indenture Act of 1939</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11.08</w:t>
            </w:r>
          </w:p>
        </w:tc>
        <w:tc>
          <w:tcPr>
            <w:tcW w:w="7820" w:type="dxa"/>
            <w:vAlign w:val="bottom"/>
          </w:tcPr>
          <w:p>
            <w:pPr>
              <w:ind w:left="260"/>
              <w:spacing w:after="0"/>
              <w:rPr>
                <w:sz w:val="20"/>
                <w:szCs w:val="20"/>
                <w:color w:val="auto"/>
              </w:rPr>
            </w:pPr>
            <w:r>
              <w:rPr>
                <w:rFonts w:ascii="Arial" w:cs="Arial" w:eastAsia="Arial" w:hAnsi="Arial"/>
                <w:sz w:val="18"/>
                <w:szCs w:val="18"/>
                <w:color w:val="auto"/>
              </w:rPr>
              <w:t>New York Law to Govern</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11.09</w:t>
            </w:r>
          </w:p>
        </w:tc>
        <w:tc>
          <w:tcPr>
            <w:tcW w:w="782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11.10</w:t>
            </w:r>
          </w:p>
        </w:tc>
        <w:tc>
          <w:tcPr>
            <w:tcW w:w="7820" w:type="dxa"/>
            <w:vAlign w:val="bottom"/>
          </w:tcPr>
          <w:p>
            <w:pPr>
              <w:ind w:left="260"/>
              <w:spacing w:after="0"/>
              <w:rPr>
                <w:sz w:val="20"/>
                <w:szCs w:val="20"/>
                <w:color w:val="auto"/>
              </w:rPr>
            </w:pPr>
            <w:r>
              <w:rPr>
                <w:rFonts w:ascii="Arial" w:cs="Arial" w:eastAsia="Arial" w:hAnsi="Arial"/>
                <w:sz w:val="18"/>
                <w:szCs w:val="18"/>
                <w:color w:val="auto"/>
              </w:rPr>
              <w:t>Effect of Headings</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11.11</w:t>
            </w:r>
          </w:p>
        </w:tc>
        <w:tc>
          <w:tcPr>
            <w:tcW w:w="7820" w:type="dxa"/>
            <w:vAlign w:val="bottom"/>
          </w:tcPr>
          <w:p>
            <w:pPr>
              <w:ind w:left="260"/>
              <w:spacing w:after="0"/>
              <w:rPr>
                <w:sz w:val="20"/>
                <w:szCs w:val="20"/>
                <w:color w:val="auto"/>
              </w:rPr>
            </w:pPr>
            <w:r>
              <w:rPr>
                <w:rFonts w:ascii="Arial" w:cs="Arial" w:eastAsia="Arial" w:hAnsi="Arial"/>
                <w:sz w:val="18"/>
                <w:szCs w:val="18"/>
                <w:color w:val="auto"/>
              </w:rPr>
              <w:t>Actions by Successor</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11.12</w:t>
            </w:r>
          </w:p>
        </w:tc>
        <w:tc>
          <w:tcPr>
            <w:tcW w:w="782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9480" w:type="dxa"/>
            <w:vAlign w:val="bottom"/>
            <w:gridSpan w:val="2"/>
          </w:tcPr>
          <w:p>
            <w:pPr>
              <w:spacing w:after="0"/>
              <w:rPr>
                <w:sz w:val="20"/>
                <w:szCs w:val="20"/>
                <w:color w:val="auto"/>
              </w:rPr>
            </w:pPr>
            <w:r>
              <w:rPr>
                <w:rFonts w:ascii="Arial" w:cs="Arial" w:eastAsia="Arial" w:hAnsi="Arial"/>
                <w:sz w:val="18"/>
                <w:szCs w:val="18"/>
                <w:color w:val="auto"/>
              </w:rPr>
              <w:t>ARTICLE 12  REDEMPTION OF SECURITIES AND SINKING FUNDS</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12.01</w:t>
            </w:r>
          </w:p>
        </w:tc>
        <w:tc>
          <w:tcPr>
            <w:tcW w:w="7820" w:type="dxa"/>
            <w:vAlign w:val="bottom"/>
          </w:tcPr>
          <w:p>
            <w:pPr>
              <w:ind w:left="260"/>
              <w:spacing w:after="0"/>
              <w:rPr>
                <w:sz w:val="20"/>
                <w:szCs w:val="20"/>
                <w:color w:val="auto"/>
              </w:rPr>
            </w:pPr>
            <w:r>
              <w:rPr>
                <w:rFonts w:ascii="Arial" w:cs="Arial" w:eastAsia="Arial" w:hAnsi="Arial"/>
                <w:sz w:val="18"/>
                <w:szCs w:val="18"/>
                <w:color w:val="auto"/>
              </w:rPr>
              <w:t>Applicability of Article</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12.02</w:t>
            </w:r>
          </w:p>
        </w:tc>
        <w:tc>
          <w:tcPr>
            <w:tcW w:w="7820" w:type="dxa"/>
            <w:vAlign w:val="bottom"/>
          </w:tcPr>
          <w:p>
            <w:pPr>
              <w:ind w:left="260"/>
              <w:spacing w:after="0"/>
              <w:rPr>
                <w:sz w:val="20"/>
                <w:szCs w:val="20"/>
                <w:color w:val="auto"/>
              </w:rPr>
            </w:pPr>
            <w:r>
              <w:rPr>
                <w:rFonts w:ascii="Arial" w:cs="Arial" w:eastAsia="Arial" w:hAnsi="Arial"/>
                <w:sz w:val="18"/>
                <w:szCs w:val="18"/>
                <w:color w:val="auto"/>
              </w:rPr>
              <w:t>Notice of Redemption; Partial Redemptions</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12.03</w:t>
            </w:r>
          </w:p>
        </w:tc>
        <w:tc>
          <w:tcPr>
            <w:tcW w:w="7820" w:type="dxa"/>
            <w:vAlign w:val="bottom"/>
          </w:tcPr>
          <w:p>
            <w:pPr>
              <w:ind w:left="260"/>
              <w:spacing w:after="0"/>
              <w:rPr>
                <w:sz w:val="20"/>
                <w:szCs w:val="20"/>
                <w:color w:val="auto"/>
              </w:rPr>
            </w:pPr>
            <w:r>
              <w:rPr>
                <w:rFonts w:ascii="Arial" w:cs="Arial" w:eastAsia="Arial" w:hAnsi="Arial"/>
                <w:sz w:val="18"/>
                <w:szCs w:val="18"/>
                <w:color w:val="auto"/>
              </w:rPr>
              <w:t>Payment of Securities Called for Redemption</w:t>
            </w: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12.04</w:t>
            </w:r>
          </w:p>
        </w:tc>
        <w:tc>
          <w:tcPr>
            <w:tcW w:w="7820" w:type="dxa"/>
            <w:vAlign w:val="bottom"/>
          </w:tcPr>
          <w:p>
            <w:pPr>
              <w:ind w:left="26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12.05</w:t>
            </w:r>
          </w:p>
        </w:tc>
        <w:tc>
          <w:tcPr>
            <w:tcW w:w="7820" w:type="dxa"/>
            <w:vAlign w:val="bottom"/>
          </w:tcPr>
          <w:p>
            <w:pPr>
              <w:ind w:left="260"/>
              <w:spacing w:after="0"/>
              <w:rPr>
                <w:sz w:val="20"/>
                <w:szCs w:val="20"/>
                <w:color w:val="auto"/>
              </w:rPr>
            </w:pPr>
            <w:r>
              <w:rPr>
                <w:rFonts w:ascii="Arial" w:cs="Arial" w:eastAsia="Arial" w:hAnsi="Arial"/>
                <w:sz w:val="18"/>
                <w:szCs w:val="18"/>
                <w:color w:val="auto"/>
              </w:rPr>
              <w:t>Mandatory and Optional Sinking Funds</w:t>
            </w: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9480" w:type="dxa"/>
            <w:vAlign w:val="bottom"/>
            <w:gridSpan w:val="2"/>
          </w:tcPr>
          <w:p>
            <w:pPr>
              <w:spacing w:after="0"/>
              <w:rPr>
                <w:sz w:val="20"/>
                <w:szCs w:val="20"/>
                <w:color w:val="auto"/>
              </w:rPr>
            </w:pPr>
            <w:r>
              <w:rPr>
                <w:rFonts w:ascii="Arial" w:cs="Arial" w:eastAsia="Arial" w:hAnsi="Arial"/>
                <w:sz w:val="18"/>
                <w:szCs w:val="18"/>
                <w:color w:val="auto"/>
              </w:rPr>
              <w:t>ARTICLE 13  SUBORDINATION OF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13.01</w:t>
            </w:r>
          </w:p>
        </w:tc>
        <w:tc>
          <w:tcPr>
            <w:tcW w:w="7820" w:type="dxa"/>
            <w:vAlign w:val="bottom"/>
          </w:tcPr>
          <w:p>
            <w:pPr>
              <w:ind w:left="260"/>
              <w:spacing w:after="0"/>
              <w:rPr>
                <w:sz w:val="20"/>
                <w:szCs w:val="20"/>
                <w:color w:val="auto"/>
              </w:rPr>
            </w:pPr>
            <w:r>
              <w:rPr>
                <w:rFonts w:ascii="Arial" w:cs="Arial" w:eastAsia="Arial" w:hAnsi="Arial"/>
                <w:sz w:val="18"/>
                <w:szCs w:val="18"/>
                <w:color w:val="auto"/>
              </w:rPr>
              <w:t>Agreement of Subordination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13.02</w:t>
            </w:r>
          </w:p>
        </w:tc>
        <w:tc>
          <w:tcPr>
            <w:tcW w:w="7820" w:type="dxa"/>
            <w:vAlign w:val="bottom"/>
          </w:tcPr>
          <w:p>
            <w:pPr>
              <w:ind w:left="260"/>
              <w:spacing w:after="0"/>
              <w:rPr>
                <w:sz w:val="20"/>
                <w:szCs w:val="20"/>
                <w:color w:val="auto"/>
              </w:rPr>
            </w:pPr>
            <w:r>
              <w:rPr>
                <w:rFonts w:ascii="Arial" w:cs="Arial" w:eastAsia="Arial" w:hAnsi="Arial"/>
                <w:sz w:val="18"/>
                <w:szCs w:val="18"/>
                <w:color w:val="auto"/>
              </w:rPr>
              <w:t>Payments to Securityholders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13.03</w:t>
            </w:r>
          </w:p>
        </w:tc>
        <w:tc>
          <w:tcPr>
            <w:tcW w:w="7820" w:type="dxa"/>
            <w:vAlign w:val="bottom"/>
          </w:tcPr>
          <w:p>
            <w:pPr>
              <w:ind w:left="260"/>
              <w:spacing w:after="0"/>
              <w:rPr>
                <w:sz w:val="20"/>
                <w:szCs w:val="20"/>
                <w:color w:val="auto"/>
              </w:rPr>
            </w:pPr>
            <w:r>
              <w:rPr>
                <w:rFonts w:ascii="Arial" w:cs="Arial" w:eastAsia="Arial" w:hAnsi="Arial"/>
                <w:sz w:val="18"/>
                <w:szCs w:val="18"/>
                <w:color w:val="auto"/>
              </w:rPr>
              <w:t>Subrogation of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13.04</w:t>
            </w:r>
          </w:p>
        </w:tc>
        <w:tc>
          <w:tcPr>
            <w:tcW w:w="7820" w:type="dxa"/>
            <w:vAlign w:val="bottom"/>
          </w:tcPr>
          <w:p>
            <w:pPr>
              <w:ind w:left="260"/>
              <w:spacing w:after="0"/>
              <w:rPr>
                <w:sz w:val="20"/>
                <w:szCs w:val="20"/>
                <w:color w:val="auto"/>
              </w:rPr>
            </w:pPr>
            <w:r>
              <w:rPr>
                <w:rFonts w:ascii="Arial" w:cs="Arial" w:eastAsia="Arial" w:hAnsi="Arial"/>
                <w:sz w:val="18"/>
                <w:szCs w:val="18"/>
                <w:color w:val="auto"/>
              </w:rPr>
              <w:t>Authorization by Securityholders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13.05</w:t>
            </w:r>
          </w:p>
        </w:tc>
        <w:tc>
          <w:tcPr>
            <w:tcW w:w="7820" w:type="dxa"/>
            <w:vAlign w:val="bottom"/>
          </w:tcPr>
          <w:p>
            <w:pPr>
              <w:ind w:left="260"/>
              <w:spacing w:after="0"/>
              <w:rPr>
                <w:sz w:val="20"/>
                <w:szCs w:val="20"/>
                <w:color w:val="auto"/>
              </w:rPr>
            </w:pPr>
            <w:r>
              <w:rPr>
                <w:rFonts w:ascii="Arial" w:cs="Arial" w:eastAsia="Arial" w:hAnsi="Arial"/>
                <w:sz w:val="18"/>
                <w:szCs w:val="18"/>
                <w:color w:val="auto"/>
              </w:rPr>
              <w:t>Notice to Trustee</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13.06</w:t>
            </w:r>
          </w:p>
        </w:tc>
        <w:tc>
          <w:tcPr>
            <w:tcW w:w="7820" w:type="dxa"/>
            <w:vAlign w:val="bottom"/>
          </w:tcPr>
          <w:p>
            <w:pPr>
              <w:ind w:left="260"/>
              <w:spacing w:after="0"/>
              <w:rPr>
                <w:sz w:val="20"/>
                <w:szCs w:val="20"/>
                <w:color w:val="auto"/>
              </w:rPr>
            </w:pPr>
            <w:r>
              <w:rPr>
                <w:rFonts w:ascii="Arial" w:cs="Arial" w:eastAsia="Arial" w:hAnsi="Arial"/>
                <w:sz w:val="18"/>
                <w:szCs w:val="18"/>
                <w:color w:val="auto"/>
              </w:rPr>
              <w:t>Trustee’s Relation to Senior Indebtedness</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13.07</w:t>
            </w:r>
          </w:p>
        </w:tc>
        <w:tc>
          <w:tcPr>
            <w:tcW w:w="7820" w:type="dxa"/>
            <w:vAlign w:val="bottom"/>
          </w:tcPr>
          <w:p>
            <w:pPr>
              <w:ind w:left="260"/>
              <w:spacing w:after="0"/>
              <w:rPr>
                <w:sz w:val="20"/>
                <w:szCs w:val="20"/>
                <w:color w:val="auto"/>
              </w:rPr>
            </w:pPr>
            <w:r>
              <w:rPr>
                <w:rFonts w:ascii="Arial" w:cs="Arial" w:eastAsia="Arial" w:hAnsi="Arial"/>
                <w:sz w:val="18"/>
                <w:szCs w:val="18"/>
                <w:color w:val="auto"/>
              </w:rPr>
              <w:t>No Impairment of Subordination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13.08</w:t>
            </w:r>
          </w:p>
        </w:tc>
        <w:tc>
          <w:tcPr>
            <w:tcW w:w="7820" w:type="dxa"/>
            <w:vAlign w:val="bottom"/>
          </w:tcPr>
          <w:p>
            <w:pPr>
              <w:ind w:left="260"/>
              <w:spacing w:after="0"/>
              <w:rPr>
                <w:sz w:val="20"/>
                <w:szCs w:val="20"/>
                <w:color w:val="auto"/>
              </w:rPr>
            </w:pPr>
            <w:r>
              <w:rPr>
                <w:rFonts w:ascii="Arial" w:cs="Arial" w:eastAsia="Arial" w:hAnsi="Arial"/>
                <w:sz w:val="18"/>
                <w:szCs w:val="18"/>
                <w:color w:val="auto"/>
              </w:rPr>
              <w:t>Rights of Trustee</w:t>
            </w:r>
          </w:p>
        </w:tc>
        <w:tc>
          <w:tcPr>
            <w:tcW w:w="1840" w:type="dxa"/>
            <w:vAlign w:val="bottom"/>
          </w:tcPr>
          <w:p>
            <w:pPr>
              <w:jc w:val="right"/>
              <w:spacing w:after="0"/>
              <w:rPr>
                <w:sz w:val="20"/>
                <w:szCs w:val="20"/>
                <w:color w:val="auto"/>
              </w:rPr>
            </w:pPr>
            <w:r>
              <w:rPr>
                <w:rFonts w:ascii="Arial" w:cs="Arial" w:eastAsia="Arial" w:hAnsi="Arial"/>
                <w:sz w:val="18"/>
                <w:szCs w:val="18"/>
                <w:color w:val="auto"/>
              </w:rPr>
              <w:t>54</w:t>
            </w:r>
          </w:p>
        </w:tc>
      </w:tr>
    </w:tbl>
    <w:p>
      <w:pPr>
        <w:jc w:val="right"/>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1" w:name="page102"/>
    <w:bookmarkEnd w:id="101"/>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INDENTURE, dated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between Emergent BioSolutions Inc.,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-201295</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w:t>
      </w:r>
    </w:p>
    <w:p>
      <w:pPr>
        <w:spacing w:after="0" w:line="38" w:lineRule="exact"/>
        <w:rPr>
          <w:sz w:val="20"/>
          <w:szCs w:val="20"/>
          <w:color w:val="auto"/>
        </w:rPr>
      </w:pPr>
    </w:p>
    <w:p>
      <w:pPr>
        <w:sectPr>
          <w:pgSz w:w="11900" w:h="16838" w:orient="portrait"/>
          <w:cols w:equalWidth="0" w:num="4">
            <w:col w:w="3000" w:space="720"/>
            <w:col w:w="5680" w:space="580"/>
            <w:col w:w="160" w:space="620"/>
            <w:col w:w="620"/>
          </w:cols>
          <w:pgMar w:left="240" w:top="274" w:right="27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ectPr>
          <w:pgSz w:w="11900" w:h="16838" w:orient="portrait"/>
          <w:cols w:equalWidth="0" w:num="1">
            <w:col w:w="11380"/>
          </w:cols>
          <w:pgMar w:left="240" w:top="274" w:right="279" w:bottom="1440" w:gutter="0" w:footer="0" w:header="0"/>
          <w:type w:val="continuous"/>
        </w:sect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the Issuer may from time to time duly authorize the issue of its unsecured subordinated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 principles</w:t>
      </w:r>
      <w:r>
        <w:rPr>
          <w:rFonts w:ascii="Arial" w:cs="Arial" w:eastAsia="Arial" w:hAnsi="Arial"/>
          <w:sz w:val="16"/>
          <w:szCs w:val="16"/>
          <w:color w:val="auto"/>
        </w:rPr>
        <w:t>” means such accounting principles as are generally accepted in 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either the Board of Directors of the Issuer or any committee of such Board duly authorized to act on its behalf.</w:t>
      </w:r>
    </w:p>
    <w:p>
      <w:pPr>
        <w:sectPr>
          <w:pgSz w:w="11900" w:h="16838" w:orient="portrait"/>
          <w:cols w:equalWidth="0" w:num="1">
            <w:col w:w="11380"/>
          </w:cols>
          <w:pgMar w:left="240" w:top="274" w:right="279" w:bottom="1440" w:gutter="0" w:footer="0" w:header="0"/>
          <w:type w:val="continuous"/>
        </w:sectPr>
      </w:pPr>
    </w:p>
    <w:bookmarkStart w:id="102" w:name="page103"/>
    <w:bookmarkEnd w:id="102"/>
    <w:p>
      <w:pPr>
        <w:ind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7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3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$0.001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 principally</w:t>
      </w:r>
    </w:p>
    <w:p>
      <w:pPr>
        <w:spacing w:after="0" w:line="44" w:lineRule="exact"/>
        <w:rPr>
          <w:sz w:val="20"/>
          <w:szCs w:val="20"/>
          <w:color w:val="auto"/>
        </w:rPr>
      </w:pPr>
    </w:p>
    <w:p>
      <w:pPr>
        <w:spacing w:after="0"/>
        <w:tabs>
          <w:tab w:leader="none" w:pos="6980" w:val="left"/>
        </w:tabs>
        <w:rPr>
          <w:sz w:val="20"/>
          <w:szCs w:val="20"/>
          <w:color w:val="auto"/>
        </w:rPr>
      </w:pPr>
      <w:r>
        <w:rPr>
          <w:rFonts w:ascii="Arial" w:cs="Arial" w:eastAsia="Arial" w:hAnsi="Arial"/>
          <w:sz w:val="18"/>
          <w:szCs w:val="18"/>
          <w:color w:val="auto"/>
        </w:rPr>
        <w:t>administered, which office is, at the date as of which this Indenture is dated, located at</w:t>
      </w:r>
      <w:r>
        <w:rPr>
          <w:sz w:val="20"/>
          <w:szCs w:val="20"/>
          <w:color w:val="auto"/>
        </w:rPr>
        <w:tab/>
      </w:r>
      <w:r>
        <w:rPr>
          <w:rFonts w:ascii="Arial" w:cs="Arial" w:eastAsia="Arial" w:hAnsi="Arial"/>
          <w:sz w:val="14"/>
          <w:szCs w:val="14"/>
          <w:color w:val="auto"/>
        </w:rPr>
        <w:t>.</w:t>
      </w:r>
    </w:p>
    <w:p>
      <w:pPr>
        <w:spacing w:after="0" w:line="15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41"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6"/>
          <w:szCs w:val="16"/>
          <w:b w:val="1"/>
          <w:bCs w:val="1"/>
          <w:color w:val="auto"/>
        </w:rPr>
        <w:t>Depositary</w:t>
      </w:r>
      <w:r>
        <w:rPr>
          <w:rFonts w:ascii="Arial" w:cs="Arial" w:eastAsia="Arial" w:hAnsi="Arial"/>
          <w:sz w:val="16"/>
          <w:szCs w:val="16"/>
          <w:color w:val="auto"/>
        </w:rPr>
        <w:t>” shall mean or include each Person who is then a Depositary hereunder, and if at any time there is more than one such Person, “</w:t>
      </w:r>
      <w:r>
        <w:rPr>
          <w:rFonts w:ascii="Arial" w:cs="Arial" w:eastAsia="Arial" w:hAnsi="Arial"/>
          <w:sz w:val="16"/>
          <w:szCs w:val="16"/>
          <w:b w:val="1"/>
          <w:bCs w:val="1"/>
          <w:color w:val="auto"/>
        </w:rPr>
        <w:t>Depositary</w:t>
      </w:r>
      <w:r>
        <w:rPr>
          <w:rFonts w:ascii="Arial" w:cs="Arial" w:eastAsia="Arial" w:hAnsi="Arial"/>
          <w:sz w:val="16"/>
          <w:szCs w:val="16"/>
          <w:color w:val="auto"/>
        </w:rPr>
        <w:t>” as used with respect to the Securities of any such series shall mean the Depositary with respect to the Global Securities of that series.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171"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“holder”,</w:t>
      </w:r>
      <w:r>
        <w:rPr>
          <w:rFonts w:ascii="Arial" w:cs="Arial" w:eastAsia="Arial" w:hAnsi="Arial"/>
          <w:sz w:val="18"/>
          <w:szCs w:val="18"/>
          <w:color w:val="auto"/>
        </w:rPr>
        <w:t xml:space="preserve">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ind w:right="9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7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when used with respect to non-interest bearing Securities, refers to interest payable after maturity, if 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Emergent BioSolutions Inc., a Delaware corporation, and, subject to Article 9, its successors and assigns.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shall have the meaning set forth in Section 5.01(c).</w:t>
      </w:r>
    </w:p>
    <w:p>
      <w:pPr>
        <w:spacing w:after="0" w:line="171"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32"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32"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04" w:name="page105"/>
    <w:bookmarkEnd w:id="104"/>
    <w:p>
      <w:pPr>
        <w:ind w:right="4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126" w:lineRule="exact"/>
        <w:rPr>
          <w:sz w:val="20"/>
          <w:szCs w:val="20"/>
          <w:color w:val="auto"/>
        </w:rPr>
      </w:pPr>
    </w:p>
    <w:p>
      <w:pPr>
        <w:ind w:left="1160" w:hanging="23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71" w:lineRule="exact"/>
        <w:rPr>
          <w:rFonts w:ascii="Arial" w:cs="Arial" w:eastAsia="Arial" w:hAnsi="Arial"/>
          <w:sz w:val="18"/>
          <w:szCs w:val="18"/>
          <w:color w:val="auto"/>
        </w:rPr>
      </w:pPr>
    </w:p>
    <w:p>
      <w:pPr>
        <w:ind w:firstLine="921"/>
        <w:spacing w:after="0" w:line="294" w:lineRule="auto"/>
        <w:tabs>
          <w:tab w:leader="none" w:pos="11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the payment or redemption of which cash or U.S.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6"/>
          <w:szCs w:val="16"/>
          <w:i w:val="1"/>
          <w:iCs w:val="1"/>
          <w:color w:val="auto"/>
        </w:rPr>
        <w:t>provided</w:t>
      </w:r>
      <w:r>
        <w:rPr>
          <w:rFonts w:ascii="Arial" w:cs="Arial" w:eastAsia="Arial" w:hAnsi="Arial"/>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15" w:lineRule="exact"/>
        <w:rPr>
          <w:rFonts w:ascii="Arial" w:cs="Arial" w:eastAsia="Arial" w:hAnsi="Arial"/>
          <w:sz w:val="16"/>
          <w:szCs w:val="16"/>
          <w:color w:val="auto"/>
        </w:rPr>
      </w:pPr>
    </w:p>
    <w:p>
      <w:pPr>
        <w:ind w:right="80" w:firstLine="921"/>
        <w:spacing w:after="0" w:line="256"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w:t>
      </w:r>
    </w:p>
    <w:p>
      <w:pPr>
        <w:spacing w:after="0" w:line="13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 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shall have the meaning set forth in Section 2.07.</w:t>
      </w:r>
    </w:p>
    <w:p>
      <w:pPr>
        <w:spacing w:after="0" w:line="171"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05" w:name="page106"/>
    <w:bookmarkEnd w:id="105"/>
    <w:p>
      <w:pPr>
        <w:ind w:right="2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4.01(b).</w:t>
      </w:r>
    </w:p>
    <w:p>
      <w:pPr>
        <w:spacing w:after="0" w:line="17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of a Person means the principal of, premium, if any, interest on, and any other payment due pursuant to any of the following, whether outstanding at the date hereof or hereafter incurred or created:</w:t>
      </w:r>
    </w:p>
    <w:p>
      <w:pPr>
        <w:spacing w:after="0" w:line="126" w:lineRule="exact"/>
        <w:rPr>
          <w:sz w:val="20"/>
          <w:szCs w:val="20"/>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94" w:lineRule="exact"/>
        <w:rPr>
          <w:rFonts w:ascii="Arial" w:cs="Arial" w:eastAsia="Arial" w:hAnsi="Arial"/>
          <w:sz w:val="16"/>
          <w:szCs w:val="16"/>
          <w:color w:val="auto"/>
        </w:rPr>
      </w:pPr>
    </w:p>
    <w:p>
      <w:pPr>
        <w:ind w:right="100" w:firstLine="921"/>
        <w:spacing w:after="0" w:line="259" w:lineRule="auto"/>
        <w:tabs>
          <w:tab w:leader="none" w:pos="11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w:t>
      </w:r>
    </w:p>
    <w:p>
      <w:pPr>
        <w:spacing w:after="0" w:line="140" w:lineRule="exact"/>
        <w:rPr>
          <w:rFonts w:ascii="Arial" w:cs="Arial" w:eastAsia="Arial" w:hAnsi="Arial"/>
          <w:sz w:val="18"/>
          <w:szCs w:val="18"/>
          <w:color w:val="auto"/>
        </w:rPr>
      </w:pPr>
    </w:p>
    <w:p>
      <w:pPr>
        <w:ind w:right="200" w:firstLine="921"/>
        <w:spacing w:after="0" w:line="268" w:lineRule="auto"/>
        <w:tabs>
          <w:tab w:leader="none" w:pos="11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leases of the kinds described in either of the preceding clauses (c) or (d) above;</w:t>
      </w:r>
    </w:p>
    <w:p>
      <w:pPr>
        <w:spacing w:after="0" w:line="132"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i w:val="1"/>
          <w:iCs w:val="1"/>
          <w:color w:val="auto"/>
        </w:rPr>
        <w:t>unless</w:t>
      </w:r>
      <w:r>
        <w:rPr>
          <w:rFonts w:ascii="Arial" w:cs="Arial" w:eastAsia="Arial" w:hAnsi="Arial"/>
          <w:sz w:val="15"/>
          <w:szCs w:val="15"/>
          <w:color w:val="auto"/>
        </w:rPr>
        <w:t>, in the case of any particular indebtedness, lease, renewal, extension or refunding, the instrument or lease creating or evidencing it or the assumption or</w:t>
      </w:r>
      <w:r>
        <w:rPr>
          <w:rFonts w:ascii="Arial" w:cs="Arial" w:eastAsia="Arial" w:hAnsi="Arial"/>
          <w:sz w:val="15"/>
          <w:szCs w:val="15"/>
          <w:i w:val="1"/>
          <w:iCs w:val="1"/>
          <w:color w:val="auto"/>
        </w:rPr>
        <w:t xml:space="preserve"> </w:t>
      </w:r>
      <w:r>
        <w:rPr>
          <w:rFonts w:ascii="Arial" w:cs="Arial" w:eastAsia="Arial" w:hAnsi="Arial"/>
          <w:sz w:val="15"/>
          <w:szCs w:val="15"/>
          <w:color w:val="auto"/>
        </w:rPr>
        <w:t>guarantee relating to it expressly provides that such indebtedness, lease, renewal, extension or refunding is not superior in right of payment to the Securities.</w:t>
      </w:r>
    </w:p>
    <w:p>
      <w:pPr>
        <w:spacing w:after="0" w:line="5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corporation of which stock having a majority of the voting power under ordinary circumstances is owned, directly or indirectly, by the Issuer or by one or more subsidiaries of the Issuer, or by the Issuer and one or more subsidiaries of the Issuer.</w:t>
      </w:r>
    </w:p>
    <w:p>
      <w:pPr>
        <w:spacing w:after="0" w:line="12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20" w:lineRule="exact"/>
        <w:rPr>
          <w:sz w:val="20"/>
          <w:szCs w:val="20"/>
          <w:color w:val="auto"/>
        </w:rPr>
      </w:pPr>
    </w:p>
    <w:p>
      <w:pPr>
        <w:jc w:val="both"/>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9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means (a) a direct obligation of the United States of America, backed by its full faith and credit, or (b) an obligation of a Person controlled 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6" w:name="page107"/>
    <w:bookmarkEnd w:id="106"/>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supervised by and acting as an agency or instrumentality of the United States of America, the payment of which is unconditionally guaranteed as a full faith and credit obligation by the United States of America.</w:t>
      </w:r>
    </w:p>
    <w:p>
      <w:pPr>
        <w:spacing w:after="0" w:line="12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276860</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Officer</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7" w:name="page108"/>
    <w:bookmarkEnd w:id="107"/>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13" w:lineRule="exact"/>
        <w:rPr>
          <w:sz w:val="20"/>
          <w:szCs w:val="20"/>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w:t>
      </w:r>
    </w:p>
    <w:p>
      <w:pPr>
        <w:spacing w:after="0" w:line="171" w:lineRule="exact"/>
        <w:rPr>
          <w:rFonts w:ascii="Arial" w:cs="Arial" w:eastAsia="Arial" w:hAnsi="Arial"/>
          <w:sz w:val="18"/>
          <w:szCs w:val="18"/>
          <w:color w:val="auto"/>
        </w:rPr>
      </w:pPr>
    </w:p>
    <w:p>
      <w:pPr>
        <w:jc w:val="both"/>
        <w:ind w:right="140" w:firstLine="921"/>
        <w:spacing w:after="0" w:line="259"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40" w:lineRule="exact"/>
        <w:rPr>
          <w:rFonts w:ascii="Arial" w:cs="Arial" w:eastAsia="Arial" w:hAnsi="Arial"/>
          <w:sz w:val="18"/>
          <w:szCs w:val="18"/>
          <w:color w:val="auto"/>
        </w:rPr>
      </w:pPr>
    </w:p>
    <w:p>
      <w:pPr>
        <w:ind w:right="80" w:firstLine="921"/>
        <w:spacing w:after="0" w:line="259" w:lineRule="auto"/>
        <w:tabs>
          <w:tab w:leader="none" w:pos="11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other than Dollars, the Foreign Currency in which the Securities of that series are denominated;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date on which the principal of the Securities of the series is payable and the right, if any, to extend such date or dates;</w:t>
      </w:r>
    </w:p>
    <w:p>
      <w:pPr>
        <w:spacing w:after="0" w:line="171" w:lineRule="exact"/>
        <w:rPr>
          <w:rFonts w:ascii="Arial" w:cs="Arial" w:eastAsia="Arial" w:hAnsi="Arial"/>
          <w:sz w:val="18"/>
          <w:szCs w:val="18"/>
          <w:color w:val="auto"/>
        </w:rPr>
      </w:pPr>
    </w:p>
    <w:p>
      <w:pPr>
        <w:jc w:val="both"/>
        <w:ind w:right="240" w:firstLine="921"/>
        <w:spacing w:after="0" w:line="306" w:lineRule="auto"/>
        <w:tabs>
          <w:tab w:leader="none" w:pos="11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the record date or dates for the determination of holders to whom interest is payable, the date or dates from which such interest shall accrue and on which such interest shall be payable and/or the method by which such rate or rates or date or dates shall be determined, and the right, if any, to extend the interest payment periods and the duration of that extension;</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 3.02);</w:t>
      </w:r>
    </w:p>
    <w:p>
      <w:pPr>
        <w:spacing w:after="0" w:line="194" w:lineRule="exact"/>
        <w:rPr>
          <w:rFonts w:ascii="Arial" w:cs="Arial" w:eastAsia="Arial" w:hAnsi="Arial"/>
          <w:sz w:val="16"/>
          <w:szCs w:val="16"/>
          <w:color w:val="auto"/>
        </w:rPr>
      </w:pPr>
    </w:p>
    <w:p>
      <w:pPr>
        <w:ind w:right="720" w:firstLine="921"/>
        <w:spacing w:after="0" w:line="268"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31" w:lineRule="exact"/>
        <w:rPr>
          <w:rFonts w:ascii="Arial" w:cs="Arial" w:eastAsia="Arial" w:hAnsi="Arial"/>
          <w:sz w:val="18"/>
          <w:szCs w:val="18"/>
          <w:color w:val="auto"/>
        </w:rPr>
      </w:pPr>
    </w:p>
    <w:p>
      <w:pPr>
        <w:ind w:right="260" w:firstLine="921"/>
        <w:spacing w:after="0" w:line="306" w:lineRule="auto"/>
        <w:tabs>
          <w:tab w:leader="none" w:pos="11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8" w:name="page109"/>
    <w:bookmarkEnd w:id="108"/>
    <w:p>
      <w:pPr>
        <w:ind w:left="-20" w:right="120" w:firstLine="921"/>
        <w:spacing w:after="0" w:line="268" w:lineRule="auto"/>
        <w:tabs>
          <w:tab w:leader="none" w:pos="1142"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other than the principal amount thereof, the portion of the principal amount of Securities of the series which shall be payable upon declaration of acceleration of the maturity thereof;</w:t>
      </w:r>
    </w:p>
    <w:p>
      <w:pPr>
        <w:spacing w:after="0" w:line="131" w:lineRule="exact"/>
        <w:rPr>
          <w:rFonts w:ascii="Arial" w:cs="Arial" w:eastAsia="Arial" w:hAnsi="Arial"/>
          <w:sz w:val="18"/>
          <w:szCs w:val="18"/>
          <w:color w:val="auto"/>
        </w:rPr>
      </w:pPr>
    </w:p>
    <w:p>
      <w:pPr>
        <w:ind w:left="-20" w:right="180" w:firstLine="921"/>
        <w:spacing w:after="0" w:line="268" w:lineRule="auto"/>
        <w:tabs>
          <w:tab w:leader="none" w:pos="11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that series are denominated, the currency in which payment of the principal of or interest on the Securities of such series shall be payable;</w:t>
      </w:r>
    </w:p>
    <w:p>
      <w:pPr>
        <w:spacing w:after="0" w:line="131" w:lineRule="exact"/>
        <w:rPr>
          <w:rFonts w:ascii="Arial" w:cs="Arial" w:eastAsia="Arial" w:hAnsi="Arial"/>
          <w:sz w:val="18"/>
          <w:szCs w:val="18"/>
          <w:color w:val="auto"/>
        </w:rPr>
      </w:pPr>
    </w:p>
    <w:p>
      <w:pPr>
        <w:ind w:left="-20" w:right="200" w:firstLine="921"/>
        <w:spacing w:after="0" w:line="370" w:lineRule="auto"/>
        <w:tabs>
          <w:tab w:leader="none" w:pos="119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62" w:lineRule="exact"/>
        <w:rPr>
          <w:rFonts w:ascii="Arial" w:cs="Arial" w:eastAsia="Arial" w:hAnsi="Arial"/>
          <w:sz w:val="15"/>
          <w:szCs w:val="15"/>
          <w:color w:val="auto"/>
        </w:rPr>
      </w:pPr>
    </w:p>
    <w:p>
      <w:pPr>
        <w:jc w:val="both"/>
        <w:ind w:left="-20" w:right="340" w:firstLine="921"/>
        <w:spacing w:after="0" w:line="259" w:lineRule="auto"/>
        <w:tabs>
          <w:tab w:leader="none" w:pos="114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with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Sections 10.01(b) or 10.01(c) are inapplicable to Securities of such series;</w:t>
      </w:r>
    </w:p>
    <w:p>
      <w:pPr>
        <w:spacing w:after="0" w:line="171" w:lineRule="exact"/>
        <w:rPr>
          <w:rFonts w:ascii="Arial" w:cs="Arial" w:eastAsia="Arial" w:hAnsi="Arial"/>
          <w:sz w:val="18"/>
          <w:szCs w:val="18"/>
          <w:color w:val="auto"/>
        </w:rPr>
      </w:pPr>
    </w:p>
    <w:p>
      <w:pPr>
        <w:jc w:val="both"/>
        <w:ind w:left="-20" w:right="120" w:firstLine="921"/>
        <w:spacing w:after="0" w:line="370" w:lineRule="auto"/>
        <w:tabs>
          <w:tab w:leader="none" w:pos="1142" w:val="left"/>
        </w:tabs>
        <w:numPr>
          <w:ilvl w:val="0"/>
          <w:numId w:val="70"/>
        </w:numPr>
        <w:rPr>
          <w:rFonts w:ascii="Arial" w:cs="Arial" w:eastAsia="Arial" w:hAnsi="Arial"/>
          <w:sz w:val="15"/>
          <w:szCs w:val="15"/>
          <w:color w:val="auto"/>
        </w:rPr>
      </w:pPr>
      <w:r>
        <w:rPr>
          <w:rFonts w:ascii="Arial" w:cs="Arial" w:eastAsia="Arial" w:hAnsi="Arial"/>
          <w:sz w:val="15"/>
          <w:szCs w:val="15"/>
          <w:color w:val="auto"/>
        </w:rPr>
        <w:t>whether and under what circumstances the Issuer will pay additional amounts on the Securities of any series in respect of any tax, assessment or governmental charge withheld or deducted and, if so, whether the Issuer will have the option to redeem such Securities rather than pay such additional amounts;</w:t>
      </w:r>
    </w:p>
    <w:p>
      <w:pPr>
        <w:spacing w:after="0" w:line="62" w:lineRule="exact"/>
        <w:rPr>
          <w:rFonts w:ascii="Arial" w:cs="Arial" w:eastAsia="Arial" w:hAnsi="Arial"/>
          <w:sz w:val="15"/>
          <w:szCs w:val="15"/>
          <w:color w:val="auto"/>
        </w:rPr>
      </w:pPr>
    </w:p>
    <w:p>
      <w:pPr>
        <w:ind w:left="-20" w:firstLine="921"/>
        <w:spacing w:after="0" w:line="259" w:lineRule="auto"/>
        <w:tabs>
          <w:tab w:leader="none" w:pos="114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40" w:lineRule="exact"/>
        <w:rPr>
          <w:rFonts w:ascii="Arial" w:cs="Arial" w:eastAsia="Arial" w:hAnsi="Arial"/>
          <w:sz w:val="18"/>
          <w:szCs w:val="18"/>
          <w:color w:val="auto"/>
        </w:rPr>
      </w:pPr>
    </w:p>
    <w:p>
      <w:pPr>
        <w:ind w:left="1120" w:hanging="219"/>
        <w:spacing w:after="0"/>
        <w:tabs>
          <w:tab w:leader="none" w:pos="11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trustees, authenticating or paying agents, transfer agents or registrars or any other agents with respect to the Securities of such series;</w:t>
      </w:r>
    </w:p>
    <w:p>
      <w:pPr>
        <w:spacing w:after="0" w:line="194" w:lineRule="exact"/>
        <w:rPr>
          <w:rFonts w:ascii="Arial" w:cs="Arial" w:eastAsia="Arial" w:hAnsi="Arial"/>
          <w:sz w:val="16"/>
          <w:szCs w:val="16"/>
          <w:color w:val="auto"/>
        </w:rPr>
      </w:pPr>
    </w:p>
    <w:p>
      <w:pPr>
        <w:ind w:left="1140" w:hanging="239"/>
        <w:spacing w:after="0"/>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other events of default or covenants with respect to the Securities of such series in addition to or in lieu of those contained in this Indenture;</w:t>
      </w:r>
    </w:p>
    <w:p>
      <w:pPr>
        <w:spacing w:after="0" w:line="194" w:lineRule="exact"/>
        <w:rPr>
          <w:rFonts w:ascii="Arial" w:cs="Arial" w:eastAsia="Arial" w:hAnsi="Arial"/>
          <w:sz w:val="16"/>
          <w:szCs w:val="16"/>
          <w:color w:val="auto"/>
        </w:rPr>
      </w:pPr>
    </w:p>
    <w:p>
      <w:pPr>
        <w:ind w:left="-20" w:right="120" w:firstLine="921"/>
        <w:spacing w:after="0" w:line="306" w:lineRule="auto"/>
        <w:tabs>
          <w:tab w:leader="none" w:pos="1103"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06" w:lineRule="exact"/>
        <w:rPr>
          <w:rFonts w:ascii="Arial" w:cs="Arial" w:eastAsia="Arial" w:hAnsi="Arial"/>
          <w:sz w:val="16"/>
          <w:szCs w:val="16"/>
          <w:color w:val="auto"/>
        </w:rPr>
      </w:pPr>
    </w:p>
    <w:p>
      <w:pPr>
        <w:ind w:left="1140" w:hanging="239"/>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extent to which payments on the Securities will be subordinated to the payment of Senior Indebtedness of the Issuer; and</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109" w:name="page110"/>
    <w:bookmarkEnd w:id="109"/>
    <w:p>
      <w:pPr>
        <w:ind w:right="10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18" w:lineRule="exact"/>
        <w:rPr>
          <w:sz w:val="20"/>
          <w:szCs w:val="20"/>
          <w:color w:val="auto"/>
        </w:rPr>
      </w:pPr>
    </w:p>
    <w:p>
      <w:pPr>
        <w:ind w:left="1160" w:hanging="239"/>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 Issuer Order requesting such authentication and setting forth delivery instructions if the Securities are not to be delivered to the Issuer;</w:t>
      </w:r>
    </w:p>
    <w:p>
      <w:pPr>
        <w:spacing w:after="0" w:line="194" w:lineRule="exact"/>
        <w:rPr>
          <w:rFonts w:ascii="Arial" w:cs="Arial" w:eastAsia="Arial" w:hAnsi="Arial"/>
          <w:sz w:val="16"/>
          <w:szCs w:val="16"/>
          <w:color w:val="auto"/>
        </w:rPr>
      </w:pPr>
    </w:p>
    <w:p>
      <w:pPr>
        <w:ind w:right="40" w:firstLine="921"/>
        <w:spacing w:after="0" w:line="268" w:lineRule="auto"/>
        <w:tabs>
          <w:tab w:leader="none" w:pos="11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131" w:lineRule="exact"/>
        <w:rPr>
          <w:rFonts w:ascii="Arial" w:cs="Arial" w:eastAsia="Arial" w:hAnsi="Arial"/>
          <w:sz w:val="18"/>
          <w:szCs w:val="18"/>
          <w:color w:val="auto"/>
        </w:rPr>
      </w:pPr>
    </w:p>
    <w:p>
      <w:pPr>
        <w:jc w:val="both"/>
        <w:ind w:right="120" w:firstLine="921"/>
        <w:spacing w:after="0" w:line="370" w:lineRule="auto"/>
        <w:tabs>
          <w:tab w:leader="none" w:pos="1152"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62" w:lineRule="exact"/>
        <w:rPr>
          <w:rFonts w:ascii="Arial" w:cs="Arial" w:eastAsia="Arial" w:hAnsi="Arial"/>
          <w:sz w:val="15"/>
          <w:szCs w:val="15"/>
          <w:color w:val="auto"/>
        </w:rPr>
      </w:pPr>
    </w:p>
    <w:p>
      <w:pPr>
        <w:ind w:left="1160" w:hanging="239"/>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form or forms and terms of such Securities have been established pursuant to Sections 2.01 and 2.03 and comply with this Indenture,</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authentication and delivery of such Securities by the Trustee are authorized under the provisions of this Indenture,</w:t>
      </w:r>
    </w:p>
    <w:p>
      <w:pPr>
        <w:spacing w:after="0" w:line="90" w:lineRule="exact"/>
        <w:rPr>
          <w:rFonts w:ascii="Arial" w:cs="Arial" w:eastAsia="Arial" w:hAnsi="Arial"/>
          <w:sz w:val="18"/>
          <w:szCs w:val="18"/>
          <w:color w:val="auto"/>
        </w:rPr>
      </w:pPr>
    </w:p>
    <w:p>
      <w:pPr>
        <w:ind w:left="920" w:right="440" w:firstLine="421"/>
        <w:spacing w:after="0" w:line="268" w:lineRule="auto"/>
        <w:tabs>
          <w:tab w:leader="none" w:pos="16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such Securities when authenticated and delivered by the Trustee and issued by the Issuer in the manner and subject to any conditions specified in such Opinion of Counsel, will constitute valid and binding obligations of the Issuer,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0" w:name="page111"/>
    <w:bookmarkEnd w:id="110"/>
    <w:p>
      <w:pPr>
        <w:ind w:right="1200" w:firstLine="1341"/>
        <w:spacing w:after="0" w:line="438" w:lineRule="auto"/>
        <w:tabs>
          <w:tab w:leader="none" w:pos="163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laws and requirements in respect of the execution and delivery by the Issuer of the Securities have been complied with, and covering such other matters as the Trustee may reasonably request.</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1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w:t>
      </w:r>
    </w:p>
    <w:p>
      <w:pPr>
        <w:spacing w:after="0" w:line="1" w:lineRule="exact"/>
        <w:rPr>
          <w:sz w:val="20"/>
          <w:szCs w:val="20"/>
          <w:color w:val="auto"/>
        </w:rPr>
      </w:pPr>
    </w:p>
    <w:p>
      <w:pPr>
        <w:ind w:right="160" w:firstLine="8"/>
        <w:spacing w:after="0" w:line="295" w:lineRule="auto"/>
        <w:tabs>
          <w:tab w:leader="none" w:pos="307"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shall be delivered by the Trustee to such Depositary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1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Each Depositary designated pursuant to this Section must, at the time of its designation and at all times while it serves as Depositary, be a clearing agency registered under the Securities Exchange Act of 1934 and any other applicable statute or regulation.</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Execution of Securities</w:t>
      </w:r>
      <w:r>
        <w:rPr>
          <w:rFonts w:ascii="Arial" w:cs="Arial" w:eastAsia="Arial" w:hAnsi="Arial"/>
          <w:sz w:val="16"/>
          <w:szCs w:val="16"/>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1" w:name="page112"/>
    <w:bookmarkEnd w:id="111"/>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2.06 </w:t>
      </w:r>
      <w:r>
        <w:rPr>
          <w:rFonts w:ascii="Arial" w:cs="Arial" w:eastAsia="Arial" w:hAnsi="Arial"/>
          <w:sz w:val="16"/>
          <w:szCs w:val="16"/>
          <w:i w:val="1"/>
          <w:iCs w:val="1"/>
          <w:color w:val="auto"/>
        </w:rPr>
        <w:t>Certificate of Authentication</w:t>
      </w:r>
      <w:r>
        <w:rPr>
          <w:rFonts w:ascii="Arial" w:cs="Arial" w:eastAsia="Arial" w:hAnsi="Arial"/>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Denomination and Date of Securities; Payments of Interest</w:t>
      </w:r>
      <w:r>
        <w:rPr>
          <w:rFonts w:ascii="Arial" w:cs="Arial" w:eastAsia="Arial" w:hAnsi="Arial"/>
          <w:sz w:val="16"/>
          <w:szCs w:val="16"/>
          <w:color w:val="auto"/>
        </w:rPr>
        <w:t>. The Securities of each series shall be issuable in denominations established as contemplated by Section 2.03 or, if not so established, in denominations of $1,000 and any integral multiple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32"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2" w:name="page113"/>
    <w:bookmarkEnd w:id="112"/>
    <w:p>
      <w:pPr>
        <w:jc w:val="both"/>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Issuer shall not be required to exchange or register a transfer of (a) any Securities of any series for a period of 15 days immediately preceding the first mailing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13" w:name="page114"/>
    <w:bookmarkEnd w:id="11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59" w:lineRule="exact"/>
        <w:rPr>
          <w:sz w:val="20"/>
          <w:szCs w:val="20"/>
          <w:color w:val="auto"/>
        </w:rPr>
      </w:pPr>
    </w:p>
    <w:p>
      <w:pPr>
        <w:ind w:left="920" w:right="20" w:firstLine="421"/>
        <w:spacing w:after="0" w:line="332" w:lineRule="auto"/>
        <w:tabs>
          <w:tab w:leader="none" w:pos="15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4" w:lineRule="exact"/>
        <w:rPr>
          <w:rFonts w:ascii="Arial" w:cs="Arial" w:eastAsia="Arial" w:hAnsi="Arial"/>
          <w:sz w:val="16"/>
          <w:szCs w:val="16"/>
          <w:color w:val="auto"/>
        </w:rPr>
      </w:pPr>
    </w:p>
    <w:p>
      <w:pPr>
        <w:ind w:left="920" w:right="840" w:firstLine="421"/>
        <w:spacing w:after="0" w:line="332" w:lineRule="auto"/>
        <w:tabs>
          <w:tab w:leader="none" w:pos="159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14" w:name="page115"/>
    <w:bookmarkEnd w:id="114"/>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2.09 </w:t>
      </w:r>
      <w:r>
        <w:rPr>
          <w:rFonts w:ascii="Arial" w:cs="Arial" w:eastAsia="Arial" w:hAnsi="Arial"/>
          <w:sz w:val="16"/>
          <w:szCs w:val="16"/>
          <w:i w:val="1"/>
          <w:iCs w:val="1"/>
          <w:color w:val="auto"/>
        </w:rPr>
        <w:t>Mutilated, Defaced, Destroyed, Lost and Stolen Securities.</w:t>
      </w:r>
      <w:r>
        <w:rPr>
          <w:rFonts w:ascii="Arial" w:cs="Arial" w:eastAsia="Arial" w:hAnsi="Arial"/>
          <w:sz w:val="16"/>
          <w:szCs w:val="16"/>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18"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Cancellation of Securities; Destruction Thereof.</w:t>
      </w:r>
      <w:r>
        <w:rPr>
          <w:rFonts w:ascii="Arial" w:cs="Arial" w:eastAsia="Arial" w:hAnsi="Arial"/>
          <w:sz w:val="16"/>
          <w:szCs w:val="16"/>
          <w:color w:val="auto"/>
        </w:rPr>
        <w:t xml:space="preserve"> All Securities surrendered for exchange for Securities of the same series or for payment, redemption, registration of transfer, conversion or for credit against any payment in respect of a sinking or analogous fund, if surrendered to the Issuer or any agent of the Issuer or the Trustee, shall be delivered to the Trustee for cancellation or, if surrendered to the Trustee, shall be cancelled by 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15" w:name="page116"/>
    <w:bookmarkEnd w:id="115"/>
    <w:p>
      <w:pPr>
        <w:jc w:val="both"/>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THE ISSUER</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Payment of Principal and Interest.</w:t>
      </w:r>
      <w:r>
        <w:rPr>
          <w:rFonts w:ascii="Arial" w:cs="Arial" w:eastAsia="Arial" w:hAnsi="Arial"/>
          <w:sz w:val="16"/>
          <w:szCs w:val="16"/>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r>
        <w:rPr>
          <w:rFonts w:ascii="Arial" w:cs="Arial" w:eastAsia="Arial" w:hAnsi="Arial"/>
          <w:sz w:val="18"/>
          <w:szCs w:val="18"/>
          <w:color w:val="auto"/>
        </w:rPr>
        <w:t xml:space="preserve"> The Issuer will maintain (i) in , an 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16" w:name="page117"/>
    <w:bookmarkEnd w:id="116"/>
    <w:p>
      <w:pPr>
        <w:ind w:right="200" w:firstLine="456"/>
        <w:spacing w:after="0" w:line="268" w:lineRule="auto"/>
        <w:rPr>
          <w:sz w:val="20"/>
          <w:szCs w:val="20"/>
          <w:color w:val="auto"/>
        </w:rPr>
      </w:pPr>
      <w:r>
        <w:rPr>
          <w:rFonts w:ascii="Arial" w:cs="Arial" w:eastAsia="Arial" w:hAnsi="Arial"/>
          <w:sz w:val="18"/>
          <w:szCs w:val="18"/>
          <w:color w:val="auto"/>
        </w:rPr>
        <w:t>The Issuer will maintain in Indenture may be served.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an agency where notices and demands to or upon the Issuer in respect of the Securities of any series 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-198120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2560" w:space="720"/>
            <w:col w:w="8120"/>
          </w:cols>
          <w:pgMar w:left="240" w:top="280" w:right="259" w:bottom="1440" w:gutter="0" w:footer="0" w:header="0"/>
        </w:sectPr>
      </w:pPr>
    </w:p>
    <w:p>
      <w:pPr>
        <w:ind w:left="460"/>
        <w:spacing w:after="0"/>
        <w:rPr>
          <w:sz w:val="20"/>
          <w:szCs w:val="20"/>
          <w:color w:val="auto"/>
        </w:rPr>
      </w:pPr>
      <w:r>
        <w:rPr>
          <w:rFonts w:ascii="Arial" w:cs="Arial" w:eastAsia="Arial" w:hAnsi="Arial"/>
          <w:sz w:val="16"/>
          <w:szCs w:val="16"/>
          <w:color w:val="auto"/>
        </w:rPr>
        <w:t>The Issuer will give to the Trustee written notice of the location of each such agency and of any change of location thereof. In case the Issuer shall fail to</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maintain any agency required by this Section to be located in , or shall fail to give such notice of the location or of any change in the location of any of the above agencies, presentations and demands may be made and notices may be served at the Corporate Trust Office of the Trustee.</w:t>
      </w:r>
    </w:p>
    <w:p>
      <w:pPr>
        <w:spacing w:after="0" w:line="9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44" w:lineRule="exact"/>
        <w:rPr>
          <w:sz w:val="20"/>
          <w:szCs w:val="20"/>
          <w:color w:val="auto"/>
        </w:rPr>
      </w:pPr>
    </w:p>
    <w:p>
      <w:pPr>
        <w:jc w:val="both"/>
        <w:ind w:right="380" w:firstLine="456"/>
        <w:spacing w:after="0" w:line="33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Appointment to Fill a Vacancy in Office of Trustee.</w:t>
      </w:r>
      <w:r>
        <w:rPr>
          <w:rFonts w:ascii="Arial" w:cs="Arial" w:eastAsia="Arial" w:hAnsi="Arial"/>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85"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40" w:lineRule="exact"/>
        <w:rPr>
          <w:sz w:val="20"/>
          <w:szCs w:val="20"/>
          <w:color w:val="auto"/>
        </w:rPr>
      </w:pPr>
    </w:p>
    <w:p>
      <w:pPr>
        <w:ind w:right="100" w:firstLine="921"/>
        <w:spacing w:after="0" w:line="259"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40"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31" w:lineRule="exact"/>
        <w:rPr>
          <w:rFonts w:ascii="Arial" w:cs="Arial" w:eastAsia="Arial" w:hAnsi="Arial"/>
          <w:sz w:val="18"/>
          <w:szCs w:val="18"/>
          <w:color w:val="auto"/>
        </w:rPr>
      </w:pPr>
    </w:p>
    <w:p>
      <w:pPr>
        <w:ind w:right="20" w:firstLine="921"/>
        <w:spacing w:after="0" w:line="268"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type w:val="continuous"/>
        </w:sectPr>
      </w:pPr>
    </w:p>
    <w:bookmarkStart w:id="117" w:name="page118"/>
    <w:bookmarkEnd w:id="117"/>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0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Written Statement to Trustee.</w:t>
      </w:r>
      <w:r>
        <w:rPr>
          <w:rFonts w:ascii="Arial" w:cs="Arial" w:eastAsia="Arial" w:hAnsi="Arial"/>
          <w:sz w:val="16"/>
          <w:szCs w:val="16"/>
          <w:color w:val="auto"/>
        </w:rPr>
        <w:t xml:space="preserve"> So long as any Securities are Outstanding hereunder, the Issuer will deliver to the Trustee, within 120 days after the end of each fiscal year of the Issuer ending after the date hereof, a written statement covering the previous fiscal year, signed by two of its officers (which need not comply with Section 11.05), stating that in the course of the performance of their duties as officers of the Issuer they would normally have knowledge of any default by the Issuer in the performance or fulfillment of any covenant, agreement or condition contained in this Indenture, stating whether or not they have knowledge of any such default and, if so, specifying each such default of which the signers have knowledge and the nature thereof.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SECURITYHOLDERS LISTS AND REPORTS BY THE ISSUER AND THE TRUSTEE</w:t>
      </w:r>
    </w:p>
    <w:p>
      <w:pPr>
        <w:spacing w:after="0" w:line="16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140" w:lineRule="exact"/>
        <w:rPr>
          <w:sz w:val="20"/>
          <w:szCs w:val="20"/>
          <w:color w:val="auto"/>
        </w:rPr>
      </w:pPr>
    </w:p>
    <w:p>
      <w:pPr>
        <w:ind w:right="40" w:firstLine="921"/>
        <w:spacing w:after="0" w:line="268" w:lineRule="auto"/>
        <w:tabs>
          <w:tab w:leader="none" w:pos="11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31"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and so long as the Trustee shall be the Security registrar (the </w:t>
      </w:r>
      <w:r>
        <w:rPr>
          <w:rFonts w:ascii="Arial" w:cs="Arial" w:eastAsia="Arial" w:hAnsi="Arial"/>
          <w:sz w:val="18"/>
          <w:szCs w:val="18"/>
          <w:b w:val="1"/>
          <w:bCs w:val="1"/>
          <w:color w:val="auto"/>
        </w:rPr>
        <w:t>“Security Registrar”</w:t>
      </w:r>
      <w:r>
        <w:rPr>
          <w:rFonts w:ascii="Arial" w:cs="Arial" w:eastAsia="Arial" w:hAnsi="Arial"/>
          <w:sz w:val="18"/>
          <w:szCs w:val="18"/>
          <w:color w:val="auto"/>
        </w:rPr>
        <w:t>) for such series, such list shall not be required to be furnished.</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 comply with Section 314(a) of the Trust Indenture Act insofar as it relates to information, documentations, and other reports which the Issuer may be required to file with the Commission pursuant to Section 13 or Section 15(d) of the Securities Exchange Act of 1934.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18" w:name="page119"/>
    <w:bookmarkEnd w:id="118"/>
    <w:p>
      <w:pPr>
        <w:ind w:left="580" w:hanging="113"/>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4.03 </w:t>
      </w:r>
      <w:r>
        <w:rPr>
          <w:rFonts w:ascii="Arial" w:cs="Arial" w:eastAsia="Arial" w:hAnsi="Arial"/>
          <w:sz w:val="15"/>
          <w:szCs w:val="15"/>
          <w:i w:val="1"/>
          <w:iCs w:val="1"/>
          <w:color w:val="auto"/>
        </w:rPr>
        <w:t>Reports by the Trustee.</w:t>
      </w:r>
      <w:r>
        <w:rPr>
          <w:rFonts w:ascii="Arial" w:cs="Arial" w:eastAsia="Arial" w:hAnsi="Arial"/>
          <w:sz w:val="15"/>
          <w:szCs w:val="15"/>
          <w:color w:val="auto"/>
        </w:rPr>
        <w:t xml:space="preserve"> Any Trustee’s report required under Section 313(a) of the Trust Indenture Act of 1939 shall be transmitted on or before in each year following the date hereof, so long as any Securities are Outstanding hereunder, and shall be dated as of a date convenient to the Trustee but</w:t>
      </w:r>
    </w:p>
    <w:p>
      <w:pPr>
        <w:spacing w:after="0"/>
        <w:rPr>
          <w:sz w:val="20"/>
          <w:szCs w:val="20"/>
          <w:color w:val="auto"/>
        </w:rPr>
      </w:pPr>
      <w:r>
        <w:rPr>
          <w:rFonts w:ascii="Arial" w:cs="Arial" w:eastAsia="Arial" w:hAnsi="Arial"/>
          <w:sz w:val="16"/>
          <w:szCs w:val="16"/>
          <w:color w:val="auto"/>
        </w:rPr>
        <w:t>no more than 60 nor less than 45 days prior thereto. The Trustee shall comply with Sections 313(b), 313(c) and 313(d) of the Trust Indenture Act.</w:t>
      </w:r>
    </w:p>
    <w:p>
      <w:pPr>
        <w:spacing w:after="0" w:line="18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Preservation of Information; Communication with Securityholders.</w:t>
      </w:r>
      <w:r>
        <w:rPr>
          <w:rFonts w:ascii="Arial" w:cs="Arial" w:eastAsia="Arial" w:hAnsi="Arial"/>
          <w:sz w:val="16"/>
          <w:szCs w:val="16"/>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107" w:lineRule="exact"/>
        <w:rPr>
          <w:sz w:val="20"/>
          <w:szCs w:val="20"/>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4.01 upon receipt of a new list so furnished.</w:t>
      </w:r>
    </w:p>
    <w:p>
      <w:pPr>
        <w:spacing w:after="0" w:line="171" w:lineRule="exact"/>
        <w:rPr>
          <w:rFonts w:ascii="Arial" w:cs="Arial" w:eastAsia="Arial" w:hAnsi="Arial"/>
          <w:sz w:val="18"/>
          <w:szCs w:val="18"/>
          <w:color w:val="auto"/>
        </w:rPr>
      </w:pPr>
    </w:p>
    <w:p>
      <w:pPr>
        <w:jc w:val="both"/>
        <w:ind w:right="40" w:firstLine="464"/>
        <w:spacing w:after="0" w:line="259"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 The Issuer, the Trustee, the Security Registrar and any other Person shall have the protection of Section 312(c) of the Trust Indenture Act.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EVENT OF DEFAULT</w:t>
      </w:r>
    </w:p>
    <w:p>
      <w:pPr>
        <w:spacing w:after="0" w:line="159" w:lineRule="exact"/>
        <w:rPr>
          <w:sz w:val="20"/>
          <w:szCs w:val="20"/>
          <w:color w:val="auto"/>
        </w:rPr>
      </w:pPr>
    </w:p>
    <w:p>
      <w:pPr>
        <w:jc w:val="both"/>
        <w:ind w:right="140" w:firstLine="456"/>
        <w:spacing w:after="0" w:line="25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42" w:lineRule="exact"/>
        <w:rPr>
          <w:sz w:val="20"/>
          <w:szCs w:val="20"/>
          <w:color w:val="auto"/>
        </w:rPr>
      </w:pPr>
    </w:p>
    <w:p>
      <w:pPr>
        <w:ind w:right="180" w:firstLine="921"/>
        <w:spacing w:after="0" w:line="259"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90 days (or such other period as may be established for the Securities of such series as contemplated by Section 2.03); or</w:t>
      </w:r>
    </w:p>
    <w:p>
      <w:pPr>
        <w:spacing w:after="0" w:line="140"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40" w:lineRule="exact"/>
        <w:rPr>
          <w:rFonts w:ascii="Arial" w:cs="Arial" w:eastAsia="Arial" w:hAnsi="Arial"/>
          <w:sz w:val="18"/>
          <w:szCs w:val="18"/>
          <w:color w:val="auto"/>
        </w:rPr>
      </w:pPr>
    </w:p>
    <w:p>
      <w:pPr>
        <w:ind w:right="60" w:firstLine="921"/>
        <w:spacing w:after="0" w:line="332" w:lineRule="auto"/>
        <w:tabs>
          <w:tab w:leader="none" w:pos="11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19" w:name="page120"/>
    <w:bookmarkEnd w:id="119"/>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hereunder; or</w:t>
      </w:r>
    </w:p>
    <w:p>
      <w:pPr>
        <w:spacing w:after="0" w:line="107" w:lineRule="exact"/>
        <w:rPr>
          <w:sz w:val="20"/>
          <w:szCs w:val="20"/>
          <w:color w:val="auto"/>
        </w:rPr>
      </w:pPr>
    </w:p>
    <w:p>
      <w:pPr>
        <w:ind w:right="160" w:firstLine="921"/>
        <w:spacing w:after="0" w:line="256" w:lineRule="auto"/>
        <w:tabs>
          <w:tab w:leader="none" w:pos="11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143" w:lineRule="exact"/>
        <w:rPr>
          <w:rFonts w:ascii="Arial" w:cs="Arial" w:eastAsia="Arial" w:hAnsi="Arial"/>
          <w:sz w:val="18"/>
          <w:szCs w:val="18"/>
          <w:color w:val="auto"/>
        </w:rPr>
      </w:pPr>
    </w:p>
    <w:p>
      <w:pPr>
        <w:ind w:right="200" w:firstLine="921"/>
        <w:spacing w:after="0" w:line="256"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43" w:lineRule="exact"/>
        <w:rPr>
          <w:rFonts w:ascii="Arial" w:cs="Arial" w:eastAsia="Arial" w:hAnsi="Arial"/>
          <w:sz w:val="18"/>
          <w:szCs w:val="18"/>
          <w:color w:val="auto"/>
        </w:rPr>
      </w:pPr>
    </w:p>
    <w:p>
      <w:pPr>
        <w:ind w:left="1140" w:hanging="219"/>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171"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become immediately due and payable.</w:t>
      </w:r>
    </w:p>
    <w:p>
      <w:pPr>
        <w:spacing w:after="0" w:line="10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20" w:name="page121"/>
    <w:bookmarkEnd w:id="12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by acceleration, shall have been cured, waived or otherwise remedied as provided herein—then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Collection of Debt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21" w:name="page122"/>
    <w:bookmarkEnd w:id="121"/>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37" w:lineRule="exact"/>
        <w:rPr>
          <w:sz w:val="20"/>
          <w:szCs w:val="20"/>
          <w:color w:val="auto"/>
        </w:rPr>
      </w:pPr>
    </w:p>
    <w:p>
      <w:pPr>
        <w:ind w:left="920" w:firstLine="421"/>
        <w:spacing w:after="0" w:line="290" w:lineRule="auto"/>
        <w:tabs>
          <w:tab w:leader="none" w:pos="15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37" w:lineRule="exact"/>
        <w:rPr>
          <w:rFonts w:ascii="Arial" w:cs="Arial" w:eastAsia="Arial" w:hAnsi="Arial"/>
          <w:sz w:val="16"/>
          <w:szCs w:val="16"/>
          <w:color w:val="auto"/>
        </w:rPr>
      </w:pPr>
    </w:p>
    <w:p>
      <w:pPr>
        <w:ind w:left="920" w:right="160" w:firstLine="421"/>
        <w:spacing w:after="0" w:line="259" w:lineRule="auto"/>
        <w:tabs>
          <w:tab w:leader="none" w:pos="1598"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59" w:lineRule="exact"/>
        <w:rPr>
          <w:rFonts w:ascii="Arial" w:cs="Arial" w:eastAsia="Arial" w:hAnsi="Arial"/>
          <w:sz w:val="18"/>
          <w:szCs w:val="18"/>
          <w:color w:val="auto"/>
        </w:rPr>
      </w:pPr>
    </w:p>
    <w:p>
      <w:pPr>
        <w:ind w:left="920" w:firstLine="421"/>
        <w:spacing w:after="0" w:line="290" w:lineRule="auto"/>
        <w:tabs>
          <w:tab w:leader="none" w:pos="16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22" w:name="page123"/>
    <w:bookmarkEnd w:id="122"/>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Application of Proceeds.</w:t>
      </w:r>
      <w:r>
        <w:rPr>
          <w:rFonts w:ascii="Arial" w:cs="Arial" w:eastAsia="Arial" w:hAnsi="Arial"/>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171"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23" w:name="page124"/>
    <w:bookmarkEnd w:id="1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Section 5.05 </w:t>
      </w:r>
      <w:r>
        <w:rPr>
          <w:rFonts w:ascii="Arial" w:cs="Arial" w:eastAsia="Arial" w:hAnsi="Arial"/>
          <w:sz w:val="15"/>
          <w:szCs w:val="15"/>
          <w:i w:val="1"/>
          <w:iCs w:val="1"/>
          <w:color w:val="auto"/>
        </w:rPr>
        <w:t>Restoration of Rights on Abandonment of Proceedings</w:t>
      </w:r>
      <w:r>
        <w:rPr>
          <w:rFonts w:ascii="Arial" w:cs="Arial" w:eastAsia="Arial" w:hAnsi="Arial"/>
          <w:sz w:val="15"/>
          <w:szCs w:val="15"/>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9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24" w:name="page125"/>
    <w:bookmarkEnd w:id="124"/>
    <w:p>
      <w:pPr>
        <w:ind w:firstLine="456"/>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5.07 </w:t>
      </w:r>
      <w:r>
        <w:rPr>
          <w:rFonts w:ascii="Arial" w:cs="Arial" w:eastAsia="Arial" w:hAnsi="Arial"/>
          <w:sz w:val="15"/>
          <w:szCs w:val="15"/>
          <w:i w:val="1"/>
          <w:iCs w:val="1"/>
          <w:color w:val="auto"/>
        </w:rPr>
        <w:t>Unconditional Right of Securityholders to Institute Certain Suits</w:t>
      </w:r>
      <w:r>
        <w:rPr>
          <w:rFonts w:ascii="Arial" w:cs="Arial" w:eastAsia="Arial" w:hAnsi="Arial"/>
          <w:sz w:val="15"/>
          <w:szCs w:val="15"/>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or for the enforcement of such conversion right, shall not be impaired or affected without the consent of such Holder,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0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Control by Holders of Securities</w:t>
      </w:r>
      <w:r>
        <w:rPr>
          <w:rFonts w:ascii="Arial" w:cs="Arial" w:eastAsia="Arial" w:hAnsi="Arial"/>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25" w:name="page126"/>
    <w:bookmarkEnd w:id="125"/>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Waiver of Past Defaults</w:t>
      </w:r>
      <w:r>
        <w:rPr>
          <w:rFonts w:ascii="Arial" w:cs="Arial" w:eastAsia="Arial" w:hAnsi="Arial"/>
          <w:sz w:val="16"/>
          <w:szCs w:val="16"/>
          <w:color w:val="auto"/>
        </w:rPr>
        <w:t>. Prior to the declaration of the acceleration of the maturity of the Securities of any series as provided in Section 5.01, the Holders of a majority in aggregate principal amount of the Securities of such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 default in the payment of the principal of, or interest on, any of the Securities of that series as and when the same shall become due by the terms of such Securities.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Trustee to Give Notice of Default</w:t>
      </w:r>
      <w:r>
        <w:rPr>
          <w:rFonts w:ascii="Arial" w:cs="Arial" w:eastAsia="Arial" w:hAnsi="Arial"/>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 4.03, unless in each case such defaults shall have been cured before the mailing or publication of such notice (the term “</w:t>
      </w:r>
      <w:r>
        <w:rPr>
          <w:rFonts w:ascii="Arial" w:cs="Arial" w:eastAsia="Arial" w:hAnsi="Arial"/>
          <w:sz w:val="16"/>
          <w:szCs w:val="16"/>
          <w:b w:val="1"/>
          <w:bCs w:val="1"/>
          <w:color w:val="auto"/>
        </w:rPr>
        <w:t>defaults</w:t>
      </w:r>
      <w:r>
        <w:rPr>
          <w:rFonts w:ascii="Arial" w:cs="Arial" w:eastAsia="Arial" w:hAnsi="Arial"/>
          <w:sz w:val="16"/>
          <w:szCs w:val="16"/>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that, except in the case of default in the payment of the principal of or interest on any of the Securities of such series, or in the payment of any sinking</w:t>
      </w:r>
      <w:r>
        <w:rPr>
          <w:rFonts w:ascii="Arial" w:cs="Arial" w:eastAsia="Arial" w:hAnsi="Arial"/>
          <w:sz w:val="16"/>
          <w:szCs w:val="16"/>
          <w:i w:val="1"/>
          <w:iCs w:val="1"/>
          <w:color w:val="auto"/>
        </w:rPr>
        <w:t xml:space="preserve"> </w:t>
      </w:r>
      <w:r>
        <w:rPr>
          <w:rFonts w:ascii="Arial" w:cs="Arial" w:eastAsia="Arial" w:hAnsi="Arial"/>
          <w:sz w:val="16"/>
          <w:szCs w:val="16"/>
          <w:color w:val="auto"/>
        </w:rPr>
        <w:t>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Right of Court to Require Filing of Undertaking to Pay Costs</w:t>
      </w:r>
      <w:r>
        <w:rPr>
          <w:rFonts w:ascii="Arial" w:cs="Arial" w:eastAsia="Arial" w:hAnsi="Arial"/>
          <w:sz w:val="18"/>
          <w:szCs w:val="18"/>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26" w:name="page127"/>
    <w:bookmarkEnd w:id="126"/>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CONCERNING THE TRUSTEE</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Certain Rights of the Trustee.</w:t>
      </w:r>
      <w:r>
        <w:rPr>
          <w:rFonts w:ascii="Arial" w:cs="Arial" w:eastAsia="Arial" w:hAnsi="Arial"/>
          <w:sz w:val="18"/>
          <w:szCs w:val="18"/>
          <w:color w:val="auto"/>
        </w:rPr>
        <w:t xml:space="preserve"> In furtherance of and subject to the Trust Indenture Act of 1939 and subject to Section 6.01:</w:t>
      </w:r>
    </w:p>
    <w:p>
      <w:pPr>
        <w:spacing w:after="0" w:line="171" w:lineRule="exact"/>
        <w:rPr>
          <w:sz w:val="20"/>
          <w:szCs w:val="20"/>
          <w:color w:val="auto"/>
        </w:rPr>
      </w:pPr>
    </w:p>
    <w:p>
      <w:pPr>
        <w:jc w:val="both"/>
        <w:ind w:firstLine="921"/>
        <w:spacing w:after="0" w:line="298" w:lineRule="auto"/>
        <w:tabs>
          <w:tab w:leader="none" w:pos="11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12" w:lineRule="exact"/>
        <w:rPr>
          <w:rFonts w:ascii="Arial" w:cs="Arial" w:eastAsia="Arial" w:hAnsi="Arial"/>
          <w:sz w:val="16"/>
          <w:szCs w:val="16"/>
          <w:color w:val="auto"/>
        </w:rPr>
      </w:pPr>
    </w:p>
    <w:p>
      <w:pPr>
        <w:ind w:right="400" w:firstLine="921"/>
        <w:spacing w:after="0" w:line="26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31" w:lineRule="exact"/>
        <w:rPr>
          <w:rFonts w:ascii="Arial" w:cs="Arial" w:eastAsia="Arial" w:hAnsi="Arial"/>
          <w:sz w:val="18"/>
          <w:szCs w:val="18"/>
          <w:color w:val="auto"/>
        </w:rPr>
      </w:pPr>
    </w:p>
    <w:p>
      <w:pPr>
        <w:ind w:right="140" w:firstLine="921"/>
        <w:spacing w:after="0" w:line="259"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40"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127" w:name="page128"/>
    <w:bookmarkEnd w:id="127"/>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of its duties or in the exercise of any of its rights or powers if there shall be reasonable ground for believing that the repayment of such funds or adequate indemnity against such liability is not reasonably assured to it;</w:t>
      </w:r>
    </w:p>
    <w:p>
      <w:pPr>
        <w:spacing w:after="0" w:line="132" w:lineRule="exact"/>
        <w:rPr>
          <w:sz w:val="20"/>
          <w:szCs w:val="20"/>
          <w:color w:val="auto"/>
        </w:rPr>
      </w:pPr>
    </w:p>
    <w:p>
      <w:pPr>
        <w:ind w:right="40" w:firstLine="921"/>
        <w:spacing w:after="0" w:line="259" w:lineRule="auto"/>
        <w:tabs>
          <w:tab w:leader="none" w:pos="11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40" w:lineRule="exact"/>
        <w:rPr>
          <w:rFonts w:ascii="Arial" w:cs="Arial" w:eastAsia="Arial" w:hAnsi="Arial"/>
          <w:sz w:val="18"/>
          <w:szCs w:val="18"/>
          <w:color w:val="auto"/>
        </w:rPr>
      </w:pPr>
    </w:p>
    <w:p>
      <w:pPr>
        <w:jc w:val="both"/>
        <w:ind w:right="280" w:firstLine="921"/>
        <w:spacing w:after="0" w:line="259" w:lineRule="auto"/>
        <w:tabs>
          <w:tab w:leader="none" w:pos="11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40" w:lineRule="exact"/>
        <w:rPr>
          <w:rFonts w:ascii="Arial" w:cs="Arial" w:eastAsia="Arial" w:hAnsi="Arial"/>
          <w:sz w:val="18"/>
          <w:szCs w:val="18"/>
          <w:color w:val="auto"/>
        </w:rPr>
      </w:pPr>
    </w:p>
    <w:p>
      <w:pPr>
        <w:ind w:right="80" w:firstLine="921"/>
        <w:spacing w:after="0" w:line="332" w:lineRule="auto"/>
        <w:tabs>
          <w:tab w:leader="none" w:pos="116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85" w:lineRule="exact"/>
        <w:rPr>
          <w:rFonts w:ascii="Arial" w:cs="Arial" w:eastAsia="Arial" w:hAnsi="Arial"/>
          <w:sz w:val="16"/>
          <w:szCs w:val="16"/>
          <w:color w:val="auto"/>
        </w:rPr>
      </w:pPr>
    </w:p>
    <w:p>
      <w:pPr>
        <w:ind w:right="180" w:firstLine="921"/>
        <w:spacing w:after="0" w:line="259"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140" w:lineRule="exact"/>
        <w:rPr>
          <w:rFonts w:ascii="Arial" w:cs="Arial" w:eastAsia="Arial" w:hAnsi="Arial"/>
          <w:sz w:val="18"/>
          <w:szCs w:val="18"/>
          <w:color w:val="auto"/>
        </w:rPr>
      </w:pPr>
    </w:p>
    <w:p>
      <w:pPr>
        <w:ind w:right="20" w:firstLine="921"/>
        <w:spacing w:after="0" w:line="268" w:lineRule="auto"/>
        <w:tabs>
          <w:tab w:leader="none" w:pos="112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31" w:lineRule="exact"/>
        <w:rPr>
          <w:rFonts w:ascii="Arial" w:cs="Arial" w:eastAsia="Arial" w:hAnsi="Arial"/>
          <w:sz w:val="18"/>
          <w:szCs w:val="18"/>
          <w:color w:val="auto"/>
        </w:rPr>
      </w:pPr>
    </w:p>
    <w:p>
      <w:pPr>
        <w:ind w:firstLine="921"/>
        <w:spacing w:after="0" w:line="289" w:lineRule="auto"/>
        <w:tabs>
          <w:tab w:leader="none" w:pos="1123"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18" w:lineRule="exact"/>
        <w:rPr>
          <w:rFonts w:ascii="Arial" w:cs="Arial" w:eastAsia="Arial" w:hAnsi="Arial"/>
          <w:sz w:val="16"/>
          <w:szCs w:val="16"/>
          <w:color w:val="auto"/>
        </w:rPr>
      </w:pPr>
    </w:p>
    <w:p>
      <w:pPr>
        <w:ind w:firstLine="921"/>
        <w:spacing w:after="0" w:line="259"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128" w:name="page129"/>
    <w:bookmarkEnd w:id="128"/>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Trustee and Agents May Hold Securities; Collections, Etc.</w:t>
      </w:r>
      <w:r>
        <w:rPr>
          <w:rFonts w:ascii="Arial" w:cs="Arial" w:eastAsia="Arial" w:hAnsi="Arial"/>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i w:val="1"/>
          <w:iCs w:val="1"/>
          <w:color w:val="auto"/>
        </w:rPr>
        <w:t>Compensation and Indemnification of Trustee and Its Prior Claim.</w:t>
      </w:r>
      <w:r>
        <w:rPr>
          <w:rFonts w:ascii="Arial" w:cs="Arial" w:eastAsia="Arial" w:hAnsi="Arial"/>
          <w:sz w:val="15"/>
          <w:szCs w:val="15"/>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80" w:right="319" w:bottom="1440" w:gutter="0" w:footer="0" w:header="0"/>
        </w:sectPr>
      </w:pPr>
    </w:p>
    <w:bookmarkStart w:id="129" w:name="page130"/>
    <w:bookmarkEnd w:id="129"/>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4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Disqualification; Conflicting Interests.</w:t>
      </w:r>
      <w:r>
        <w:rPr>
          <w:rFonts w:ascii="Arial" w:cs="Arial" w:eastAsia="Arial" w:hAnsi="Arial"/>
          <w:sz w:val="16"/>
          <w:szCs w:val="16"/>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mailing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23" w:lineRule="exact"/>
        <w:rPr>
          <w:sz w:val="20"/>
          <w:szCs w:val="20"/>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4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30" w:name="page131"/>
    <w:bookmarkEnd w:id="130"/>
    <w:p>
      <w:pPr>
        <w:ind w:left="920" w:right="20" w:firstLine="421"/>
        <w:spacing w:after="0" w:line="268" w:lineRule="auto"/>
        <w:tabs>
          <w:tab w:leader="none" w:pos="1598"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cease to be eligible in accordance with the provisions of Section 310(a) of the Trust Indenture Act of 1939 and shall fail to resign after written request therefor by the Issuer or by any Securityholder; or</w:t>
      </w:r>
    </w:p>
    <w:p>
      <w:pPr>
        <w:spacing w:after="0" w:line="50" w:lineRule="exact"/>
        <w:rPr>
          <w:rFonts w:ascii="Arial" w:cs="Arial" w:eastAsia="Arial" w:hAnsi="Arial"/>
          <w:sz w:val="18"/>
          <w:szCs w:val="18"/>
          <w:color w:val="auto"/>
        </w:rPr>
      </w:pPr>
    </w:p>
    <w:p>
      <w:pPr>
        <w:ind w:left="920" w:right="380" w:firstLine="421"/>
        <w:spacing w:after="0" w:line="259" w:lineRule="auto"/>
        <w:tabs>
          <w:tab w:leader="none" w:pos="16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himself or herself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20" w:lineRule="exact"/>
        <w:rPr>
          <w:sz w:val="20"/>
          <w:szCs w:val="20"/>
          <w:color w:val="auto"/>
        </w:rPr>
      </w:pPr>
    </w:p>
    <w:p>
      <w:pPr>
        <w:jc w:val="both"/>
        <w:ind w:right="140" w:firstLine="921"/>
        <w:spacing w:after="0" w:line="256" w:lineRule="auto"/>
        <w:tabs>
          <w:tab w:leader="none" w:pos="11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43" w:lineRule="exact"/>
        <w:rPr>
          <w:rFonts w:ascii="Arial" w:cs="Arial" w:eastAsia="Arial" w:hAnsi="Arial"/>
          <w:sz w:val="18"/>
          <w:szCs w:val="18"/>
          <w:color w:val="auto"/>
        </w:rPr>
      </w:pPr>
    </w:p>
    <w:p>
      <w:pPr>
        <w:ind w:right="60" w:firstLine="921"/>
        <w:spacing w:after="0" w:line="370" w:lineRule="auto"/>
        <w:tabs>
          <w:tab w:leader="none" w:pos="1162"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31" w:name="page132"/>
    <w:bookmarkEnd w:id="13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acceptance of appointment by any successor trustee as provided in this Section 6.11, the Issuer shall mail notice thereof to the Holders of Securities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each series affected, by mailing such notice to such Holders at their addresses as they shall appear on the Security register. If the acceptance of appointment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substantially contemporaneous with the resignation, then the notice called for by the preceding sentence may be combined with the notice called for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6.10. If the Issuer fails to mail such notice within ten days after acceptance of appointment by the successor trustee, the successor trustee shall cause such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notice to be given at the expense of the Issuer.</w:t>
      </w:r>
    </w:p>
    <w:p>
      <w:pPr>
        <w:spacing w:after="0" w:line="16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i w:val="1"/>
          <w:iCs w:val="1"/>
          <w:color w:val="auto"/>
        </w:rPr>
        <w:t>Merger, Conversion, Consolidation or Succession to Business of Trustee.</w:t>
      </w:r>
      <w:r>
        <w:rPr>
          <w:rFonts w:ascii="Arial" w:cs="Arial" w:eastAsia="Arial" w:hAnsi="Arial"/>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5"/>
          <w:szCs w:val="15"/>
          <w:i w:val="1"/>
          <w:iCs w:val="1"/>
          <w:color w:val="auto"/>
        </w:rPr>
        <w:t>provided</w:t>
      </w:r>
      <w:r>
        <w:rPr>
          <w:rFonts w:ascii="Arial" w:cs="Arial" w:eastAsia="Arial" w:hAnsi="Arial"/>
          <w:sz w:val="15"/>
          <w:szCs w:val="15"/>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0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32" w:name="page133"/>
    <w:bookmarkEnd w:id="132"/>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8"/>
          <w:szCs w:val="18"/>
          <w:i w:val="1"/>
          <w:iCs w:val="1"/>
          <w:color w:val="auto"/>
        </w:rPr>
        <w:t>provided</w:t>
      </w:r>
      <w:r>
        <w:rPr>
          <w:rFonts w:ascii="Arial" w:cs="Arial" w:eastAsia="Arial" w:hAnsi="Arial"/>
          <w:sz w:val="18"/>
          <w:szCs w:val="18"/>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SECURITYHOLDERS</w:t>
      </w:r>
    </w:p>
    <w:p>
      <w:pPr>
        <w:spacing w:after="0" w:line="165"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Evidence of Action Taken by Securityholders.</w:t>
      </w:r>
      <w:r>
        <w:rPr>
          <w:rFonts w:ascii="Arial" w:cs="Arial" w:eastAsia="Arial" w:hAnsi="Arial"/>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Proof of Execution of Instruments and of Holding of Securities.</w:t>
      </w:r>
      <w:r>
        <w:rPr>
          <w:rFonts w:ascii="Arial" w:cs="Arial" w:eastAsia="Arial" w:hAnsi="Arial"/>
          <w:sz w:val="16"/>
          <w:szCs w:val="16"/>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Holders to Be Treated as Owners.</w:t>
      </w:r>
      <w:r>
        <w:rPr>
          <w:rFonts w:ascii="Arial" w:cs="Arial" w:eastAsia="Arial" w:hAnsi="Arial"/>
          <w:sz w:val="18"/>
          <w:szCs w:val="18"/>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33" w:name="page134"/>
    <w:bookmarkEnd w:id="13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Securities Owned by Issuer Deemed Not Outstanding.</w:t>
      </w:r>
      <w:r>
        <w:rPr>
          <w:rFonts w:ascii="Arial" w:cs="Arial" w:eastAsia="Arial" w:hAnsi="Arial"/>
          <w:sz w:val="16"/>
          <w:szCs w:val="16"/>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Right of Revocation of Action Taken.</w:t>
      </w:r>
      <w:r>
        <w:rPr>
          <w:rFonts w:ascii="Arial" w:cs="Arial" w:eastAsia="Arial" w:hAnsi="Arial"/>
          <w:sz w:val="16"/>
          <w:szCs w:val="16"/>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INDENTURES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40" w:lineRule="exact"/>
        <w:rPr>
          <w:sz w:val="20"/>
          <w:szCs w:val="20"/>
          <w:color w:val="auto"/>
        </w:rPr>
      </w:pPr>
    </w:p>
    <w:p>
      <w:pPr>
        <w:jc w:val="center"/>
        <w:ind w:left="5560" w:right="780" w:hanging="4639"/>
        <w:spacing w:after="0" w:line="440"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convey, transfer, assign, mortgage or pledge to the Trustee as security for the Securities of one or more series any property or assets; -33-</w:t>
      </w:r>
    </w:p>
    <w:p>
      <w:pPr>
        <w:sectPr>
          <w:pgSz w:w="11900" w:h="16838" w:orient="portrait"/>
          <w:cols w:equalWidth="0" w:num="1">
            <w:col w:w="11400"/>
          </w:cols>
          <w:pgMar w:left="240" w:top="280" w:right="259" w:bottom="1440" w:gutter="0" w:footer="0" w:header="0"/>
        </w:sectPr>
      </w:pPr>
    </w:p>
    <w:bookmarkStart w:id="134" w:name="page135"/>
    <w:bookmarkEnd w:id="134"/>
    <w:p>
      <w:pPr>
        <w:ind w:right="540" w:firstLine="921"/>
        <w:spacing w:after="0" w:line="26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evidence the succession of a corporation, limited liability company, partnership or trust to the Issuer, or successive successions, and the assumption by such successor of the covenants, agreements and obligations of the Issuer pursuant to Article 9;</w:t>
      </w:r>
    </w:p>
    <w:p>
      <w:pPr>
        <w:spacing w:after="0" w:line="131" w:lineRule="exact"/>
        <w:rPr>
          <w:rFonts w:ascii="Arial" w:cs="Arial" w:eastAsia="Arial" w:hAnsi="Arial"/>
          <w:sz w:val="18"/>
          <w:szCs w:val="18"/>
          <w:color w:val="auto"/>
        </w:rPr>
      </w:pPr>
    </w:p>
    <w:p>
      <w:pPr>
        <w:ind w:firstLine="921"/>
        <w:spacing w:after="0" w:line="290" w:lineRule="auto"/>
        <w:tabs>
          <w:tab w:leader="none" w:pos="11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18" w:lineRule="exact"/>
        <w:rPr>
          <w:rFonts w:ascii="Arial" w:cs="Arial" w:eastAsia="Arial" w:hAnsi="Arial"/>
          <w:sz w:val="16"/>
          <w:szCs w:val="16"/>
          <w:color w:val="auto"/>
        </w:rPr>
      </w:pPr>
    </w:p>
    <w:p>
      <w:pPr>
        <w:ind w:right="60" w:firstLine="921"/>
        <w:spacing w:after="0" w:line="26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cure any ambiguity, defect or inconsistency, or to conform this Indenture or any supplemental indenture to the description of the Securities set forth in any prospectus or prospectus supplement related to such series of Securities;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provide for or add guarantors for the Securities of one or more series;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71"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40"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purposes of issue, authentication and delivery of any series of Securities, as herein set forth;</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 and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interests of the Holders of the Securities in any material respect.</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135" w:name="page136"/>
    <w:bookmarkEnd w:id="135"/>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thereunder, but the Trustee shall not be obligated to enter into any such supplemental indenture which affects the Trustee’s own rights, duties or immunities under this Indenture or otherwise.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Supplemental Indentures With Consent of Securityholders.</w:t>
      </w:r>
      <w:r>
        <w:rPr>
          <w:rFonts w:ascii="Arial" w:cs="Arial" w:eastAsia="Arial" w:hAnsi="Arial"/>
          <w:sz w:val="16"/>
          <w:szCs w:val="16"/>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6"/>
          <w:szCs w:val="16"/>
          <w:i w:val="1"/>
          <w:iCs w:val="1"/>
          <w:color w:val="auto"/>
        </w:rPr>
        <w:t>provided</w:t>
      </w:r>
      <w:r>
        <w:rPr>
          <w:rFonts w:ascii="Arial" w:cs="Arial" w:eastAsia="Arial" w:hAnsi="Arial"/>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waive a default in the payment of principal of any Security or interest thereon or change a provision related to the waiver of past defaults or changes or impair the right of any Securityholder to institute suit for the payment or conversion thereof or, if the Securities provide therefor, any right of repayment at the option of the Securityholder, or (b) modify any of the provisions of this section except to increase any required percentage or to provide that certain other provisions cannot be modified or waived without the consent of the Holder of each Security so affected, or (c)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 modified.</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36" w:name="page137"/>
    <w:bookmarkEnd w:id="13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a notice thereof to the Holders of then Outstanding Securities of each series affected thereby, by mailing a notice thereof by first-class mail to such Holders at their addresses as they shall appear on the Security register, and in each case such notice shall set forth in general terms the substance of such supplemental indenture. Any failure of the Trustee to mail such notice, or any defect therein, shall not, however, in any way impair or affect the validity of any such supplemental indenture.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i w:val="1"/>
          <w:iCs w:val="1"/>
          <w:color w:val="auto"/>
        </w:rPr>
        <w:t>Notation on Securities in Respect of Supplemental Indentures.</w:t>
      </w:r>
      <w:r>
        <w:rPr>
          <w:rFonts w:ascii="Arial" w:cs="Arial" w:eastAsia="Arial" w:hAnsi="Arial"/>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SALE OR CONVEYANCE</w:t>
      </w:r>
    </w:p>
    <w:p>
      <w:pPr>
        <w:spacing w:after="0" w:line="16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Issuer May Consolidate, Etc., on Certain Terms.</w:t>
      </w:r>
      <w:r>
        <w:rPr>
          <w:rFonts w:ascii="Arial" w:cs="Arial" w:eastAsia="Arial" w:hAnsi="Arial"/>
          <w:sz w:val="16"/>
          <w:szCs w:val="16"/>
          <w:color w:val="auto"/>
        </w:rPr>
        <w:t xml:space="preserve"> The Issuer shall not consolidate with or merge into any other Person (in a transaction in which the Issuer is not the surviving corporation) or convey, transfer or lease its properties and assets substantially as 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37" w:name="page138"/>
    <w:bookmarkEnd w:id="137"/>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w:t>
      </w:r>
    </w:p>
    <w:p>
      <w:pPr>
        <w:ind w:right="40" w:firstLine="8"/>
        <w:spacing w:after="0" w:line="286" w:lineRule="auto"/>
        <w:tabs>
          <w:tab w:leader="none" w:pos="2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of and interest on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and treating any indebtedness which becomes an obligation of the Issuer or any Subsidiary as a result of such transaction as having been incurred by the Issuer or such Subsidiary at the time of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2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conditions of (a)(ii) above shall not apply in the case of a corporation or entity not organized under the laws of the United States of America, any State thereof or the District of Columbia which shall agree, in form satisfactory to the Trustee, (i) to subject itself to the jurisdiction of the United States district court for the Southern District of New York and (ii) to indemnify and hold harmless the holders of all Securities against (A) any tax, assessment or governmental charge imposed on such holders by a jurisdiction other than the United States or any political subdivision or taxing authority thereof or therein with respect to, and withheld on the making of, any payment of principal or interest on such Securities and which would not have been so imposed and withheld had such consolidation, merger, sale or conveyance not been made and (B) any tax, assessment or governmental charge imposed on or relating to, and any costs or expenses involved in, such consolidation, merger, sale or conveyance.</w:t>
      </w:r>
    </w:p>
    <w:p>
      <w:pPr>
        <w:spacing w:after="0" w:line="118"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Nothing contained in this Article shall apply to, limit or impose any requirements upon the consolidation or merger of any Person into the Issuer where the Issuer is the survivor of such transaction, or the acquisition by the Issuer, by purchase or otherwise, of all or any part of the property of any other Person (whether or not affiliated with the Issuer).</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r>
        <w:rPr>
          <w:rFonts w:ascii="Arial" w:cs="Arial" w:eastAsia="Arial" w:hAnsi="Arial"/>
          <w:sz w:val="18"/>
          <w:szCs w:val="18"/>
          <w:color w:val="auto"/>
        </w:rPr>
        <w:t xml:space="preserve"> Upon any consolidation of the Issuer with, or merger of the Issuer into, any other Person or any conveyance, transfer or lease of the properties and assets of the Issuer substantially as an entirety in accordance with Section 9.01,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138" w:name="page139"/>
    <w:bookmarkEnd w:id="13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OF INDENTURE; DEFEASANCE;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UNCLAIMED MONEYS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 Defeasance.</w:t>
      </w:r>
      <w:r>
        <w:rPr>
          <w:rFonts w:ascii="Arial" w:cs="Arial" w:eastAsia="Arial" w:hAnsi="Arial"/>
          <w:sz w:val="18"/>
          <w:szCs w:val="18"/>
          <w:color w:val="auto"/>
        </w:rPr>
        <w:t xml:space="preserve"> (a) If at any time</w:t>
      </w:r>
    </w:p>
    <w:p>
      <w:pPr>
        <w:spacing w:after="0" w:line="90" w:lineRule="exact"/>
        <w:rPr>
          <w:sz w:val="20"/>
          <w:szCs w:val="20"/>
          <w:color w:val="auto"/>
        </w:rPr>
      </w:pPr>
    </w:p>
    <w:p>
      <w:pPr>
        <w:ind w:left="920" w:right="180" w:firstLine="421"/>
        <w:spacing w:after="0" w:line="259" w:lineRule="auto"/>
        <w:tabs>
          <w:tab w:leader="none" w:pos="15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59" w:lineRule="exact"/>
        <w:rPr>
          <w:rFonts w:ascii="Arial" w:cs="Arial" w:eastAsia="Arial" w:hAnsi="Arial"/>
          <w:sz w:val="18"/>
          <w:szCs w:val="18"/>
          <w:color w:val="auto"/>
        </w:rPr>
      </w:pPr>
    </w:p>
    <w:p>
      <w:pPr>
        <w:ind w:left="920" w:firstLine="421"/>
        <w:spacing w:after="0" w:line="332" w:lineRule="auto"/>
        <w:tabs>
          <w:tab w:leader="none" w:pos="159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4" w:lineRule="exact"/>
        <w:rPr>
          <w:rFonts w:ascii="Arial" w:cs="Arial" w:eastAsia="Arial" w:hAnsi="Arial"/>
          <w:sz w:val="16"/>
          <w:szCs w:val="16"/>
          <w:color w:val="auto"/>
        </w:rPr>
      </w:pPr>
    </w:p>
    <w:p>
      <w:pPr>
        <w:ind w:left="920" w:right="220" w:firstLine="421"/>
        <w:spacing w:after="0" w:line="332" w:lineRule="auto"/>
        <w:tabs>
          <w:tab w:leader="none" w:pos="16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case of any series of Securities the exact amount (including the currency of payment) of principal of and interest due on which on the dates referred to in clause (B) below can be determined at the time of making the deposit referred to in such clause,</w:t>
      </w:r>
    </w:p>
    <w:p>
      <w:pPr>
        <w:spacing w:after="0" w:line="4" w:lineRule="exact"/>
        <w:rPr>
          <w:rFonts w:ascii="Arial" w:cs="Arial" w:eastAsia="Arial" w:hAnsi="Arial"/>
          <w:sz w:val="16"/>
          <w:szCs w:val="16"/>
          <w:color w:val="auto"/>
        </w:rPr>
      </w:pPr>
    </w:p>
    <w:p>
      <w:pPr>
        <w:ind w:left="1500" w:right="20" w:firstLine="389"/>
        <w:spacing w:after="0" w:line="259" w:lineRule="auto"/>
        <w:tabs>
          <w:tab w:leader="none" w:pos="218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w:t>
      </w:r>
    </w:p>
    <w:p>
      <w:pPr>
        <w:spacing w:after="0" w:line="59" w:lineRule="exact"/>
        <w:rPr>
          <w:rFonts w:ascii="Arial" w:cs="Arial" w:eastAsia="Arial" w:hAnsi="Arial"/>
          <w:sz w:val="18"/>
          <w:szCs w:val="18"/>
          <w:color w:val="auto"/>
        </w:rPr>
      </w:pPr>
    </w:p>
    <w:p>
      <w:pPr>
        <w:ind w:left="1500" w:firstLine="389"/>
        <w:spacing w:after="0" w:line="294" w:lineRule="auto"/>
        <w:tabs>
          <w:tab w:leader="none" w:pos="2175"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Issuer shall have irrevocably deposited or caused to be deposited with the Trustee as trust funds the entire amount in cash (other than moneys repaid by the Trustee or any paying agent to the Issuer in accordance with Section 10.04) or, in the case of any series of Securities the payments on which may only be made in Dollars, U.S. Government Obligations maturing as to principal and interest in such amounts and at such times as will insure the availability of cash sufficient to pay on any subsequent interest payment date all interest due on such interest payment date on the Securities of such series and to pay at maturity or upon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39" w:name="page140"/>
    <w:bookmarkEnd w:id="139"/>
    <w:p>
      <w:pPr>
        <w:jc w:val="both"/>
        <w:ind w:left="150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and interest due or to become due to such date of maturity, as the case may be,</w:t>
      </w:r>
    </w:p>
    <w:p>
      <w:pPr>
        <w:spacing w:after="0" w:line="107"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and if, in any such case (i), (ii) or (iii),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w:t>
      </w:r>
    </w:p>
    <w:p>
      <w:pPr>
        <w:spacing w:after="0" w:line="1" w:lineRule="exact"/>
        <w:rPr>
          <w:sz w:val="20"/>
          <w:szCs w:val="20"/>
          <w:color w:val="auto"/>
        </w:rPr>
      </w:pPr>
    </w:p>
    <w:p>
      <w:pPr>
        <w:ind w:right="100" w:firstLine="8"/>
        <w:spacing w:after="0" w:line="287" w:lineRule="auto"/>
        <w:tabs>
          <w:tab w:leader="none" w:pos="249"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20" w:lineRule="exact"/>
        <w:rPr>
          <w:rFonts w:ascii="Arial" w:cs="Arial" w:eastAsia="Arial" w:hAnsi="Arial"/>
          <w:sz w:val="16"/>
          <w:szCs w:val="16"/>
          <w:color w:val="auto"/>
        </w:rPr>
      </w:pPr>
    </w:p>
    <w:p>
      <w:pPr>
        <w:ind w:firstLine="464"/>
        <w:spacing w:after="0" w:line="283" w:lineRule="auto"/>
        <w:tabs>
          <w:tab w:leader="none" w:pos="705"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above, the Issuer, at its option and at any time, by written notice by an officer delivered to the Trustee, may elect to have all of its obligations discharged with all Outstanding Securities of a series (“</w:t>
      </w:r>
      <w:r>
        <w:rPr>
          <w:rFonts w:ascii="Arial" w:cs="Arial" w:eastAsia="Arial" w:hAnsi="Arial"/>
          <w:sz w:val="16"/>
          <w:szCs w:val="16"/>
          <w:b w:val="1"/>
          <w:bCs w:val="1"/>
          <w:color w:val="auto"/>
        </w:rPr>
        <w:t>Legal Defeasance</w:t>
      </w:r>
      <w:r>
        <w:rPr>
          <w:rFonts w:ascii="Arial" w:cs="Arial" w:eastAsia="Arial" w:hAnsi="Arial"/>
          <w:sz w:val="16"/>
          <w:szCs w:val="16"/>
          <w:color w:val="auto"/>
        </w:rPr>
        <w:t>”), such discharge to be effective on the date that the conditions set forth in clauses (i) through (iv) and (vi) of</w:t>
      </w:r>
    </w:p>
    <w:p>
      <w:pPr>
        <w:spacing w:after="0" w:line="2" w:lineRule="exact"/>
        <w:rPr>
          <w:rFonts w:ascii="Arial" w:cs="Arial" w:eastAsia="Arial" w:hAnsi="Arial"/>
          <w:sz w:val="16"/>
          <w:szCs w:val="16"/>
          <w:color w:val="auto"/>
        </w:rPr>
      </w:pPr>
    </w:p>
    <w:p>
      <w:pPr>
        <w:ind w:right="260"/>
        <w:spacing w:after="0" w:line="281" w:lineRule="auto"/>
        <w:rPr>
          <w:rFonts w:ascii="Arial" w:cs="Arial" w:eastAsia="Arial" w:hAnsi="Arial"/>
          <w:sz w:val="16"/>
          <w:szCs w:val="16"/>
          <w:color w:val="auto"/>
        </w:rPr>
      </w:pPr>
      <w:r>
        <w:rPr>
          <w:rFonts w:ascii="Arial" w:cs="Arial" w:eastAsia="Arial" w:hAnsi="Arial"/>
          <w:sz w:val="16"/>
          <w:szCs w:val="16"/>
          <w:color w:val="auto"/>
        </w:rPr>
        <w:t>Section 10.01(d) are satisfied, and thereafter the Issuer shall be deemed to have paid and discharged the entire Debt on all the Securities of such a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w:t>
      </w:r>
    </w:p>
    <w:p>
      <w:pPr>
        <w:spacing w:after="0" w:line="2" w:lineRule="exact"/>
        <w:rPr>
          <w:rFonts w:ascii="Arial" w:cs="Arial" w:eastAsia="Arial" w:hAnsi="Arial"/>
          <w:sz w:val="16"/>
          <w:szCs w:val="16"/>
          <w:color w:val="auto"/>
        </w:rPr>
      </w:pPr>
    </w:p>
    <w:p>
      <w:pPr>
        <w:ind w:right="140" w:firstLine="8"/>
        <w:spacing w:after="0" w:line="292"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substitution of apparently mutilated, defaced, destroyed, lost or stolen Securities, (3) rights of Holders of Securities to receive, solely from the trust fund described in Section 10.01(d)(i), payments of principal thereof and interest thereon, upon the original stated due dates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40" w:name="page141"/>
    <w:bookmarkEnd w:id="140"/>
    <w:p>
      <w:pPr>
        <w:ind w:left="-8" w:firstLine="464"/>
        <w:spacing w:after="0" w:line="285" w:lineRule="auto"/>
        <w:tabs>
          <w:tab w:leader="none" w:pos="687" w:val="left"/>
        </w:tabs>
        <w:numPr>
          <w:ilvl w:val="1"/>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6"/>
          <w:szCs w:val="16"/>
          <w:b w:val="1"/>
          <w:bCs w:val="1"/>
          <w:color w:val="auto"/>
        </w:rPr>
        <w:t>Covenant Defeasance</w:t>
      </w:r>
      <w:r>
        <w:rPr>
          <w:rFonts w:ascii="Arial" w:cs="Arial" w:eastAsia="Arial" w:hAnsi="Arial"/>
          <w:sz w:val="16"/>
          <w:szCs w:val="16"/>
          <w:color w:val="auto"/>
        </w:rPr>
        <w:t>”),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the consequences of any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128" w:lineRule="exact"/>
        <w:rPr>
          <w:rFonts w:ascii="Arial" w:cs="Arial" w:eastAsia="Arial" w:hAnsi="Arial"/>
          <w:sz w:val="16"/>
          <w:szCs w:val="16"/>
          <w:color w:val="auto"/>
        </w:rPr>
      </w:pPr>
    </w:p>
    <w:p>
      <w:pPr>
        <w:ind w:left="1152" w:hanging="239"/>
        <w:spacing w:after="0"/>
        <w:tabs>
          <w:tab w:leader="none" w:pos="1152" w:val="left"/>
        </w:tabs>
        <w:numPr>
          <w:ilvl w:val="2"/>
          <w:numId w:val="92"/>
        </w:numPr>
        <w:rPr>
          <w:rFonts w:ascii="Arial" w:cs="Arial" w:eastAsia="Arial" w:hAnsi="Arial"/>
          <w:sz w:val="16"/>
          <w:szCs w:val="16"/>
          <w:color w:val="auto"/>
        </w:rPr>
      </w:pPr>
      <w:r>
        <w:rPr>
          <w:rFonts w:ascii="Arial" w:cs="Arial" w:eastAsia="Arial" w:hAnsi="Arial"/>
          <w:sz w:val="16"/>
          <w:szCs w:val="16"/>
          <w:color w:val="auto"/>
        </w:rPr>
        <w:t>The following shall be the conditions to the application of Legal Defeasance under subsection (b) or Covenant Defeasance under subsection</w:t>
      </w:r>
    </w:p>
    <w:p>
      <w:pPr>
        <w:spacing w:after="0" w:line="38" w:lineRule="exact"/>
        <w:rPr>
          <w:rFonts w:ascii="Arial" w:cs="Arial" w:eastAsia="Arial" w:hAnsi="Arial"/>
          <w:sz w:val="16"/>
          <w:szCs w:val="16"/>
          <w:color w:val="auto"/>
        </w:rPr>
      </w:pPr>
    </w:p>
    <w:p>
      <w:pPr>
        <w:ind w:left="232" w:hanging="232"/>
        <w:spacing w:after="0"/>
        <w:tabs>
          <w:tab w:leader="none" w:pos="2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Securities of the applicable series:</w:t>
      </w:r>
    </w:p>
    <w:p>
      <w:pPr>
        <w:spacing w:after="0" w:line="83" w:lineRule="exact"/>
        <w:rPr>
          <w:rFonts w:ascii="Arial" w:cs="Arial" w:eastAsia="Arial" w:hAnsi="Arial"/>
          <w:sz w:val="18"/>
          <w:szCs w:val="18"/>
          <w:color w:val="auto"/>
        </w:rPr>
      </w:pPr>
    </w:p>
    <w:p>
      <w:pPr>
        <w:ind w:left="912" w:right="40" w:firstLine="421"/>
        <w:spacing w:after="0" w:line="288" w:lineRule="auto"/>
        <w:tabs>
          <w:tab w:leader="none" w:pos="1541" w:val="left"/>
        </w:tabs>
        <w:numPr>
          <w:ilvl w:val="3"/>
          <w:numId w:val="93"/>
        </w:numPr>
        <w:rPr>
          <w:rFonts w:ascii="Arial" w:cs="Arial" w:eastAsia="Arial" w:hAnsi="Arial"/>
          <w:sz w:val="16"/>
          <w:szCs w:val="16"/>
          <w:color w:val="auto"/>
        </w:rPr>
      </w:pPr>
      <w:r>
        <w:rPr>
          <w:rFonts w:ascii="Arial" w:cs="Arial" w:eastAsia="Arial" w:hAnsi="Arial"/>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cash or U.S. Government Obligations that will generate cash sufficient to pay principal of and interest on the Outstanding Securities of such series to maturity or redemption, as the case may be, and to pay all other amounts payable by it hereunder, provided that (A) the trustee of the irrevocable trust, if any, shall have been irrevocably instructed to pay such funds or the proceeds of such U.S. Government Obligations to the Trustee and (B) the Trustee shall have been irrevocably instructed to apply such funds or the proceeds of such U.S. Government Obligations to (x) the principal and interest on all Securities of such series on the date that such principal or interest is due and payable and (y) any mandatory sinking fund payments on the day on which such payments are due and payable in accordance with the terms of the Indenture and the Securities of such series, and the Issuer shall also pay or cause to be paid all other amounts payable hereunder with respect to such series;</w:t>
      </w:r>
    </w:p>
    <w:p>
      <w:pPr>
        <w:spacing w:after="0" w:line="38" w:lineRule="exact"/>
        <w:rPr>
          <w:rFonts w:ascii="Arial" w:cs="Arial" w:eastAsia="Arial" w:hAnsi="Arial"/>
          <w:sz w:val="16"/>
          <w:szCs w:val="16"/>
          <w:color w:val="auto"/>
        </w:rPr>
      </w:pPr>
    </w:p>
    <w:p>
      <w:pPr>
        <w:ind w:left="912" w:right="100" w:firstLine="421"/>
        <w:spacing w:after="0" w:line="332" w:lineRule="auto"/>
        <w:tabs>
          <w:tab w:leader="none" w:pos="1590" w:val="left"/>
        </w:tabs>
        <w:numPr>
          <w:ilvl w:val="3"/>
          <w:numId w:val="93"/>
        </w:numPr>
        <w:rPr>
          <w:rFonts w:ascii="Arial" w:cs="Arial" w:eastAsia="Arial" w:hAnsi="Arial"/>
          <w:sz w:val="16"/>
          <w:szCs w:val="16"/>
          <w:color w:val="auto"/>
        </w:rPr>
      </w:pPr>
      <w:r>
        <w:rPr>
          <w:rFonts w:ascii="Arial" w:cs="Arial" w:eastAsia="Arial" w:hAnsi="Arial"/>
          <w:sz w:val="16"/>
          <w:szCs w:val="16"/>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280" w:right="259" w:bottom="1440" w:gutter="0" w:footer="0" w:header="0"/>
        </w:sectPr>
      </w:pPr>
    </w:p>
    <w:bookmarkStart w:id="141" w:name="page142"/>
    <w:bookmarkEnd w:id="141"/>
    <w:p>
      <w:pPr>
        <w:ind w:left="920" w:right="180" w:firstLine="421"/>
        <w:spacing w:after="0" w:line="332" w:lineRule="auto"/>
        <w:tabs>
          <w:tab w:leader="none" w:pos="1647"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4" w:lineRule="exact"/>
        <w:rPr>
          <w:rFonts w:ascii="Arial" w:cs="Arial" w:eastAsia="Arial" w:hAnsi="Arial"/>
          <w:sz w:val="16"/>
          <w:szCs w:val="16"/>
          <w:color w:val="auto"/>
        </w:rPr>
      </w:pPr>
    </w:p>
    <w:p>
      <w:pPr>
        <w:ind w:left="920" w:firstLine="421"/>
        <w:spacing w:after="0" w:line="291" w:lineRule="auto"/>
        <w:tabs>
          <w:tab w:leader="none" w:pos="163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39" w:lineRule="exact"/>
        <w:rPr>
          <w:rFonts w:ascii="Arial" w:cs="Arial" w:eastAsia="Arial" w:hAnsi="Arial"/>
          <w:sz w:val="16"/>
          <w:szCs w:val="16"/>
          <w:color w:val="auto"/>
        </w:rPr>
      </w:pPr>
    </w:p>
    <w:p>
      <w:pPr>
        <w:ind w:left="920" w:firstLine="421"/>
        <w:spacing w:after="0" w:line="298" w:lineRule="auto"/>
        <w:tabs>
          <w:tab w:leader="none" w:pos="1588"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31" w:lineRule="exact"/>
        <w:rPr>
          <w:rFonts w:ascii="Arial" w:cs="Arial" w:eastAsia="Arial" w:hAnsi="Arial"/>
          <w:sz w:val="16"/>
          <w:szCs w:val="16"/>
          <w:color w:val="auto"/>
        </w:rPr>
      </w:pPr>
    </w:p>
    <w:p>
      <w:pPr>
        <w:ind w:left="920" w:right="540" w:firstLine="421"/>
        <w:spacing w:after="0" w:line="268" w:lineRule="auto"/>
        <w:tabs>
          <w:tab w:leader="none" w:pos="16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any other provisions of this subsection (d), such defeasance shall be effected in compliance with any additional or substitute terms, conditions or limitations which may be imposed on the Issuer pursuant to Section 2.03.</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After such irrevocable deposit made pursuant to this Section 10.01(d) and satisfaction of the other conditions set forth in this subsection (d), the Trustee upon request shall execute proper instruments acknowledging the discharge of the Issuer’s obligations pursuant to this Section 10.01.</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Application by Trustee of Funds Deposited for Payment of Securities.</w:t>
      </w:r>
      <w:r>
        <w:rPr>
          <w:rFonts w:ascii="Arial" w:cs="Arial" w:eastAsia="Arial" w:hAnsi="Arial"/>
          <w:sz w:val="18"/>
          <w:szCs w:val="18"/>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80" w:right="319" w:bottom="1440" w:gutter="0" w:footer="0" w:header="0"/>
        </w:sectPr>
      </w:pPr>
    </w:p>
    <w:bookmarkStart w:id="142" w:name="page143"/>
    <w:bookmarkEnd w:id="142"/>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6"/>
          <w:szCs w:val="16"/>
          <w:i w:val="1"/>
          <w:iCs w:val="1"/>
          <w:color w:val="auto"/>
        </w:rPr>
        <w:t>Repayment of Moneys Held by Paying Agent.</w:t>
      </w:r>
      <w:r>
        <w:rPr>
          <w:rFonts w:ascii="Arial" w:cs="Arial" w:eastAsia="Arial" w:hAnsi="Arial"/>
          <w:sz w:val="16"/>
          <w:szCs w:val="16"/>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Return of Moneys Held by Trustee and Paying Agent Unclaimed for Two Years.</w:t>
      </w:r>
      <w:r>
        <w:rPr>
          <w:rFonts w:ascii="Arial" w:cs="Arial" w:eastAsia="Arial" w:hAnsi="Arial"/>
          <w:sz w:val="16"/>
          <w:szCs w:val="16"/>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i w:val="1"/>
          <w:iCs w:val="1"/>
          <w:color w:val="auto"/>
        </w:rPr>
        <w:t>Indemnity for U.S. Government Obligations.</w:t>
      </w:r>
      <w:r>
        <w:rPr>
          <w:rFonts w:ascii="Arial" w:cs="Arial" w:eastAsia="Arial" w:hAnsi="Arial"/>
          <w:sz w:val="16"/>
          <w:szCs w:val="16"/>
          <w:color w:val="auto"/>
        </w:rPr>
        <w:t xml:space="preserve"> The Issuer shall pay and indemnify the Trustee against any tax, fee or other charge imposed on or assessed against the U.S. Government Obligations deposited pursuant to Section 10.01 or the principal or interest received in respect of such obligations.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No Recourse.</w:t>
      </w:r>
      <w:r>
        <w:rPr>
          <w:rFonts w:ascii="Arial" w:cs="Arial" w:eastAsia="Arial" w:hAnsi="Arial"/>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Provisions of Indenture for the Sole Benefit of Parties and Holders of Securities.</w:t>
      </w:r>
      <w:r>
        <w:rPr>
          <w:rFonts w:ascii="Arial" w:cs="Arial" w:eastAsia="Arial" w:hAnsi="Arial"/>
          <w:sz w:val="18"/>
          <w:szCs w:val="18"/>
          <w:color w:val="auto"/>
        </w:rPr>
        <w:t xml:space="preserve"> Nothing in this Indenture or in the Securities, expressed or implied, shall give or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43" w:name="page144"/>
    <w:bookmarkEnd w:id="143"/>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3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i w:val="1"/>
          <w:iCs w:val="1"/>
          <w:color w:val="auto"/>
        </w:rPr>
        <w:t>Notices and Demands on Issuer, Trustee and Holders of Securities.</w:t>
      </w:r>
      <w:r>
        <w:rPr>
          <w:rFonts w:ascii="Arial" w:cs="Arial" w:eastAsia="Arial" w:hAnsi="Arial"/>
          <w:sz w:val="15"/>
          <w:szCs w:val="15"/>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Emergent BioSolutions Inc., 2273 Research Boulevard, Suite 400, Rockville, Maryland 20850, Attn: Chief Financial Officer. Any notice, direction, request or demand by the Issuer or any Holder of Securities to or upon the Trustee shall be deemed to have been sufficiently given or made, for all purposes, if given or</w:t>
      </w:r>
    </w:p>
    <w:p>
      <w:pPr>
        <w:spacing w:after="0" w:line="2" w:lineRule="exact"/>
        <w:rPr>
          <w:sz w:val="20"/>
          <w:szCs w:val="20"/>
          <w:color w:val="auto"/>
        </w:rPr>
      </w:pPr>
    </w:p>
    <w:p>
      <w:pPr>
        <w:spacing w:after="0"/>
        <w:tabs>
          <w:tab w:leader="none" w:pos="1100" w:val="left"/>
          <w:tab w:leader="none" w:pos="2080" w:val="left"/>
          <w:tab w:leader="none" w:pos="3440" w:val="left"/>
        </w:tabs>
        <w:rPr>
          <w:sz w:val="20"/>
          <w:szCs w:val="20"/>
          <w:color w:val="auto"/>
        </w:rPr>
      </w:pPr>
      <w:r>
        <w:rPr>
          <w:rFonts w:ascii="Arial" w:cs="Arial" w:eastAsia="Arial" w:hAnsi="Arial"/>
          <w:sz w:val="18"/>
          <w:szCs w:val="18"/>
          <w:color w:val="auto"/>
        </w:rPr>
        <w:t>made 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Attn:</w:t>
      </w:r>
      <w:r>
        <w:rPr>
          <w:sz w:val="20"/>
          <w:szCs w:val="20"/>
          <w:color w:val="auto"/>
        </w:rPr>
        <w:tab/>
      </w:r>
      <w:r>
        <w:rPr>
          <w:rFonts w:ascii="Arial" w:cs="Arial" w:eastAsia="Arial" w:hAnsi="Arial"/>
          <w:sz w:val="14"/>
          <w:szCs w:val="14"/>
          <w:color w:val="auto"/>
        </w:rPr>
        <w:t>.</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Where this Indenture provides for notice to Holders of Securities, such notice shall be sufficiently given (unless otherwise herein expressly provided) if in writing and mailed, first-class postage prepaid, to each Holder entitled thereto, at his or her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44" w:name="page145"/>
    <w:bookmarkEnd w:id="144"/>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145" w:name="page146"/>
    <w:bookmarkEnd w:id="145"/>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i w:val="1"/>
          <w:iCs w:val="1"/>
          <w:color w:val="auto"/>
        </w:rPr>
        <w:t>New York Law to Govern.</w:t>
      </w:r>
      <w:r>
        <w:rPr>
          <w:rFonts w:ascii="Arial" w:cs="Arial" w:eastAsia="Arial" w:hAnsi="Arial"/>
          <w:sz w:val="16"/>
          <w:szCs w:val="16"/>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Actions by Successor</w:t>
      </w:r>
      <w:r>
        <w:rPr>
          <w:rFonts w:ascii="Arial" w:cs="Arial" w:eastAsia="Arial" w:hAnsi="Arial"/>
          <w:sz w:val="18"/>
          <w:szCs w:val="18"/>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OF SECURITIES AND SINKING FUNDS</w:t>
      </w:r>
    </w:p>
    <w:p>
      <w:pPr>
        <w:spacing w:after="0" w:line="16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146" w:name="page147"/>
    <w:bookmarkEnd w:id="146"/>
    <w:p>
      <w:pPr>
        <w:ind w:right="10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47" w:name="page148"/>
    <w:bookmarkEnd w:id="147"/>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i w:val="1"/>
          <w:iCs w:val="1"/>
          <w:color w:val="auto"/>
        </w:rPr>
        <w:t>Payment of Securities Called for Redemption.</w:t>
      </w:r>
      <w:r>
        <w:rPr>
          <w:rFonts w:ascii="Arial" w:cs="Arial" w:eastAsia="Arial" w:hAnsi="Arial"/>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i w:val="1"/>
          <w:iCs w:val="1"/>
          <w:color w:val="auto"/>
        </w:rPr>
        <w:t>Exclusion of Certain Securities from Eligibility for Selection for Redemption.</w:t>
      </w:r>
      <w:r>
        <w:rPr>
          <w:rFonts w:ascii="Arial" w:cs="Arial" w:eastAsia="Arial" w:hAnsi="Arial"/>
          <w:sz w:val="16"/>
          <w:szCs w:val="16"/>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48" w:name="page149"/>
    <w:bookmarkEnd w:id="148"/>
    <w:p>
      <w:pPr>
        <w:jc w:val="both"/>
        <w:ind w:right="28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 date</w:t>
      </w:r>
      <w:r>
        <w:rPr>
          <w:rFonts w:ascii="Arial" w:cs="Arial" w:eastAsia="Arial" w:hAnsi="Arial"/>
          <w:sz w:val="18"/>
          <w:szCs w:val="18"/>
          <w:color w:val="auto"/>
        </w:rPr>
        <w: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w:t>
      </w:r>
    </w:p>
    <w:p>
      <w:pPr>
        <w:spacing w:after="0" w:line="38" w:lineRule="exact"/>
        <w:rPr>
          <w:sz w:val="20"/>
          <w:szCs w:val="20"/>
          <w:color w:val="auto"/>
        </w:rPr>
      </w:pPr>
    </w:p>
    <w:p>
      <w:pPr>
        <w:ind w:firstLine="8"/>
        <w:spacing w:after="0" w:line="288" w:lineRule="auto"/>
        <w:tabs>
          <w:tab w:leader="none" w:pos="239" w:val="left"/>
        </w:tabs>
        <w:numPr>
          <w:ilvl w:val="0"/>
          <w:numId w:val="95"/>
        </w:numPr>
        <w:rPr>
          <w:rFonts w:ascii="Arial" w:cs="Arial" w:eastAsia="Arial" w:hAnsi="Arial"/>
          <w:sz w:val="16"/>
          <w:szCs w:val="16"/>
          <w:color w:val="auto"/>
        </w:rPr>
      </w:pPr>
      <w:r>
        <w:rPr>
          <w:rFonts w:ascii="Arial" w:cs="Arial" w:eastAsia="Arial" w:hAnsi="Arial"/>
          <w:sz w:val="16"/>
          <w:szCs w:val="16"/>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2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2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149" w:name="page150"/>
    <w:bookmarkEnd w:id="14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13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150" w:name="page151"/>
    <w:bookmarkEnd w:id="150"/>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SUBORDINATION OF SECURITIES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Agreement of Subordination.</w:t>
      </w:r>
      <w:r>
        <w:rPr>
          <w:rFonts w:ascii="Arial" w:cs="Arial" w:eastAsia="Arial" w:hAnsi="Arial"/>
          <w:sz w:val="18"/>
          <w:szCs w:val="18"/>
          <w:color w:val="auto"/>
        </w:rPr>
        <w:t xml:space="preserve"> 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this Article 13 define the subordination of the Securities, as obligations of the Issuer, with respect to Senior Indebtedness of the Issuer.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provision of this Article 13 shall prevent the occurrence of any default or Event of Default hereunder.</w:t>
      </w:r>
    </w:p>
    <w:p>
      <w:pPr>
        <w:spacing w:after="0" w:line="171"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i w:val="1"/>
          <w:iCs w:val="1"/>
          <w:color w:val="auto"/>
        </w:rPr>
        <w:t>Payments to Securityholders.</w:t>
      </w:r>
      <w:r>
        <w:rPr>
          <w:rFonts w:ascii="Arial" w:cs="Arial" w:eastAsia="Arial" w:hAnsi="Arial"/>
          <w:sz w:val="16"/>
          <w:szCs w:val="16"/>
          <w:color w:val="auto"/>
        </w:rPr>
        <w:t xml:space="preserve">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12.05 prior to the happening of such default and payments made pursuant to Article 10 hereof from monies deposited with the Trustee pursuant thereto prior to the happening of such default.</w:t>
      </w:r>
    </w:p>
    <w:p>
      <w:pPr>
        <w:spacing w:after="0" w:line="13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280" w:right="339" w:bottom="1440" w:gutter="0" w:footer="0" w:header="0"/>
        </w:sectPr>
      </w:pPr>
    </w:p>
    <w:bookmarkStart w:id="151" w:name="page152"/>
    <w:bookmarkEnd w:id="151"/>
    <w:p>
      <w:pPr>
        <w:ind w:right="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10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10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consolidation of the Issuer with, or the merger of the Issuer into, another corporation or the liquidation or dissolution of the Issuer following the conveyance or transfer of its property as an entirety, or substantially as an entirety, to another corporation upon the terms and conditions provided for in Article 9 hereof shall not be deemed a dissolution, winding-up, liquidation or reorganization for the purposes of this Section 13.02 if such other corporation shall, as a part of such consolidation, merger, conveyance or transfer, comply with the conditions stated in Article 9 hereof. Nothing in this Section 13.02 shall apply to claims of, or payments to, the Trustee under or pursuant to Section 6.06.</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i w:val="1"/>
          <w:iCs w:val="1"/>
          <w:color w:val="auto"/>
        </w:rPr>
        <w:t>Subrogation of Securities.</w:t>
      </w:r>
      <w:r>
        <w:rPr>
          <w:rFonts w:ascii="Arial" w:cs="Arial" w:eastAsia="Arial" w:hAnsi="Arial"/>
          <w:sz w:val="16"/>
          <w:szCs w:val="16"/>
          <w:color w:val="auto"/>
        </w:rPr>
        <w:t xml:space="preserve"> Subject to the payment in full of all Senior Indebtedness of the Issuer, the rights of the holders of the Securities shall be subrogated to the rights of the holders of Senior Indebtedness of the Issuer to receive payments or distributions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9" w:right="239" w:bottom="1440" w:gutter="0" w:footer="0" w:header="0"/>
        </w:sectPr>
      </w:pPr>
    </w:p>
    <w:bookmarkStart w:id="152" w:name="page153"/>
    <w:bookmarkEnd w:id="15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property or securities of the Issuer applicable to the Senior Indebtedness of the Issuer until the principal of and interest on the Securities shall be paid in full; and, for the purposes of such subrogation, no payments or distributions to the holders of the Senior Indebtedness of the Issuer of any cash, property or securities to which the holders of the Securities or the Trustee would be entitled except for the provisions of this Article 13 to or for the benefit of the holders of Senior Indebtedness of the Issuer by holders of the Securities or the Trustee,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xml:space="preserve"> 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Notice to Trustee.</w:t>
      </w:r>
      <w:r>
        <w:rPr>
          <w:rFonts w:ascii="Arial" w:cs="Arial" w:eastAsia="Arial" w:hAnsi="Arial"/>
          <w:sz w:val="18"/>
          <w:szCs w:val="18"/>
          <w:color w:val="auto"/>
        </w:rPr>
        <w:t xml:space="preserve"> The Issuer shall give promptly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monies to or by the Trustee in respect of the Securities pursuant to the provisions of this Article 13, unless and until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Officer of the Trustee shall have received written notice thereof at the Corporate Trust Office of the Trustee from the Issuer or a holder or holders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Senior Indebtedness of the Issuer or from any trustee therefor; and before the receipt of any such written notice, the Trustee, subject to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6.01, shall be entitled in all respects to assume that no such facts exist;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on a date not fewer than three Business Days prior to the date upon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which by the terms hereof any such monies may become payable for any purpose (including, without limitation, the payment of the principal of or interest on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the Trustee shall not have received, with respect to such monies, the notice provided for in this Section 13.05, then, anything herein contained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contrary notwithstanding, the Trustee shall have full power and authority to receive such monies and to apply the same to the purpose for which they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and shall not be affected by any notice to the contrary which may be received by it on or after such prior date. Notwithstanding anything to the contrary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hereinbefore set forth, nothing shall prevent any payment by the Issuer or the Trustee to the Securityholders of monies in connection with a redemption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if (i) notice of such redemption has been given pursuant to Article 12 hereof prior to the receipt by the Trustee of written notice as aforesaid,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(ii) such notice of redemption is given not earlier than 60 days before the redemption date.</w:t>
      </w:r>
    </w:p>
    <w:p>
      <w:pPr>
        <w:spacing w:after="0" w:line="16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xml:space="preserve">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54" w:name="page155"/>
    <w:bookmarkEnd w:id="154"/>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13.07 </w:t>
      </w:r>
      <w:r>
        <w:rPr>
          <w:rFonts w:ascii="Arial" w:cs="Arial" w:eastAsia="Arial" w:hAnsi="Arial"/>
          <w:sz w:val="18"/>
          <w:szCs w:val="18"/>
          <w:i w:val="1"/>
          <w:iCs w:val="1"/>
          <w:color w:val="auto"/>
        </w:rPr>
        <w:t>No Impairment of Subordination.</w:t>
      </w:r>
      <w:r>
        <w:rPr>
          <w:rFonts w:ascii="Arial" w:cs="Arial" w:eastAsia="Arial" w:hAnsi="Arial"/>
          <w:sz w:val="18"/>
          <w:szCs w:val="18"/>
          <w:color w:val="auto"/>
        </w:rPr>
        <w:t xml:space="preserve"> 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spacing w:after="0" w:line="14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 xml:space="preserve">Section 13.08 </w:t>
      </w:r>
      <w:r>
        <w:rPr>
          <w:rFonts w:ascii="Arial" w:cs="Arial" w:eastAsia="Arial" w:hAnsi="Arial"/>
          <w:sz w:val="16"/>
          <w:szCs w:val="16"/>
          <w:i w:val="1"/>
          <w:iCs w:val="1"/>
          <w:color w:val="auto"/>
        </w:rPr>
        <w:t>Rights of Trustee.</w:t>
      </w:r>
      <w:r>
        <w:rPr>
          <w:rFonts w:ascii="Arial" w:cs="Arial" w:eastAsia="Arial" w:hAnsi="Arial"/>
          <w:sz w:val="16"/>
          <w:szCs w:val="16"/>
          <w:color w:val="auto"/>
        </w:rPr>
        <w:t xml:space="preserve"> Nothing in this Article 13 shall apply to claims of or payments to, the Trustee pursuant to Section 6.06.</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280" w:right="419" w:bottom="1440" w:gutter="0" w:footer="0" w:header="0"/>
        </w:sectPr>
      </w:pPr>
    </w:p>
    <w:bookmarkStart w:id="155" w:name="page156"/>
    <w:bookmarkEnd w:id="155"/>
    <w:p>
      <w:pPr>
        <w:spacing w:after="0"/>
        <w:tabs>
          <w:tab w:leader="none" w:pos="7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EMERGENT BIOSOLUTIONS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280"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4.6</w:t>
      </w:r>
    </w:p>
    <w:p>
      <w:pPr>
        <w:spacing w:after="0" w:line="171"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Form of Senior Note</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u w:val="single" w:color="auto"/>
          <w:color w:val="auto"/>
        </w:rPr>
        <w:t>(FACE OF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Global Security shall bear substantially the following legend:</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has original issue discount for U.S. federal income tax purposes, insert tax legend:</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 PURPOSES OF SECTIONS 1272 , 1273, and 1275 OF THE INTERNAL REVENUE CODE OF 1986, AS AMENDED (“THE CODE”), THIS SECURITY</w:t>
      </w:r>
      <w:r>
        <w:rPr>
          <w:rFonts w:ascii="Arial" w:cs="Arial" w:eastAsia="Arial" w:hAnsi="Arial"/>
          <w:sz w:val="16"/>
          <w:szCs w:val="16"/>
          <w:color w:val="auto"/>
        </w:rPr>
        <w:t xml:space="preserve"> </w:t>
      </w:r>
      <w:r>
        <w:rPr>
          <w:rFonts w:ascii="Arial" w:cs="Arial" w:eastAsia="Arial" w:hAnsi="Arial"/>
          <w:sz w:val="16"/>
          <w:szCs w:val="16"/>
          <w:i w:val="1"/>
          <w:iCs w:val="1"/>
          <w:color w:val="auto"/>
        </w:rPr>
        <w:t>IS BEING ISSUED WITH ORIGINAL ISSUE DISCOUNT. THE AMOUNT OF ORIGINAL ISSUE DISCOUNT (AS DEFINED IN SECTION 1273(A)(1) OF THE</w:t>
      </w:r>
    </w:p>
    <w:p>
      <w:pPr>
        <w:ind w:right="40"/>
        <w:spacing w:after="0" w:line="254" w:lineRule="auto"/>
        <w:rPr>
          <w:sz w:val="20"/>
          <w:szCs w:val="20"/>
          <w:color w:val="auto"/>
        </w:rPr>
      </w:pPr>
      <w:r>
        <w:rPr>
          <w:rFonts w:ascii="Arial" w:cs="Arial" w:eastAsia="Arial" w:hAnsi="Arial"/>
          <w:sz w:val="18"/>
          <w:szCs w:val="18"/>
          <w:i w:val="1"/>
          <w:iCs w:val="1"/>
          <w:color w:val="auto"/>
        </w:rPr>
        <w:t>CODE AND TREASURY REGULATION SECTION 1.1273-1(A)) WITH RESPECT TO THIS SECURITY IS , THE ISSUE DATE (AS DEFINED IN SECTION 1275(A)(2) OF THE CODE AND TREASURY REGULATION SECTION 1.1273-2(A)(2)) OF THIS SECURITY IS , THE ISSUE PRICE (AS DEFINED IN SECTION 1273(B) OF THE CODE AND TREASURY REGULATION SECTION 1.1273-2(A)) OF THIS SECURITY IS , AND THE YIELD TO MATURITY (AS DEFINED IN TREASURY REGULATION SECTION 1.1272-1(B)) OF THIS SECURITY IS .</w:t>
      </w:r>
      <w:r>
        <w:rPr>
          <w:rFonts w:ascii="Arial" w:cs="Arial" w:eastAsia="Arial" w:hAnsi="Arial"/>
          <w:sz w:val="18"/>
          <w:szCs w:val="18"/>
          <w:color w:val="auto"/>
        </w:rPr>
        <w:t>] ]</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Emergent BioSolutions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Title of Security ]</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CUSIP No.: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Code][ISIN]: [</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4">
            <w:col w:w="360" w:space="180"/>
            <w:col w:w="8140" w:space="720"/>
            <w:col w:w="1780" w:space="180"/>
            <w:col w:w="6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Emergent BioSolutions Inc., a Delaware corporation (“Issuer”, which term includes any successor corporation), for value received promises to pay to [</w:t>
      </w:r>
      <w:r>
        <w:rPr>
          <w:rFonts w:ascii="Arial" w:cs="Arial" w:eastAsia="Arial" w:hAnsi="Arial"/>
          <w:sz w:val="16"/>
          <w:szCs w:val="16"/>
          <w:i w:val="1"/>
          <w:iCs w:val="1"/>
          <w:color w:val="auto"/>
        </w:rPr>
        <w:t>If</w:t>
      </w:r>
    </w:p>
    <w:p>
      <w:pPr>
        <w:spacing w:after="0" w:line="38"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i w:val="1"/>
          <w:iCs w:val="1"/>
          <w:color w:val="auto"/>
        </w:rPr>
        <w:t xml:space="preserve">the Security is a Global Security — </w:t>
      </w:r>
      <w:r>
        <w:rPr>
          <w:rFonts w:ascii="Arial" w:cs="Arial" w:eastAsia="Arial" w:hAnsi="Arial"/>
          <w:sz w:val="18"/>
          <w:szCs w:val="18"/>
          <w:color w:val="auto"/>
        </w:rPr>
        <w:t>CEDE &amp; CO.][</w:t>
      </w:r>
      <w:r>
        <w:rPr>
          <w:rFonts w:ascii="Arial" w:cs="Arial" w:eastAsia="Arial" w:hAnsi="Arial"/>
          <w:sz w:val="18"/>
          <w:szCs w:val="18"/>
          <w:i w:val="1"/>
          <w:iCs w:val="1"/>
          <w:color w:val="auto"/>
        </w:rPr>
        <w:t>If the Security is not a Global Security —</w:t>
      </w:r>
      <w:r>
        <w:rPr>
          <w:sz w:val="20"/>
          <w:szCs w:val="20"/>
          <w:color w:val="auto"/>
        </w:rPr>
        <w:tab/>
      </w:r>
      <w:r>
        <w:rPr>
          <w:rFonts w:ascii="Arial" w:cs="Arial" w:eastAsia="Arial" w:hAnsi="Arial"/>
          <w:sz w:val="15"/>
          <w:szCs w:val="15"/>
          <w:color w:val="auto"/>
        </w:rPr>
        <w:t>] or registered assigns, the principal sum of</w:t>
      </w:r>
    </w:p>
    <w:p>
      <w:pPr>
        <w:spacing w:after="0" w:line="9" w:lineRule="exact"/>
        <w:rPr>
          <w:sz w:val="20"/>
          <w:szCs w:val="20"/>
          <w:color w:val="auto"/>
        </w:rPr>
      </w:pPr>
    </w:p>
    <w:p>
      <w:pPr>
        <w:spacing w:after="0"/>
        <w:tabs>
          <w:tab w:leader="none" w:pos="740" w:val="left"/>
          <w:tab w:leader="none" w:pos="1180" w:val="left"/>
          <w:tab w:leader="none" w:pos="1022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“Maturity Date”) [</w:t>
      </w:r>
      <w:r>
        <w:rPr>
          <w:rFonts w:ascii="Arial" w:cs="Arial" w:eastAsia="Arial" w:hAnsi="Arial"/>
          <w:sz w:val="18"/>
          <w:szCs w:val="18"/>
          <w:i w:val="1"/>
          <w:iCs w:val="1"/>
          <w:color w:val="auto"/>
        </w:rPr>
        <w:t>If the Security is to bear interest prior to maturity, insert—</w:t>
      </w:r>
      <w:r>
        <w:rPr>
          <w:rFonts w:ascii="Arial" w:cs="Arial" w:eastAsia="Arial" w:hAnsi="Arial"/>
          <w:sz w:val="18"/>
          <w:szCs w:val="18"/>
          <w:color w:val="auto"/>
        </w:rPr>
        <w:t>, and to pay interest thereon from</w:t>
      </w:r>
      <w:r>
        <w:rPr>
          <w:sz w:val="20"/>
          <w:szCs w:val="20"/>
          <w:color w:val="auto"/>
        </w:rPr>
        <w:tab/>
      </w:r>
      <w:r>
        <w:rPr>
          <w:rFonts w:ascii="Arial" w:cs="Arial" w:eastAsia="Arial" w:hAnsi="Arial"/>
          <w:sz w:val="15"/>
          <w:szCs w:val="15"/>
          <w:color w:val="auto"/>
        </w:rPr>
        <w:t>or from the most</w:t>
      </w:r>
    </w:p>
    <w:p>
      <w:pPr>
        <w:spacing w:after="0" w:line="9" w:lineRule="exact"/>
        <w:rPr>
          <w:sz w:val="20"/>
          <w:szCs w:val="20"/>
          <w:color w:val="auto"/>
        </w:rPr>
      </w:pPr>
    </w:p>
    <w:p>
      <w:pPr>
        <w:spacing w:after="0"/>
        <w:tabs>
          <w:tab w:leader="none" w:pos="8300" w:val="left"/>
          <w:tab w:leader="none" w:pos="9180" w:val="left"/>
        </w:tabs>
        <w:rPr>
          <w:sz w:val="20"/>
          <w:szCs w:val="20"/>
          <w:color w:val="auto"/>
        </w:rPr>
      </w:pPr>
      <w:r>
        <w:rPr>
          <w:rFonts w:ascii="Arial" w:cs="Arial" w:eastAsia="Arial" w:hAnsi="Arial"/>
          <w:sz w:val="16"/>
          <w:szCs w:val="16"/>
          <w:color w:val="auto"/>
        </w:rPr>
        <w:t xml:space="preserve">recent interest payment date to which interest has been paid or duly provided for, </w:t>
      </w:r>
      <w:r>
        <w:rPr>
          <w:rFonts w:ascii="Arial" w:cs="Arial" w:eastAsia="Arial" w:hAnsi="Arial"/>
          <w:sz w:val="16"/>
          <w:szCs w:val="16"/>
          <w:i w:val="1"/>
          <w:iCs w:val="1"/>
          <w:color w:val="auto"/>
        </w:rPr>
        <w:t>[semiannually in arrears on</w:t>
      </w:r>
      <w:r>
        <w:rPr>
          <w:sz w:val="20"/>
          <w:szCs w:val="20"/>
          <w:color w:val="auto"/>
        </w:rPr>
        <w:tab/>
      </w:r>
      <w:r>
        <w:rPr>
          <w:rFonts w:ascii="Arial" w:cs="Arial" w:eastAsia="Arial" w:hAnsi="Arial"/>
          <w:sz w:val="18"/>
          <w:szCs w:val="18"/>
          <w:i w:val="1"/>
          <w:iCs w:val="1"/>
          <w:color w:val="auto"/>
        </w:rPr>
        <w:t>and</w:t>
      </w:r>
      <w:r>
        <w:rPr>
          <w:sz w:val="20"/>
          <w:szCs w:val="20"/>
          <w:color w:val="auto"/>
        </w:rPr>
        <w:tab/>
      </w:r>
      <w:r>
        <w:rPr>
          <w:rFonts w:ascii="Arial" w:cs="Arial" w:eastAsia="Arial" w:hAnsi="Arial"/>
          <w:sz w:val="16"/>
          <w:szCs w:val="16"/>
          <w:i w:val="1"/>
          <w:iCs w:val="1"/>
          <w:color w:val="auto"/>
        </w:rPr>
        <w:t>in each year</w:t>
      </w:r>
      <w:r>
        <w:rPr>
          <w:rFonts w:ascii="Arial" w:cs="Arial" w:eastAsia="Arial" w:hAnsi="Arial"/>
          <w:sz w:val="16"/>
          <w:szCs w:val="16"/>
          <w:color w:val="auto"/>
        </w:rPr>
        <w:t>], commencing</w:t>
      </w:r>
    </w:p>
    <w:p>
      <w:pPr>
        <w:sectPr>
          <w:pgSz w:w="11900" w:h="16838" w:orient="portrait"/>
          <w:cols w:equalWidth="0" w:num="1">
            <w:col w:w="11420"/>
          </w:cols>
          <w:pgMar w:left="240" w:top="280" w:right="239" w:bottom="1440" w:gutter="0" w:footer="0" w:header="0"/>
          <w:type w:val="continuous"/>
        </w:sectPr>
      </w:pPr>
    </w:p>
    <w:p>
      <w:pPr>
        <w:spacing w:after="0" w:line="9" w:lineRule="exact"/>
        <w:rPr>
          <w:sz w:val="20"/>
          <w:szCs w:val="20"/>
          <w:color w:val="auto"/>
        </w:rPr>
      </w:pPr>
    </w:p>
    <w:p>
      <w:pPr>
        <w:ind w:left="1020" w:hanging="485"/>
        <w:spacing w:after="0"/>
        <w:tabs>
          <w:tab w:leader="none" w:pos="10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(each, an “Interest Payment Date”) at the rate of [  </w:t>
      </w:r>
      <w:r>
        <w:rPr>
          <w:rFonts w:ascii="Arial" w:cs="Arial" w:eastAsia="Arial" w:hAnsi="Arial"/>
          <w:sz w:val="16"/>
          <w:szCs w:val="16"/>
          <w:i w:val="1"/>
          <w:iCs w:val="1"/>
          <w:color w:val="auto"/>
        </w:rPr>
        <w:t>% per annum</w:t>
      </w:r>
      <w:r>
        <w:rPr>
          <w:rFonts w:ascii="Arial" w:cs="Arial" w:eastAsia="Arial" w:hAnsi="Arial"/>
          <w:sz w:val="16"/>
          <w:szCs w:val="16"/>
          <w:color w:val="auto"/>
        </w:rPr>
        <w:t>], until the principal hereof is paid or made available for payment [</w:t>
      </w:r>
      <w:r>
        <w:rPr>
          <w:rFonts w:ascii="Arial" w:cs="Arial" w:eastAsia="Arial" w:hAnsi="Arial"/>
          <w:sz w:val="16"/>
          <w:szCs w:val="16"/>
          <w:i w:val="1"/>
          <w:iCs w:val="1"/>
          <w:color w:val="auto"/>
        </w:rPr>
        <w:t>If applicable</w:t>
      </w:r>
    </w:p>
    <w:p>
      <w:pPr>
        <w:spacing w:after="0" w:line="32"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i w:val="1"/>
          <w:iCs w:val="1"/>
          <w:color w:val="auto"/>
        </w:rPr>
        <w:t xml:space="preserve">insert—, </w:t>
      </w:r>
      <w:r>
        <w:rPr>
          <w:rFonts w:ascii="Arial" w:cs="Arial" w:eastAsia="Arial" w:hAnsi="Arial"/>
          <w:sz w:val="15"/>
          <w:szCs w:val="15"/>
          <w:color w:val="auto"/>
        </w:rPr>
        <w:t>and (to the extent that the payment of such interest shall be legally enforceable) at the rate of % per annum on any overdue principal and on any</w:t>
      </w:r>
      <w:r>
        <w:rPr>
          <w:rFonts w:ascii="Arial" w:cs="Arial" w:eastAsia="Arial" w:hAnsi="Arial"/>
          <w:sz w:val="15"/>
          <w:szCs w:val="15"/>
          <w:i w:val="1"/>
          <w:iCs w:val="1"/>
          <w:color w:val="auto"/>
        </w:rPr>
        <w:t xml:space="preserve"> </w:t>
      </w:r>
      <w:r>
        <w:rPr>
          <w:rFonts w:ascii="Arial" w:cs="Arial" w:eastAsia="Arial" w:hAnsi="Arial"/>
          <w:sz w:val="15"/>
          <w:szCs w:val="15"/>
          <w:color w:val="auto"/>
        </w:rPr>
        <w:t>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date for such interest, which shall be the or (whether or not a Business Day), as the case may be, next preceding such Interest Payment Date (each, an “Interest Record Date”). Interest will be computed on the basis of [</w:t>
      </w:r>
      <w:r>
        <w:rPr>
          <w:rFonts w:ascii="Arial" w:cs="Arial" w:eastAsia="Arial" w:hAnsi="Arial"/>
          <w:sz w:val="18"/>
          <w:szCs w:val="18"/>
          <w:i w:val="1"/>
          <w:iCs w:val="1"/>
          <w:color w:val="auto"/>
        </w:rPr>
        <w:t>a 360-day year of twelve 30-day months</w:t>
      </w:r>
      <w:r>
        <w:rPr>
          <w:rFonts w:ascii="Arial" w:cs="Arial" w:eastAsia="Arial" w:hAnsi="Arial"/>
          <w:sz w:val="18"/>
          <w:szCs w:val="18"/>
          <w:color w:val="auto"/>
        </w:rPr>
        <w:t>].]</w:t>
      </w:r>
    </w:p>
    <w:p>
      <w:pPr>
        <w:spacing w:after="0" w:line="13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not to bear interest prior to maturity, insert—</w:t>
      </w:r>
      <w:r>
        <w:rPr>
          <w:rFonts w:ascii="Arial" w:cs="Arial" w:eastAsia="Arial" w:hAnsi="Arial"/>
          <w:sz w:val="16"/>
          <w:szCs w:val="16"/>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Reference is made to the further provisions set forth on the reverse of this Security contained herein, which will for all purposes have the same effect as if set forth at this place.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type w:val="continuous"/>
        </w:sectPr>
      </w:pPr>
    </w:p>
    <w:bookmarkStart w:id="158" w:name="page159"/>
    <w:bookmarkEnd w:id="15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 [</w:t>
        <w:tab/>
        <w:t>]</w:t>
      </w:r>
    </w:p>
    <w:p>
      <w:pPr>
        <w:spacing w:after="0" w:line="21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Emergent BioSolutions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Title of Security ]</w:t>
      </w:r>
    </w:p>
    <w:p>
      <w:pPr>
        <w:spacing w:after="0" w:line="218"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Indenture</w:t>
      </w:r>
    </w:p>
    <w:p>
      <w:pPr>
        <w:spacing w:after="0" w:line="90" w:lineRule="exact"/>
        <w:rPr>
          <w:sz w:val="20"/>
          <w:szCs w:val="20"/>
          <w:color w:val="auto"/>
        </w:rPr>
      </w:pPr>
    </w:p>
    <w:p>
      <w:pPr>
        <w:jc w:val="both"/>
        <w:ind w:right="120" w:firstLine="456"/>
        <w:spacing w:after="0" w:line="284" w:lineRule="auto"/>
        <w:rPr>
          <w:sz w:val="20"/>
          <w:szCs w:val="20"/>
          <w:color w:val="auto"/>
        </w:rPr>
      </w:pPr>
      <w:r>
        <w:rPr>
          <w:rFonts w:ascii="Arial" w:cs="Arial" w:eastAsia="Arial" w:hAnsi="Arial"/>
          <w:sz w:val="16"/>
          <w:szCs w:val="16"/>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Arial" w:cs="Arial" w:eastAsia="Arial" w:hAnsi="Arial"/>
          <w:sz w:val="16"/>
          <w:szCs w:val="16"/>
          <w:i w:val="1"/>
          <w:iCs w:val="1"/>
          <w:color w:val="auto"/>
        </w:rPr>
        <w:t>$</w:t>
      </w:r>
      <w:r>
        <w:rPr>
          <w:rFonts w:ascii="Arial" w:cs="Arial" w:eastAsia="Arial" w:hAnsi="Arial"/>
          <w:sz w:val="16"/>
          <w:szCs w:val="16"/>
          <w:color w:val="auto"/>
        </w:rPr>
        <w:t>] , all of such Securities issued and to be issued under an Indenture dated as of , (the “Indenture”) between the Issuer and as trustee (the “Trustee”). Capitalized terms herein are used as defined</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Security is one of a series of Securities designated pursuant to the Indenture [and an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 , issued pursuant to Section 2.01 and Section 2.03 thereof (the “Supplement”)] as . The Securities are general unsecured obligations of the Issuer. The Issuer may, subject to the provisions of the Indenture and applicable law, issue additional Securities of any series under the Indenture.</w:t>
      </w:r>
    </w:p>
    <w:p>
      <w:pPr>
        <w:spacing w:after="0" w:line="26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5"/>
          <w:szCs w:val="15"/>
          <w:i w:val="1"/>
          <w:iCs w:val="1"/>
          <w:color w:val="auto"/>
        </w:rPr>
        <w:t>the United States</w:t>
      </w:r>
      <w:r>
        <w:rPr>
          <w:rFonts w:ascii="Arial" w:cs="Arial" w:eastAsia="Arial" w:hAnsi="Arial"/>
          <w:sz w:val="15"/>
          <w:szCs w:val="15"/>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shall be made by the Paying Agent, upon receipt from the Issuer of immediately available funds by [</w:t>
      </w:r>
      <w:r>
        <w:rPr>
          <w:rFonts w:ascii="Arial" w:cs="Arial" w:eastAsia="Arial" w:hAnsi="Arial"/>
          <w:sz w:val="16"/>
          <w:szCs w:val="16"/>
          <w:i w:val="1"/>
          <w:iCs w:val="1"/>
          <w:color w:val="auto"/>
        </w:rPr>
        <w:t>a./p.m.</w:t>
      </w:r>
      <w:r>
        <w:rPr>
          <w:rFonts w:ascii="Arial" w:cs="Arial" w:eastAsia="Arial" w:hAnsi="Arial"/>
          <w:sz w:val="16"/>
          <w:szCs w:val="16"/>
          <w:color w:val="auto"/>
        </w:rPr>
        <w:t>],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0" w:name="page161"/>
    <w:bookmarkEnd w:id="16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r>
        <w:rPr>
          <w:sz w:val="20"/>
          <w:szCs w:val="20"/>
          <w:color w:val="auto"/>
        </w:rPr>
        <w:tab/>
      </w:r>
      <w:r>
        <w:rPr>
          <w:rFonts w:ascii="Arial" w:cs="Arial" w:eastAsia="Arial" w:hAnsi="Arial"/>
          <w:sz w:val="18"/>
          <w:szCs w:val="18"/>
          <w:color w:val="auto"/>
        </w:rPr>
        <w:t>Redemption.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Securities of this series may be redeemed at any time</w:t>
      </w:r>
      <w:r>
        <w:rPr>
          <w:rFonts w:ascii="Arial" w:cs="Arial" w:eastAsia="Arial" w:hAnsi="Arial"/>
          <w:sz w:val="18"/>
          <w:szCs w:val="18"/>
          <w:color w:val="auto"/>
        </w:rPr>
        <w:t xml:space="preserve"> [</w:t>
      </w:r>
      <w:r>
        <w:rPr>
          <w:rFonts w:ascii="Arial" w:cs="Arial" w:eastAsia="Arial" w:hAnsi="Arial"/>
          <w:sz w:val="18"/>
          <w:szCs w:val="18"/>
          <w:i w:val="1"/>
          <w:iCs w:val="1"/>
          <w:color w:val="auto"/>
        </w:rPr>
        <w:t>on or after ,</w:t>
      </w:r>
      <w:r>
        <w:rPr>
          <w:rFonts w:ascii="Arial" w:cs="Arial" w:eastAsia="Arial" w:hAnsi="Arial"/>
          <w:sz w:val="18"/>
          <w:szCs w:val="18"/>
          <w:color w:val="auto"/>
        </w:rPr>
        <w:t xml:space="preserve"> ]</w:t>
      </w:r>
      <w:r>
        <w:rPr>
          <w:rFonts w:ascii="Arial" w:cs="Arial" w:eastAsia="Arial" w:hAnsi="Arial"/>
          <w:sz w:val="18"/>
          <w:szCs w:val="18"/>
          <w:i w:val="1"/>
          <w:iCs w:val="1"/>
          <w:color w:val="auto"/>
        </w:rPr>
        <w:t>, as a whole or in part, at the option of the Issuer, upon mailing notice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such redemption not less than 30 and not more than 60 days to the Holders of such Securities, at a redemption price equal to </w:t>
      </w:r>
      <w:r>
        <w:rPr>
          <w:rFonts w:ascii="Arial" w:cs="Arial" w:eastAsia="Arial" w:hAnsi="Arial"/>
          <w:sz w:val="18"/>
          <w:szCs w:val="18"/>
          <w:color w:val="auto"/>
        </w:rPr>
        <w:t>.]</w:t>
      </w:r>
    </w:p>
    <w:p>
      <w:pPr>
        <w:spacing w:after="0" w:line="254"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Paying Agent and Security Registrar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Initially, the Trustee will act as Paying Agent and Security Registrar. The Issuer may change any Paying Agent or Security Registrar without notice to the Holders.</w:t>
      </w:r>
    </w:p>
    <w:p>
      <w:pPr>
        <w:spacing w:after="0" w:line="25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Securities are in registered form, without coupons, in denominations of [</w:t>
      </w:r>
      <w:r>
        <w:rPr>
          <w:rFonts w:ascii="Arial" w:cs="Arial" w:eastAsia="Arial" w:hAnsi="Arial"/>
          <w:sz w:val="18"/>
          <w:szCs w:val="18"/>
          <w:i w:val="1"/>
          <w:iCs w:val="1"/>
          <w:color w:val="auto"/>
        </w:rPr>
        <w:t>$1,000</w:t>
      </w:r>
      <w:r>
        <w:rPr>
          <w:rFonts w:ascii="Arial" w:cs="Arial" w:eastAsia="Arial" w:hAnsi="Arial"/>
          <w:sz w:val="18"/>
          <w:szCs w:val="18"/>
          <w:color w:val="auto"/>
        </w:rPr>
        <w:t>] and multiples of [</w:t>
      </w:r>
      <w:r>
        <w:rPr>
          <w:rFonts w:ascii="Arial" w:cs="Arial" w:eastAsia="Arial" w:hAnsi="Arial"/>
          <w:sz w:val="18"/>
          <w:szCs w:val="18"/>
          <w:i w:val="1"/>
          <w:iCs w:val="1"/>
          <w:color w:val="auto"/>
        </w:rPr>
        <w:t>$1,000</w:t>
      </w:r>
      <w:r>
        <w:rPr>
          <w:rFonts w:ascii="Arial" w:cs="Arial" w:eastAsia="Arial" w:hAnsi="Arial"/>
          <w:sz w:val="18"/>
          <w:szCs w:val="18"/>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8"/>
          <w:szCs w:val="18"/>
          <w:i w:val="1"/>
          <w:iCs w:val="1"/>
          <w:color w:val="auto"/>
        </w:rPr>
        <w:t>The Issuer need not</w:t>
      </w:r>
      <w:r>
        <w:rPr>
          <w:rFonts w:ascii="Arial" w:cs="Arial" w:eastAsia="Arial" w:hAnsi="Arial"/>
          <w:sz w:val="18"/>
          <w:szCs w:val="18"/>
          <w:color w:val="auto"/>
        </w:rPr>
        <w:t xml:space="preserve"> </w:t>
      </w:r>
      <w:r>
        <w:rPr>
          <w:rFonts w:ascii="Arial" w:cs="Arial" w:eastAsia="Arial" w:hAnsi="Arial"/>
          <w:sz w:val="18"/>
          <w:szCs w:val="18"/>
          <w:i w:val="1"/>
          <w:iCs w:val="1"/>
          <w:color w:val="auto"/>
        </w:rPr>
        <w:t>register the transfer of or exchange (a) any Securities for a period of fifteen (15) days preceding the first mailing of notice that such Securities 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8"/>
          <w:szCs w:val="18"/>
          <w:color w:val="auto"/>
        </w:rPr>
        <w:t>]</w:t>
      </w:r>
    </w:p>
    <w:p>
      <w:pPr>
        <w:spacing w:after="0" w:line="266"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registered Holder of a Security shall be treated as the owner of it for all purposes.</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25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Defeasance.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Indenture [</w:t>
      </w:r>
      <w:r>
        <w:rPr>
          <w:rFonts w:ascii="Arial" w:cs="Arial" w:eastAsia="Arial" w:hAnsi="Arial"/>
          <w:sz w:val="18"/>
          <w:szCs w:val="18"/>
          <w:i w:val="1"/>
          <w:iCs w:val="1"/>
          <w:color w:val="auto"/>
        </w:rPr>
        <w:t>as amended by the Supplement</w:t>
      </w:r>
      <w:r>
        <w:rPr>
          <w:rFonts w:ascii="Arial" w:cs="Arial" w:eastAsia="Arial" w:hAnsi="Arial"/>
          <w:sz w:val="18"/>
          <w:szCs w:val="18"/>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8"/>
          <w:szCs w:val="18"/>
          <w:i w:val="1"/>
          <w:iCs w:val="1"/>
          <w:color w:val="auto"/>
        </w:rPr>
        <w:t>apply</w:t>
      </w:r>
      <w:r>
        <w:rPr>
          <w:rFonts w:ascii="Arial" w:cs="Arial" w:eastAsia="Arial" w:hAnsi="Arial"/>
          <w:sz w:val="18"/>
          <w:szCs w:val="18"/>
          <w:color w:val="auto"/>
        </w:rPr>
        <w:t>] to this Security.</w:t>
      </w:r>
    </w:p>
    <w:p>
      <w:pPr>
        <w:spacing w:after="0" w:line="262"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Subject to certain exceptions, the Securities of this series, [the Supplement]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61" w:name="page162"/>
    <w:bookmarkEnd w:id="161"/>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265"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then outstanding and interest accrued thereon, if any, shall become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4"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6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62" w:name="page163"/>
    <w:bookmarkEnd w:id="162"/>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 and Defined Terms.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6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40" w:type="dxa"/>
            <w:vAlign w:val="bottom"/>
            <w:gridSpan w:val="4"/>
          </w:tcPr>
          <w:p>
            <w:pPr>
              <w:jc w:val="center"/>
              <w:ind w:right="2860"/>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434"/>
        </w:trPr>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35"/>
        </w:trPr>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540" w:type="dxa"/>
            <w:vAlign w:val="bottom"/>
            <w:gridSpan w:val="4"/>
          </w:tcPr>
          <w:p>
            <w:pPr>
              <w:jc w:val="center"/>
              <w:ind w:right="2880"/>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40"/>
        </w:trPr>
        <w:tc>
          <w:tcPr>
            <w:tcW w:w="2180" w:type="dxa"/>
            <w:vAlign w:val="bottom"/>
            <w:gridSpan w:val="2"/>
          </w:tcPr>
          <w:p>
            <w:pPr>
              <w:ind w:left="460"/>
              <w:spacing w:after="0"/>
              <w:rPr>
                <w:sz w:val="20"/>
                <w:szCs w:val="20"/>
                <w:color w:val="auto"/>
              </w:rPr>
            </w:pPr>
            <w:r>
              <w:rPr>
                <w:rFonts w:ascii="Arial" w:cs="Arial" w:eastAsia="Arial" w:hAnsi="Arial"/>
                <w:sz w:val="18"/>
                <w:szCs w:val="18"/>
                <w:color w:val="auto"/>
                <w:w w:val="91"/>
              </w:rPr>
              <w:t>and irrevocably appoint</w:t>
            </w:r>
          </w:p>
        </w:tc>
        <w:tc>
          <w:tcPr>
            <w:tcW w:w="7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80" w:type="dxa"/>
            <w:vAlign w:val="bottom"/>
            <w:gridSpan w:val="2"/>
          </w:tcPr>
          <w:p>
            <w:pPr>
              <w:ind w:left="40"/>
              <w:spacing w:after="0"/>
              <w:rPr>
                <w:sz w:val="20"/>
                <w:szCs w:val="20"/>
                <w:color w:val="auto"/>
              </w:rPr>
            </w:pPr>
            <w:r>
              <w:rPr>
                <w:rFonts w:ascii="Arial" w:cs="Arial" w:eastAsia="Arial" w:hAnsi="Arial"/>
                <w:sz w:val="18"/>
                <w:szCs w:val="18"/>
                <w:color w:val="auto"/>
                <w:w w:val="97"/>
              </w:rPr>
              <w:t>agent to transfer this Security on the books of the Issuer. The agent may</w:t>
            </w:r>
          </w:p>
        </w:tc>
      </w:tr>
      <w:tr>
        <w:trPr>
          <w:trHeight w:val="235"/>
        </w:trPr>
        <w:tc>
          <w:tcPr>
            <w:tcW w:w="2880" w:type="dxa"/>
            <w:vAlign w:val="bottom"/>
            <w:gridSpan w:val="3"/>
          </w:tcPr>
          <w:p>
            <w:pPr>
              <w:ind w:left="460"/>
              <w:spacing w:after="0"/>
              <w:rPr>
                <w:sz w:val="20"/>
                <w:szCs w:val="20"/>
                <w:color w:val="auto"/>
              </w:rPr>
            </w:pPr>
            <w:r>
              <w:rPr>
                <w:rFonts w:ascii="Arial" w:cs="Arial" w:eastAsia="Arial" w:hAnsi="Arial"/>
                <w:sz w:val="18"/>
                <w:szCs w:val="18"/>
                <w:color w:val="auto"/>
                <w:w w:val="93"/>
              </w:rPr>
              <w:t>substitute another to act for him.</w:t>
            </w:r>
          </w:p>
        </w:tc>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20"/>
        </w:trPr>
        <w:tc>
          <w:tcPr>
            <w:tcW w:w="1000" w:type="dxa"/>
            <w:vAlign w:val="bottom"/>
          </w:tcPr>
          <w:p>
            <w:pPr>
              <w:spacing w:after="0"/>
              <w:rPr>
                <w:sz w:val="20"/>
                <w:szCs w:val="20"/>
                <w:color w:val="auto"/>
              </w:rPr>
            </w:pPr>
            <w:r>
              <w:rPr>
                <w:rFonts w:ascii="Arial" w:cs="Arial" w:eastAsia="Arial" w:hAnsi="Arial"/>
                <w:sz w:val="18"/>
                <w:szCs w:val="18"/>
                <w:color w:val="auto"/>
              </w:rPr>
              <w:t>Dated:</w:t>
            </w:r>
          </w:p>
        </w:tc>
        <w:tc>
          <w:tcPr>
            <w:tcW w:w="1880" w:type="dxa"/>
            <w:vAlign w:val="bottom"/>
            <w:tcBorders>
              <w:bottom w:val="single" w:sz="8" w:color="auto"/>
            </w:tcBorders>
            <w:gridSpan w:val="2"/>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rPr>
              <w:t>Signed:</w:t>
            </w:r>
          </w:p>
        </w:tc>
        <w:tc>
          <w:tcPr>
            <w:tcW w:w="4560" w:type="dxa"/>
            <w:vAlign w:val="bottom"/>
            <w:tcBorders>
              <w:bottom w:val="single" w:sz="8" w:color="auto"/>
            </w:tcBorders>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80" w:type="dxa"/>
            <w:vAlign w:val="bottom"/>
            <w:gridSpan w:val="2"/>
          </w:tcPr>
          <w:p>
            <w:pPr>
              <w:ind w:left="1120"/>
              <w:spacing w:after="0"/>
              <w:rPr>
                <w:sz w:val="20"/>
                <w:szCs w:val="20"/>
                <w:color w:val="auto"/>
              </w:rPr>
            </w:pPr>
            <w:r>
              <w:rPr>
                <w:rFonts w:ascii="Arial" w:cs="Arial" w:eastAsia="Arial" w:hAnsi="Arial"/>
                <w:sz w:val="18"/>
                <w:szCs w:val="18"/>
                <w:color w:val="auto"/>
                <w:w w:val="98"/>
              </w:rPr>
              <w:t>(Signed exactly as name appears on the other side of this</w:t>
            </w:r>
          </w:p>
        </w:tc>
      </w:tr>
      <w:tr>
        <w:trPr>
          <w:trHeight w:val="222"/>
        </w:trPr>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80" w:type="dxa"/>
            <w:vAlign w:val="bottom"/>
            <w:gridSpan w:val="2"/>
          </w:tcPr>
          <w:p>
            <w:pPr>
              <w:ind w:left="1120"/>
              <w:spacing w:after="0"/>
              <w:rPr>
                <w:sz w:val="20"/>
                <w:szCs w:val="20"/>
                <w:color w:val="auto"/>
              </w:rPr>
            </w:pPr>
            <w:r>
              <w:rPr>
                <w:rFonts w:ascii="Arial" w:cs="Arial" w:eastAsia="Arial" w:hAnsi="Arial"/>
                <w:sz w:val="18"/>
                <w:szCs w:val="18"/>
                <w:color w:val="auto"/>
              </w:rPr>
              <w:t>Security)</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6985</wp:posOffset>
            </wp:positionV>
            <wp:extent cx="32416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Participant in a recognized Signature Guarantee Medallion Program (or other signature guarantor program reasonably acceptable to the Trustee)</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4.7</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b w:val="1"/>
          <w:bCs w:val="1"/>
          <w:u w:val="single" w:color="auto"/>
          <w:color w:val="auto"/>
        </w:rPr>
        <w:t>Form of Subordinated Note</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u w:val="single" w:color="auto"/>
          <w:color w:val="auto"/>
        </w:rPr>
        <w:t>(FACE OF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Global Security shall bear substantially the following legend:</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has original issue discount for U.S. federal income tax purposes, insert tax legend:</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 PURPOSES OF SECTIONS 1272 , 1273, and 1275 OF THE INTERNAL REVENUE CODE OF 1986, AS AMENDED (“THE CODE”), THIS SECURITY</w:t>
      </w:r>
      <w:r>
        <w:rPr>
          <w:rFonts w:ascii="Arial" w:cs="Arial" w:eastAsia="Arial" w:hAnsi="Arial"/>
          <w:sz w:val="16"/>
          <w:szCs w:val="16"/>
          <w:color w:val="auto"/>
        </w:rPr>
        <w:t xml:space="preserve"> </w:t>
      </w:r>
      <w:r>
        <w:rPr>
          <w:rFonts w:ascii="Arial" w:cs="Arial" w:eastAsia="Arial" w:hAnsi="Arial"/>
          <w:sz w:val="16"/>
          <w:szCs w:val="16"/>
          <w:i w:val="1"/>
          <w:iCs w:val="1"/>
          <w:color w:val="auto"/>
        </w:rPr>
        <w:t>IS BEING ISSUED WITH ORIGINAL ISSUE DISCOUNT. THE AMOUNT OF ORIGINAL ISSUE DISCOUNT (AS DEFINED IN SECTION 1273(A)(1) OF THE</w:t>
      </w:r>
    </w:p>
    <w:p>
      <w:pPr>
        <w:ind w:right="40"/>
        <w:spacing w:after="0" w:line="254" w:lineRule="auto"/>
        <w:rPr>
          <w:sz w:val="20"/>
          <w:szCs w:val="20"/>
          <w:color w:val="auto"/>
        </w:rPr>
      </w:pPr>
      <w:r>
        <w:rPr>
          <w:rFonts w:ascii="Arial" w:cs="Arial" w:eastAsia="Arial" w:hAnsi="Arial"/>
          <w:sz w:val="18"/>
          <w:szCs w:val="18"/>
          <w:i w:val="1"/>
          <w:iCs w:val="1"/>
          <w:color w:val="auto"/>
        </w:rPr>
        <w:t>CODE AND TREASURY REGULATION SECTION 1.1273-1(A)) WITH RESPECT TO THIS SECURITY IS , THE ISSUE DATE (AS DEFINED IN SECTION 1275(A)(2) OF THE CODE AND TREASURY REGULATION SECTION 1.1273-2(A)(2)) OF THIS SECURITY IS , THE ISSUE PRICE (AS DEFINED IN SECTION 1273(B) OF THE CODE AND TREASURY REGULATION SECTION 1.1273-2(A)) OF THIS SECURITY IS , AND THE YIELD TO MATURITY (AS DEFINED IN TREASURY REGULATION SECTION 1.1272-1(B)) OF THIS SECURITY IS .</w:t>
      </w:r>
      <w:r>
        <w:rPr>
          <w:rFonts w:ascii="Arial" w:cs="Arial" w:eastAsia="Arial" w:hAnsi="Arial"/>
          <w:sz w:val="18"/>
          <w:szCs w:val="18"/>
          <w:color w:val="auto"/>
        </w:rPr>
        <w:t>] ]</w:t>
      </w:r>
    </w:p>
    <w:p>
      <w:pPr>
        <w:sectPr>
          <w:pgSz w:w="11900" w:h="16838" w:orient="portrait"/>
          <w:cols w:equalWidth="0" w:num="1">
            <w:col w:w="11420"/>
          </w:cols>
          <w:pgMar w:left="240" w:top="125"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Emergent BioSolutions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Title of Security ]</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CUSIP No.: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Code][ISIN]: [</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4">
            <w:col w:w="360" w:space="180"/>
            <w:col w:w="8140" w:space="720"/>
            <w:col w:w="1780" w:space="180"/>
            <w:col w:w="6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Emergent BioSolutions Inc., a Delaware corporation (“Issuer”, which term includes any successor corporation), for value received promises to pay to [</w:t>
      </w:r>
      <w:r>
        <w:rPr>
          <w:rFonts w:ascii="Arial" w:cs="Arial" w:eastAsia="Arial" w:hAnsi="Arial"/>
          <w:sz w:val="16"/>
          <w:szCs w:val="16"/>
          <w:i w:val="1"/>
          <w:iCs w:val="1"/>
          <w:color w:val="auto"/>
        </w:rPr>
        <w:t>If</w:t>
      </w:r>
    </w:p>
    <w:p>
      <w:pPr>
        <w:spacing w:after="0" w:line="38"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i w:val="1"/>
          <w:iCs w:val="1"/>
          <w:color w:val="auto"/>
        </w:rPr>
        <w:t xml:space="preserve">the Security is a Global Security — </w:t>
      </w:r>
      <w:r>
        <w:rPr>
          <w:rFonts w:ascii="Arial" w:cs="Arial" w:eastAsia="Arial" w:hAnsi="Arial"/>
          <w:sz w:val="18"/>
          <w:szCs w:val="18"/>
          <w:color w:val="auto"/>
        </w:rPr>
        <w:t>CEDE &amp; CO.][</w:t>
      </w:r>
      <w:r>
        <w:rPr>
          <w:rFonts w:ascii="Arial" w:cs="Arial" w:eastAsia="Arial" w:hAnsi="Arial"/>
          <w:sz w:val="18"/>
          <w:szCs w:val="18"/>
          <w:i w:val="1"/>
          <w:iCs w:val="1"/>
          <w:color w:val="auto"/>
        </w:rPr>
        <w:t>If the Security is not a Global Security —</w:t>
      </w:r>
      <w:r>
        <w:rPr>
          <w:sz w:val="20"/>
          <w:szCs w:val="20"/>
          <w:color w:val="auto"/>
        </w:rPr>
        <w:tab/>
      </w:r>
      <w:r>
        <w:rPr>
          <w:rFonts w:ascii="Arial" w:cs="Arial" w:eastAsia="Arial" w:hAnsi="Arial"/>
          <w:sz w:val="15"/>
          <w:szCs w:val="15"/>
          <w:color w:val="auto"/>
        </w:rPr>
        <w:t>] or registered assigns, the principal sum of</w:t>
      </w:r>
    </w:p>
    <w:p>
      <w:pPr>
        <w:spacing w:after="0" w:line="9" w:lineRule="exact"/>
        <w:rPr>
          <w:sz w:val="20"/>
          <w:szCs w:val="20"/>
          <w:color w:val="auto"/>
        </w:rPr>
      </w:pPr>
    </w:p>
    <w:p>
      <w:pPr>
        <w:spacing w:after="0"/>
        <w:tabs>
          <w:tab w:leader="none" w:pos="740" w:val="left"/>
          <w:tab w:leader="none" w:pos="1220" w:val="left"/>
          <w:tab w:leader="none" w:pos="102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“Maturity Date”) [</w:t>
      </w:r>
      <w:r>
        <w:rPr>
          <w:rFonts w:ascii="Arial" w:cs="Arial" w:eastAsia="Arial" w:hAnsi="Arial"/>
          <w:sz w:val="18"/>
          <w:szCs w:val="18"/>
          <w:i w:val="1"/>
          <w:iCs w:val="1"/>
          <w:color w:val="auto"/>
        </w:rPr>
        <w:t>If the Security is to bear interest prior to maturity, insert—</w:t>
      </w:r>
      <w:r>
        <w:rPr>
          <w:rFonts w:ascii="Arial" w:cs="Arial" w:eastAsia="Arial" w:hAnsi="Arial"/>
          <w:sz w:val="18"/>
          <w:szCs w:val="18"/>
          <w:color w:val="auto"/>
        </w:rPr>
        <w:t>, and to pay interest thereon from</w:t>
      </w:r>
      <w:r>
        <w:rPr>
          <w:sz w:val="20"/>
          <w:szCs w:val="20"/>
          <w:color w:val="auto"/>
        </w:rPr>
        <w:tab/>
      </w:r>
      <w:r>
        <w:rPr>
          <w:rFonts w:ascii="Arial" w:cs="Arial" w:eastAsia="Arial" w:hAnsi="Arial"/>
          <w:sz w:val="16"/>
          <w:szCs w:val="16"/>
          <w:color w:val="auto"/>
        </w:rPr>
        <w:t>or from the</w:t>
      </w:r>
    </w:p>
    <w:p>
      <w:pPr>
        <w:spacing w:after="0" w:line="9" w:lineRule="exact"/>
        <w:rPr>
          <w:sz w:val="20"/>
          <w:szCs w:val="20"/>
          <w:color w:val="auto"/>
        </w:rPr>
      </w:pPr>
    </w:p>
    <w:p>
      <w:pPr>
        <w:spacing w:after="0"/>
        <w:tabs>
          <w:tab w:leader="none" w:pos="8680" w:val="left"/>
          <w:tab w:leader="none" w:pos="9560" w:val="left"/>
        </w:tabs>
        <w:rPr>
          <w:sz w:val="20"/>
          <w:szCs w:val="20"/>
          <w:color w:val="auto"/>
        </w:rPr>
      </w:pPr>
      <w:r>
        <w:rPr>
          <w:rFonts w:ascii="Arial" w:cs="Arial" w:eastAsia="Arial" w:hAnsi="Arial"/>
          <w:sz w:val="16"/>
          <w:szCs w:val="16"/>
          <w:color w:val="auto"/>
        </w:rPr>
        <w:t xml:space="preserve">most recent interest payment date to which interest has been paid or duly provided for, </w:t>
      </w:r>
      <w:r>
        <w:rPr>
          <w:rFonts w:ascii="Arial" w:cs="Arial" w:eastAsia="Arial" w:hAnsi="Arial"/>
          <w:sz w:val="16"/>
          <w:szCs w:val="16"/>
          <w:i w:val="1"/>
          <w:iCs w:val="1"/>
          <w:color w:val="auto"/>
        </w:rPr>
        <w:t>[semiannually in arrears on</w:t>
      </w:r>
      <w:r>
        <w:rPr>
          <w:sz w:val="20"/>
          <w:szCs w:val="20"/>
          <w:color w:val="auto"/>
        </w:rPr>
        <w:tab/>
      </w:r>
      <w:r>
        <w:rPr>
          <w:rFonts w:ascii="Arial" w:cs="Arial" w:eastAsia="Arial" w:hAnsi="Arial"/>
          <w:sz w:val="18"/>
          <w:szCs w:val="18"/>
          <w:i w:val="1"/>
          <w:iCs w:val="1"/>
          <w:color w:val="auto"/>
        </w:rPr>
        <w:t>and</w:t>
      </w:r>
      <w:r>
        <w:rPr>
          <w:sz w:val="20"/>
          <w:szCs w:val="20"/>
          <w:color w:val="auto"/>
        </w:rPr>
        <w:tab/>
      </w:r>
      <w:r>
        <w:rPr>
          <w:rFonts w:ascii="Arial" w:cs="Arial" w:eastAsia="Arial" w:hAnsi="Arial"/>
          <w:sz w:val="16"/>
          <w:szCs w:val="16"/>
          <w:i w:val="1"/>
          <w:iCs w:val="1"/>
          <w:color w:val="auto"/>
        </w:rPr>
        <w:t>in each year</w:t>
      </w:r>
      <w:r>
        <w:rPr>
          <w:rFonts w:ascii="Arial" w:cs="Arial" w:eastAsia="Arial" w:hAnsi="Arial"/>
          <w:sz w:val="16"/>
          <w:szCs w:val="16"/>
          <w:color w:val="auto"/>
        </w:rPr>
        <w:t>],</w:t>
      </w:r>
    </w:p>
    <w:p>
      <w:pPr>
        <w:spacing w:after="0" w:line="9" w:lineRule="exact"/>
        <w:rPr>
          <w:sz w:val="20"/>
          <w:szCs w:val="20"/>
          <w:color w:val="auto"/>
        </w:rPr>
      </w:pPr>
    </w:p>
    <w:p>
      <w:pPr>
        <w:spacing w:after="0"/>
        <w:tabs>
          <w:tab w:leader="none" w:pos="1460" w:val="left"/>
          <w:tab w:leader="none" w:pos="1940" w:val="left"/>
          <w:tab w:leader="none" w:pos="5600" w:val="left"/>
        </w:tabs>
        <w:rPr>
          <w:sz w:val="20"/>
          <w:szCs w:val="20"/>
          <w:color w:val="auto"/>
        </w:rPr>
      </w:pPr>
      <w:r>
        <w:rPr>
          <w:rFonts w:ascii="Arial" w:cs="Arial" w:eastAsia="Arial" w:hAnsi="Arial"/>
          <w:sz w:val="18"/>
          <w:szCs w:val="18"/>
          <w:color w:val="auto"/>
        </w:rPr>
        <w:t>commencing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(each, an “Interest Payment Date”) at the rate of [</w:t>
      </w:r>
      <w:r>
        <w:rPr>
          <w:sz w:val="20"/>
          <w:szCs w:val="20"/>
          <w:color w:val="auto"/>
        </w:rPr>
        <w:tab/>
      </w:r>
      <w:r>
        <w:rPr>
          <w:rFonts w:ascii="Arial" w:cs="Arial" w:eastAsia="Arial" w:hAnsi="Arial"/>
          <w:sz w:val="16"/>
          <w:szCs w:val="16"/>
          <w:i w:val="1"/>
          <w:iCs w:val="1"/>
          <w:color w:val="auto"/>
        </w:rPr>
        <w:t>% per annum</w:t>
      </w:r>
      <w:r>
        <w:rPr>
          <w:rFonts w:ascii="Arial" w:cs="Arial" w:eastAsia="Arial" w:hAnsi="Arial"/>
          <w:sz w:val="16"/>
          <w:szCs w:val="16"/>
          <w:color w:val="auto"/>
        </w:rPr>
        <w:t>], until the principal hereof is paid or made available for payment [</w:t>
      </w:r>
      <w:r>
        <w:rPr>
          <w:rFonts w:ascii="Arial" w:cs="Arial" w:eastAsia="Arial" w:hAnsi="Arial"/>
          <w:sz w:val="16"/>
          <w:szCs w:val="16"/>
          <w:i w:val="1"/>
          <w:iCs w:val="1"/>
          <w:color w:val="auto"/>
        </w:rPr>
        <w:t>If</w:t>
      </w:r>
    </w:p>
    <w:p>
      <w:pPr>
        <w:spacing w:after="0" w:line="9" w:lineRule="exact"/>
        <w:rPr>
          <w:sz w:val="20"/>
          <w:szCs w:val="20"/>
          <w:color w:val="auto"/>
        </w:rPr>
      </w:pPr>
    </w:p>
    <w:p>
      <w:pPr>
        <w:spacing w:after="0"/>
        <w:tabs>
          <w:tab w:leader="none" w:pos="8140" w:val="left"/>
        </w:tabs>
        <w:rPr>
          <w:sz w:val="20"/>
          <w:szCs w:val="20"/>
          <w:color w:val="auto"/>
        </w:rPr>
      </w:pPr>
      <w:r>
        <w:rPr>
          <w:rFonts w:ascii="Arial" w:cs="Arial" w:eastAsia="Arial" w:hAnsi="Arial"/>
          <w:sz w:val="18"/>
          <w:szCs w:val="18"/>
          <w:i w:val="1"/>
          <w:iCs w:val="1"/>
          <w:color w:val="auto"/>
        </w:rPr>
        <w:t xml:space="preserve">applicable insert—, </w:t>
      </w:r>
      <w:r>
        <w:rPr>
          <w:rFonts w:ascii="Arial" w:cs="Arial" w:eastAsia="Arial" w:hAnsi="Arial"/>
          <w:sz w:val="18"/>
          <w:szCs w:val="18"/>
          <w:color w:val="auto"/>
        </w:rPr>
        <w:t>and (to the extent that the payment of such interest shall be legally enforceable) at the rate of</w:t>
      </w:r>
      <w:r>
        <w:rPr>
          <w:sz w:val="20"/>
          <w:szCs w:val="20"/>
          <w:color w:val="auto"/>
        </w:rPr>
        <w:tab/>
      </w:r>
      <w:r>
        <w:rPr>
          <w:rFonts w:ascii="Arial" w:cs="Arial" w:eastAsia="Arial" w:hAnsi="Arial"/>
          <w:sz w:val="15"/>
          <w:szCs w:val="15"/>
          <w:color w:val="auto"/>
        </w:rPr>
        <w:t>% per annum on any overdue principal and on</w:t>
      </w:r>
    </w:p>
    <w:p>
      <w:pPr>
        <w:sectPr>
          <w:pgSz w:w="11900" w:h="16838" w:orient="portrait"/>
          <w:cols w:equalWidth="0" w:num="1">
            <w:col w:w="11420"/>
          </w:cols>
          <w:pgMar w:left="240" w:top="280" w:right="239" w:bottom="1440" w:gutter="0" w:footer="0" w:header="0"/>
          <w:type w:val="continuous"/>
        </w:sectPr>
      </w:pPr>
    </w:p>
    <w:p>
      <w:pPr>
        <w:spacing w:after="0" w:line="9" w:lineRule="exact"/>
        <w:rPr>
          <w:sz w:val="20"/>
          <w:szCs w:val="20"/>
          <w:color w:val="auto"/>
        </w:rPr>
      </w:pPr>
    </w:p>
    <w:p>
      <w:pPr>
        <w:ind w:right="200"/>
        <w:spacing w:after="0" w:line="300" w:lineRule="auto"/>
        <w:rPr>
          <w:sz w:val="20"/>
          <w:szCs w:val="20"/>
          <w:color w:val="auto"/>
        </w:rPr>
      </w:pPr>
      <w:r>
        <w:rPr>
          <w:rFonts w:ascii="Arial" w:cs="Arial" w:eastAsia="Arial" w:hAnsi="Arial"/>
          <w:sz w:val="15"/>
          <w:szCs w:val="15"/>
          <w:color w:val="auto"/>
        </w:rPr>
        <w:t>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record date for such interest, which shall be the or (whether or not a Business Day), as the case may be, next preceding such Interest Payment Date (each, an “Interest Record Date”). Interest will be computed on the basis of [</w:t>
      </w:r>
      <w:r>
        <w:rPr>
          <w:rFonts w:ascii="Arial" w:cs="Arial" w:eastAsia="Arial" w:hAnsi="Arial"/>
          <w:sz w:val="18"/>
          <w:szCs w:val="18"/>
          <w:i w:val="1"/>
          <w:iCs w:val="1"/>
          <w:color w:val="auto"/>
        </w:rPr>
        <w:t>a 360-day year of twelve 30-day months</w:t>
      </w:r>
      <w:r>
        <w:rPr>
          <w:rFonts w:ascii="Arial" w:cs="Arial" w:eastAsia="Arial" w:hAnsi="Arial"/>
          <w:sz w:val="18"/>
          <w:szCs w:val="18"/>
          <w:color w:val="auto"/>
        </w:rPr>
        <w:t>].]</w:t>
      </w:r>
    </w:p>
    <w:p>
      <w:pPr>
        <w:spacing w:after="0" w:line="13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Security is not to bear interest prior to maturity, insert—</w:t>
      </w:r>
      <w:r>
        <w:rPr>
          <w:rFonts w:ascii="Arial" w:cs="Arial" w:eastAsia="Arial" w:hAnsi="Arial"/>
          <w:sz w:val="16"/>
          <w:szCs w:val="16"/>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Reference is made to the further provisions set forth on the reverse of this Security contained herein, which will for all purposes have the same effect as if set forth at this place.</w:t>
      </w:r>
    </w:p>
    <w:p>
      <w:pPr>
        <w:sectPr>
          <w:pgSz w:w="11900" w:h="16838" w:orient="portrait"/>
          <w:cols w:equalWidth="0" w:num="1">
            <w:col w:w="11420"/>
          </w:cols>
          <w:pgMar w:left="240" w:top="280" w:right="239" w:bottom="1440" w:gutter="0" w:footer="0" w:header="0"/>
          <w:type w:val="continuous"/>
        </w:sectPr>
      </w:pPr>
    </w:p>
    <w:bookmarkStart w:id="166" w:name="page167"/>
    <w:bookmarkEnd w:id="16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 [</w:t>
        <w:tab/>
        <w:t>]</w:t>
      </w:r>
    </w:p>
    <w:p>
      <w:pPr>
        <w:spacing w:after="0" w:line="21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Emergent BioSolutions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Title of Security ]</w:t>
      </w:r>
    </w:p>
    <w:p>
      <w:pPr>
        <w:spacing w:after="0" w:line="218"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Indenture</w:t>
      </w:r>
    </w:p>
    <w:p>
      <w:pPr>
        <w:spacing w:after="0" w:line="90" w:lineRule="exact"/>
        <w:rPr>
          <w:sz w:val="20"/>
          <w:szCs w:val="20"/>
          <w:color w:val="auto"/>
        </w:rPr>
      </w:pPr>
    </w:p>
    <w:p>
      <w:pPr>
        <w:jc w:val="both"/>
        <w:ind w:right="220" w:firstLine="456"/>
        <w:spacing w:after="0" w:line="284" w:lineRule="auto"/>
        <w:rPr>
          <w:sz w:val="20"/>
          <w:szCs w:val="20"/>
          <w:color w:val="auto"/>
        </w:rPr>
      </w:pPr>
      <w:r>
        <w:rPr>
          <w:rFonts w:ascii="Arial" w:cs="Arial" w:eastAsia="Arial" w:hAnsi="Arial"/>
          <w:sz w:val="16"/>
          <w:szCs w:val="16"/>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Arial" w:cs="Arial" w:eastAsia="Arial" w:hAnsi="Arial"/>
          <w:sz w:val="16"/>
          <w:szCs w:val="16"/>
          <w:i w:val="1"/>
          <w:iCs w:val="1"/>
          <w:color w:val="auto"/>
        </w:rPr>
        <w:t>$</w:t>
      </w:r>
      <w:r>
        <w:rPr>
          <w:rFonts w:ascii="Arial" w:cs="Arial" w:eastAsia="Arial" w:hAnsi="Arial"/>
          <w:sz w:val="16"/>
          <w:szCs w:val="16"/>
          <w:color w:val="auto"/>
        </w:rPr>
        <w:t>] , all of such Securities issued and to be issued under an Indenture dated as of , (the “Indenture”) between the Issuer and as trustee (the “Trustee”). Capitalized terms herein are used as</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Security is one of a series of Securities designated pursuant to the Indenture [and an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 , issued pursuant to Section 2.01 and Section 2.03 thereof (the “Supplement”)] as . The Securities are general unsecured obligations of the Issuer. The Issuer may, subject to the provisions of the Indenture and applicable law, issue additional Securities of any series under the Indenture.</w:t>
      </w:r>
    </w:p>
    <w:p>
      <w:pPr>
        <w:spacing w:after="0" w:line="262"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5"/>
          <w:szCs w:val="15"/>
          <w:i w:val="1"/>
          <w:iCs w:val="1"/>
          <w:color w:val="auto"/>
        </w:rPr>
        <w:t>the United States</w:t>
      </w:r>
      <w:r>
        <w:rPr>
          <w:rFonts w:ascii="Arial" w:cs="Arial" w:eastAsia="Arial" w:hAnsi="Arial"/>
          <w:sz w:val="15"/>
          <w:szCs w:val="15"/>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shall be made by the Paying Agent, upon receipt from the Issuer of immediately available funds by [</w:t>
      </w:r>
      <w:r>
        <w:rPr>
          <w:rFonts w:ascii="Arial" w:cs="Arial" w:eastAsia="Arial" w:hAnsi="Arial"/>
          <w:sz w:val="16"/>
          <w:szCs w:val="16"/>
          <w:i w:val="1"/>
          <w:iCs w:val="1"/>
          <w:color w:val="auto"/>
        </w:rPr>
        <w:t>a./p.m.</w:t>
      </w:r>
      <w:r>
        <w:rPr>
          <w:rFonts w:ascii="Arial" w:cs="Arial" w:eastAsia="Arial" w:hAnsi="Arial"/>
          <w:sz w:val="16"/>
          <w:szCs w:val="16"/>
          <w:color w:val="auto"/>
        </w:rPr>
        <w:t>],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1420"/>
          </w:cols>
          <w:pgMar w:left="240" w:top="274" w:right="239" w:bottom="1440" w:gutter="0" w:footer="0" w:header="0"/>
        </w:sectPr>
      </w:pPr>
    </w:p>
    <w:bookmarkStart w:id="168" w:name="page169"/>
    <w:bookmarkEnd w:id="16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r>
        <w:rPr>
          <w:sz w:val="20"/>
          <w:szCs w:val="20"/>
          <w:color w:val="auto"/>
        </w:rPr>
        <w:tab/>
      </w:r>
      <w:r>
        <w:rPr>
          <w:rFonts w:ascii="Arial" w:cs="Arial" w:eastAsia="Arial" w:hAnsi="Arial"/>
          <w:sz w:val="18"/>
          <w:szCs w:val="18"/>
          <w:color w:val="auto"/>
        </w:rPr>
        <w:t>Redemption.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Securities of this series may be redeemed at any time</w:t>
      </w:r>
      <w:r>
        <w:rPr>
          <w:rFonts w:ascii="Arial" w:cs="Arial" w:eastAsia="Arial" w:hAnsi="Arial"/>
          <w:sz w:val="18"/>
          <w:szCs w:val="18"/>
          <w:color w:val="auto"/>
        </w:rPr>
        <w:t xml:space="preserve"> [</w:t>
      </w:r>
      <w:r>
        <w:rPr>
          <w:rFonts w:ascii="Arial" w:cs="Arial" w:eastAsia="Arial" w:hAnsi="Arial"/>
          <w:sz w:val="18"/>
          <w:szCs w:val="18"/>
          <w:i w:val="1"/>
          <w:iCs w:val="1"/>
          <w:color w:val="auto"/>
        </w:rPr>
        <w:t>on or after ,</w:t>
      </w:r>
      <w:r>
        <w:rPr>
          <w:rFonts w:ascii="Arial" w:cs="Arial" w:eastAsia="Arial" w:hAnsi="Arial"/>
          <w:sz w:val="18"/>
          <w:szCs w:val="18"/>
          <w:color w:val="auto"/>
        </w:rPr>
        <w:t xml:space="preserve"> ]</w:t>
      </w:r>
      <w:r>
        <w:rPr>
          <w:rFonts w:ascii="Arial" w:cs="Arial" w:eastAsia="Arial" w:hAnsi="Arial"/>
          <w:sz w:val="18"/>
          <w:szCs w:val="18"/>
          <w:i w:val="1"/>
          <w:iCs w:val="1"/>
          <w:color w:val="auto"/>
        </w:rPr>
        <w:t>, as a whole or in part, at the option of the Issuer, upon mailing notice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such redemption not less than 30 and not more than 60 days to the Holders of such Securities, at a redemption price equal to </w:t>
      </w:r>
      <w:r>
        <w:rPr>
          <w:rFonts w:ascii="Arial" w:cs="Arial" w:eastAsia="Arial" w:hAnsi="Arial"/>
          <w:sz w:val="18"/>
          <w:szCs w:val="18"/>
          <w:color w:val="auto"/>
        </w:rPr>
        <w:t>.]</w:t>
      </w:r>
    </w:p>
    <w:p>
      <w:pPr>
        <w:spacing w:after="0" w:line="254"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Paying Agent and Security Registrar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Initially, the Trustee will act as Paying Agent and Security Registrar. The Issuer may change any Paying Agent or Security Registrar without notice to the Holders.</w:t>
      </w:r>
    </w:p>
    <w:p>
      <w:pPr>
        <w:spacing w:after="0" w:line="254"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Securities are in registered form, without coupons, in denominations of [</w:t>
      </w:r>
      <w:r>
        <w:rPr>
          <w:rFonts w:ascii="Arial" w:cs="Arial" w:eastAsia="Arial" w:hAnsi="Arial"/>
          <w:sz w:val="18"/>
          <w:szCs w:val="18"/>
          <w:i w:val="1"/>
          <w:iCs w:val="1"/>
          <w:color w:val="auto"/>
        </w:rPr>
        <w:t>$1,000</w:t>
      </w:r>
      <w:r>
        <w:rPr>
          <w:rFonts w:ascii="Arial" w:cs="Arial" w:eastAsia="Arial" w:hAnsi="Arial"/>
          <w:sz w:val="18"/>
          <w:szCs w:val="18"/>
          <w:color w:val="auto"/>
        </w:rPr>
        <w:t>] and multiples of [</w:t>
      </w:r>
      <w:r>
        <w:rPr>
          <w:rFonts w:ascii="Arial" w:cs="Arial" w:eastAsia="Arial" w:hAnsi="Arial"/>
          <w:sz w:val="18"/>
          <w:szCs w:val="18"/>
          <w:i w:val="1"/>
          <w:iCs w:val="1"/>
          <w:color w:val="auto"/>
        </w:rPr>
        <w:t>$1,000</w:t>
      </w:r>
      <w:r>
        <w:rPr>
          <w:rFonts w:ascii="Arial" w:cs="Arial" w:eastAsia="Arial" w:hAnsi="Arial"/>
          <w:sz w:val="18"/>
          <w:szCs w:val="18"/>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8"/>
          <w:szCs w:val="18"/>
          <w:i w:val="1"/>
          <w:iCs w:val="1"/>
          <w:color w:val="auto"/>
        </w:rPr>
        <w:t>The Issuer need not</w:t>
      </w:r>
      <w:r>
        <w:rPr>
          <w:rFonts w:ascii="Arial" w:cs="Arial" w:eastAsia="Arial" w:hAnsi="Arial"/>
          <w:sz w:val="18"/>
          <w:szCs w:val="18"/>
          <w:color w:val="auto"/>
        </w:rPr>
        <w:t xml:space="preserve"> </w:t>
      </w:r>
      <w:r>
        <w:rPr>
          <w:rFonts w:ascii="Arial" w:cs="Arial" w:eastAsia="Arial" w:hAnsi="Arial"/>
          <w:sz w:val="18"/>
          <w:szCs w:val="18"/>
          <w:i w:val="1"/>
          <w:iCs w:val="1"/>
          <w:color w:val="auto"/>
        </w:rPr>
        <w:t>register the transfer of or exchange (a) any Securities for a period of fifteen (15) days preceding the first mailing of notice that such Securities 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8"/>
          <w:szCs w:val="18"/>
          <w:color w:val="auto"/>
        </w:rPr>
        <w:t>]</w:t>
      </w:r>
    </w:p>
    <w:p>
      <w:pPr>
        <w:spacing w:after="0" w:line="266"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registered Holder of a Security shall be treated as the owner of it for all purposes.</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254"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Defeasance.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Indenture [</w:t>
      </w:r>
      <w:r>
        <w:rPr>
          <w:rFonts w:ascii="Arial" w:cs="Arial" w:eastAsia="Arial" w:hAnsi="Arial"/>
          <w:sz w:val="18"/>
          <w:szCs w:val="18"/>
          <w:i w:val="1"/>
          <w:iCs w:val="1"/>
          <w:color w:val="auto"/>
        </w:rPr>
        <w:t>as amended by the Supplement</w:t>
      </w:r>
      <w:r>
        <w:rPr>
          <w:rFonts w:ascii="Arial" w:cs="Arial" w:eastAsia="Arial" w:hAnsi="Arial"/>
          <w:sz w:val="18"/>
          <w:szCs w:val="18"/>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8"/>
          <w:szCs w:val="18"/>
          <w:i w:val="1"/>
          <w:iCs w:val="1"/>
          <w:color w:val="auto"/>
        </w:rPr>
        <w:t>apply</w:t>
      </w:r>
      <w:r>
        <w:rPr>
          <w:rFonts w:ascii="Arial" w:cs="Arial" w:eastAsia="Arial" w:hAnsi="Arial"/>
          <w:sz w:val="18"/>
          <w:szCs w:val="18"/>
          <w:color w:val="auto"/>
        </w:rPr>
        <w:t>] to this Security.</w:t>
      </w:r>
    </w:p>
    <w:p>
      <w:pPr>
        <w:spacing w:after="0" w:line="262"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Subject to certain exceptions, the Securities of this series, [the Supplement]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69" w:name="page170"/>
    <w:bookmarkEnd w:id="169"/>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265"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then outstanding and interest accrued thereon, if any, shall become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4"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Subordination.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w:t>
      </w:r>
    </w:p>
    <w:p>
      <w:pPr>
        <w:spacing w:after="0" w:line="262"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70" w:name="page171"/>
    <w:bookmarkEnd w:id="170"/>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6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40" w:type="dxa"/>
            <w:vAlign w:val="bottom"/>
            <w:gridSpan w:val="4"/>
          </w:tcPr>
          <w:p>
            <w:pPr>
              <w:jc w:val="center"/>
              <w:ind w:right="2772"/>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434"/>
        </w:trPr>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35"/>
        </w:trPr>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540" w:type="dxa"/>
            <w:vAlign w:val="bottom"/>
            <w:gridSpan w:val="4"/>
          </w:tcPr>
          <w:p>
            <w:pPr>
              <w:jc w:val="center"/>
              <w:ind w:right="2792"/>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542"/>
        </w:trPr>
        <w:tc>
          <w:tcPr>
            <w:tcW w:w="2180" w:type="dxa"/>
            <w:vAlign w:val="bottom"/>
            <w:gridSpan w:val="2"/>
          </w:tcPr>
          <w:p>
            <w:pPr>
              <w:ind w:left="460"/>
              <w:spacing w:after="0"/>
              <w:rPr>
                <w:sz w:val="20"/>
                <w:szCs w:val="20"/>
                <w:color w:val="auto"/>
              </w:rPr>
            </w:pPr>
            <w:r>
              <w:rPr>
                <w:rFonts w:ascii="Arial" w:cs="Arial" w:eastAsia="Arial" w:hAnsi="Arial"/>
                <w:sz w:val="18"/>
                <w:szCs w:val="18"/>
                <w:color w:val="auto"/>
                <w:w w:val="91"/>
              </w:rPr>
              <w:t>and irrevocably appoint</w:t>
            </w:r>
          </w:p>
        </w:tc>
        <w:tc>
          <w:tcPr>
            <w:tcW w:w="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80" w:type="dxa"/>
            <w:vAlign w:val="bottom"/>
            <w:gridSpan w:val="2"/>
          </w:tcPr>
          <w:p>
            <w:pPr>
              <w:ind w:left="40"/>
              <w:spacing w:after="0"/>
              <w:rPr>
                <w:sz w:val="20"/>
                <w:szCs w:val="20"/>
                <w:color w:val="auto"/>
              </w:rPr>
            </w:pPr>
            <w:r>
              <w:rPr>
                <w:rFonts w:ascii="Arial" w:cs="Arial" w:eastAsia="Arial" w:hAnsi="Arial"/>
                <w:sz w:val="18"/>
                <w:szCs w:val="18"/>
                <w:color w:val="auto"/>
                <w:w w:val="97"/>
              </w:rPr>
              <w:t>agent to transfer this Security on the books of the Issuer. The agent may</w:t>
            </w:r>
          </w:p>
        </w:tc>
      </w:tr>
      <w:tr>
        <w:trPr>
          <w:trHeight w:val="235"/>
        </w:trPr>
        <w:tc>
          <w:tcPr>
            <w:tcW w:w="2880" w:type="dxa"/>
            <w:vAlign w:val="bottom"/>
            <w:gridSpan w:val="3"/>
          </w:tcPr>
          <w:p>
            <w:pPr>
              <w:ind w:left="460"/>
              <w:spacing w:after="0"/>
              <w:rPr>
                <w:sz w:val="20"/>
                <w:szCs w:val="20"/>
                <w:color w:val="auto"/>
              </w:rPr>
            </w:pPr>
            <w:r>
              <w:rPr>
                <w:rFonts w:ascii="Arial" w:cs="Arial" w:eastAsia="Arial" w:hAnsi="Arial"/>
                <w:sz w:val="18"/>
                <w:szCs w:val="18"/>
                <w:color w:val="auto"/>
                <w:w w:val="93"/>
              </w:rPr>
              <w:t>substitute another to act for him.</w:t>
            </w: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20"/>
        </w:trPr>
        <w:tc>
          <w:tcPr>
            <w:tcW w:w="2880" w:type="dxa"/>
            <w:vAlign w:val="bottom"/>
            <w:gridSpan w:val="3"/>
          </w:tcPr>
          <w:p>
            <w:pPr>
              <w:spacing w:after="0"/>
              <w:rPr>
                <w:sz w:val="20"/>
                <w:szCs w:val="20"/>
                <w:color w:val="auto"/>
              </w:rPr>
            </w:pPr>
            <w:r>
              <w:rPr>
                <w:rFonts w:ascii="Arial" w:cs="Arial" w:eastAsia="Arial" w:hAnsi="Arial"/>
                <w:sz w:val="18"/>
                <w:szCs w:val="18"/>
                <w:color w:val="auto"/>
              </w:rPr>
              <w:t>Dated:</w:t>
            </w: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Signed:</w:t>
            </w:r>
          </w:p>
        </w:tc>
      </w:tr>
      <w:tr>
        <w:trPr>
          <w:trHeight w:val="222"/>
        </w:trPr>
        <w:tc>
          <w:tcPr>
            <w:tcW w:w="6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(Signed exactly as name appears on the other side of this Security)</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6985</wp:posOffset>
            </wp:positionV>
            <wp:extent cx="31902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0" w:lineRule="exact"/>
        <w:rPr>
          <w:sz w:val="20"/>
          <w:szCs w:val="20"/>
          <w:color w:val="auto"/>
        </w:rPr>
      </w:pPr>
    </w:p>
    <w:p>
      <w:pPr>
        <w:ind w:left="5680" w:right="140" w:hanging="4513"/>
        <w:spacing w:after="0" w:line="440"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 8</w:t>
      </w:r>
    </w:p>
    <w:p>
      <w:pPr>
        <w:sectPr>
          <w:pgSz w:w="11900" w:h="16838" w:orient="portrait"/>
          <w:cols w:equalWidth="0" w:num="1">
            <w:col w:w="11420"/>
          </w:cols>
          <w:pgMar w:left="240" w:top="274"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246380</wp:posOffset>
            </wp:positionV>
            <wp:extent cx="103759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375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+1 212 230 8800 (t)</w:t>
      </w:r>
    </w:p>
    <w:p>
      <w:pPr>
        <w:spacing w:after="0" w:line="15"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+1 212 230 8888 (f)</w:t>
      </w:r>
    </w:p>
    <w:p>
      <w:pPr>
        <w:spacing w:after="0" w:line="32"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wilmerhale.com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2273 Research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20850</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u w:val="single" w:color="auto"/>
          <w:color w:val="auto"/>
        </w:rPr>
        <w:t>Re:</w:t>
      </w:r>
      <w:r>
        <w:rPr>
          <w:sz w:val="20"/>
          <w:szCs w:val="20"/>
          <w:color w:val="auto"/>
        </w:rPr>
        <w:tab/>
      </w:r>
      <w:r>
        <w:rPr>
          <w:rFonts w:ascii="Arial" w:cs="Arial" w:eastAsia="Arial" w:hAnsi="Arial"/>
          <w:sz w:val="15"/>
          <w:szCs w:val="15"/>
          <w:u w:val="single" w:color="auto"/>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This opinion is furnished to you in connection with a Registration Statement on Form S-3 (the “Registration Statement”) to be filed by Emergent BioSolutions Inc., a Delaware corporation (the “Company”), with the Securities and Exchange Commission (the “Commission”) under the Securities Act of 1933, as amended (the “Securities Act”), for the registration of the following securities of the Company (the “Securities”):</w:t>
      </w:r>
    </w:p>
    <w:p>
      <w:pPr>
        <w:spacing w:after="0" w:line="26" w:lineRule="exact"/>
        <w:rPr>
          <w:sz w:val="20"/>
          <w:szCs w:val="20"/>
          <w:color w:val="auto"/>
        </w:rPr>
      </w:pPr>
    </w:p>
    <w:p>
      <w:pPr>
        <w:ind w:left="800" w:hanging="336"/>
        <w:spacing w:after="0"/>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common stock, $0.001 par value per share (the “Common Stock”);</w:t>
      </w:r>
    </w:p>
    <w:p>
      <w:pPr>
        <w:spacing w:after="0" w:line="90" w:lineRule="exact"/>
        <w:rPr>
          <w:rFonts w:ascii="Arial" w:cs="Arial" w:eastAsia="Arial" w:hAnsi="Arial"/>
          <w:sz w:val="18"/>
          <w:szCs w:val="18"/>
          <w:color w:val="auto"/>
        </w:rPr>
      </w:pPr>
    </w:p>
    <w:p>
      <w:pPr>
        <w:ind w:right="240" w:firstLine="464"/>
        <w:spacing w:after="0" w:line="268" w:lineRule="auto"/>
        <w:tabs>
          <w:tab w:leader="none" w:pos="8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preferred stock, $0.001 par value per share (the “Preferred Stock” and, together with the Common Stock to be issued and sold by the Company, the “Company Shares”);</w:t>
      </w:r>
    </w:p>
    <w:p>
      <w:pPr>
        <w:spacing w:after="0" w:line="50" w:lineRule="exact"/>
        <w:rPr>
          <w:rFonts w:ascii="Arial" w:cs="Arial" w:eastAsia="Arial" w:hAnsi="Arial"/>
          <w:sz w:val="18"/>
          <w:szCs w:val="18"/>
          <w:color w:val="auto"/>
        </w:rPr>
      </w:pPr>
    </w:p>
    <w:p>
      <w:pPr>
        <w:ind w:left="900" w:hanging="43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senior debt securities (the “Senior Debt Securities”);</w:t>
      </w:r>
    </w:p>
    <w:p>
      <w:pPr>
        <w:spacing w:after="0" w:line="90" w:lineRule="exact"/>
        <w:rPr>
          <w:rFonts w:ascii="Arial" w:cs="Arial" w:eastAsia="Arial" w:hAnsi="Arial"/>
          <w:sz w:val="18"/>
          <w:szCs w:val="18"/>
          <w:color w:val="auto"/>
        </w:rPr>
      </w:pPr>
    </w:p>
    <w:p>
      <w:pPr>
        <w:ind w:left="900" w:hanging="436"/>
        <w:spacing w:after="0"/>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subordinated debt securities (the “Subordinated Debt Securities” and, together with the Senior Debt Securities, the “Debt Securities”); and</w:t>
      </w:r>
    </w:p>
    <w:p>
      <w:pPr>
        <w:spacing w:after="0" w:line="113" w:lineRule="exact"/>
        <w:rPr>
          <w:rFonts w:ascii="Arial" w:cs="Arial" w:eastAsia="Arial" w:hAnsi="Arial"/>
          <w:sz w:val="16"/>
          <w:szCs w:val="16"/>
          <w:color w:val="auto"/>
        </w:rPr>
      </w:pPr>
    </w:p>
    <w:p>
      <w:pPr>
        <w:ind w:left="840" w:hanging="376"/>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Senior Debt Securities or Subordinated Debt Securities (the “Warrants”),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all of which may be issued and sold by the Company from time to time on a delayed or continuous basis pursuant to Rule 415 under the Securities Act at an aggregate initial offering price not to exceed $180,000,000, as set forth in the Registration Statement, the prospectus contained therein (the “Prospectus”) and any amendments or supplements thereto. In addition to the foregoing, there are being registered under the Registration Statement 3,000,000 shares of Common Stock (the “Selling Stockholder Shares”) that may be sold by certain stockholders of the Company (the “Selling Stockholders”) from time to time on a delayed or continuous basis pursuant to Rule 415 under the Securities Act.</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are acting as counsel for the Company in connection with the filing of the Registration Statement. The preferences, limitations and relative rights of shares of any series of Preferred Stock will be set forth in a Certificate of Designation (a “Certificate of Designation”) with respect thereto. The Senior Debt Securities may be issued pursuant to a senior indenture (the “Senior Indenture”) between the Company and a trustee to be named in such indenture and duly qualified under the Trust Indenture Act of 1939, as amended (the “Trust Indenture Act”), and the Subordinated Debt Securities may</w:t>
      </w:r>
    </w:p>
    <w:p>
      <w:pPr>
        <w:sectPr>
          <w:pgSz w:w="11900" w:h="16838" w:orient="portrait"/>
          <w:cols w:equalWidth="0" w:num="1">
            <w:col w:w="11420"/>
          </w:cols>
          <w:pgMar w:left="240" w:top="125"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-125095</wp:posOffset>
            </wp:positionV>
            <wp:extent cx="103759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375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3,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be issued pursuant to a subordinated indenture (together with the Senior Indenture, the “Indentures”) between the Company and a trustee to be named in such indenture and duly qualified under the Trust Indenture Act. Warrants may be issued pursuant to a warrant agreement (the “Warrant Agreement”) between the Company and a bank or trust company as warrant agent. We are acting as counsel for the Company in connection with the registration for resale by the Selling Stockholders of the Selling Stockholder Shares.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examined and relied upon signed copies of the Registration Statement to be filed with the Commission, including the exhibits thereto. We have also examined and relied upon the corporate minute books of the Company as provided to us by the Company, the Certificate of Incorporation and By-laws of the Company, each as restated and/or amended to date, and such other documents as we have deemed necessary for purposes of rendering the opinions hereinafter set forth.</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legal capacity of all individual signatories, the authenticity of all documents submitted to us as originals, the conformity to original documents of all documents submitted to us as copies, the authenticity of such original documents and the completeness and accuracy of the corporate minute books of the Company provided to us by the Company.</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relied as to certain matters on information obtained from public officials and officers of the Company, and we have assumed that (i) one or more Prospectus supplements will be prepared and filed with the Commission describing the Securities offered thereby, (ii) all Securities will be issued and sold in compliance with applicable federal and state securities laws and in the manner stated in the Registration Statement, the Prospectus and the applicable Prospectus supplements, (iii) the applicable Indenture will be duly authorized, executed and delivered by the trustee named therein, (iv) the applicable Indenture will be duly qualified under the Trust Indenture Act and the applicable trustee will be duly eligible to serve as trustee, (v) the Debt Securities will be duly authenticated by the trustee named in the applicable Indenture, (vi) the Warrant Agreement will be duly authorized, executed and delivered by all parties thereto other than the Company, (vii) a definitive purchase, underwriting or similar agreement with respect to any Securities offered will be duly authorized, executed and delivered by all parties thereto other than the Company, (viii) any Securities issuable upon conversion, exchange or exercise of any Security being offered will be duly authorized, created and, if appropriate, reserved for issuance upon such conversion, exchange or exercise, (ix) with respect to shares of Common Stock or Preferred Stock offered, there will be sufficient shares of Common Stock or Preferred Stock authorized under the Company’s Certificate of Incorporation and By-Laws and not otherwise reserved for issuance, and (x) the Company will be validly existing as a corporation in good standing under the laws of the State of Delaware at the time of the issuance of the Securities.</w:t>
      </w:r>
    </w:p>
    <w:p>
      <w:pPr>
        <w:spacing w:after="0" w:line="12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w:t>
      </w:r>
    </w:p>
    <w:p>
      <w:pPr>
        <w:sectPr>
          <w:pgSz w:w="11900" w:h="16838" w:orient="portrait"/>
          <w:cols w:equalWidth="0" w:num="1">
            <w:col w:w="11380"/>
          </w:cols>
          <w:pgMar w:left="240" w:top="280" w:right="27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-125730</wp:posOffset>
            </wp:positionV>
            <wp:extent cx="103759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375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3,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required, it will have been duly obtained, taken, given or made and will be in full force and effect. We have also assumed that the execution and delivery by the Company of the Indentures, the Warrant Agreement and the Securities and the performance by the Company of its obligations thereunder do not and will not violate, conflict with or constitute a default under (i) any agreement or instrument to which the Company or any of its properties is subject, (ii) any law, rule or regulation to which the Company or any of its properties is subject or (iii) any judicial or regulatory order or decree of any governmental authority.</w:t>
      </w:r>
    </w:p>
    <w:p>
      <w:pPr>
        <w:spacing w:after="0" w:line="11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have also assumed that there will not have occurred, prior to the date of issuance of the Securities, any change in law affecting the validity or enforceability of such Securities and that at the time of the issuance and sale of the Securities, the Board of Directors of the Company (or any committee thereof acting pursuant to authority properly delegated to such committee by the Board of Directors) shall not have taken any action to rescind or otherwise reduce its prior authorization of the issuance of the Securities.</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opinion expressed in paragraph 5 below, insofar as it relates to the Selling Stockholder Shares being fully paid, is based solely on an officer’s certificate of the Company, executed and delivered to us by an executive officer of the Company, confirming the Company’s receipt of the consideration called for by the applicable resolutions authorizing the issuance of such shares.</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opinions below are qualified to the extent that they may be subject to or affected by (i) applicable bankruptcy, insolvency, reorganization, moratorium, usury, fraudulent conveyance or similar laws relating to or affecting the rights of creditors generally; (ii) statutory or decisional law concerning recourse by creditors to security in the absence of notice or hearing; (iii) duties and standards imposed on creditors and parties to contracts, including, without limitation, requirements of materiality, good faith, reasonableness and fair dealing; and (iv) general equitable principles.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the General Corporation Law of the State of Delaware and the federal laws of the United States of America. We express no opinion herein with respect to compliance by the Company with securities or “blue sky” laws of any state or other jurisdiction of the United States or of any foreign jurisdiction. In addition, we express no opinion and make no statement herein with respect to the antifraud laws of any jurisdiction or the enforceability of any provision requiring the payment of interest on overdue interest.</w:t>
      </w:r>
    </w:p>
    <w:p>
      <w:pPr>
        <w:spacing w:after="0" w:line="12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also express no opinion herein as to any provision of any agreement (a) that may be deemed to or construed to waive any right of the Company; (b) to the effect that rights and remedies are not exclusive, that every right or remedy is cumulative and may be exercised in addition to or with any other right or remedy and does not preclude recourse to one or more other rights or remedies; (c) relating to the effect of invalidity or unenforceability of any provision of any agreement on the validity or enforceability of any other provision thereof; (d) that is in violation of public policy; (e) relating to indemnification and contribution with respect to securities law matters; (f) which provides that the terms of any agreement may not be waived or modified except in writing; (g) purporting to indemnify any person against his, her or its own negligence or intentional misconduct; (h) requiring the payment of penalties, consequential damages or liquidated damages; or (i) relating to choice of law or consent to jurisdiction.</w:t>
      </w:r>
    </w:p>
    <w:p>
      <w:pPr>
        <w:sectPr>
          <w:pgSz w:w="11900" w:h="16838" w:orient="portrait"/>
          <w:cols w:equalWidth="0" w:num="1">
            <w:col w:w="11420"/>
          </w:cols>
          <w:pgMar w:left="240" w:top="280"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-125730</wp:posOffset>
            </wp:positionV>
            <wp:extent cx="103759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375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3,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assume that appropriate action will be taken prior to the offer and sale of the Company Shares, the Debt Securities, the Warrants and the Selling Stockholder Shares to register and qualify the Company Shares, the Debt Securities, the Warrants and the Selling Stockholder Shares under all applicable state securities “blue sky” laws.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90" w:lineRule="exact"/>
        <w:rPr>
          <w:sz w:val="20"/>
          <w:szCs w:val="20"/>
          <w:color w:val="auto"/>
        </w:rPr>
      </w:pPr>
    </w:p>
    <w:p>
      <w:pPr>
        <w:ind w:right="20" w:firstLine="464"/>
        <w:spacing w:after="0" w:line="291" w:lineRule="auto"/>
        <w:tabs>
          <w:tab w:leader="none" w:pos="7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With respect to the Common Stock, when (i) specifically authorized for issuance by proper action of the Company’s Board of Directors or an authorized committee thereof (the “Authorizing Resolutions”), (ii) the terms of the issuance and sale of the Common Stock have been duly established in conformity with the Company’s Certificate of Incorporation and By laws, each as restated and/or amended, (iii) the shares of Common Stock have been issued and sold as contemplated by the Registration Statement, the Prospectus and the applicable supplements to such Prospectus and (iv) the Company has received the consideration provided for in the Authorizing Resolutions and such consideration per share is not less than the par value per share of Common Stock, the Common Stock will be validly issued, fully paid and nonassessable.</w:t>
      </w:r>
    </w:p>
    <w:p>
      <w:pPr>
        <w:spacing w:after="0" w:line="39" w:lineRule="exact"/>
        <w:rPr>
          <w:rFonts w:ascii="Arial" w:cs="Arial" w:eastAsia="Arial" w:hAnsi="Arial"/>
          <w:sz w:val="16"/>
          <w:szCs w:val="16"/>
          <w:color w:val="auto"/>
        </w:rPr>
      </w:pPr>
    </w:p>
    <w:p>
      <w:pPr>
        <w:ind w:firstLine="464"/>
        <w:spacing w:after="0" w:line="289" w:lineRule="auto"/>
        <w:tabs>
          <w:tab w:leader="none" w:pos="7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With respect to shares of any series of the Preferred Stock, when (i) the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(ii) the terms of the issuance and sale of the series of Preferred Stock have been duly established in conformity with the Company’s Certificate of Incorporation and By-laws, each as restated and/or amended, (iii) the shares of the series of Preferred Stock have been duly issued and sold as contemplated by the Registration Statement, the Prospectus and the applicable supplements to such Prospectus and (iv) the Company has received the consideration provided for in the Authorizing Resolutions and such consideration per share is not less than the par value per share of Preferred Stock, the shares of such series of Preferred Stock will be validly issued, fully paid and nonassessable.</w:t>
      </w:r>
    </w:p>
    <w:p>
      <w:pPr>
        <w:spacing w:after="0" w:line="37" w:lineRule="exact"/>
        <w:rPr>
          <w:rFonts w:ascii="Arial" w:cs="Arial" w:eastAsia="Arial" w:hAnsi="Arial"/>
          <w:sz w:val="16"/>
          <w:szCs w:val="16"/>
          <w:color w:val="auto"/>
        </w:rPr>
      </w:pPr>
    </w:p>
    <w:p>
      <w:pPr>
        <w:ind w:right="20" w:firstLine="464"/>
        <w:spacing w:after="0" w:line="291" w:lineRule="auto"/>
        <w:tabs>
          <w:tab w:leader="none" w:pos="7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With respect to the Debt Securities, when (i) specifically authorized for issuance by the Authorizing Resolutions, (ii) the applicable Indenture has been duly authorized, executed and delivered, (iii) the terms of the Debt Securities and of their issuance and sale have been duly established in conformity with the applicable Indenture and the Authorizing Resolutions, (iv) such Debt Securities have been duly executed and authenticated in accordance with the applicable Indenture and issued and sold as contemplated by the Registration Statement, the Prospectus and the applicable supplements to such Prospectus and (v) the Company has received the consideration provided for in the Authorizing Resolutions, such Debt Securities will constitute valid and binding obligations of the Company, enforceable against the Company in accordance with their terms.</w:t>
      </w:r>
    </w:p>
    <w:p>
      <w:pPr>
        <w:spacing w:after="0" w:line="120" w:lineRule="exact"/>
        <w:rPr>
          <w:rFonts w:ascii="Arial" w:cs="Arial" w:eastAsia="Arial" w:hAnsi="Arial"/>
          <w:sz w:val="16"/>
          <w:szCs w:val="16"/>
          <w:color w:val="auto"/>
        </w:rPr>
      </w:pPr>
    </w:p>
    <w:p>
      <w:pPr>
        <w:ind w:right="20" w:firstLine="464"/>
        <w:spacing w:after="0" w:line="259" w:lineRule="auto"/>
        <w:tabs>
          <w:tab w:leader="none" w:pos="76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respect to the Warrants, when (i) specifically authorized for issuance by the Authorizing Resolutions, (ii) the applicable Warrant Agreement relating to the Warrants has been duly authorized, executed and delivered, (iii) the terms of the Warrants and of their issuance and sale have been duly established in conformity with the</w:t>
      </w:r>
    </w:p>
    <w:p>
      <w:pPr>
        <w:sectPr>
          <w:pgSz w:w="11900" w:h="16838" w:orient="portrait"/>
          <w:cols w:equalWidth="0" w:num="1">
            <w:col w:w="11380"/>
          </w:cols>
          <w:pgMar w:left="240" w:top="280" w:right="2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-125095</wp:posOffset>
            </wp:positionV>
            <wp:extent cx="103759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375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3,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65"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applicable Warrant Agreement and the Authorizing Resolutions, (iv) the Warrants have been duly executed and countersigned in accordance with the applicable Warrant Agreement and issued and sold as contemplated by the Registration Statement, the Prospectus and the applicable supplements to such Prospectus and</w:t>
      </w:r>
    </w:p>
    <w:p>
      <w:pPr>
        <w:ind w:right="160" w:firstLine="8"/>
        <w:spacing w:after="0" w:line="261" w:lineRule="auto"/>
        <w:tabs>
          <w:tab w:leader="none" w:pos="2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has received the consideration provided for in the Authorizing Resolutions, such Warrants will constitute valid and binding obligations of the Company, enforceable against the Company in accordance with their terms.</w:t>
      </w:r>
    </w:p>
    <w:p>
      <w:pPr>
        <w:spacing w:after="0" w:line="56" w:lineRule="exact"/>
        <w:rPr>
          <w:rFonts w:ascii="Arial" w:cs="Arial" w:eastAsia="Arial" w:hAnsi="Arial"/>
          <w:sz w:val="18"/>
          <w:szCs w:val="18"/>
          <w:color w:val="auto"/>
        </w:rPr>
      </w:pPr>
    </w:p>
    <w:p>
      <w:pPr>
        <w:ind w:left="760" w:hanging="296"/>
        <w:spacing w:after="0"/>
        <w:tabs>
          <w:tab w:leader="none" w:pos="7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Selling Stockholder Shares have been duly authorized and are validly issued, fully paid and nonassessable.</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Company Shares, Debt Securities, Warrants and Selling Stockholder Shares while the Registration Statement is in effect.</w:t>
      </w:r>
    </w:p>
    <w:p>
      <w:pPr>
        <w:spacing w:after="0" w:line="132"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filing of this opinion with the Commission as an exhibit to the Registration Statement in accordance with the requirements of</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Item 601(b)(5) of Regulation S-K under the Securities Act and to the use of our name therein and in the related Prospectus and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A. Johnson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Brian A. Johnson,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26930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89"/>
              </w:rPr>
              <w:t>Exhibit 12</w:t>
            </w:r>
          </w:p>
        </w:tc>
        <w:tc>
          <w:tcPr>
            <w:tcW w:w="0" w:type="dxa"/>
            <w:vAlign w:val="bottom"/>
          </w:tcPr>
          <w:p>
            <w:pPr>
              <w:spacing w:after="0"/>
              <w:rPr>
                <w:sz w:val="1"/>
                <w:szCs w:val="1"/>
                <w:color w:val="auto"/>
              </w:rPr>
            </w:pPr>
          </w:p>
        </w:tc>
      </w:tr>
      <w:tr>
        <w:trPr>
          <w:trHeight w:val="353"/>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sales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202,409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251,381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217,172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169,124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Contracts and grants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70,975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273,384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286,171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234,786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178,554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sales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124,832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59,470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73,786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55,555</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241,285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212,614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194,636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148,627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149,822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33,093</w:t>
            </w: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15,830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12,055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6,906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Emergent BioSolutions Inc.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31,144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20,682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22,936</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960" w:type="dxa"/>
            <w:vAlign w:val="bottom"/>
            <w:gridSpan w:val="2"/>
          </w:tcPr>
          <w:p>
            <w:pPr>
              <w:spacing w:after="0"/>
              <w:rPr>
                <w:sz w:val="20"/>
                <w:szCs w:val="20"/>
                <w:color w:val="auto"/>
              </w:rPr>
            </w:pPr>
            <w:r>
              <w:rPr>
                <w:rFonts w:ascii="Arial" w:cs="Arial" w:eastAsia="Arial" w:hAnsi="Arial"/>
                <w:sz w:val="18"/>
                <w:szCs w:val="18"/>
                <w:color w:val="auto"/>
              </w:rPr>
              <w:t>Pretax income from continuing operations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38,849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77,880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46,110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32,737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35,987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Interest on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Noncontrolling interest in pretax 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6,906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Emergent BioSolutions Inc. and Subsidiaries for the registration of common stock, preferred stock, debt securities and warrants and to the incorporation by reference therein of our reports dated March 9, 2012, with respect to the consolidated financial statements of Emergent BioSolutions Inc. and Subsidiaries, and the effectiveness of internal control over financial reporting of Emergent BioSolutions Inc. and Subsidiaries, included in its Annual Report (Form 10-K) for the year ended December 31, 2011, filed with the Securities and Exchange Commission.</w:t>
      </w:r>
    </w:p>
    <w:p>
      <w:pPr>
        <w:spacing w:after="0" w:line="1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1)"/>
      <w:numFmt w:val="decimal"/>
      <w:start w:val="1"/>
    </w:lvl>
    <w:lvl w:ilvl="1">
      <w:lvlJc w:val="left"/>
      <w:lvlText w:val="(%2)"/>
      <w:numFmt w:val="lowerRoman"/>
      <w:start w:val="1"/>
    </w:lvl>
  </w:abstractNum>
  <w:abstractNum w:abstractNumId="29">
    <w:nsid w:val="8F2B15E"/>
    <w:multiLevelType w:val="hybridMultilevel"/>
    <w:lvl w:ilvl="0">
      <w:lvlJc w:val="left"/>
      <w:lvlText w:val="(%1)"/>
      <w:numFmt w:val="lowerRoman"/>
      <w:start w:val="2"/>
    </w:lvl>
  </w:abstractNum>
  <w:abstractNum w:abstractNumId="30">
    <w:nsid w:val="1A32234B"/>
    <w:multiLevelType w:val="hybridMultilevel"/>
    <w:lvl w:ilvl="0">
      <w:lvlJc w:val="left"/>
      <w:lvlText w:val="(%1)"/>
      <w:numFmt w:val="decimal"/>
      <w:start w:val="2"/>
    </w:lvl>
    <w:lvl w:ilvl="1">
      <w:lvlJc w:val="left"/>
      <w:lvlText w:val="(%2)"/>
      <w:numFmt w:val="lowerRoman"/>
      <w:start w:val="1"/>
    </w:lvl>
  </w:abstractNum>
  <w:abstractNum w:abstractNumId="31">
    <w:nsid w:val="3B0FD379"/>
    <w:multiLevelType w:val="hybridMultilevel"/>
    <w:lvl w:ilvl="0">
      <w:lvlJc w:val="left"/>
      <w:lvlText w:val="%1"/>
      <w:numFmt w:val="decimal"/>
      <w:start w:val="1"/>
    </w:lvl>
    <w:lvl w:ilvl="1">
      <w:lvlJc w:val="left"/>
      <w:lvlText w:val="(%2)"/>
      <w:numFmt w:val="lowerRoman"/>
      <w:start w:val="1"/>
    </w:lvl>
  </w:abstractNum>
  <w:abstractNum w:abstractNumId="32">
    <w:nsid w:val="68EB2F63"/>
    <w:multiLevelType w:val="hybridMultilevel"/>
    <w:lvl w:ilvl="0">
      <w:lvlJc w:val="left"/>
      <w:lvlText w:val="(%1)"/>
      <w:numFmt w:val="decimal"/>
      <w:start w:val="6"/>
    </w:lvl>
    <w:lvl w:ilvl="1">
      <w:lvlJc w:val="left"/>
      <w:lvlText w:val="(%2)"/>
      <w:numFmt w:val="lowerRoman"/>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1)"/>
      <w:numFmt w:val="decimal"/>
      <w:start w:val="1"/>
    </w:lvl>
  </w:abstractNum>
  <w:abstractNum w:abstractNumId="36">
    <w:nsid w:val="14330624"/>
    <w:multiLevelType w:val="hybridMultilevel"/>
    <w:lvl w:ilvl="0">
      <w:lvlJc w:val="left"/>
      <w:lvlText w:val="%1"/>
      <w:numFmt w:val="lowerLetter"/>
      <w:start w:val="1"/>
    </w:lvl>
    <w:lvl w:ilvl="1">
      <w:lvlJc w:val="left"/>
      <w:lvlText w:val="(%2)"/>
      <w:numFmt w:val="lowerLetter"/>
      <w:start w:val="1"/>
    </w:lvl>
  </w:abstractNum>
  <w:abstractNum w:abstractNumId="37">
    <w:nsid w:val="7FFFCA11"/>
    <w:multiLevelType w:val="hybridMultilevel"/>
    <w:lvl w:ilvl="0">
      <w:lvlJc w:val="left"/>
      <w:lvlText w:val="(%1)"/>
      <w:numFmt w:val="lowerLetter"/>
      <w:start w:val="1"/>
    </w:lvl>
    <w:lvl w:ilvl="1">
      <w:lvlJc w:val="left"/>
      <w:lvlText w:val="(%2)"/>
      <w:numFmt w:val="lowerLetter"/>
      <w:start w:val="3"/>
    </w:lvl>
  </w:abstractNum>
  <w:abstractNum w:abstractNumId="38">
    <w:nsid w:val="1A27709E"/>
    <w:multiLevelType w:val="hybridMultilevel"/>
    <w:lvl w:ilvl="0">
      <w:lvlJc w:val="left"/>
      <w:lvlText w:val="(%1)"/>
      <w:numFmt w:val="lowerLetter"/>
      <w:start w:val="1"/>
    </w:lvl>
  </w:abstractNum>
  <w:abstractNum w:abstractNumId="39">
    <w:nsid w:val="71EA1109"/>
    <w:multiLevelType w:val="hybridMultilevel"/>
    <w:lvl w:ilvl="0">
      <w:lvlJc w:val="left"/>
      <w:lvlText w:val="(%1)"/>
      <w:numFmt w:val="lowerLetter"/>
      <w:start w:val="5"/>
    </w:lvl>
  </w:abstractNum>
  <w:abstractNum w:abstractNumId="40">
    <w:nsid w:val="100F59DC"/>
    <w:multiLevelType w:val="hybridMultilevel"/>
    <w:lvl w:ilvl="0">
      <w:lvlJc w:val="left"/>
      <w:lvlText w:val="(%1)"/>
      <w:numFmt w:val="lowerLetter"/>
      <w:start w:val="16"/>
    </w:lvl>
  </w:abstractNum>
  <w:abstractNum w:abstractNumId="41">
    <w:nsid w:val="7FB7E0AA"/>
    <w:multiLevelType w:val="hybridMultilevel"/>
    <w:lvl w:ilvl="0">
      <w:lvlJc w:val="left"/>
      <w:lvlText w:val="(%1)"/>
      <w:numFmt w:val="lowerLetter"/>
      <w:start w:val="1"/>
    </w:lvl>
  </w:abstractNum>
  <w:abstractNum w:abstractNumId="42">
    <w:nsid w:val="6EB5BD4"/>
    <w:multiLevelType w:val="hybridMultilevel"/>
    <w:lvl w:ilvl="0">
      <w:lvlJc w:val="left"/>
      <w:lvlText w:val="(%1)"/>
      <w:numFmt w:val="lowerLetter"/>
      <w:start w:val="2"/>
    </w:lvl>
    <w:lvl w:ilvl="1">
      <w:lvlJc w:val="left"/>
      <w:lvlText w:val="(%2)"/>
      <w:numFmt w:val="lowerRoman"/>
      <w:start w:val="1"/>
    </w:lvl>
  </w:abstractNum>
  <w:abstractNum w:abstractNumId="43">
    <w:nsid w:val="6F6DD9AC"/>
    <w:multiLevelType w:val="hybridMultilevel"/>
    <w:lvl w:ilvl="0">
      <w:lvlJc w:val="left"/>
      <w:lvlText w:val="(%1)"/>
      <w:numFmt w:val="lowerRoman"/>
      <w:start w:val="3"/>
    </w:lvl>
  </w:abstractNum>
  <w:abstractNum w:abstractNumId="44">
    <w:nsid w:val="94211F2"/>
    <w:multiLevelType w:val="hybridMultilevel"/>
    <w:lvl w:ilvl="0">
      <w:lvlJc w:val="left"/>
      <w:lvlText w:val="(%1)"/>
      <w:numFmt w:val="lowerRoman"/>
      <w:start w:val="1"/>
    </w:lvl>
  </w:abstractNum>
  <w:abstractNum w:abstractNumId="45">
    <w:nsid w:val="885E1B"/>
    <w:multiLevelType w:val="hybridMultilevel"/>
    <w:lvl w:ilvl="0">
      <w:lvlJc w:val="left"/>
      <w:lvlText w:val="(%1)"/>
      <w:numFmt w:val="lowerLetter"/>
      <w:start w:val="1"/>
    </w:lvl>
  </w:abstractNum>
  <w:abstractNum w:abstractNumId="46">
    <w:nsid w:val="76272110"/>
    <w:multiLevelType w:val="hybridMultilevel"/>
    <w:lvl w:ilvl="0">
      <w:lvlJc w:val="left"/>
      <w:lvlText w:val="(%1)"/>
      <w:numFmt w:val="lowerLetter"/>
      <w:start w:val="1"/>
    </w:lvl>
  </w:abstractNum>
  <w:abstractNum w:abstractNumId="47">
    <w:nsid w:val="4C04A8AF"/>
    <w:multiLevelType w:val="hybridMultilevel"/>
    <w:lvl w:ilvl="0">
      <w:lvlJc w:val="left"/>
      <w:lvlText w:val="(%1)"/>
      <w:numFmt w:val="lowerLetter"/>
      <w:start w:val="2"/>
    </w:lvl>
  </w:abstractNum>
  <w:abstractNum w:abstractNumId="48">
    <w:nsid w:val="1716703B"/>
    <w:multiLevelType w:val="hybridMultilevel"/>
    <w:lvl w:ilvl="0">
      <w:lvlJc w:val="left"/>
      <w:lvlText w:val="(%1)"/>
      <w:numFmt w:val="lowerLetter"/>
      <w:start w:val="1"/>
    </w:lvl>
  </w:abstractNum>
  <w:abstractNum w:abstractNumId="49">
    <w:nsid w:val="14E17E33"/>
    <w:multiLevelType w:val="hybridMultilevel"/>
    <w:lvl w:ilvl="0">
      <w:lvlJc w:val="left"/>
      <w:lvlText w:val="(%1)"/>
      <w:numFmt w:val="lowerRoman"/>
      <w:start w:val="1"/>
    </w:lvl>
  </w:abstractNum>
  <w:abstractNum w:abstractNumId="50">
    <w:nsid w:val="3222E7CD"/>
    <w:multiLevelType w:val="hybridMultilevel"/>
    <w:lvl w:ilvl="0">
      <w:lvlJc w:val="left"/>
      <w:lvlText w:val="(%1)"/>
      <w:numFmt w:val="lowerRoman"/>
      <w:start w:val="2"/>
    </w:lvl>
  </w:abstractNum>
  <w:abstractNum w:abstractNumId="51">
    <w:nsid w:val="74DE0EE3"/>
    <w:multiLevelType w:val="hybridMultilevel"/>
    <w:lvl w:ilvl="0">
      <w:lvlJc w:val="left"/>
      <w:lvlText w:val="(%1)"/>
      <w:numFmt w:val="lowerLetter"/>
      <w:start w:val="1"/>
    </w:lvl>
  </w:abstractNum>
  <w:abstractNum w:abstractNumId="52">
    <w:nsid w:val="68EBC550"/>
    <w:multiLevelType w:val="hybridMultilevel"/>
    <w:lvl w:ilvl="0">
      <w:lvlJc w:val="left"/>
      <w:lvlText w:val="(%1)"/>
      <w:numFmt w:val="lowerLetter"/>
      <w:start w:val="6"/>
    </w:lvl>
  </w:abstractNum>
  <w:abstractNum w:abstractNumId="53">
    <w:nsid w:val="2DF6D648"/>
    <w:multiLevelType w:val="hybridMultilevel"/>
    <w:lvl w:ilvl="0">
      <w:lvlJc w:val="left"/>
      <w:lvlText w:val="(%1)"/>
      <w:numFmt w:val="lowerLetter"/>
      <w:start w:val="2"/>
    </w:lvl>
    <w:lvl w:ilvl="1">
      <w:lvlJc w:val="left"/>
      <w:lvlText w:val="(%2)"/>
      <w:numFmt w:val="lowerRoman"/>
      <w:start w:val="1"/>
    </w:lvl>
  </w:abstractNum>
  <w:abstractNum w:abstractNumId="54">
    <w:nsid w:val="46B7D447"/>
    <w:multiLevelType w:val="hybridMultilevel"/>
    <w:lvl w:ilvl="0">
      <w:lvlJc w:val="left"/>
      <w:lvlText w:val="(%1)"/>
      <w:numFmt w:val="lowerRoman"/>
      <w:start w:val="3"/>
    </w:lvl>
  </w:abstractNum>
  <w:abstractNum w:abstractNumId="55">
    <w:nsid w:val="4A2AC315"/>
    <w:multiLevelType w:val="hybridMultilevel"/>
    <w:lvl w:ilvl="0">
      <w:lvlJc w:val="left"/>
      <w:lvlText w:val="(%1)"/>
      <w:numFmt w:val="lowerLetter"/>
      <w:start w:val="3"/>
    </w:lvl>
  </w:abstractNum>
  <w:abstractNum w:abstractNumId="56">
    <w:nsid w:val="39EE015C"/>
    <w:multiLevelType w:val="hybridMultilevel"/>
    <w:lvl w:ilvl="0">
      <w:lvlJc w:val="left"/>
      <w:lvlText w:val="(%1)"/>
      <w:numFmt w:val="lowerLetter"/>
      <w:start w:val="1"/>
    </w:lvl>
  </w:abstractNum>
  <w:abstractNum w:abstractNumId="57">
    <w:nsid w:val="57FC4FBB"/>
    <w:multiLevelType w:val="hybridMultilevel"/>
    <w:lvl w:ilvl="0">
      <w:lvlJc w:val="left"/>
      <w:lvlText w:val="(%1)"/>
      <w:numFmt w:val="lowerLetter"/>
      <w:start w:val="3"/>
    </w:lvl>
  </w:abstractNum>
  <w:abstractNum w:abstractNumId="58">
    <w:nsid w:val="CC1016F"/>
    <w:multiLevelType w:val="hybridMultilevel"/>
    <w:lvl w:ilvl="0">
      <w:lvlJc w:val="left"/>
      <w:lvlText w:val="(%1)"/>
      <w:numFmt w:val="lowerRoman"/>
      <w:start w:val="1"/>
    </w:lvl>
    <w:lvl w:ilvl="1">
      <w:lvlJc w:val="left"/>
      <w:lvlText w:val="(%2)"/>
      <w:numFmt w:val="upperLetter"/>
      <w:start w:val="1"/>
    </w:lvl>
  </w:abstractNum>
  <w:abstractNum w:abstractNumId="59">
    <w:nsid w:val="43F18422"/>
    <w:multiLevelType w:val="hybridMultilevel"/>
    <w:lvl w:ilvl="0">
      <w:lvlJc w:val="left"/>
      <w:lvlText w:val="(%1)"/>
      <w:numFmt w:val="decimal"/>
      <w:start w:val="2"/>
    </w:lvl>
    <w:lvl w:ilvl="1">
      <w:lvlJc w:val="left"/>
      <w:lvlText w:val="(%2)"/>
      <w:numFmt w:val="lowerLetter"/>
      <w:start w:val="2"/>
    </w:lvl>
  </w:abstractNum>
  <w:abstractNum w:abstractNumId="60">
    <w:nsid w:val="60EF0119"/>
    <w:multiLevelType w:val="hybridMultilevel"/>
    <w:lvl w:ilvl="0">
      <w:lvlJc w:val="left"/>
      <w:lvlText w:val="(%1)"/>
      <w:numFmt w:val="decimal"/>
      <w:start w:val="2"/>
    </w:lvl>
    <w:lvl w:ilvl="1">
      <w:lvlJc w:val="left"/>
      <w:lvlText w:val="(%2)"/>
      <w:numFmt w:val="lowerLetter"/>
      <w:start w:val="3"/>
    </w:lvl>
  </w:abstractNum>
  <w:abstractNum w:abstractNumId="61">
    <w:nsid w:val="26F324B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2">
    <w:nsid w:val="7F01579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63">
    <w:nsid w:val="49DA307D"/>
    <w:multiLevelType w:val="hybridMultilevel"/>
    <w:lvl w:ilvl="0">
      <w:lvlJc w:val="left"/>
      <w:lvlText w:val="(%1)"/>
      <w:numFmt w:val="lowerRoman"/>
      <w:start w:val="3"/>
    </w:lvl>
  </w:abstractNum>
  <w:abstractNum w:abstractNumId="64">
    <w:nsid w:val="7055A5F5"/>
    <w:multiLevelType w:val="hybridMultilevel"/>
    <w:lvl w:ilvl="0">
      <w:lvlJc w:val="left"/>
      <w:lvlText w:val="(%1)"/>
      <w:numFmt w:val="lowerLetter"/>
      <w:start w:val="1"/>
    </w:lvl>
  </w:abstractNum>
  <w:abstractNum w:abstractNumId="65">
    <w:nsid w:val="5FB8370B"/>
    <w:multiLevelType w:val="hybridMultilevel"/>
    <w:lvl w:ilvl="0">
      <w:lvlJc w:val="left"/>
      <w:lvlText w:val="(%1)"/>
      <w:numFmt w:val="decimal"/>
      <w:start w:val="1"/>
    </w:lvl>
  </w:abstractNum>
  <w:abstractNum w:abstractNumId="66">
    <w:nsid w:val="50801EE1"/>
    <w:multiLevelType w:val="hybridMultilevel"/>
    <w:lvl w:ilvl="0">
      <w:lvlJc w:val="left"/>
      <w:lvlText w:val="(%1)"/>
      <w:numFmt w:val="lowerLetter"/>
      <w:start w:val="1"/>
    </w:lvl>
  </w:abstractNum>
  <w:abstractNum w:abstractNumId="67">
    <w:nsid w:val="488AC1A"/>
    <w:multiLevelType w:val="hybridMultilevel"/>
    <w:lvl w:ilvl="0">
      <w:lvlJc w:val="left"/>
      <w:lvlText w:val="(%1)"/>
      <w:numFmt w:val="lowerLetter"/>
      <w:start w:val="1"/>
    </w:lvl>
  </w:abstractNum>
  <w:abstractNum w:abstractNumId="68">
    <w:nsid w:val="5FB8011C"/>
    <w:multiLevelType w:val="hybridMultilevel"/>
    <w:lvl w:ilvl="0">
      <w:lvlJc w:val="left"/>
      <w:lvlText w:val="(%1)"/>
      <w:numFmt w:val="lowerLetter"/>
      <w:start w:val="1"/>
    </w:lvl>
  </w:abstractNum>
  <w:abstractNum w:abstractNumId="69">
    <w:nsid w:val="6AA78F7F"/>
    <w:multiLevelType w:val="hybridMultilevel"/>
    <w:lvl w:ilvl="0">
      <w:lvlJc w:val="left"/>
      <w:lvlText w:val="(%1)"/>
      <w:numFmt w:val="lowerLetter"/>
      <w:start w:val="11"/>
    </w:lvl>
  </w:abstractNum>
  <w:abstractNum w:abstractNumId="70">
    <w:nsid w:val="7672BD23"/>
    <w:multiLevelType w:val="hybridMultilevel"/>
    <w:lvl w:ilvl="0">
      <w:lvlJc w:val="left"/>
      <w:lvlText w:val="(%1)"/>
      <w:numFmt w:val="lowerLetter"/>
      <w:start w:val="1"/>
    </w:lvl>
    <w:lvl w:ilvl="1">
      <w:lvlJc w:val="left"/>
      <w:lvlText w:val="(%2)"/>
      <w:numFmt w:val="lowerRoman"/>
      <w:start w:val="1"/>
    </w:lvl>
  </w:abstractNum>
  <w:abstractNum w:abstractNumId="71">
    <w:nsid w:val="6FC75AF8"/>
    <w:multiLevelType w:val="hybridMultilevel"/>
    <w:lvl w:ilvl="0">
      <w:lvlJc w:val="left"/>
      <w:lvlText w:val="(%1)"/>
      <w:numFmt w:val="lowerRoman"/>
      <w:start w:val="4"/>
    </w:lvl>
  </w:abstractNum>
  <w:abstractNum w:abstractNumId="72">
    <w:nsid w:val="6A5F7029"/>
    <w:multiLevelType w:val="hybridMultilevel"/>
    <w:lvl w:ilvl="0">
      <w:lvlJc w:val="left"/>
      <w:lvlText w:val="(%1)"/>
      <w:numFmt w:val="lowerRoman"/>
      <w:start w:val="3"/>
    </w:lvl>
  </w:abstractNum>
  <w:abstractNum w:abstractNumId="73">
    <w:nsid w:val="7D5E18F8"/>
    <w:multiLevelType w:val="hybridMultilevel"/>
    <w:lvl w:ilvl="0">
      <w:lvlJc w:val="left"/>
      <w:lvlText w:val="(%1)"/>
      <w:numFmt w:val="lowerRoman"/>
      <w:start w:val="1"/>
    </w:lvl>
  </w:abstractNum>
  <w:abstractNum w:abstractNumId="74">
    <w:nsid w:val="5F3534A4"/>
    <w:multiLevelType w:val="hybridMultilevel"/>
    <w:lvl w:ilvl="0">
      <w:lvlJc w:val="left"/>
      <w:lvlText w:val="(%1)"/>
      <w:numFmt w:val="lowerLetter"/>
      <w:start w:val="1"/>
    </w:lvl>
  </w:abstractNum>
  <w:abstractNum w:abstractNumId="75">
    <w:nsid w:val="73A1821B"/>
    <w:multiLevelType w:val="hybridMultilevel"/>
    <w:lvl w:ilvl="0">
      <w:lvlJc w:val="left"/>
      <w:lvlText w:val="(%1)"/>
      <w:numFmt w:val="lowerLetter"/>
      <w:start w:val="1"/>
    </w:lvl>
  </w:abstractNum>
  <w:abstractNum w:abstractNumId="76">
    <w:nsid w:val="7DE67713"/>
    <w:multiLevelType w:val="hybridMultilevel"/>
    <w:lvl w:ilvl="0">
      <w:lvlJc w:val="left"/>
      <w:lvlText w:val="(%1)"/>
      <w:numFmt w:val="lowerLetter"/>
      <w:start w:val="2"/>
    </w:lvl>
  </w:abstractNum>
  <w:abstractNum w:abstractNumId="77">
    <w:nsid w:val="555C55B5"/>
    <w:multiLevelType w:val="hybridMultilevel"/>
    <w:lvl w:ilvl="0">
      <w:lvlJc w:val="left"/>
      <w:lvlText w:val="(%1)"/>
      <w:numFmt w:val="lowerLetter"/>
      <w:start w:val="1"/>
    </w:lvl>
  </w:abstractNum>
  <w:abstractNum w:abstractNumId="78">
    <w:nsid w:val="3FA62ACA"/>
    <w:multiLevelType w:val="hybridMultilevel"/>
    <w:lvl w:ilvl="0">
      <w:lvlJc w:val="left"/>
      <w:lvlText w:val="(%1)"/>
      <w:numFmt w:val="lowerLetter"/>
      <w:start w:val="4"/>
    </w:lvl>
  </w:abstractNum>
  <w:abstractNum w:abstractNumId="79">
    <w:nsid w:val="14FCE74E"/>
    <w:multiLevelType w:val="hybridMultilevel"/>
    <w:lvl w:ilvl="0">
      <w:lvlJc w:val="left"/>
      <w:lvlText w:val="(%1)"/>
      <w:numFmt w:val="lowerRoman"/>
      <w:start w:val="1"/>
    </w:lvl>
  </w:abstractNum>
  <w:abstractNum w:abstractNumId="80">
    <w:nsid w:val="6A3DD3E8"/>
    <w:multiLevelType w:val="hybridMultilevel"/>
    <w:lvl w:ilvl="0">
      <w:lvlJc w:val="left"/>
      <w:lvlText w:val="(%1)"/>
      <w:numFmt w:val="lowerLetter"/>
      <w:start w:val="1"/>
    </w:lvl>
  </w:abstractNum>
  <w:abstractNum w:abstractNumId="81">
    <w:nsid w:val="71C91298"/>
    <w:multiLevelType w:val="hybridMultilevel"/>
    <w:lvl w:ilvl="0">
      <w:lvlJc w:val="left"/>
      <w:lvlText w:val="(%1)"/>
      <w:numFmt w:val="lowerLetter"/>
      <w:start w:val="5"/>
    </w:lvl>
  </w:abstractNum>
  <w:abstractNum w:abstractNumId="82">
    <w:nsid w:val="9DAF632"/>
    <w:multiLevelType w:val="hybridMultilevel"/>
    <w:lvl w:ilvl="0">
      <w:lvlJc w:val="left"/>
      <w:lvlText w:val="(%1)"/>
      <w:numFmt w:val="lowerLetter"/>
      <w:start w:val="2"/>
    </w:lvl>
    <w:lvl w:ilvl="1">
      <w:lvlJc w:val="left"/>
      <w:lvlText w:val="(%2)"/>
      <w:numFmt w:val="lowerLetter"/>
      <w:start w:val="9"/>
    </w:lvl>
  </w:abstractNum>
  <w:abstractNum w:abstractNumId="83">
    <w:nsid w:val="53299938"/>
    <w:multiLevelType w:val="hybridMultilevel"/>
    <w:lvl w:ilvl="0">
      <w:lvlJc w:val="left"/>
      <w:lvlText w:val="(%1)"/>
      <w:numFmt w:val="lowerRoman"/>
      <w:start w:val="2"/>
    </w:lvl>
  </w:abstractNum>
  <w:abstractNum w:abstractNumId="84">
    <w:nsid w:val="1FBFE8E0"/>
    <w:multiLevelType w:val="hybridMultilevel"/>
    <w:lvl w:ilvl="0">
      <w:lvlJc w:val="left"/>
      <w:lvlText w:val="(%1)"/>
      <w:numFmt w:val="lowerLetter"/>
      <w:start w:val="3"/>
    </w:lvl>
  </w:abstractNum>
  <w:abstractNum w:abstractNumId="85">
    <w:nsid w:val="5092CA79"/>
    <w:multiLevelType w:val="hybridMultilevel"/>
    <w:lvl w:ilvl="0">
      <w:lvlJc w:val="left"/>
      <w:lvlText w:val="(%1)"/>
      <w:numFmt w:val="lowerLetter"/>
      <w:start w:val="1"/>
    </w:lvl>
  </w:abstractNum>
  <w:abstractNum w:abstractNumId="86">
    <w:nsid w:val="1D545C4D"/>
    <w:multiLevelType w:val="hybridMultilevel"/>
    <w:lvl w:ilvl="0">
      <w:lvlJc w:val="left"/>
      <w:lvlText w:val="(%1)"/>
      <w:numFmt w:val="lowerLetter"/>
      <w:start w:val="2"/>
    </w:lvl>
  </w:abstractNum>
  <w:abstractNum w:abstractNumId="87">
    <w:nsid w:val="59ADEA3D"/>
    <w:multiLevelType w:val="hybridMultilevel"/>
    <w:lvl w:ilvl="0">
      <w:lvlJc w:val="left"/>
      <w:lvlText w:val="(%1)"/>
      <w:numFmt w:val="lowerRoman"/>
      <w:start w:val="2"/>
    </w:lvl>
  </w:abstractNum>
  <w:abstractNum w:abstractNumId="88">
    <w:nsid w:val="288F1A34"/>
    <w:multiLevelType w:val="hybridMultilevel"/>
    <w:lvl w:ilvl="0">
      <w:lvlJc w:val="left"/>
      <w:lvlText w:val="(%1)"/>
      <w:numFmt w:val="lowerRoman"/>
      <w:start w:val="1"/>
    </w:lvl>
    <w:lvl w:ilvl="1">
      <w:lvlJc w:val="left"/>
      <w:lvlText w:val="(%2)"/>
      <w:numFmt w:val="upperLetter"/>
      <w:start w:val="1"/>
    </w:lvl>
  </w:abstractNum>
  <w:abstractNum w:abstractNumId="89">
    <w:nsid w:val="2A155DBC"/>
    <w:multiLevelType w:val="hybridMultilevel"/>
    <w:lvl w:ilvl="0">
      <w:lvlJc w:val="left"/>
      <w:lvlText w:val="(%1)"/>
      <w:numFmt w:val="decimal"/>
      <w:start w:val="2"/>
    </w:lvl>
    <w:lvl w:ilvl="1">
      <w:lvlJc w:val="left"/>
      <w:lvlText w:val="(%2)"/>
      <w:numFmt w:val="lowerLetter"/>
      <w:start w:val="2"/>
    </w:lvl>
  </w:abstractNum>
  <w:abstractNum w:abstractNumId="90">
    <w:nsid w:val="1D9F6E5F"/>
    <w:multiLevelType w:val="hybridMultilevel"/>
    <w:lvl w:ilvl="0">
      <w:lvlJc w:val="left"/>
      <w:lvlText w:val="(%1)"/>
      <w:numFmt w:val="decimal"/>
      <w:start w:val="2"/>
    </w:lvl>
    <w:lvl w:ilvl="1">
      <w:lvlJc w:val="left"/>
      <w:lvlText w:val="%2"/>
      <w:numFmt w:val="lowerLetter"/>
      <w:start w:val="1"/>
    </w:lvl>
  </w:abstractNum>
  <w:abstractNum w:abstractNumId="91">
    <w:nsid w:val="97E1B4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Roman"/>
      <w:start w:val="1"/>
    </w:lvl>
  </w:abstractNum>
  <w:abstractNum w:abstractNumId="92">
    <w:nsid w:val="51088277"/>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3">
    <w:nsid w:val="1CA0C5FA"/>
    <w:multiLevelType w:val="hybridMultilevel"/>
    <w:lvl w:ilvl="0">
      <w:lvlJc w:val="left"/>
      <w:lvlText w:val="(%1)"/>
      <w:numFmt w:val="lowerRoman"/>
      <w:start w:val="3"/>
    </w:lvl>
  </w:abstractNum>
  <w:abstractNum w:abstractNumId="94">
    <w:nsid w:val="53584BCB"/>
    <w:multiLevelType w:val="hybridMultilevel"/>
    <w:lvl w:ilvl="0">
      <w:lvlJc w:val="left"/>
      <w:lvlText w:val="(%1)"/>
      <w:numFmt w:val="lowerLetter"/>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1."/>
      <w:numFmt w:val="decimal"/>
      <w:start w:val="1"/>
    </w:lvl>
  </w:abstractNum>
  <w:abstractNum w:abstractNumId="97">
    <w:nsid w:val="23D86AAC"/>
    <w:multiLevelType w:val="hybridMultilevel"/>
    <w:lvl w:ilvl="0">
      <w:lvlJc w:val="left"/>
      <w:lvlText w:val="%1."/>
      <w:numFmt w:val="decimal"/>
      <w:start w:val="2"/>
    </w:lvl>
  </w:abstractNum>
  <w:abstractNum w:abstractNumId="98">
    <w:nsid w:val="45E6D486"/>
    <w:multiLevelType w:val="hybridMultilevel"/>
    <w:lvl w:ilvl="0">
      <w:lvlJc w:val="left"/>
      <w:lvlText w:val="%1."/>
      <w:numFmt w:val="decimal"/>
      <w:start w:val="4"/>
    </w:lvl>
  </w:abstractNum>
  <w:abstractNum w:abstractNumId="99">
    <w:nsid w:val="5C10FE21"/>
    <w:multiLevelType w:val="hybridMultilevel"/>
    <w:lvl w:ilvl="0">
      <w:lvlJc w:val="left"/>
      <w:lvlText w:val="%1."/>
      <w:numFmt w:val="decimal"/>
      <w:start w:val="5"/>
    </w:lvl>
  </w:abstractNum>
  <w:abstractNum w:abstractNumId="100">
    <w:nsid w:val="E7FFA2B"/>
    <w:multiLevelType w:val="hybridMultilevel"/>
    <w:lvl w:ilvl="0">
      <w:lvlJc w:val="left"/>
      <w:lvlText w:val="%1."/>
      <w:numFmt w:val="decimal"/>
      <w:start w:val="6"/>
    </w:lvl>
  </w:abstractNum>
  <w:abstractNum w:abstractNumId="101">
    <w:nsid w:val="3C5991AA"/>
    <w:multiLevelType w:val="hybridMultilevel"/>
    <w:lvl w:ilvl="0">
      <w:lvlJc w:val="left"/>
      <w:lvlText w:val="%1."/>
      <w:numFmt w:val="decimal"/>
      <w:start w:val="8"/>
    </w:lvl>
  </w:abstractNum>
  <w:abstractNum w:abstractNumId="102">
    <w:nsid w:val="4BD8591A"/>
    <w:multiLevelType w:val="hybridMultilevel"/>
    <w:lvl w:ilvl="0">
      <w:lvlJc w:val="left"/>
      <w:lvlText w:val="%1."/>
      <w:numFmt w:val="decimal"/>
      <w:start w:val="9"/>
    </w:lvl>
  </w:abstractNum>
  <w:abstractNum w:abstractNumId="103">
    <w:nsid w:val="78DF6A55"/>
    <w:multiLevelType w:val="hybridMultilevel"/>
    <w:lvl w:ilvl="0">
      <w:lvlJc w:val="left"/>
      <w:lvlText w:val="%1."/>
      <w:numFmt w:val="decimal"/>
      <w:start w:val="10"/>
    </w:lvl>
  </w:abstractNum>
  <w:abstractNum w:abstractNumId="104">
    <w:nsid w:val="39B7AAA2"/>
    <w:multiLevelType w:val="hybridMultilevel"/>
    <w:lvl w:ilvl="0">
      <w:lvlJc w:val="left"/>
      <w:lvlText w:val="%1."/>
      <w:numFmt w:val="decimal"/>
      <w:start w:val="11"/>
    </w:lvl>
  </w:abstractNum>
  <w:abstractNum w:abstractNumId="105">
    <w:nsid w:val="2B0D8DBE"/>
    <w:multiLevelType w:val="hybridMultilevel"/>
    <w:lvl w:ilvl="0">
      <w:lvlJc w:val="left"/>
      <w:lvlText w:val="%1."/>
      <w:numFmt w:val="decimal"/>
      <w:start w:val="12"/>
    </w:lvl>
  </w:abstractNum>
  <w:abstractNum w:abstractNumId="106">
    <w:nsid w:val="6C80EC70"/>
    <w:multiLevelType w:val="hybridMultilevel"/>
    <w:lvl w:ilvl="0">
      <w:lvlJc w:val="left"/>
      <w:lvlText w:val="%1."/>
      <w:numFmt w:val="decimal"/>
      <w:start w:val="13"/>
    </w:lvl>
  </w:abstractNum>
  <w:abstractNum w:abstractNumId="107">
    <w:nsid w:val="379E21B5"/>
    <w:multiLevelType w:val="hybridMultilevel"/>
    <w:lvl w:ilvl="0">
      <w:lvlJc w:val="left"/>
      <w:lvlText w:val="%1."/>
      <w:numFmt w:val="decimal"/>
      <w:start w:val="14"/>
    </w:lvl>
  </w:abstractNum>
  <w:abstractNum w:abstractNumId="108">
    <w:nsid w:val="69E373"/>
    <w:multiLevelType w:val="hybridMultilevel"/>
    <w:lvl w:ilvl="0">
      <w:lvlJc w:val="left"/>
      <w:lvlText w:val="%1."/>
      <w:numFmt w:val="decimal"/>
      <w:start w:val="15"/>
    </w:lvl>
  </w:abstractNum>
  <w:abstractNum w:abstractNumId="109">
    <w:nsid w:val="2C27173B"/>
    <w:multiLevelType w:val="hybridMultilevel"/>
    <w:lvl w:ilvl="0">
      <w:lvlJc w:val="left"/>
      <w:lvlText w:val="%1."/>
      <w:numFmt w:val="decimal"/>
      <w:start w:val="16"/>
    </w:lvl>
  </w:abstractNum>
  <w:abstractNum w:abstractNumId="110">
    <w:nsid w:val="4C9B0904"/>
    <w:multiLevelType w:val="hybridMultilevel"/>
    <w:lvl w:ilvl="0">
      <w:lvlJc w:val="left"/>
      <w:lvlText w:val="%1."/>
      <w:numFmt w:val="decimal"/>
      <w:start w:val="1"/>
    </w:lvl>
  </w:abstractNum>
  <w:abstractNum w:abstractNumId="111">
    <w:nsid w:val="6AA7B75C"/>
    <w:multiLevelType w:val="hybridMultilevel"/>
    <w:lvl w:ilvl="0">
      <w:lvlJc w:val="left"/>
      <w:lvlText w:val="%1."/>
      <w:numFmt w:val="decimal"/>
      <w:start w:val="2"/>
    </w:lvl>
  </w:abstractNum>
  <w:abstractNum w:abstractNumId="112">
    <w:nsid w:val="1DF029D3"/>
    <w:multiLevelType w:val="hybridMultilevel"/>
    <w:lvl w:ilvl="0">
      <w:lvlJc w:val="left"/>
      <w:lvlText w:val="%1."/>
      <w:numFmt w:val="decimal"/>
      <w:start w:val="4"/>
    </w:lvl>
  </w:abstractNum>
  <w:abstractNum w:abstractNumId="113">
    <w:nsid w:val="5675FF36"/>
    <w:multiLevelType w:val="hybridMultilevel"/>
    <w:lvl w:ilvl="0">
      <w:lvlJc w:val="left"/>
      <w:lvlText w:val="%1."/>
      <w:numFmt w:val="decimal"/>
      <w:start w:val="5"/>
    </w:lvl>
  </w:abstractNum>
  <w:abstractNum w:abstractNumId="114">
    <w:nsid w:val="3DD15094"/>
    <w:multiLevelType w:val="hybridMultilevel"/>
    <w:lvl w:ilvl="0">
      <w:lvlJc w:val="left"/>
      <w:lvlText w:val="%1."/>
      <w:numFmt w:val="decimal"/>
      <w:start w:val="6"/>
    </w:lvl>
  </w:abstractNum>
  <w:abstractNum w:abstractNumId="115">
    <w:nsid w:val="3DB012B3"/>
    <w:multiLevelType w:val="hybridMultilevel"/>
    <w:lvl w:ilvl="0">
      <w:lvlJc w:val="left"/>
      <w:lvlText w:val="%1."/>
      <w:numFmt w:val="decimal"/>
      <w:start w:val="8"/>
    </w:lvl>
  </w:abstractNum>
  <w:abstractNum w:abstractNumId="116">
    <w:nsid w:val="2708C9AF"/>
    <w:multiLevelType w:val="hybridMultilevel"/>
    <w:lvl w:ilvl="0">
      <w:lvlJc w:val="left"/>
      <w:lvlText w:val="%1."/>
      <w:numFmt w:val="decimal"/>
      <w:start w:val="9"/>
    </w:lvl>
  </w:abstractNum>
  <w:abstractNum w:abstractNumId="117">
    <w:nsid w:val="5B25ACE2"/>
    <w:multiLevelType w:val="hybridMultilevel"/>
    <w:lvl w:ilvl="0">
      <w:lvlJc w:val="left"/>
      <w:lvlText w:val="%1."/>
      <w:numFmt w:val="decimal"/>
      <w:start w:val="10"/>
    </w:lvl>
  </w:abstractNum>
  <w:abstractNum w:abstractNumId="118">
    <w:nsid w:val="175DFCF0"/>
    <w:multiLevelType w:val="hybridMultilevel"/>
    <w:lvl w:ilvl="0">
      <w:lvlJc w:val="left"/>
      <w:lvlText w:val="%1."/>
      <w:numFmt w:val="decimal"/>
      <w:start w:val="11"/>
    </w:lvl>
  </w:abstractNum>
  <w:abstractNum w:abstractNumId="119">
    <w:nsid w:val="4F97E3E4"/>
    <w:multiLevelType w:val="hybridMultilevel"/>
    <w:lvl w:ilvl="0">
      <w:lvlJc w:val="left"/>
      <w:lvlText w:val="%1."/>
      <w:numFmt w:val="decimal"/>
      <w:start w:val="12"/>
    </w:lvl>
  </w:abstractNum>
  <w:abstractNum w:abstractNumId="120">
    <w:nsid w:val="53B0A9E"/>
    <w:multiLevelType w:val="hybridMultilevel"/>
    <w:lvl w:ilvl="0">
      <w:lvlJc w:val="left"/>
      <w:lvlText w:val="%1."/>
      <w:numFmt w:val="decimal"/>
      <w:start w:val="13"/>
    </w:lvl>
  </w:abstractNum>
  <w:abstractNum w:abstractNumId="121">
    <w:nsid w:val="34FD6B4F"/>
    <w:multiLevelType w:val="hybridMultilevel"/>
    <w:lvl w:ilvl="0">
      <w:lvlJc w:val="left"/>
      <w:lvlText w:val="%1."/>
      <w:numFmt w:val="decimal"/>
      <w:start w:val="14"/>
    </w:lvl>
  </w:abstractNum>
  <w:abstractNum w:abstractNumId="122">
    <w:nsid w:val="5915FF32"/>
    <w:multiLevelType w:val="hybridMultilevel"/>
    <w:lvl w:ilvl="0">
      <w:lvlJc w:val="left"/>
      <w:lvlText w:val="%1."/>
      <w:numFmt w:val="decimal"/>
      <w:start w:val="16"/>
    </w:lvl>
  </w:abstractNum>
  <w:abstractNum w:abstractNumId="123">
    <w:nsid w:val="56438D15"/>
    <w:multiLevelType w:val="hybridMultilevel"/>
    <w:lvl w:ilvl="0">
      <w:lvlJc w:val="left"/>
      <w:lvlText w:val="%1."/>
      <w:numFmt w:val="decimal"/>
      <w:start w:val="17"/>
    </w:lvl>
  </w:abstractNum>
  <w:abstractNum w:abstractNumId="124">
    <w:nsid w:val="519E3149"/>
    <w:multiLevelType w:val="hybridMultilevel"/>
    <w:lvl w:ilvl="0">
      <w:lvlJc w:val="left"/>
      <w:lvlText w:val="(%1)"/>
      <w:numFmt w:val="lowerRoman"/>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lowerRoman"/>
      <w:start w:val="5"/>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2019-12-09T18:58:42Z</dcterms:created>
  <dcterms:modified xsi:type="dcterms:W3CDTF">2019-12-09T18:58:42Z</dcterms:modified>
</cp:coreProperties>
</file>