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Havey Adam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EVP, Business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5,697</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37,937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5,697</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43,634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513</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43,121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484</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42,637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02/27/2020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409</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58.42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42,228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22,784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02/25/2020</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22,784</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02/24/2027</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43,105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62"/>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for the 2020 - 2022 fiscal years,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first anniversary of the date of grant, assuming continued service with the company.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02/27/2020</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588"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2020-02-27T20:25:05Z</dcterms:created>
  <dcterms:modified xsi:type="dcterms:W3CDTF">2020-02-27T20:25:05Z</dcterms:modified>
</cp:coreProperties>
</file>