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72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7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ADVENT PRIVATE EQUITY</w:t>
              </w:r>
            </w:hyperlink>
          </w:p>
        </w:tc>
        <w:tc>
          <w:tcPr>
            <w:tcW w:w="1600" w:type="dxa"/>
            <w:vAlign w:val="bottom"/>
          </w:tcPr>
          <w:p>
            <w:pPr>
              <w:ind w:left="3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3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  <w:bottom w:val="single" w:sz="8" w:color="0000EE"/>
            </w:tcBorders>
          </w:tcPr>
          <w:p>
            <w:pPr>
              <w:spacing w:after="0" w:line="223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8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85"/>
                </w:rPr>
                <w:t>FUND III A LTD PARTNERSHIP</w:t>
              </w:r>
            </w:hyperlink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9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 BUCKINGHAM GATE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SW1E 6LD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Member of 13(d) Group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7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468,355</w:t>
            </w:r>
          </w:p>
        </w:tc>
        <w:tc>
          <w:tcPr>
            <w:tcW w:w="11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Shahzad Malik,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21348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Partner of Advent Venture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728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Partners LLP acting in its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391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capacity as Manager of Advent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931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Private Equity Fund III "A"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3634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Limited Partnership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8836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03/08/2007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60" w:space="10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1" Type="http://schemas.openxmlformats.org/officeDocument/2006/relationships/hyperlink" Target="http://www.sec.gov/cgi-bin/browse-edgar?action=getcompany&amp;CIK=0001285215" TargetMode="External"/><Relationship Id="rId12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2019-12-16T21:02:25Z</dcterms:created>
  <dcterms:modified xsi:type="dcterms:W3CDTF">2019-12-16T21:02:25Z</dcterms:modified>
</cp:coreProperties>
</file>