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Use these links to rapidly review the document</w:t>
      </w:r>
    </w:p>
    <w:p>
      <w:pPr>
        <w:spacing w:after="0" w:line="12"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172" w:lineRule="exact"/>
        <w:rPr>
          <w:sz w:val="24"/>
          <w:szCs w:val="24"/>
          <w:color w:val="auto"/>
        </w:rPr>
      </w:pPr>
    </w:p>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UNITED STATES</w:t>
      </w:r>
    </w:p>
    <w:p>
      <w:pPr>
        <w:spacing w:after="0" w:line="18"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SECURITIES AND EXCHANGE COMMISSION</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Washington, D.C. 20549</w:t>
      </w:r>
    </w:p>
    <w:p>
      <w:pPr>
        <w:spacing w:after="0" w:line="167" w:lineRule="exact"/>
        <w:rPr>
          <w:sz w:val="24"/>
          <w:szCs w:val="24"/>
          <w:color w:val="auto"/>
        </w:rPr>
      </w:pPr>
    </w:p>
    <w:p>
      <w:pPr>
        <w:ind w:left="4860"/>
        <w:spacing w:after="0"/>
        <w:rPr>
          <w:sz w:val="20"/>
          <w:szCs w:val="20"/>
          <w:color w:val="auto"/>
        </w:rPr>
      </w:pPr>
      <w:r>
        <w:rPr>
          <w:rFonts w:ascii="Arial" w:cs="Arial" w:eastAsia="Arial" w:hAnsi="Arial"/>
          <w:sz w:val="20"/>
          <w:szCs w:val="20"/>
          <w:b w:val="1"/>
          <w:bCs w:val="1"/>
          <w:color w:val="auto"/>
        </w:rPr>
        <w:t>SCHEDULE 14A</w:t>
      </w:r>
    </w:p>
    <w:p>
      <w:pPr>
        <w:sectPr>
          <w:pgSz w:w="11900" w:h="16838" w:orient="portrait"/>
          <w:cols w:equalWidth="0" w:num="1">
            <w:col w:w="10139"/>
          </w:cols>
          <w:pgMar w:left="320" w:top="594" w:right="1440" w:bottom="1440" w:gutter="0" w:footer="0" w:header="0"/>
        </w:sectPr>
      </w:pPr>
    </w:p>
    <w:p>
      <w:pPr>
        <w:spacing w:after="0" w:line="202" w:lineRule="exact"/>
        <w:rPr>
          <w:sz w:val="24"/>
          <w:szCs w:val="24"/>
          <w:color w:val="auto"/>
        </w:rPr>
      </w:pPr>
    </w:p>
    <w:p>
      <w:pPr>
        <w:ind w:left="4300"/>
        <w:spacing w:after="0"/>
        <w:rPr>
          <w:sz w:val="20"/>
          <w:szCs w:val="20"/>
          <w:color w:val="auto"/>
        </w:rPr>
      </w:pPr>
      <w:r>
        <w:rPr>
          <w:rFonts w:ascii="Arial" w:cs="Arial" w:eastAsia="Arial" w:hAnsi="Arial"/>
          <w:sz w:val="13"/>
          <w:szCs w:val="13"/>
          <w:color w:val="auto"/>
        </w:rPr>
        <w:t>Proxy Statement Pursuant to Section 14(a) of</w:t>
      </w:r>
    </w:p>
    <w:p>
      <w:pPr>
        <w:spacing w:after="0" w:line="37"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rPr>
          <w:sz w:val="20"/>
          <w:szCs w:val="20"/>
          <w:color w:val="auto"/>
        </w:rPr>
      </w:pPr>
      <w:r>
        <w:rPr>
          <w:rFonts w:ascii="Arial" w:cs="Arial" w:eastAsia="Arial" w:hAnsi="Arial"/>
          <w:sz w:val="15"/>
          <w:szCs w:val="15"/>
          <w:color w:val="auto"/>
        </w:rPr>
        <w:t>)</w:t>
      </w:r>
    </w:p>
    <w:p>
      <w:pPr>
        <w:spacing w:after="0" w:line="161" w:lineRule="exact"/>
        <w:rPr>
          <w:sz w:val="24"/>
          <w:szCs w:val="24"/>
          <w:color w:val="auto"/>
        </w:rPr>
      </w:pPr>
    </w:p>
    <w:p>
      <w:pPr>
        <w:sectPr>
          <w:pgSz w:w="11900" w:h="16838" w:orient="portrait"/>
          <w:cols w:equalWidth="0" w:num="2">
            <w:col w:w="7020" w:space="360"/>
            <w:col w:w="2759"/>
          </w:cols>
          <w:pgMar w:left="320" w:top="594" w:right="1440" w:bottom="1440" w:gutter="0" w:footer="0" w:header="0"/>
          <w:type w:val="continuous"/>
        </w:sectPr>
      </w:pPr>
    </w:p>
    <w:p>
      <w:pPr>
        <w:ind w:left="112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238"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Filed by a Party other than the Registrant o</w:t>
      </w:r>
    </w:p>
    <w:p>
      <w:pPr>
        <w:spacing w:after="0" w:line="188"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Check the appropriate box:</w:t>
      </w:r>
    </w:p>
    <w:p>
      <w:pPr>
        <w:spacing w:after="0" w:line="211" w:lineRule="exact"/>
        <w:rPr>
          <w:sz w:val="24"/>
          <w:szCs w:val="24"/>
          <w:color w:val="auto"/>
        </w:rPr>
      </w:pPr>
    </w:p>
    <w:p>
      <w:pPr>
        <w:ind w:left="1440" w:hanging="323"/>
        <w:spacing w:after="0"/>
        <w:tabs>
          <w:tab w:leader="none" w:pos="144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206" w:lineRule="exact"/>
        <w:rPr>
          <w:rFonts w:ascii="Arial" w:cs="Arial" w:eastAsia="Arial" w:hAnsi="Arial"/>
          <w:sz w:val="15"/>
          <w:szCs w:val="15"/>
          <w:color w:val="auto"/>
        </w:rPr>
      </w:pPr>
    </w:p>
    <w:p>
      <w:pPr>
        <w:ind w:left="1440" w:hanging="323"/>
        <w:spacing w:after="0"/>
        <w:tabs>
          <w:tab w:leader="none" w:pos="144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215" w:lineRule="exact"/>
        <w:rPr>
          <w:sz w:val="24"/>
          <w:szCs w:val="24"/>
          <w:color w:val="auto"/>
        </w:rPr>
      </w:pPr>
    </w:p>
    <w:p>
      <w:pPr>
        <w:ind w:left="1440" w:hanging="323"/>
        <w:spacing w:after="0"/>
        <w:tabs>
          <w:tab w:leader="none" w:pos="14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211" w:lineRule="exact"/>
        <w:rPr>
          <w:sz w:val="24"/>
          <w:szCs w:val="24"/>
          <w:color w:val="auto"/>
        </w:rPr>
      </w:pPr>
    </w:p>
    <w:p>
      <w:pPr>
        <w:ind w:left="1440" w:hanging="323"/>
        <w:spacing w:after="0"/>
        <w:tabs>
          <w:tab w:leader="none" w:pos="1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210" w:lineRule="exact"/>
        <w:rPr>
          <w:rFonts w:ascii="Arial" w:cs="Arial" w:eastAsia="Arial" w:hAnsi="Arial"/>
          <w:sz w:val="15"/>
          <w:szCs w:val="15"/>
          <w:color w:val="auto"/>
        </w:rPr>
      </w:pPr>
    </w:p>
    <w:p>
      <w:pPr>
        <w:ind w:left="1440" w:hanging="323"/>
        <w:spacing w:after="0"/>
        <w:tabs>
          <w:tab w:leader="none" w:pos="144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pacing w:after="0" w:line="345" w:lineRule="exact"/>
        <w:rPr>
          <w:sz w:val="24"/>
          <w:szCs w:val="24"/>
          <w:color w:val="auto"/>
        </w:rPr>
      </w:pPr>
    </w:p>
    <w:p>
      <w:pPr>
        <w:jc w:val="center"/>
        <w:ind w:right="-1100"/>
        <w:spacing w:after="0"/>
        <w:rPr>
          <w:sz w:val="20"/>
          <w:szCs w:val="20"/>
          <w:color w:val="auto"/>
        </w:rPr>
      </w:pPr>
      <w:r>
        <w:rPr>
          <w:rFonts w:ascii="Arial" w:cs="Arial" w:eastAsia="Arial" w:hAnsi="Arial"/>
          <w:sz w:val="15"/>
          <w:szCs w:val="15"/>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wp:posOffset>
            </wp:positionH>
            <wp:positionV relativeFrom="paragraph">
              <wp:posOffset>62230</wp:posOffset>
            </wp:positionV>
            <wp:extent cx="57384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8495" cy="6985"/>
                    </a:xfrm>
                    <a:prstGeom prst="rect">
                      <a:avLst/>
                    </a:prstGeom>
                    <a:noFill/>
                  </pic:spPr>
                </pic:pic>
              </a:graphicData>
            </a:graphic>
          </wp:anchor>
        </w:drawing>
      </w:r>
    </w:p>
    <w:p>
      <w:pPr>
        <w:spacing w:after="0" w:line="150" w:lineRule="exact"/>
        <w:rPr>
          <w:sz w:val="24"/>
          <w:szCs w:val="24"/>
          <w:color w:val="auto"/>
        </w:rPr>
      </w:pPr>
    </w:p>
    <w:p>
      <w:pPr>
        <w:ind w:left="4220"/>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709295</wp:posOffset>
            </wp:positionH>
            <wp:positionV relativeFrom="paragraph">
              <wp:posOffset>302895</wp:posOffset>
            </wp:positionV>
            <wp:extent cx="57384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8495" cy="698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3500"/>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88"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Payment of Filing Fee (Check the appropriate box):</w:t>
      </w:r>
    </w:p>
    <w:p>
      <w:pPr>
        <w:spacing w:after="0" w:line="211" w:lineRule="exact"/>
        <w:rPr>
          <w:sz w:val="24"/>
          <w:szCs w:val="24"/>
          <w:color w:val="auto"/>
        </w:rPr>
      </w:pPr>
    </w:p>
    <w:p>
      <w:pPr>
        <w:ind w:left="1440" w:hanging="323"/>
        <w:spacing w:after="0"/>
        <w:tabs>
          <w:tab w:leader="none" w:pos="144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211" w:lineRule="exact"/>
        <w:rPr>
          <w:sz w:val="24"/>
          <w:szCs w:val="24"/>
          <w:color w:val="auto"/>
        </w:rPr>
      </w:pPr>
    </w:p>
    <w:p>
      <w:pPr>
        <w:ind w:left="1440" w:hanging="323"/>
        <w:spacing w:after="0"/>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14"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15"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21" w:lineRule="exact"/>
        <w:rPr>
          <w:rFonts w:ascii="Arial" w:cs="Arial" w:eastAsia="Arial" w:hAnsi="Arial"/>
          <w:sz w:val="15"/>
          <w:szCs w:val="15"/>
          <w:color w:val="auto"/>
        </w:rPr>
      </w:pPr>
    </w:p>
    <w:p>
      <w:pPr>
        <w:ind w:left="1800" w:right="359" w:hanging="356"/>
        <w:spacing w:after="0" w:line="270" w:lineRule="auto"/>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86"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21"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24" w:lineRule="exact"/>
        <w:rPr>
          <w:rFonts w:ascii="Arial" w:cs="Arial" w:eastAsia="Arial" w:hAnsi="Arial"/>
          <w:sz w:val="15"/>
          <w:szCs w:val="15"/>
          <w:color w:val="auto"/>
        </w:rPr>
      </w:pPr>
    </w:p>
    <w:p>
      <w:pPr>
        <w:ind w:left="1440" w:hanging="323"/>
        <w:spacing w:after="0"/>
        <w:tabs>
          <w:tab w:leader="none" w:pos="144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210" w:lineRule="exact"/>
        <w:rPr>
          <w:rFonts w:ascii="Arial" w:cs="Arial" w:eastAsia="Arial" w:hAnsi="Arial"/>
          <w:sz w:val="15"/>
          <w:szCs w:val="15"/>
          <w:color w:val="auto"/>
        </w:rPr>
      </w:pPr>
    </w:p>
    <w:p>
      <w:pPr>
        <w:ind w:left="1440" w:right="139" w:hanging="323"/>
        <w:spacing w:after="0" w:line="306" w:lineRule="auto"/>
        <w:tabs>
          <w:tab w:leader="none" w:pos="1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2" w:lineRule="exact"/>
        <w:rPr>
          <w:rFonts w:ascii="Arial" w:cs="Arial" w:eastAsia="Arial" w:hAnsi="Arial"/>
          <w:sz w:val="14"/>
          <w:szCs w:val="14"/>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21"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21"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21" w:lineRule="exact"/>
        <w:rPr>
          <w:rFonts w:ascii="Arial" w:cs="Arial" w:eastAsia="Arial" w:hAnsi="Arial"/>
          <w:sz w:val="15"/>
          <w:szCs w:val="15"/>
          <w:color w:val="auto"/>
        </w:rPr>
      </w:pPr>
    </w:p>
    <w:p>
      <w:pPr>
        <w:ind w:left="1800" w:hanging="356"/>
        <w:spacing w:after="0"/>
        <w:tabs>
          <w:tab w:leader="none" w:pos="180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200025</wp:posOffset>
            </wp:positionV>
            <wp:extent cx="7160260"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196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-2708910</wp:posOffset>
            </wp:positionV>
            <wp:extent cx="528764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-2458085</wp:posOffset>
            </wp:positionV>
            <wp:extent cx="52876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-2093595</wp:posOffset>
            </wp:positionV>
            <wp:extent cx="52876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-1842770</wp:posOffset>
            </wp:positionV>
            <wp:extent cx="528764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-1592580</wp:posOffset>
            </wp:positionV>
            <wp:extent cx="52876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-612140</wp:posOffset>
            </wp:positionV>
            <wp:extent cx="52876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-361950</wp:posOffset>
            </wp:positionV>
            <wp:extent cx="528764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-111125</wp:posOffset>
            </wp:positionV>
            <wp:extent cx="528764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7645" cy="698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138430</wp:posOffset>
            </wp:positionV>
            <wp:extent cx="528764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7645" cy="6985"/>
                    </a:xfrm>
                    <a:prstGeom prst="rect">
                      <a:avLst/>
                    </a:prstGeom>
                    <a:noFill/>
                  </pic:spPr>
                </pic:pic>
              </a:graphicData>
            </a:graphic>
          </wp:anchor>
        </w:drawing>
      </w:r>
    </w:p>
    <w:p>
      <w:pPr>
        <w:sectPr>
          <w:pgSz w:w="11900" w:h="16838" w:orient="portrait"/>
          <w:cols w:equalWidth="0" w:num="1">
            <w:col w:w="10139"/>
          </w:cols>
          <w:pgMar w:left="320" w:top="594" w:right="1440" w:bottom="1440" w:gutter="0" w:footer="0" w:header="0"/>
          <w:type w:val="continuous"/>
        </w:sectPr>
      </w:pPr>
    </w:p>
    <w:bookmarkStart w:id="1" w:name="page2"/>
    <w:bookmarkEnd w:id="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5424170</wp:posOffset>
            </wp:positionH>
            <wp:positionV relativeFrom="paragraph">
              <wp:posOffset>123825</wp:posOffset>
            </wp:positionV>
            <wp:extent cx="1724660" cy="751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4660"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color w:val="auto"/>
        </w:rPr>
        <w:t>April 9, 2020</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Dear Fellow Stockholders:</w:t>
      </w:r>
    </w:p>
    <w:p>
      <w:pPr>
        <w:spacing w:after="0" w:line="188" w:lineRule="exact"/>
        <w:rPr>
          <w:sz w:val="20"/>
          <w:szCs w:val="20"/>
          <w:color w:val="auto"/>
        </w:rPr>
      </w:pPr>
    </w:p>
    <w:p>
      <w:pPr>
        <w:jc w:val="both"/>
        <w:ind w:firstLine="287"/>
        <w:spacing w:after="0" w:line="278" w:lineRule="auto"/>
        <w:rPr>
          <w:sz w:val="20"/>
          <w:szCs w:val="20"/>
          <w:color w:val="auto"/>
        </w:rPr>
      </w:pPr>
      <w:r>
        <w:rPr>
          <w:rFonts w:ascii="Arial" w:cs="Arial" w:eastAsia="Arial" w:hAnsi="Arial"/>
          <w:sz w:val="14"/>
          <w:szCs w:val="14"/>
          <w:color w:val="auto"/>
        </w:rPr>
        <w:t xml:space="preserve">You are cordially invited to attend the Emergent BioSolutions Inc. 2020 annual meeting of stockholders to be held on May 21, 2020, at 9:00 a.m., Eastern time. Due to the emerging public health impact of the coronavirus outbreak (COVID-19) and to support the health and well-being of our partners and stockholders, this year's annual meeting will be a completely virtual meeting of stockholders, conducted via live audio webcast. Details about the meeting, nominees for the Board of Directors and other matters to be acted on are included in the Notice of Internet Availability of Proxy Materials and proxy statement that follow. To be admitted to the annual meeting at </w:t>
      </w:r>
      <w:r>
        <w:rPr>
          <w:rFonts w:ascii="Arial" w:cs="Arial" w:eastAsia="Arial" w:hAnsi="Arial"/>
          <w:sz w:val="14"/>
          <w:szCs w:val="14"/>
          <w:u w:val="single" w:color="auto"/>
          <w:color w:val="auto"/>
        </w:rPr>
        <w:t>www.virtualshareholdermeeting.com/EBS2020</w:t>
      </w:r>
      <w:r>
        <w:rPr>
          <w:rFonts w:ascii="Arial" w:cs="Arial" w:eastAsia="Arial" w:hAnsi="Arial"/>
          <w:sz w:val="14"/>
          <w:szCs w:val="14"/>
          <w:color w:val="auto"/>
        </w:rPr>
        <w:t>, you must enter the 16-digit control number which appears on your proxy card, voting instruction form or notice you will receive.</w:t>
      </w:r>
    </w:p>
    <w:p>
      <w:pPr>
        <w:spacing w:after="0" w:line="149" w:lineRule="exact"/>
        <w:rPr>
          <w:sz w:val="20"/>
          <w:szCs w:val="20"/>
          <w:color w:val="auto"/>
        </w:rPr>
      </w:pPr>
    </w:p>
    <w:p>
      <w:pPr>
        <w:jc w:val="both"/>
        <w:ind w:firstLine="290"/>
        <w:spacing w:after="0" w:line="260" w:lineRule="auto"/>
        <w:rPr>
          <w:sz w:val="20"/>
          <w:szCs w:val="20"/>
          <w:color w:val="auto"/>
        </w:rPr>
      </w:pPr>
      <w:r>
        <w:rPr>
          <w:rFonts w:ascii="Arial" w:cs="Arial" w:eastAsia="Arial" w:hAnsi="Arial"/>
          <w:sz w:val="15"/>
          <w:szCs w:val="15"/>
          <w:color w:val="auto"/>
        </w:rPr>
        <w:t>We hope you plan to attend the annual meeting. You may vote during the virtual annual meeting by following the instructions available on the meeting website. Whether or not you plan to attend the annual meeting, we urge you to vote and submit your proxy in advance of the meeting by one of the methods described in our proxy statement or the Notice of Internet Availability of Proxy Materials. Your proxy may be revoked at any time before it is exercised as explained in our proxy statement.</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On behalf of the Board of Directors and management, it is my pleasure to express our appreciation for your support.</w:t>
      </w:r>
    </w:p>
    <w:p>
      <w:pPr>
        <w:spacing w:after="0" w:line="18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138430</wp:posOffset>
            </wp:positionV>
            <wp:extent cx="965835" cy="243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5835" cy="2432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Fuad El-Hibri</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5"/>
          <w:szCs w:val="15"/>
          <w:i w:val="1"/>
          <w:iCs w:val="1"/>
          <w:color w:val="auto"/>
        </w:rPr>
        <w:t>Executive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270510</wp:posOffset>
            </wp:positionV>
            <wp:extent cx="7155180" cy="851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85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YOUR VOTE IS IMPORTANT.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PLEASE TAKE TIME TO VOTE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324485</wp:posOffset>
            </wp:positionV>
            <wp:extent cx="7160260"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 w:name="page3"/>
    <w:bookmarkEnd w:id="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EMERGENT BIOSOLUTIONS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400 PROFESSIONAL DRIVE, SUITE 400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GAITHERSBURG, MARYLAND 20879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2020 ANNUAL MEETING OF STOCKHOLDERS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May 21, 2020</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To Our Stockholders:</w:t>
      </w:r>
    </w:p>
    <w:p>
      <w:pPr>
        <w:spacing w:after="0" w:line="188" w:lineRule="exact"/>
        <w:rPr>
          <w:sz w:val="20"/>
          <w:szCs w:val="20"/>
          <w:color w:val="auto"/>
        </w:rPr>
      </w:pPr>
    </w:p>
    <w:p>
      <w:pPr>
        <w:jc w:val="both"/>
        <w:ind w:firstLine="302"/>
        <w:spacing w:after="0" w:line="287" w:lineRule="auto"/>
        <w:rPr>
          <w:sz w:val="20"/>
          <w:szCs w:val="20"/>
          <w:color w:val="auto"/>
        </w:rPr>
      </w:pPr>
      <w:r>
        <w:rPr>
          <w:rFonts w:ascii="Arial" w:cs="Arial" w:eastAsia="Arial" w:hAnsi="Arial"/>
          <w:sz w:val="14"/>
          <w:szCs w:val="14"/>
          <w:color w:val="auto"/>
        </w:rPr>
        <w:t xml:space="preserve">The 2020 Annual Meeting of Stockholders of Emergent BioSolutions Inc. will be held on May 21, 2020, at 9:00 a.m., Eastern Time. The safety of our stockholders is important to us, and given the current guidance by public health officials surrounding the coronavirus outbreak (COVID-19) and group gatherings, this year's annual meeting will be a "virtual meeting" of stockholders. You will be able to attend the annual meeting, vote, and submit questions via live webcast by visiting </w:t>
      </w:r>
      <w:r>
        <w:rPr>
          <w:rFonts w:ascii="Arial" w:cs="Arial" w:eastAsia="Arial" w:hAnsi="Arial"/>
          <w:sz w:val="14"/>
          <w:szCs w:val="14"/>
          <w:u w:val="single" w:color="auto"/>
          <w:color w:val="auto"/>
        </w:rPr>
        <w:t>www.virtualshareholdermeeting.com/EBS2020</w:t>
      </w:r>
      <w:r>
        <w:rPr>
          <w:rFonts w:ascii="Arial" w:cs="Arial" w:eastAsia="Arial" w:hAnsi="Arial"/>
          <w:sz w:val="14"/>
          <w:szCs w:val="14"/>
          <w:color w:val="auto"/>
        </w:rPr>
        <w:t>.</w:t>
      </w:r>
    </w:p>
    <w:p>
      <w:pPr>
        <w:spacing w:after="0" w:line="14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annual meeting will be held for the following purposes:</w:t>
      </w:r>
    </w:p>
    <w:p>
      <w:pPr>
        <w:spacing w:after="0" w:line="199" w:lineRule="exact"/>
        <w:rPr>
          <w:sz w:val="20"/>
          <w:szCs w:val="20"/>
          <w:color w:val="auto"/>
        </w:rPr>
      </w:pPr>
    </w:p>
    <w:p>
      <w:pPr>
        <w:ind w:left="1340" w:hanging="448"/>
        <w:spacing w:after="0" w:line="270" w:lineRule="auto"/>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three Class II directors to hold office for a term expiring at our 2023 annual meeting of stockholders, each to serve until their respective successors are duly elected and qualified;</w:t>
      </w:r>
    </w:p>
    <w:p>
      <w:pPr>
        <w:spacing w:after="0" w:line="175" w:lineRule="exact"/>
        <w:rPr>
          <w:rFonts w:ascii="Arial" w:cs="Arial" w:eastAsia="Arial" w:hAnsi="Arial"/>
          <w:sz w:val="15"/>
          <w:szCs w:val="15"/>
          <w:color w:val="auto"/>
        </w:rPr>
      </w:pPr>
    </w:p>
    <w:p>
      <w:pPr>
        <w:ind w:left="1340" w:right="20" w:hanging="448"/>
        <w:spacing w:after="0" w:line="270" w:lineRule="auto"/>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ratify the appointment by the audit committee of Ernst &amp; Young LLP as our Independent Registered Public Accounting Firm for the fiscal year ending December 31, 2020;</w:t>
      </w:r>
    </w:p>
    <w:p>
      <w:pPr>
        <w:spacing w:after="0" w:line="164" w:lineRule="exact"/>
        <w:rPr>
          <w:rFonts w:ascii="Arial" w:cs="Arial" w:eastAsia="Arial" w:hAnsi="Arial"/>
          <w:sz w:val="15"/>
          <w:szCs w:val="15"/>
          <w:color w:val="auto"/>
        </w:rPr>
      </w:pPr>
    </w:p>
    <w:p>
      <w:pPr>
        <w:ind w:left="1340" w:hanging="448"/>
        <w:spacing w:after="0"/>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hold, on an advisory basis, a vote to approve executive compensation; and</w:t>
      </w:r>
    </w:p>
    <w:p>
      <w:pPr>
        <w:spacing w:after="0" w:line="199" w:lineRule="exact"/>
        <w:rPr>
          <w:rFonts w:ascii="Arial" w:cs="Arial" w:eastAsia="Arial" w:hAnsi="Arial"/>
          <w:sz w:val="15"/>
          <w:szCs w:val="15"/>
          <w:color w:val="auto"/>
        </w:rPr>
      </w:pPr>
    </w:p>
    <w:p>
      <w:pPr>
        <w:ind w:left="1340" w:hanging="448"/>
        <w:spacing w:after="0"/>
        <w:tabs>
          <w:tab w:leader="none" w:pos="1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act upon any other matter that may properly come before the meeting or any adjournment or postponement of the meeting.</w:t>
      </w:r>
    </w:p>
    <w:p>
      <w:pPr>
        <w:spacing w:after="0" w:line="188"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5"/>
          <w:szCs w:val="15"/>
          <w:color w:val="auto"/>
        </w:rPr>
        <w:t>As of the date of this notice, the company has received no notice of any matters, other than those set forth above, that may properly be presented at the 2020 annual meeting. If any other matters are properly presented for consideration at the meeting, the persons named as proxies on the enclosed proxy card, or their duly constituted substitutes, will be deemed authorized to vote the shares represented by proxy or otherwise act on those matters in accordance with their judgment.</w:t>
      </w:r>
    </w:p>
    <w:p>
      <w:pPr>
        <w:spacing w:after="0" w:line="157" w:lineRule="exact"/>
        <w:rPr>
          <w:sz w:val="20"/>
          <w:szCs w:val="20"/>
          <w:color w:val="auto"/>
        </w:rPr>
      </w:pPr>
    </w:p>
    <w:p>
      <w:pPr>
        <w:jc w:val="both"/>
        <w:ind w:firstLine="338"/>
        <w:spacing w:after="0" w:line="263" w:lineRule="auto"/>
        <w:rPr>
          <w:sz w:val="20"/>
          <w:szCs w:val="20"/>
          <w:color w:val="auto"/>
        </w:rPr>
      </w:pPr>
      <w:r>
        <w:rPr>
          <w:rFonts w:ascii="Arial" w:cs="Arial" w:eastAsia="Arial" w:hAnsi="Arial"/>
          <w:sz w:val="15"/>
          <w:szCs w:val="15"/>
          <w:b w:val="1"/>
          <w:bCs w:val="1"/>
          <w:color w:val="auto"/>
        </w:rPr>
        <w:t xml:space="preserve">The Board of Directors recommends that you vote FOR the election of each of the Class II director nominees, and FOR Proposals 2 and 3. </w:t>
      </w:r>
      <w:r>
        <w:rPr>
          <w:rFonts w:ascii="Arial" w:cs="Arial" w:eastAsia="Arial" w:hAnsi="Arial"/>
          <w:sz w:val="15"/>
          <w:szCs w:val="15"/>
          <w:color w:val="auto"/>
        </w:rPr>
        <w:t>The close of business on March 26,</w:t>
      </w:r>
      <w:r>
        <w:rPr>
          <w:rFonts w:ascii="Arial" w:cs="Arial" w:eastAsia="Arial" w:hAnsi="Arial"/>
          <w:sz w:val="15"/>
          <w:szCs w:val="15"/>
          <w:b w:val="1"/>
          <w:bCs w:val="1"/>
          <w:color w:val="auto"/>
        </w:rPr>
        <w:t xml:space="preserve"> </w:t>
      </w:r>
      <w:r>
        <w:rPr>
          <w:rFonts w:ascii="Arial" w:cs="Arial" w:eastAsia="Arial" w:hAnsi="Arial"/>
          <w:sz w:val="15"/>
          <w:szCs w:val="15"/>
          <w:color w:val="auto"/>
        </w:rPr>
        <w:t>2020, has been established as the record date for determining those stockholders entitled to receive notice of and to vote at the 2020 annual meeting or any adjournment or postponement thereof.</w:t>
      </w:r>
    </w:p>
    <w:p>
      <w:pPr>
        <w:spacing w:after="0" w:line="154"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5"/>
          <w:szCs w:val="15"/>
          <w:b w:val="1"/>
          <w:bCs w:val="1"/>
          <w:color w:val="auto"/>
        </w:rPr>
        <w:t xml:space="preserve">Your vote is very important. </w:t>
      </w:r>
      <w:r>
        <w:rPr>
          <w:rFonts w:ascii="Arial" w:cs="Arial" w:eastAsia="Arial" w:hAnsi="Arial"/>
          <w:sz w:val="15"/>
          <w:szCs w:val="15"/>
          <w:color w:val="auto"/>
        </w:rPr>
        <w:t>Please read the proxy statement and then, whether or not you expect to attend the annual meeting, and no matter how many shares you own, vote your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shares as promptly as possible. You can vote by proxy over the internet, by telephone or by mail by following the instructions provided in the proxy statement and on the proxy card. Submitting your proxy now will help ensure a quorum and avoid additional proxy solicitation costs. To be admitted to the annual meeting at </w:t>
      </w:r>
      <w:r>
        <w:rPr>
          <w:rFonts w:ascii="Arial" w:cs="Arial" w:eastAsia="Arial" w:hAnsi="Arial"/>
          <w:sz w:val="15"/>
          <w:szCs w:val="15"/>
          <w:u w:val="single" w:color="auto"/>
          <w:color w:val="auto"/>
        </w:rPr>
        <w:t>www.virtualshareholdermeeting.com/EBS2020</w:t>
      </w:r>
      <w:r>
        <w:rPr>
          <w:rFonts w:ascii="Arial" w:cs="Arial" w:eastAsia="Arial" w:hAnsi="Arial"/>
          <w:sz w:val="15"/>
          <w:szCs w:val="15"/>
          <w:color w:val="auto"/>
        </w:rPr>
        <w:t xml:space="preserve">, you must enter the 16-digit control number which appears on your proxy card, voting instruction form or notice you will receive. You may vote during the annual meeting by following the instructions available on the meeting website during the meeting. You may vote virtually at the annual meeting, even if you have previously submitted a proxy. If you hold shares through a broker, bank or other nominee and wish to vote your shares at the annual meeting, you will need your unique control number that accompanies the instructions that the broker, bank or other nominee provides to you with the proxy materials. </w:t>
      </w:r>
      <w:r>
        <w:rPr>
          <w:rFonts w:ascii="Arial" w:cs="Arial" w:eastAsia="Arial" w:hAnsi="Arial"/>
          <w:sz w:val="15"/>
          <w:szCs w:val="15"/>
          <w:b w:val="1"/>
          <w:bCs w:val="1"/>
          <w:color w:val="auto"/>
        </w:rPr>
        <w:t>If you have any questions about voting your shares or attending the virtual annual meeting, please contact our Investor Relations</w:t>
      </w:r>
      <w:r>
        <w:rPr>
          <w:rFonts w:ascii="Arial" w:cs="Arial" w:eastAsia="Arial" w:hAnsi="Arial"/>
          <w:sz w:val="15"/>
          <w:szCs w:val="15"/>
          <w:color w:val="auto"/>
        </w:rPr>
        <w:t xml:space="preserve"> </w:t>
      </w:r>
      <w:r>
        <w:rPr>
          <w:rFonts w:ascii="Arial" w:cs="Arial" w:eastAsia="Arial" w:hAnsi="Arial"/>
          <w:sz w:val="15"/>
          <w:szCs w:val="15"/>
          <w:b w:val="1"/>
          <w:bCs w:val="1"/>
          <w:color w:val="auto"/>
        </w:rPr>
        <w:t>department at (240) 631-3200.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107315</wp:posOffset>
            </wp:positionV>
            <wp:extent cx="716026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 w:name="page4"/>
    <w:bookmarkEnd w:id="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firstLine="292"/>
        <w:spacing w:after="0" w:line="270" w:lineRule="auto"/>
        <w:rPr>
          <w:sz w:val="20"/>
          <w:szCs w:val="20"/>
          <w:color w:val="auto"/>
        </w:rPr>
      </w:pPr>
      <w:r>
        <w:rPr>
          <w:rFonts w:ascii="Arial" w:cs="Arial" w:eastAsia="Arial" w:hAnsi="Arial"/>
          <w:sz w:val="15"/>
          <w:szCs w:val="15"/>
          <w:color w:val="auto"/>
        </w:rPr>
        <w:t>You may revoke your proxy before the vote is taken by delivering to our Corporate Secretary a written revocation, submitting a proxy with a later date or by voting your shares virtually at the meeting, in which case your prior proxy will be disregarded.</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138430</wp:posOffset>
            </wp:positionV>
            <wp:extent cx="901700" cy="565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1700" cy="56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Atul Saran</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5"/>
          <w:szCs w:val="15"/>
          <w:i w:val="1"/>
          <w:iCs w:val="1"/>
          <w:color w:val="auto"/>
        </w:rPr>
        <w:t>Executive Vice President, Corporate Development,</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5"/>
          <w:szCs w:val="15"/>
          <w:i w:val="1"/>
          <w:iCs w:val="1"/>
          <w:color w:val="auto"/>
        </w:rPr>
        <w:t>General Counsel and Corporate Secretary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Gaithersburg, Maryland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117475</wp:posOffset>
            </wp:positionV>
            <wp:extent cx="7160260"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 w:name="page5"/>
    <w:bookmarkEnd w:id="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IMPORTANT NOTICE REGARDING THE AVAILABILITY OF PROXY MATERIALS FOR THE</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2020 ANNUAL MEETING OF STOCKHOLDERS TO BE HELD ON MAY 21, 2020</w:t>
      </w:r>
    </w:p>
    <w:p>
      <w:pPr>
        <w:spacing w:after="0" w:line="178" w:lineRule="exact"/>
        <w:rPr>
          <w:sz w:val="20"/>
          <w:szCs w:val="20"/>
          <w:color w:val="auto"/>
        </w:rPr>
      </w:pPr>
    </w:p>
    <w:p>
      <w:pPr>
        <w:ind w:firstLine="361"/>
        <w:spacing w:after="0" w:line="275" w:lineRule="auto"/>
        <w:rPr>
          <w:sz w:val="20"/>
          <w:szCs w:val="20"/>
          <w:color w:val="auto"/>
        </w:rPr>
      </w:pPr>
      <w:r>
        <w:rPr>
          <w:rFonts w:ascii="Arial" w:cs="Arial" w:eastAsia="Arial" w:hAnsi="Arial"/>
          <w:sz w:val="15"/>
          <w:szCs w:val="15"/>
          <w:b w:val="1"/>
          <w:bCs w:val="1"/>
          <w:color w:val="auto"/>
        </w:rPr>
        <w:t xml:space="preserve">The company's proxy statement for the 2020 annual meeting of stockholders and annual report on Form 10-K for the fiscal year ended December 31, 2019, are available at </w:t>
      </w:r>
      <w:r>
        <w:rPr>
          <w:rFonts w:ascii="Arial" w:cs="Arial" w:eastAsia="Arial" w:hAnsi="Arial"/>
          <w:sz w:val="15"/>
          <w:szCs w:val="15"/>
          <w:b w:val="1"/>
          <w:bCs w:val="1"/>
          <w:u w:val="single" w:color="auto"/>
          <w:color w:val="auto"/>
        </w:rPr>
        <w:t>http://materials.proxyvote.com/29089Q</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155180" cy="593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593725"/>
                    </a:xfrm>
                    <a:prstGeom prst="rect">
                      <a:avLst/>
                    </a:prstGeom>
                    <a:noFill/>
                  </pic:spPr>
                </pic:pic>
              </a:graphicData>
            </a:graphic>
          </wp:anchor>
        </w:drawing>
      </w:r>
    </w:p>
    <w:p>
      <w:pPr>
        <w:spacing w:after="0" w:line="317" w:lineRule="exact"/>
        <w:rPr>
          <w:sz w:val="20"/>
          <w:szCs w:val="20"/>
          <w:color w:val="auto"/>
        </w:rPr>
      </w:pPr>
    </w:p>
    <w:p>
      <w:pPr>
        <w:jc w:val="center"/>
        <w:ind w:right="20"/>
        <w:spacing w:after="0" w:line="290" w:lineRule="auto"/>
        <w:rPr>
          <w:sz w:val="20"/>
          <w:szCs w:val="20"/>
          <w:color w:val="auto"/>
        </w:rPr>
      </w:pPr>
      <w:r>
        <w:rPr>
          <w:rFonts w:ascii="Arial" w:cs="Arial" w:eastAsia="Arial" w:hAnsi="Arial"/>
          <w:sz w:val="14"/>
          <w:szCs w:val="14"/>
          <w:b w:val="1"/>
          <w:bCs w:val="1"/>
          <w:color w:val="auto"/>
        </w:rPr>
        <w:t>WHETHER OR NOT YOU PLAN TO ATTEND THE MEETING, YOUR VOTE IS IMPORTANT. IN ORDER TO ENSURE THE REPRESENTATION OF YOUR SHARES AT THE 2020 ANNUAL MEETING, PLEASE VOTE BY PROXY AS PROMPTLY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163195</wp:posOffset>
            </wp:positionV>
            <wp:extent cx="7160260"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 w:name="page6"/>
    <w:bookmarkEnd w:id="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460" w:type="dxa"/>
            <w:vAlign w:val="bottom"/>
          </w:tcPr>
          <w:p>
            <w:pPr>
              <w:ind w:left="4820"/>
              <w:spacing w:after="0"/>
              <w:rPr>
                <w:sz w:val="20"/>
                <w:szCs w:val="20"/>
                <w:color w:val="auto"/>
              </w:rPr>
            </w:pPr>
            <w:r>
              <w:rPr>
                <w:rFonts w:ascii="Arial" w:cs="Arial" w:eastAsia="Arial" w:hAnsi="Arial"/>
                <w:sz w:val="15"/>
                <w:szCs w:val="15"/>
                <w:b w:val="1"/>
                <w:bCs w:val="1"/>
                <w:color w:val="auto"/>
              </w:rPr>
              <w:t>TABLE OF CONTENTS</w:t>
            </w: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9460" w:type="dxa"/>
            <w:vAlign w:val="bottom"/>
          </w:tcPr>
          <w:p>
            <w:pPr>
              <w:spacing w:after="0"/>
              <w:rPr>
                <w:sz w:val="24"/>
                <w:szCs w:val="24"/>
                <w:color w:val="auto"/>
              </w:rPr>
            </w:pPr>
          </w:p>
        </w:tc>
        <w:tc>
          <w:tcPr>
            <w:tcW w:w="1800" w:type="dxa"/>
            <w:vAlign w:val="bottom"/>
            <w:gridSpan w:val="2"/>
          </w:tcPr>
          <w:p>
            <w:pPr>
              <w:jc w:val="center"/>
              <w:ind w:right="1260"/>
              <w:spacing w:after="0"/>
              <w:rPr>
                <w:sz w:val="20"/>
                <w:szCs w:val="20"/>
                <w:color w:val="auto"/>
              </w:rPr>
            </w:pPr>
            <w:r>
              <w:rPr>
                <w:rFonts w:ascii="Arial" w:cs="Arial" w:eastAsia="Arial" w:hAnsi="Arial"/>
                <w:sz w:val="11"/>
                <w:szCs w:val="11"/>
                <w:b w:val="1"/>
                <w:bCs w:val="1"/>
                <w:color w:val="auto"/>
                <w:w w:val="83"/>
              </w:rPr>
              <w:t>Page</w:t>
            </w:r>
          </w:p>
        </w:tc>
        <w:tc>
          <w:tcPr>
            <w:tcW w:w="0" w:type="dxa"/>
            <w:vAlign w:val="bottom"/>
          </w:tcPr>
          <w:p>
            <w:pPr>
              <w:spacing w:after="0"/>
              <w:rPr>
                <w:sz w:val="1"/>
                <w:szCs w:val="1"/>
                <w:color w:val="auto"/>
              </w:rPr>
            </w:pPr>
          </w:p>
        </w:tc>
      </w:tr>
      <w:tr>
        <w:trPr>
          <w:trHeight w:val="135"/>
        </w:trPr>
        <w:tc>
          <w:tcPr>
            <w:tcW w:w="9460" w:type="dxa"/>
            <w:vAlign w:val="bottom"/>
            <w:vMerge w:val="restart"/>
          </w:tcPr>
          <w:p>
            <w:pPr>
              <w:ind w:left="1120"/>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Questions and Answers about the Annual Meeting</w:t>
              </w:r>
            </w:hyperlink>
          </w:p>
        </w:tc>
        <w:tc>
          <w:tcPr>
            <w:tcW w:w="1800" w:type="dxa"/>
            <w:vAlign w:val="bottom"/>
            <w:gridSpan w:val="2"/>
          </w:tcPr>
          <w:p>
            <w:pPr>
              <w:jc w:val="center"/>
              <w:ind w:right="1240"/>
              <w:spacing w:after="0"/>
              <w:rPr>
                <w:sz w:val="20"/>
                <w:szCs w:val="20"/>
                <w:color w:val="auto"/>
              </w:rPr>
            </w:pPr>
            <w:r>
              <w:rPr>
                <w:rFonts w:ascii="Arial" w:cs="Arial" w:eastAsia="Arial" w:hAnsi="Arial"/>
                <w:sz w:val="11"/>
                <w:szCs w:val="11"/>
                <w:b w:val="1"/>
                <w:bCs w:val="1"/>
                <w:color w:val="auto"/>
                <w:w w:val="96"/>
              </w:rPr>
              <w:t>Number</w:t>
            </w:r>
          </w:p>
        </w:tc>
        <w:tc>
          <w:tcPr>
            <w:tcW w:w="0" w:type="dxa"/>
            <w:vAlign w:val="bottom"/>
          </w:tcPr>
          <w:p>
            <w:pPr>
              <w:spacing w:after="0"/>
              <w:rPr>
                <w:sz w:val="1"/>
                <w:szCs w:val="1"/>
                <w:color w:val="auto"/>
              </w:rPr>
            </w:pPr>
          </w:p>
        </w:tc>
      </w:tr>
      <w:tr>
        <w:trPr>
          <w:trHeight w:val="164"/>
        </w:trPr>
        <w:tc>
          <w:tcPr>
            <w:tcW w:w="9460" w:type="dxa"/>
            <w:vAlign w:val="bottom"/>
            <w:vMerge w:val="continue"/>
          </w:tcPr>
          <w:p>
            <w:pPr>
              <w:spacing w:after="0"/>
              <w:rPr>
                <w:sz w:val="14"/>
                <w:szCs w:val="14"/>
                <w:color w:val="auto"/>
              </w:rPr>
            </w:pPr>
          </w:p>
        </w:tc>
        <w:tc>
          <w:tcPr>
            <w:tcW w:w="540" w:type="dxa"/>
            <w:vAlign w:val="bottom"/>
            <w:tcBorders>
              <w:top w:val="single" w:sz="8" w:color="auto"/>
            </w:tcBorders>
          </w:tcPr>
          <w:p>
            <w:pPr>
              <w:jc w:val="right"/>
              <w:spacing w:after="0" w:line="164" w:lineRule="exact"/>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1</w:t>
              </w:r>
            </w:hyperlink>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120"/>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Corporate Governance</w:t>
              </w:r>
            </w:hyperlink>
          </w:p>
        </w:tc>
        <w:tc>
          <w:tcPr>
            <w:tcW w:w="540" w:type="dxa"/>
            <w:vAlign w:val="bottom"/>
          </w:tcPr>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8</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Corporate Governance Guidelines</w:t>
              </w:r>
            </w:hyperlink>
          </w:p>
        </w:tc>
        <w:tc>
          <w:tcPr>
            <w:tcW w:w="540" w:type="dxa"/>
            <w:vAlign w:val="bottom"/>
          </w:tcPr>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8</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Board Independence</w:t>
              </w:r>
            </w:hyperlink>
          </w:p>
        </w:tc>
        <w:tc>
          <w:tcPr>
            <w:tcW w:w="540" w:type="dxa"/>
            <w:vAlign w:val="bottom"/>
          </w:tcPr>
          <w:p>
            <w:pPr>
              <w:jc w:val="right"/>
              <w:spacing w:after="0"/>
              <w:rPr>
                <w:rFonts w:ascii="Arial" w:cs="Arial" w:eastAsia="Arial" w:hAnsi="Arial"/>
                <w:sz w:val="15"/>
                <w:szCs w:val="15"/>
                <w:u w:val="single" w:color="auto"/>
                <w:color w:val="0000EE"/>
              </w:rPr>
            </w:pPr>
            <w:hyperlink w:anchor="page14">
              <w:r>
                <w:rPr>
                  <w:rFonts w:ascii="Arial" w:cs="Arial" w:eastAsia="Arial" w:hAnsi="Arial"/>
                  <w:sz w:val="15"/>
                  <w:szCs w:val="15"/>
                  <w:u w:val="single" w:color="auto"/>
                  <w:color w:val="0000EE"/>
                </w:rPr>
                <w:t>8</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Meetings and Attendance</w:t>
              </w:r>
            </w:hyperlink>
          </w:p>
        </w:tc>
        <w:tc>
          <w:tcPr>
            <w:tcW w:w="540" w:type="dxa"/>
            <w:vAlign w:val="bottom"/>
          </w:tcPr>
          <w:p>
            <w:pPr>
              <w:jc w:val="right"/>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The Board's Role in Risk Oversight</w:t>
              </w:r>
            </w:hyperlink>
          </w:p>
        </w:tc>
        <w:tc>
          <w:tcPr>
            <w:tcW w:w="540" w:type="dxa"/>
            <w:vAlign w:val="bottom"/>
          </w:tcPr>
          <w:p>
            <w:pPr>
              <w:jc w:val="right"/>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Board Committees</w:t>
              </w:r>
            </w:hyperlink>
          </w:p>
        </w:tc>
        <w:tc>
          <w:tcPr>
            <w:tcW w:w="540" w:type="dxa"/>
            <w:vAlign w:val="bottom"/>
          </w:tcPr>
          <w:p>
            <w:pPr>
              <w:jc w:val="right"/>
              <w:spacing w:after="0"/>
              <w:rPr>
                <w:rFonts w:ascii="Arial" w:cs="Arial" w:eastAsia="Arial" w:hAnsi="Arial"/>
                <w:sz w:val="15"/>
                <w:szCs w:val="15"/>
                <w:u w:val="single" w:color="auto"/>
                <w:color w:val="0000EE"/>
              </w:rPr>
            </w:pPr>
            <w:hyperlink w:anchor="page15">
              <w:r>
                <w:rPr>
                  <w:rFonts w:ascii="Arial" w:cs="Arial" w:eastAsia="Arial" w:hAnsi="Arial"/>
                  <w:sz w:val="15"/>
                  <w:szCs w:val="15"/>
                  <w:u w:val="single" w:color="auto"/>
                  <w:color w:val="0000EE"/>
                </w:rPr>
                <w:t>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Director Nomination Process</w:t>
              </w:r>
            </w:hyperlink>
          </w:p>
        </w:tc>
        <w:tc>
          <w:tcPr>
            <w:tcW w:w="540" w:type="dxa"/>
            <w:vAlign w:val="bottom"/>
          </w:tcPr>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13</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Skills/Attributes Composition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13</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Governance Structure and Lead Director</w:t>
              </w:r>
            </w:hyperlink>
          </w:p>
        </w:tc>
        <w:tc>
          <w:tcPr>
            <w:tcW w:w="540" w:type="dxa"/>
            <w:vAlign w:val="bottom"/>
          </w:tcPr>
          <w:p>
            <w:pPr>
              <w:jc w:val="right"/>
              <w:spacing w:after="0"/>
              <w:rPr>
                <w:rFonts w:ascii="Arial" w:cs="Arial" w:eastAsia="Arial" w:hAnsi="Arial"/>
                <w:sz w:val="15"/>
                <w:szCs w:val="15"/>
                <w:u w:val="single" w:color="auto"/>
                <w:color w:val="0000EE"/>
              </w:rPr>
            </w:pPr>
            <w:hyperlink w:anchor="page20">
              <w:r>
                <w:rPr>
                  <w:rFonts w:ascii="Arial" w:cs="Arial" w:eastAsia="Arial" w:hAnsi="Arial"/>
                  <w:sz w:val="15"/>
                  <w:szCs w:val="15"/>
                  <w:u w:val="single" w:color="auto"/>
                  <w:color w:val="0000EE"/>
                </w:rPr>
                <w:t>14</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Communicating with the Board of Directors</w:t>
              </w:r>
            </w:hyperlink>
          </w:p>
        </w:tc>
        <w:tc>
          <w:tcPr>
            <w:tcW w:w="540" w:type="dxa"/>
            <w:vAlign w:val="bottom"/>
          </w:tcPr>
          <w:p>
            <w:pPr>
              <w:jc w:val="right"/>
              <w:spacing w:after="0"/>
              <w:rPr>
                <w:rFonts w:ascii="Arial" w:cs="Arial" w:eastAsia="Arial" w:hAnsi="Arial"/>
                <w:sz w:val="15"/>
                <w:szCs w:val="15"/>
                <w:u w:val="single" w:color="auto"/>
                <w:color w:val="0000EE"/>
              </w:rPr>
            </w:pPr>
            <w:hyperlink w:anchor="page21">
              <w:r>
                <w:rPr>
                  <w:rFonts w:ascii="Arial" w:cs="Arial" w:eastAsia="Arial" w:hAnsi="Arial"/>
                  <w:sz w:val="15"/>
                  <w:szCs w:val="15"/>
                  <w:u w:val="single" w:color="auto"/>
                  <w:color w:val="0000EE"/>
                </w:rPr>
                <w:t>15</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12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Stock Ownership Information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16</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Certain Stockholder Ownership</w:t>
              </w:r>
            </w:hyperlink>
          </w:p>
        </w:tc>
        <w:tc>
          <w:tcPr>
            <w:tcW w:w="540" w:type="dxa"/>
            <w:vAlign w:val="bottom"/>
          </w:tcPr>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18</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Section 16(a) Beneficial Ownership Reporting Compliance</w:t>
              </w:r>
            </w:hyperlink>
          </w:p>
        </w:tc>
        <w:tc>
          <w:tcPr>
            <w:tcW w:w="540" w:type="dxa"/>
            <w:vAlign w:val="bottom"/>
          </w:tcPr>
          <w:p>
            <w:pPr>
              <w:jc w:val="right"/>
              <w:spacing w:after="0"/>
              <w:rPr>
                <w:rFonts w:ascii="Arial" w:cs="Arial" w:eastAsia="Arial" w:hAnsi="Arial"/>
                <w:sz w:val="15"/>
                <w:szCs w:val="15"/>
                <w:u w:val="single" w:color="auto"/>
                <w:color w:val="0000EE"/>
              </w:rPr>
            </w:pPr>
            <w:hyperlink w:anchor="page24">
              <w:r>
                <w:rPr>
                  <w:rFonts w:ascii="Arial" w:cs="Arial" w:eastAsia="Arial" w:hAnsi="Arial"/>
                  <w:sz w:val="15"/>
                  <w:szCs w:val="15"/>
                  <w:u w:val="single" w:color="auto"/>
                  <w:color w:val="0000EE"/>
                </w:rPr>
                <w:t>18</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12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Proposals to be Voted on at the Annual Meeting</w:t>
              </w:r>
            </w:hyperlink>
          </w:p>
        </w:tc>
        <w:tc>
          <w:tcPr>
            <w:tcW w:w="540" w:type="dxa"/>
            <w:vAlign w:val="bottom"/>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19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Proposal 1. Election of Directors</w:t>
              </w:r>
            </w:hyperlink>
          </w:p>
        </w:tc>
        <w:tc>
          <w:tcPr>
            <w:tcW w:w="540" w:type="dxa"/>
            <w:vAlign w:val="bottom"/>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19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720"/>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Directors and Nominees</w:t>
              </w:r>
            </w:hyperlink>
          </w:p>
        </w:tc>
        <w:tc>
          <w:tcPr>
            <w:tcW w:w="540" w:type="dxa"/>
            <w:vAlign w:val="bottom"/>
          </w:tcPr>
          <w:p>
            <w:pPr>
              <w:jc w:val="right"/>
              <w:spacing w:after="0"/>
              <w:rPr>
                <w:rFonts w:ascii="Arial" w:cs="Arial" w:eastAsia="Arial" w:hAnsi="Arial"/>
                <w:sz w:val="15"/>
                <w:szCs w:val="15"/>
                <w:u w:val="single" w:color="auto"/>
                <w:color w:val="0000EE"/>
              </w:rPr>
            </w:pPr>
            <w:hyperlink w:anchor="page25">
              <w:r>
                <w:rPr>
                  <w:rFonts w:ascii="Arial" w:cs="Arial" w:eastAsia="Arial" w:hAnsi="Arial"/>
                  <w:sz w:val="15"/>
                  <w:szCs w:val="15"/>
                  <w:u w:val="single" w:color="auto"/>
                  <w:color w:val="0000EE"/>
                </w:rPr>
                <w:t>19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720"/>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Director Nominees</w:t>
              </w:r>
            </w:hyperlink>
          </w:p>
        </w:tc>
        <w:tc>
          <w:tcPr>
            <w:tcW w:w="540" w:type="dxa"/>
            <w:vAlign w:val="bottom"/>
          </w:tcPr>
          <w:p>
            <w:pPr>
              <w:jc w:val="right"/>
              <w:spacing w:after="0"/>
              <w:rPr>
                <w:rFonts w:ascii="Arial" w:cs="Arial" w:eastAsia="Arial" w:hAnsi="Arial"/>
                <w:sz w:val="15"/>
                <w:szCs w:val="15"/>
                <w:u w:val="single" w:color="auto"/>
                <w:color w:val="0000EE"/>
              </w:rPr>
            </w:pPr>
            <w:hyperlink w:anchor="page26">
              <w:r>
                <w:rPr>
                  <w:rFonts w:ascii="Arial" w:cs="Arial" w:eastAsia="Arial" w:hAnsi="Arial"/>
                  <w:sz w:val="15"/>
                  <w:szCs w:val="15"/>
                  <w:u w:val="single" w:color="auto"/>
                  <w:color w:val="0000EE"/>
                </w:rPr>
                <w:t>20</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720"/>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Existing and Continuing Directors</w:t>
              </w:r>
            </w:hyperlink>
          </w:p>
        </w:tc>
        <w:tc>
          <w:tcPr>
            <w:tcW w:w="540" w:type="dxa"/>
            <w:vAlign w:val="bottom"/>
          </w:tcPr>
          <w:p>
            <w:pPr>
              <w:jc w:val="right"/>
              <w:spacing w:after="0"/>
              <w:rPr>
                <w:rFonts w:ascii="Arial" w:cs="Arial" w:eastAsia="Arial" w:hAnsi="Arial"/>
                <w:sz w:val="15"/>
                <w:szCs w:val="15"/>
                <w:u w:val="single" w:color="auto"/>
                <w:color w:val="0000EE"/>
              </w:rPr>
            </w:pPr>
            <w:hyperlink w:anchor="page28">
              <w:r>
                <w:rPr>
                  <w:rFonts w:ascii="Arial" w:cs="Arial" w:eastAsia="Arial" w:hAnsi="Arial"/>
                  <w:sz w:val="15"/>
                  <w:szCs w:val="15"/>
                  <w:u w:val="single" w:color="auto"/>
                  <w:color w:val="0000EE"/>
                </w:rPr>
                <w:t>22</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720"/>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Director Compensation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26</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Proposal 2. Ratification of Appointment of Independent Registered Public Accounting Firm</w:t>
              </w:r>
            </w:hyperlink>
          </w:p>
        </w:tc>
        <w:tc>
          <w:tcPr>
            <w:tcW w:w="540" w:type="dxa"/>
            <w:vAlign w:val="bottom"/>
          </w:tcPr>
          <w:p>
            <w:pPr>
              <w:jc w:val="right"/>
              <w:spacing w:after="0"/>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27</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720"/>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Audit Committee Report</w:t>
              </w:r>
            </w:hyperlink>
          </w:p>
        </w:tc>
        <w:tc>
          <w:tcPr>
            <w:tcW w:w="540" w:type="dxa"/>
            <w:vAlign w:val="bottom"/>
          </w:tcPr>
          <w:p>
            <w:pPr>
              <w:jc w:val="right"/>
              <w:spacing w:after="0"/>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28</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720"/>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Independent Registered Public Accounting Firm</w:t>
              </w:r>
            </w:hyperlink>
          </w:p>
        </w:tc>
        <w:tc>
          <w:tcPr>
            <w:tcW w:w="540" w:type="dxa"/>
            <w:vAlign w:val="bottom"/>
          </w:tcPr>
          <w:p>
            <w:pPr>
              <w:jc w:val="right"/>
              <w:spacing w:after="0"/>
              <w:rPr>
                <w:rFonts w:ascii="Arial" w:cs="Arial" w:eastAsia="Arial" w:hAnsi="Arial"/>
                <w:sz w:val="15"/>
                <w:szCs w:val="15"/>
                <w:u w:val="single" w:color="auto"/>
                <w:color w:val="0000EE"/>
              </w:rPr>
            </w:pPr>
            <w:hyperlink w:anchor="page35">
              <w:r>
                <w:rPr>
                  <w:rFonts w:ascii="Arial" w:cs="Arial" w:eastAsia="Arial" w:hAnsi="Arial"/>
                  <w:sz w:val="15"/>
                  <w:szCs w:val="15"/>
                  <w:u w:val="single" w:color="auto"/>
                  <w:color w:val="0000EE"/>
                </w:rPr>
                <w:t>29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Proposal 3. Advisory Vote to Approve Executive Compensation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36">
              <w:r>
                <w:rPr>
                  <w:rFonts w:ascii="Arial" w:cs="Arial" w:eastAsia="Arial" w:hAnsi="Arial"/>
                  <w:sz w:val="15"/>
                  <w:szCs w:val="15"/>
                  <w:u w:val="single" w:color="auto"/>
                  <w:color w:val="0000EE"/>
                </w:rPr>
                <w:t>30</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120"/>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Identification of Executive Officers</w:t>
              </w:r>
            </w:hyperlink>
          </w:p>
        </w:tc>
        <w:tc>
          <w:tcPr>
            <w:tcW w:w="540" w:type="dxa"/>
            <w:vAlign w:val="bottom"/>
          </w:tcPr>
          <w:p>
            <w:pPr>
              <w:jc w:val="right"/>
              <w:spacing w:after="0"/>
              <w:rPr>
                <w:rFonts w:ascii="Arial" w:cs="Arial" w:eastAsia="Arial" w:hAnsi="Arial"/>
                <w:sz w:val="15"/>
                <w:szCs w:val="15"/>
                <w:u w:val="single" w:color="auto"/>
                <w:color w:val="0000EE"/>
              </w:rPr>
            </w:pPr>
            <w:hyperlink w:anchor="page37">
              <w:r>
                <w:rPr>
                  <w:rFonts w:ascii="Arial" w:cs="Arial" w:eastAsia="Arial" w:hAnsi="Arial"/>
                  <w:sz w:val="15"/>
                  <w:szCs w:val="15"/>
                  <w:u w:val="single" w:color="auto"/>
                  <w:color w:val="0000EE"/>
                </w:rPr>
                <w:t>31</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12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Executive Compensation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33</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Executive Compensation Processes</w:t>
              </w:r>
            </w:hyperlink>
          </w:p>
        </w:tc>
        <w:tc>
          <w:tcPr>
            <w:tcW w:w="540" w:type="dxa"/>
            <w:vAlign w:val="bottom"/>
          </w:tcPr>
          <w:p>
            <w:pPr>
              <w:jc w:val="right"/>
              <w:spacing w:after="0"/>
              <w:rPr>
                <w:rFonts w:ascii="Arial" w:cs="Arial" w:eastAsia="Arial" w:hAnsi="Arial"/>
                <w:sz w:val="15"/>
                <w:szCs w:val="15"/>
                <w:u w:val="single" w:color="auto"/>
                <w:color w:val="0000EE"/>
              </w:rPr>
            </w:pPr>
            <w:hyperlink w:anchor="page39">
              <w:r>
                <w:rPr>
                  <w:rFonts w:ascii="Arial" w:cs="Arial" w:eastAsia="Arial" w:hAnsi="Arial"/>
                  <w:sz w:val="15"/>
                  <w:szCs w:val="15"/>
                  <w:u w:val="single" w:color="auto"/>
                  <w:color w:val="0000EE"/>
                </w:rPr>
                <w:t>33</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Compensation Discussion and Analysis</w:t>
              </w:r>
            </w:hyperlink>
          </w:p>
        </w:tc>
        <w:tc>
          <w:tcPr>
            <w:tcW w:w="540" w:type="dxa"/>
            <w:vAlign w:val="bottom"/>
          </w:tcPr>
          <w:p>
            <w:pPr>
              <w:jc w:val="right"/>
              <w:spacing w:after="0"/>
              <w:rPr>
                <w:rFonts w:ascii="Arial" w:cs="Arial" w:eastAsia="Arial" w:hAnsi="Arial"/>
                <w:sz w:val="15"/>
                <w:szCs w:val="15"/>
                <w:u w:val="single" w:color="auto"/>
                <w:color w:val="0000EE"/>
              </w:rPr>
            </w:pPr>
            <w:hyperlink w:anchor="page40">
              <w:r>
                <w:rPr>
                  <w:rFonts w:ascii="Arial" w:cs="Arial" w:eastAsia="Arial" w:hAnsi="Arial"/>
                  <w:sz w:val="15"/>
                  <w:szCs w:val="15"/>
                  <w:u w:val="single" w:color="auto"/>
                  <w:color w:val="0000EE"/>
                </w:rPr>
                <w:t>34</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Compensation Committee Report</w:t>
              </w:r>
            </w:hyperlink>
          </w:p>
        </w:tc>
        <w:tc>
          <w:tcPr>
            <w:tcW w:w="540" w:type="dxa"/>
            <w:vAlign w:val="bottom"/>
          </w:tcPr>
          <w:p>
            <w:pPr>
              <w:jc w:val="right"/>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54</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Compensation Committee Interlocks and Insider Participation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60">
              <w:r>
                <w:rPr>
                  <w:rFonts w:ascii="Arial" w:cs="Arial" w:eastAsia="Arial" w:hAnsi="Arial"/>
                  <w:sz w:val="15"/>
                  <w:szCs w:val="15"/>
                  <w:u w:val="single" w:color="auto"/>
                  <w:color w:val="0000EE"/>
                </w:rPr>
                <w:t>54</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Summary Compensation Table</w:t>
              </w:r>
            </w:hyperlink>
          </w:p>
        </w:tc>
        <w:tc>
          <w:tcPr>
            <w:tcW w:w="540" w:type="dxa"/>
            <w:vAlign w:val="bottom"/>
          </w:tcPr>
          <w:p>
            <w:pPr>
              <w:jc w:val="right"/>
              <w:spacing w:after="0"/>
              <w:rPr>
                <w:rFonts w:ascii="Arial" w:cs="Arial" w:eastAsia="Arial" w:hAnsi="Arial"/>
                <w:sz w:val="15"/>
                <w:szCs w:val="15"/>
                <w:u w:val="single" w:color="auto"/>
                <w:color w:val="0000EE"/>
              </w:rPr>
            </w:pPr>
            <w:hyperlink w:anchor="page61">
              <w:r>
                <w:rPr>
                  <w:rFonts w:ascii="Arial" w:cs="Arial" w:eastAsia="Arial" w:hAnsi="Arial"/>
                  <w:sz w:val="15"/>
                  <w:szCs w:val="15"/>
                  <w:u w:val="single" w:color="auto"/>
                  <w:color w:val="0000EE"/>
                </w:rPr>
                <w:t>55</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Pay Ratio Disclosure</w:t>
              </w:r>
            </w:hyperlink>
          </w:p>
        </w:tc>
        <w:tc>
          <w:tcPr>
            <w:tcW w:w="540" w:type="dxa"/>
            <w:vAlign w:val="bottom"/>
          </w:tcPr>
          <w:p>
            <w:pPr>
              <w:jc w:val="right"/>
              <w:spacing w:after="0"/>
              <w:rPr>
                <w:rFonts w:ascii="Arial" w:cs="Arial" w:eastAsia="Arial" w:hAnsi="Arial"/>
                <w:sz w:val="15"/>
                <w:szCs w:val="15"/>
                <w:u w:val="single" w:color="auto"/>
                <w:color w:val="0000EE"/>
              </w:rPr>
            </w:pPr>
            <w:hyperlink w:anchor="page62">
              <w:r>
                <w:rPr>
                  <w:rFonts w:ascii="Arial" w:cs="Arial" w:eastAsia="Arial" w:hAnsi="Arial"/>
                  <w:sz w:val="15"/>
                  <w:szCs w:val="15"/>
                  <w:u w:val="single" w:color="auto"/>
                  <w:color w:val="0000EE"/>
                </w:rPr>
                <w:t>56</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2019 Grants of Plan Based Awards</w:t>
              </w:r>
            </w:hyperlink>
          </w:p>
        </w:tc>
        <w:tc>
          <w:tcPr>
            <w:tcW w:w="540" w:type="dxa"/>
            <w:vAlign w:val="bottom"/>
          </w:tcPr>
          <w:p>
            <w:pPr>
              <w:jc w:val="right"/>
              <w:spacing w:after="0"/>
              <w:rPr>
                <w:rFonts w:ascii="Arial" w:cs="Arial" w:eastAsia="Arial" w:hAnsi="Arial"/>
                <w:sz w:val="15"/>
                <w:szCs w:val="15"/>
                <w:u w:val="single" w:color="auto"/>
                <w:color w:val="0000EE"/>
              </w:rPr>
            </w:pPr>
            <w:hyperlink w:anchor="page63">
              <w:r>
                <w:rPr>
                  <w:rFonts w:ascii="Arial" w:cs="Arial" w:eastAsia="Arial" w:hAnsi="Arial"/>
                  <w:sz w:val="15"/>
                  <w:szCs w:val="15"/>
                  <w:u w:val="single" w:color="auto"/>
                  <w:color w:val="0000EE"/>
                </w:rPr>
                <w:t>57</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2019 Outstanding Equity Awards at Fiscal Year-End</w:t>
              </w:r>
            </w:hyperlink>
          </w:p>
        </w:tc>
        <w:tc>
          <w:tcPr>
            <w:tcW w:w="540" w:type="dxa"/>
            <w:vAlign w:val="bottom"/>
          </w:tcPr>
          <w:p>
            <w:pPr>
              <w:jc w:val="right"/>
              <w:spacing w:after="0"/>
              <w:rPr>
                <w:rFonts w:ascii="Arial" w:cs="Arial" w:eastAsia="Arial" w:hAnsi="Arial"/>
                <w:sz w:val="15"/>
                <w:szCs w:val="15"/>
                <w:u w:val="single" w:color="auto"/>
                <w:color w:val="0000EE"/>
              </w:rPr>
            </w:pPr>
            <w:hyperlink w:anchor="page65">
              <w:r>
                <w:rPr>
                  <w:rFonts w:ascii="Arial" w:cs="Arial" w:eastAsia="Arial" w:hAnsi="Arial"/>
                  <w:sz w:val="15"/>
                  <w:szCs w:val="15"/>
                  <w:u w:val="single" w:color="auto"/>
                  <w:color w:val="0000EE"/>
                </w:rPr>
                <w:t>59</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2019 Option Exercises and Stock Awards Vested</w:t>
              </w:r>
            </w:hyperlink>
          </w:p>
        </w:tc>
        <w:tc>
          <w:tcPr>
            <w:tcW w:w="540" w:type="dxa"/>
            <w:vAlign w:val="bottom"/>
          </w:tcPr>
          <w:p>
            <w:pPr>
              <w:jc w:val="right"/>
              <w:spacing w:after="0"/>
              <w:rPr>
                <w:rFonts w:ascii="Arial" w:cs="Arial" w:eastAsia="Arial" w:hAnsi="Arial"/>
                <w:sz w:val="15"/>
                <w:szCs w:val="15"/>
                <w:u w:val="single" w:color="auto"/>
                <w:color w:val="0000EE"/>
              </w:rPr>
            </w:pPr>
            <w:hyperlink w:anchor="page67">
              <w:r>
                <w:rPr>
                  <w:rFonts w:ascii="Arial" w:cs="Arial" w:eastAsia="Arial" w:hAnsi="Arial"/>
                  <w:sz w:val="15"/>
                  <w:szCs w:val="15"/>
                  <w:u w:val="single" w:color="auto"/>
                  <w:color w:val="0000EE"/>
                </w:rPr>
                <w:t>61</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Payments Upon Termination or Change in Control</w:t>
              </w:r>
            </w:hyperlink>
          </w:p>
        </w:tc>
        <w:tc>
          <w:tcPr>
            <w:tcW w:w="540" w:type="dxa"/>
            <w:vAlign w:val="bottom"/>
          </w:tcPr>
          <w:p>
            <w:pPr>
              <w:jc w:val="right"/>
              <w:spacing w:after="0"/>
              <w:rPr>
                <w:rFonts w:ascii="Arial" w:cs="Arial" w:eastAsia="Arial" w:hAnsi="Arial"/>
                <w:sz w:val="15"/>
                <w:szCs w:val="15"/>
                <w:u w:val="single" w:color="auto"/>
                <w:color w:val="0000EE"/>
              </w:rPr>
            </w:pPr>
            <w:hyperlink w:anchor="page68">
              <w:r>
                <w:rPr>
                  <w:rFonts w:ascii="Arial" w:cs="Arial" w:eastAsia="Arial" w:hAnsi="Arial"/>
                  <w:sz w:val="15"/>
                  <w:szCs w:val="15"/>
                  <w:u w:val="single" w:color="auto"/>
                  <w:color w:val="0000EE"/>
                </w:rPr>
                <w:t>62</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420"/>
              <w:spacing w:after="0"/>
              <w:rPr>
                <w:rFonts w:ascii="Arial" w:cs="Arial" w:eastAsia="Arial" w:hAnsi="Arial"/>
                <w:sz w:val="15"/>
                <w:szCs w:val="15"/>
                <w:u w:val="single" w:color="auto"/>
                <w:color w:val="0000EE"/>
              </w:rPr>
            </w:pPr>
            <w:hyperlink w:anchor="page72">
              <w:r>
                <w:rPr>
                  <w:rFonts w:ascii="Arial" w:cs="Arial" w:eastAsia="Arial" w:hAnsi="Arial"/>
                  <w:sz w:val="15"/>
                  <w:szCs w:val="15"/>
                  <w:u w:val="single" w:color="auto"/>
                  <w:color w:val="0000EE"/>
                </w:rPr>
                <w:t>Equity Compensation Plan Information</w:t>
              </w:r>
            </w:hyperlink>
          </w:p>
        </w:tc>
        <w:tc>
          <w:tcPr>
            <w:tcW w:w="540" w:type="dxa"/>
            <w:vAlign w:val="bottom"/>
          </w:tcPr>
          <w:p>
            <w:pPr>
              <w:jc w:val="right"/>
              <w:spacing w:after="0"/>
              <w:rPr>
                <w:rFonts w:ascii="Arial" w:cs="Arial" w:eastAsia="Arial" w:hAnsi="Arial"/>
                <w:sz w:val="15"/>
                <w:szCs w:val="15"/>
                <w:u w:val="single" w:color="auto"/>
                <w:color w:val="0000EE"/>
              </w:rPr>
            </w:pPr>
            <w:hyperlink w:anchor="page72">
              <w:r>
                <w:rPr>
                  <w:rFonts w:ascii="Arial" w:cs="Arial" w:eastAsia="Arial" w:hAnsi="Arial"/>
                  <w:sz w:val="15"/>
                  <w:szCs w:val="15"/>
                  <w:u w:val="single" w:color="auto"/>
                  <w:color w:val="0000EE"/>
                </w:rPr>
                <w:t>66</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460" w:type="dxa"/>
            <w:vAlign w:val="bottom"/>
          </w:tcPr>
          <w:p>
            <w:pPr>
              <w:ind w:left="1120"/>
              <w:spacing w:after="0"/>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Transactions with Related Persons</w:t>
              </w:r>
            </w:hyperlink>
          </w:p>
        </w:tc>
        <w:tc>
          <w:tcPr>
            <w:tcW w:w="540" w:type="dxa"/>
            <w:vAlign w:val="bottom"/>
          </w:tcPr>
          <w:p>
            <w:pPr>
              <w:jc w:val="right"/>
              <w:spacing w:after="0"/>
              <w:rPr>
                <w:rFonts w:ascii="Arial" w:cs="Arial" w:eastAsia="Arial" w:hAnsi="Arial"/>
                <w:sz w:val="15"/>
                <w:szCs w:val="15"/>
                <w:u w:val="single" w:color="auto"/>
                <w:color w:val="0000EE"/>
              </w:rPr>
            </w:pPr>
            <w:hyperlink w:anchor="page73">
              <w:r>
                <w:rPr>
                  <w:rFonts w:ascii="Arial" w:cs="Arial" w:eastAsia="Arial" w:hAnsi="Arial"/>
                  <w:sz w:val="15"/>
                  <w:szCs w:val="15"/>
                  <w:u w:val="single" w:color="auto"/>
                  <w:color w:val="0000EE"/>
                </w:rPr>
                <w:t>67</w:t>
              </w:r>
            </w:hyperlink>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460" w:type="dxa"/>
            <w:vAlign w:val="bottom"/>
          </w:tcPr>
          <w:p>
            <w:pPr>
              <w:ind w:left="1120"/>
              <w:spacing w:after="0"/>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Additional Matters</w:t>
              </w:r>
            </w:hyperlink>
          </w:p>
        </w:tc>
        <w:tc>
          <w:tcPr>
            <w:tcW w:w="540" w:type="dxa"/>
            <w:vAlign w:val="bottom"/>
          </w:tcPr>
          <w:p>
            <w:pPr>
              <w:jc w:val="right"/>
              <w:spacing w:after="0"/>
              <w:rPr>
                <w:rFonts w:ascii="Arial" w:cs="Arial" w:eastAsia="Arial" w:hAnsi="Arial"/>
                <w:sz w:val="15"/>
                <w:szCs w:val="15"/>
                <w:u w:val="single" w:color="auto"/>
                <w:color w:val="0000EE"/>
              </w:rPr>
            </w:pPr>
            <w:hyperlink w:anchor="page76">
              <w:r>
                <w:rPr>
                  <w:rFonts w:ascii="Arial" w:cs="Arial" w:eastAsia="Arial" w:hAnsi="Arial"/>
                  <w:sz w:val="15"/>
                  <w:szCs w:val="15"/>
                  <w:u w:val="single" w:color="auto"/>
                  <w:color w:val="0000EE"/>
                </w:rPr>
                <w:t>70</w:t>
              </w:r>
            </w:hyperlink>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94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-12700</wp:posOffset>
            </wp:positionV>
            <wp:extent cx="1270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 w:name="page7"/>
    <w:bookmarkEnd w:id="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123825</wp:posOffset>
            </wp:positionV>
            <wp:extent cx="1724660" cy="751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24660"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EMERGENT BIOSOLUTIONS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400 Professional Drive, Suite 400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120015</wp:posOffset>
            </wp:positionV>
            <wp:extent cx="151701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2020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120015</wp:posOffset>
            </wp:positionV>
            <wp:extent cx="151701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290"/>
        <w:spacing w:after="0" w:line="319" w:lineRule="auto"/>
        <w:rPr>
          <w:sz w:val="20"/>
          <w:szCs w:val="20"/>
          <w:color w:val="auto"/>
        </w:rPr>
      </w:pPr>
      <w:r>
        <w:rPr>
          <w:rFonts w:ascii="Arial" w:cs="Arial" w:eastAsia="Arial" w:hAnsi="Arial"/>
          <w:sz w:val="13"/>
          <w:szCs w:val="13"/>
          <w:color w:val="auto"/>
        </w:rPr>
        <w:t xml:space="preserve">This proxy statement and the accompanying proxy card are being furnished to you by the Board of Directors of Emergent BioSolutions Inc. (the "Board" or "Board of Directors") to solicit your proxy to vote your shares at our 2020 annual meeting of stockholders and at any adjournment or postponement of the meeting. The annual meeting will be conducted in virtual format via live audio webcast on May 21, 2020, at 9:00 a.m. Eastern Time. Stockholders can attend the meeting via the internet at </w:t>
      </w:r>
      <w:r>
        <w:rPr>
          <w:rFonts w:ascii="Arial" w:cs="Arial" w:eastAsia="Arial" w:hAnsi="Arial"/>
          <w:sz w:val="13"/>
          <w:szCs w:val="13"/>
          <w:u w:val="single" w:color="auto"/>
          <w:color w:val="auto"/>
        </w:rPr>
        <w:t>www.virtualshareholdermeeting.com/EBS2020</w:t>
      </w:r>
      <w:r>
        <w:rPr>
          <w:rFonts w:ascii="Arial" w:cs="Arial" w:eastAsia="Arial" w:hAnsi="Arial"/>
          <w:sz w:val="13"/>
          <w:szCs w:val="13"/>
          <w:color w:val="auto"/>
        </w:rPr>
        <w:t>.</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QUESTIONS AND ANSWERS ABOUT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Why am I receiving this proxy statement?</w:t>
      </w:r>
    </w:p>
    <w:p>
      <w:pPr>
        <w:spacing w:after="0" w:line="192" w:lineRule="exact"/>
        <w:rPr>
          <w:sz w:val="20"/>
          <w:szCs w:val="20"/>
          <w:color w:val="auto"/>
        </w:rPr>
      </w:pPr>
    </w:p>
    <w:p>
      <w:pPr>
        <w:jc w:val="both"/>
        <w:ind w:firstLine="329"/>
        <w:spacing w:after="0" w:line="270" w:lineRule="auto"/>
        <w:rPr>
          <w:sz w:val="20"/>
          <w:szCs w:val="20"/>
          <w:color w:val="auto"/>
        </w:rPr>
      </w:pPr>
      <w:r>
        <w:rPr>
          <w:rFonts w:ascii="Arial" w:cs="Arial" w:eastAsia="Arial" w:hAnsi="Arial"/>
          <w:sz w:val="15"/>
          <w:szCs w:val="15"/>
          <w:color w:val="auto"/>
        </w:rPr>
        <w:t>You are receiving this proxy statement from us because you owned shares of the company's common stock as of March 26, 2020, the record date for the annual meeting. The Board has made these materials available to you in connection with the Board's solicitation of proxies for use at our annual meeting.</w:t>
      </w:r>
    </w:p>
    <w:p>
      <w:pPr>
        <w:spacing w:after="0" w:line="153" w:lineRule="exact"/>
        <w:rPr>
          <w:sz w:val="20"/>
          <w:szCs w:val="20"/>
          <w:color w:val="auto"/>
        </w:rPr>
      </w:pPr>
    </w:p>
    <w:p>
      <w:pPr>
        <w:jc w:val="both"/>
        <w:ind w:firstLine="310"/>
        <w:spacing w:after="0" w:line="270" w:lineRule="auto"/>
        <w:rPr>
          <w:sz w:val="20"/>
          <w:szCs w:val="20"/>
          <w:color w:val="auto"/>
        </w:rPr>
      </w:pPr>
      <w:r>
        <w:rPr>
          <w:rFonts w:ascii="Arial" w:cs="Arial" w:eastAsia="Arial" w:hAnsi="Arial"/>
          <w:sz w:val="15"/>
          <w:szCs w:val="15"/>
          <w:color w:val="auto"/>
        </w:rPr>
        <w:t>This proxy statement describes matters on which you may vote and provides you with other important information so that you can make informed decisions. You are requested to vote on each of the proposals described in this proxy statement and are invited to attend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does it mean to vote by proxy?</w:t>
      </w:r>
    </w:p>
    <w:p>
      <w:pPr>
        <w:spacing w:after="0" w:line="192" w:lineRule="exact"/>
        <w:rPr>
          <w:sz w:val="20"/>
          <w:szCs w:val="20"/>
          <w:color w:val="auto"/>
        </w:rPr>
      </w:pPr>
    </w:p>
    <w:p>
      <w:pPr>
        <w:jc w:val="both"/>
        <w:ind w:firstLine="349"/>
        <w:spacing w:after="0" w:line="254" w:lineRule="auto"/>
        <w:rPr>
          <w:sz w:val="20"/>
          <w:szCs w:val="20"/>
          <w:color w:val="auto"/>
        </w:rPr>
      </w:pPr>
      <w:r>
        <w:rPr>
          <w:rFonts w:ascii="Arial" w:cs="Arial" w:eastAsia="Arial" w:hAnsi="Arial"/>
          <w:sz w:val="15"/>
          <w:szCs w:val="15"/>
          <w:color w:val="auto"/>
        </w:rPr>
        <w:t>It means that you give someone else the right to vote your shares in accordance with your instructions. In this way, you ensure that your vote will be counted even if you are unable to attend the annual meeting. When you submit your proxy by internet, by telephone or by mail, you appoint each of Robert G. Kramer, our president and chief executive officer, Richard S. Lindahl, our executive vice president, chief financial officer and treasurer, and Atul Saran, our executive vice president, corporate development, general counsel and corporate secretary, or their respective substitutes or nominees, as your representatives — your "proxies" — at the meeting to vote your shares in accordance with your instructions. If you give your proxy but do not include specific instructions on how to vote, the individuals named as proxies will vote your shares as the Board recommends, and may vote in their discretion with respect to any other matters properly presented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is entitled to vote at the annual meeting?</w:t>
      </w:r>
    </w:p>
    <w:p>
      <w:pPr>
        <w:spacing w:after="0" w:line="192" w:lineRule="exact"/>
        <w:rPr>
          <w:sz w:val="20"/>
          <w:szCs w:val="20"/>
          <w:color w:val="auto"/>
        </w:rPr>
      </w:pPr>
    </w:p>
    <w:p>
      <w:pPr>
        <w:jc w:val="both"/>
        <w:ind w:firstLine="317"/>
        <w:spacing w:after="0" w:line="287" w:lineRule="auto"/>
        <w:rPr>
          <w:sz w:val="20"/>
          <w:szCs w:val="20"/>
          <w:color w:val="auto"/>
        </w:rPr>
      </w:pPr>
      <w:r>
        <w:rPr>
          <w:rFonts w:ascii="Arial" w:cs="Arial" w:eastAsia="Arial" w:hAnsi="Arial"/>
          <w:sz w:val="14"/>
          <w:szCs w:val="14"/>
          <w:color w:val="auto"/>
        </w:rPr>
        <w:t>Holders of the company's common stock as of the close of business on the record date, March 26, 2020, may vote by proxy or virtually at the annual meeting. As of the close of business on March 26, 2020, there were 52,266,433 shares of the company's common stock outstanding and entitled to vote and held by 25 holders of record. The common stock is the only authorized voting security of the company, and each share of common stock is entitled to one vote on each matter properly brought before the annual meeting.</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 w:name="page8"/>
    <w:bookmarkEnd w:id="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are the matters to be voted on and what is the Board's recommendation and the applicable voting standard?</w:t>
      </w:r>
    </w:p>
    <w:p>
      <w:pPr>
        <w:spacing w:after="0" w:line="303" w:lineRule="exact"/>
        <w:rPr>
          <w:sz w:val="20"/>
          <w:szCs w:val="20"/>
          <w:color w:val="auto"/>
        </w:rPr>
      </w:pPr>
    </w:p>
    <w:tbl>
      <w:tblPr>
        <w:tblLayout w:type="fixed"/>
        <w:tblInd w:w="10" w:type="dxa"/>
        <w:tblCellMar>
          <w:top w:w="0" w:type="dxa"/>
          <w:left w:w="0" w:type="dxa"/>
          <w:bottom w:w="0" w:type="dxa"/>
          <w:right w:w="0" w:type="dxa"/>
        </w:tblCellMar>
      </w:tblPr>
      <w:tr>
        <w:trPr>
          <w:trHeight w:val="124"/>
        </w:trPr>
        <w:tc>
          <w:tcPr>
            <w:tcW w:w="240" w:type="dxa"/>
            <w:vAlign w:val="bottom"/>
            <w:tcBorders>
              <w:top w:val="single" w:sz="8" w:color="auto"/>
              <w:left w:val="single" w:sz="8" w:color="auto"/>
            </w:tcBorders>
            <w:shd w:val="clear" w:color="auto" w:fill="DCDCDE"/>
          </w:tcPr>
          <w:p>
            <w:pPr>
              <w:spacing w:after="0"/>
              <w:rPr>
                <w:sz w:val="10"/>
                <w:szCs w:val="10"/>
                <w:color w:val="auto"/>
              </w:rPr>
            </w:pPr>
          </w:p>
        </w:tc>
        <w:tc>
          <w:tcPr>
            <w:tcW w:w="3960" w:type="dxa"/>
            <w:vAlign w:val="bottom"/>
            <w:tcBorders>
              <w:top w:val="single" w:sz="8" w:color="auto"/>
              <w:right w:val="single" w:sz="8" w:color="auto"/>
            </w:tcBorders>
            <w:shd w:val="clear" w:color="auto" w:fill="DCDCDE"/>
          </w:tcPr>
          <w:p>
            <w:pPr>
              <w:spacing w:after="0"/>
              <w:rPr>
                <w:sz w:val="10"/>
                <w:szCs w:val="10"/>
                <w:color w:val="auto"/>
              </w:rPr>
            </w:pPr>
          </w:p>
        </w:tc>
        <w:tc>
          <w:tcPr>
            <w:tcW w:w="320" w:type="dxa"/>
            <w:vAlign w:val="bottom"/>
            <w:tcBorders>
              <w:top w:val="single" w:sz="8" w:color="auto"/>
            </w:tcBorders>
            <w:shd w:val="clear" w:color="auto" w:fill="DCDCDE"/>
          </w:tcPr>
          <w:p>
            <w:pPr>
              <w:spacing w:after="0"/>
              <w:rPr>
                <w:sz w:val="10"/>
                <w:szCs w:val="10"/>
                <w:color w:val="auto"/>
              </w:rPr>
            </w:pPr>
          </w:p>
        </w:tc>
        <w:tc>
          <w:tcPr>
            <w:tcW w:w="3000" w:type="dxa"/>
            <w:vAlign w:val="bottom"/>
            <w:tcBorders>
              <w:top w:val="single" w:sz="8" w:color="auto"/>
              <w:right w:val="single" w:sz="8" w:color="auto"/>
            </w:tcBorders>
            <w:shd w:val="clear" w:color="auto" w:fill="DCDCDE"/>
          </w:tcPr>
          <w:p>
            <w:pPr>
              <w:spacing w:after="0"/>
              <w:rPr>
                <w:sz w:val="10"/>
                <w:szCs w:val="10"/>
                <w:color w:val="auto"/>
              </w:rPr>
            </w:pPr>
          </w:p>
        </w:tc>
        <w:tc>
          <w:tcPr>
            <w:tcW w:w="2160" w:type="dxa"/>
            <w:vAlign w:val="bottom"/>
            <w:tcBorders>
              <w:top w:val="single" w:sz="8" w:color="auto"/>
              <w:right w:val="single" w:sz="8" w:color="auto"/>
            </w:tcBorders>
            <w:shd w:val="clear" w:color="auto" w:fill="DCDCDE"/>
          </w:tcPr>
          <w:p>
            <w:pPr>
              <w:spacing w:after="0"/>
              <w:rPr>
                <w:sz w:val="10"/>
                <w:szCs w:val="10"/>
                <w:color w:val="auto"/>
              </w:rPr>
            </w:pPr>
          </w:p>
        </w:tc>
        <w:tc>
          <w:tcPr>
            <w:tcW w:w="920" w:type="dxa"/>
            <w:vAlign w:val="bottom"/>
            <w:tcBorders>
              <w:top w:val="single" w:sz="8" w:color="auto"/>
              <w:right w:val="single" w:sz="8" w:color="auto"/>
            </w:tcBorders>
            <w:shd w:val="clear" w:color="auto" w:fill="DCDCDE"/>
          </w:tcPr>
          <w:p>
            <w:pPr>
              <w:spacing w:after="0"/>
              <w:rPr>
                <w:sz w:val="10"/>
                <w:szCs w:val="10"/>
                <w:color w:val="auto"/>
              </w:rPr>
            </w:pPr>
          </w:p>
        </w:tc>
        <w:tc>
          <w:tcPr>
            <w:tcW w:w="660" w:type="dxa"/>
            <w:vAlign w:val="bottom"/>
            <w:tcBorders>
              <w:top w:val="single" w:sz="8" w:color="auto"/>
              <w:right w:val="single" w:sz="8" w:color="auto"/>
            </w:tcBorders>
            <w:shd w:val="clear" w:color="auto" w:fill="DCDCDE"/>
          </w:tcPr>
          <w:p>
            <w:pPr>
              <w:jc w:val="center"/>
              <w:ind w:right="4"/>
              <w:spacing w:after="0" w:line="124" w:lineRule="exact"/>
              <w:rPr>
                <w:sz w:val="20"/>
                <w:szCs w:val="20"/>
                <w:color w:val="auto"/>
              </w:rPr>
            </w:pPr>
            <w:r>
              <w:rPr>
                <w:rFonts w:ascii="Arial" w:cs="Arial" w:eastAsia="Arial" w:hAnsi="Arial"/>
                <w:sz w:val="11"/>
                <w:szCs w:val="11"/>
                <w:b w:val="1"/>
                <w:bCs w:val="1"/>
                <w:color w:val="auto"/>
                <w:w w:val="90"/>
              </w:rPr>
              <w:t>Effect of</w:t>
            </w:r>
          </w:p>
        </w:tc>
      </w:tr>
      <w:tr>
        <w:trPr>
          <w:trHeight w:val="124"/>
        </w:trPr>
        <w:tc>
          <w:tcPr>
            <w:tcW w:w="240" w:type="dxa"/>
            <w:vAlign w:val="bottom"/>
            <w:tcBorders>
              <w:left w:val="single" w:sz="8" w:color="auto"/>
            </w:tcBorders>
            <w:shd w:val="clear" w:color="auto" w:fill="DCDCDE"/>
          </w:tcPr>
          <w:p>
            <w:pPr>
              <w:spacing w:after="0"/>
              <w:rPr>
                <w:sz w:val="10"/>
                <w:szCs w:val="10"/>
                <w:color w:val="auto"/>
              </w:rPr>
            </w:pPr>
          </w:p>
        </w:tc>
        <w:tc>
          <w:tcPr>
            <w:tcW w:w="3960" w:type="dxa"/>
            <w:vAlign w:val="bottom"/>
            <w:tcBorders>
              <w:right w:val="single" w:sz="8" w:color="auto"/>
            </w:tcBorders>
            <w:shd w:val="clear" w:color="auto" w:fill="DCDCDE"/>
          </w:tcPr>
          <w:p>
            <w:pPr>
              <w:spacing w:after="0"/>
              <w:rPr>
                <w:sz w:val="10"/>
                <w:szCs w:val="10"/>
                <w:color w:val="auto"/>
              </w:rPr>
            </w:pPr>
          </w:p>
        </w:tc>
        <w:tc>
          <w:tcPr>
            <w:tcW w:w="320" w:type="dxa"/>
            <w:vAlign w:val="bottom"/>
            <w:shd w:val="clear" w:color="auto" w:fill="DCDCDE"/>
          </w:tcPr>
          <w:p>
            <w:pPr>
              <w:spacing w:after="0"/>
              <w:rPr>
                <w:sz w:val="10"/>
                <w:szCs w:val="10"/>
                <w:color w:val="auto"/>
              </w:rPr>
            </w:pPr>
          </w:p>
        </w:tc>
        <w:tc>
          <w:tcPr>
            <w:tcW w:w="3000" w:type="dxa"/>
            <w:vAlign w:val="bottom"/>
            <w:tcBorders>
              <w:right w:val="single" w:sz="8" w:color="auto"/>
            </w:tcBorders>
            <w:shd w:val="clear" w:color="auto" w:fill="DCDCDE"/>
          </w:tcPr>
          <w:p>
            <w:pPr>
              <w:spacing w:after="0"/>
              <w:rPr>
                <w:sz w:val="10"/>
                <w:szCs w:val="10"/>
                <w:color w:val="auto"/>
              </w:rPr>
            </w:pPr>
          </w:p>
        </w:tc>
        <w:tc>
          <w:tcPr>
            <w:tcW w:w="216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spacing w:after="0"/>
              <w:rPr>
                <w:sz w:val="10"/>
                <w:szCs w:val="10"/>
                <w:color w:val="auto"/>
              </w:rPr>
            </w:pPr>
          </w:p>
        </w:tc>
        <w:tc>
          <w:tcPr>
            <w:tcW w:w="660" w:type="dxa"/>
            <w:vAlign w:val="bottom"/>
            <w:tcBorders>
              <w:right w:val="single" w:sz="8" w:color="auto"/>
            </w:tcBorders>
            <w:shd w:val="clear" w:color="auto" w:fill="DCDCDE"/>
          </w:tcPr>
          <w:p>
            <w:pPr>
              <w:jc w:val="center"/>
              <w:ind w:right="24"/>
              <w:spacing w:after="0" w:line="124" w:lineRule="exact"/>
              <w:rPr>
                <w:sz w:val="20"/>
                <w:szCs w:val="20"/>
                <w:color w:val="auto"/>
              </w:rPr>
            </w:pPr>
            <w:r>
              <w:rPr>
                <w:rFonts w:ascii="Arial" w:cs="Arial" w:eastAsia="Arial" w:hAnsi="Arial"/>
                <w:sz w:val="11"/>
                <w:szCs w:val="11"/>
                <w:b w:val="1"/>
                <w:bCs w:val="1"/>
                <w:color w:val="auto"/>
                <w:w w:val="95"/>
              </w:rPr>
              <w:t>Broker</w:t>
            </w:r>
          </w:p>
        </w:tc>
      </w:tr>
      <w:tr>
        <w:trPr>
          <w:trHeight w:val="124"/>
        </w:trPr>
        <w:tc>
          <w:tcPr>
            <w:tcW w:w="240" w:type="dxa"/>
            <w:vAlign w:val="bottom"/>
            <w:tcBorders>
              <w:left w:val="single" w:sz="8" w:color="auto"/>
            </w:tcBorders>
            <w:shd w:val="clear" w:color="auto" w:fill="DCDCDE"/>
          </w:tcPr>
          <w:p>
            <w:pPr>
              <w:spacing w:after="0"/>
              <w:rPr>
                <w:sz w:val="10"/>
                <w:szCs w:val="10"/>
                <w:color w:val="auto"/>
              </w:rPr>
            </w:pPr>
          </w:p>
        </w:tc>
        <w:tc>
          <w:tcPr>
            <w:tcW w:w="3960" w:type="dxa"/>
            <w:vAlign w:val="bottom"/>
            <w:tcBorders>
              <w:right w:val="single" w:sz="8" w:color="auto"/>
            </w:tcBorders>
            <w:shd w:val="clear" w:color="auto" w:fill="DCDCDE"/>
          </w:tcPr>
          <w:p>
            <w:pPr>
              <w:spacing w:after="0"/>
              <w:rPr>
                <w:sz w:val="10"/>
                <w:szCs w:val="10"/>
                <w:color w:val="auto"/>
              </w:rPr>
            </w:pPr>
          </w:p>
        </w:tc>
        <w:tc>
          <w:tcPr>
            <w:tcW w:w="320" w:type="dxa"/>
            <w:vAlign w:val="bottom"/>
            <w:shd w:val="clear" w:color="auto" w:fill="DCDCDE"/>
          </w:tcPr>
          <w:p>
            <w:pPr>
              <w:spacing w:after="0"/>
              <w:rPr>
                <w:sz w:val="10"/>
                <w:szCs w:val="10"/>
                <w:color w:val="auto"/>
              </w:rPr>
            </w:pPr>
          </w:p>
        </w:tc>
        <w:tc>
          <w:tcPr>
            <w:tcW w:w="3000" w:type="dxa"/>
            <w:vAlign w:val="bottom"/>
            <w:tcBorders>
              <w:right w:val="single" w:sz="8" w:color="auto"/>
            </w:tcBorders>
            <w:shd w:val="clear" w:color="auto" w:fill="DCDCDE"/>
          </w:tcPr>
          <w:p>
            <w:pPr>
              <w:ind w:left="680"/>
              <w:spacing w:after="0" w:line="124" w:lineRule="exact"/>
              <w:rPr>
                <w:sz w:val="20"/>
                <w:szCs w:val="20"/>
                <w:color w:val="auto"/>
              </w:rPr>
            </w:pPr>
            <w:r>
              <w:rPr>
                <w:rFonts w:ascii="Arial" w:cs="Arial" w:eastAsia="Arial" w:hAnsi="Arial"/>
                <w:sz w:val="11"/>
                <w:szCs w:val="11"/>
                <w:b w:val="1"/>
                <w:bCs w:val="1"/>
                <w:color w:val="auto"/>
              </w:rPr>
              <w:t>Voting Choices and Board</w:t>
            </w:r>
          </w:p>
        </w:tc>
        <w:tc>
          <w:tcPr>
            <w:tcW w:w="216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jc w:val="center"/>
              <w:ind w:right="4"/>
              <w:spacing w:after="0" w:line="124" w:lineRule="exact"/>
              <w:rPr>
                <w:sz w:val="20"/>
                <w:szCs w:val="20"/>
                <w:color w:val="auto"/>
              </w:rPr>
            </w:pPr>
            <w:r>
              <w:rPr>
                <w:rFonts w:ascii="Arial" w:cs="Arial" w:eastAsia="Arial" w:hAnsi="Arial"/>
                <w:sz w:val="11"/>
                <w:szCs w:val="11"/>
                <w:b w:val="1"/>
                <w:bCs w:val="1"/>
                <w:color w:val="auto"/>
                <w:w w:val="95"/>
              </w:rPr>
              <w:t>Effect of</w:t>
            </w:r>
          </w:p>
        </w:tc>
        <w:tc>
          <w:tcPr>
            <w:tcW w:w="660" w:type="dxa"/>
            <w:vAlign w:val="bottom"/>
            <w:tcBorders>
              <w:right w:val="single" w:sz="8" w:color="auto"/>
            </w:tcBorders>
            <w:shd w:val="clear" w:color="auto" w:fill="DCDCDE"/>
          </w:tcPr>
          <w:p>
            <w:pPr>
              <w:jc w:val="center"/>
              <w:ind w:right="4"/>
              <w:spacing w:after="0" w:line="124" w:lineRule="exact"/>
              <w:rPr>
                <w:sz w:val="20"/>
                <w:szCs w:val="20"/>
                <w:color w:val="auto"/>
              </w:rPr>
            </w:pPr>
            <w:r>
              <w:rPr>
                <w:rFonts w:ascii="Arial" w:cs="Arial" w:eastAsia="Arial" w:hAnsi="Arial"/>
                <w:sz w:val="11"/>
                <w:szCs w:val="11"/>
                <w:b w:val="1"/>
                <w:bCs w:val="1"/>
                <w:color w:val="auto"/>
                <w:w w:val="95"/>
              </w:rPr>
              <w:t>Non-</w:t>
            </w:r>
          </w:p>
        </w:tc>
      </w:tr>
      <w:tr>
        <w:trPr>
          <w:trHeight w:val="135"/>
        </w:trPr>
        <w:tc>
          <w:tcPr>
            <w:tcW w:w="4200" w:type="dxa"/>
            <w:vAlign w:val="bottom"/>
            <w:tcBorders>
              <w:left w:val="single" w:sz="8" w:color="auto"/>
              <w:bottom w:val="single" w:sz="8" w:color="auto"/>
              <w:right w:val="single" w:sz="8" w:color="auto"/>
            </w:tcBorders>
            <w:gridSpan w:val="2"/>
            <w:shd w:val="clear" w:color="auto" w:fill="DCDCDE"/>
          </w:tcPr>
          <w:p>
            <w:pPr>
              <w:ind w:left="100"/>
              <w:spacing w:after="0"/>
              <w:rPr>
                <w:sz w:val="20"/>
                <w:szCs w:val="20"/>
                <w:color w:val="auto"/>
              </w:rPr>
            </w:pPr>
            <w:r>
              <w:rPr>
                <w:rFonts w:ascii="Arial" w:cs="Arial" w:eastAsia="Arial" w:hAnsi="Arial"/>
                <w:sz w:val="11"/>
                <w:szCs w:val="11"/>
                <w:b w:val="1"/>
                <w:bCs w:val="1"/>
                <w:color w:val="auto"/>
              </w:rPr>
              <w:t>Proposal</w:t>
            </w:r>
          </w:p>
        </w:tc>
        <w:tc>
          <w:tcPr>
            <w:tcW w:w="320" w:type="dxa"/>
            <w:vAlign w:val="bottom"/>
            <w:tcBorders>
              <w:bottom w:val="single" w:sz="8" w:color="auto"/>
            </w:tcBorders>
            <w:shd w:val="clear" w:color="auto" w:fill="DCDCDE"/>
          </w:tcPr>
          <w:p>
            <w:pPr>
              <w:spacing w:after="0"/>
              <w:rPr>
                <w:sz w:val="11"/>
                <w:szCs w:val="11"/>
                <w:color w:val="auto"/>
              </w:rPr>
            </w:pPr>
          </w:p>
        </w:tc>
        <w:tc>
          <w:tcPr>
            <w:tcW w:w="3000" w:type="dxa"/>
            <w:vAlign w:val="bottom"/>
            <w:tcBorders>
              <w:bottom w:val="single" w:sz="8" w:color="auto"/>
              <w:right w:val="single" w:sz="8" w:color="auto"/>
            </w:tcBorders>
            <w:shd w:val="clear" w:color="auto" w:fill="DCDCDE"/>
          </w:tcPr>
          <w:p>
            <w:pPr>
              <w:ind w:left="880"/>
              <w:spacing w:after="0"/>
              <w:rPr>
                <w:sz w:val="20"/>
                <w:szCs w:val="20"/>
                <w:color w:val="auto"/>
              </w:rPr>
            </w:pPr>
            <w:r>
              <w:rPr>
                <w:rFonts w:ascii="Arial" w:cs="Arial" w:eastAsia="Arial" w:hAnsi="Arial"/>
                <w:sz w:val="11"/>
                <w:szCs w:val="11"/>
                <w:b w:val="1"/>
                <w:bCs w:val="1"/>
                <w:color w:val="auto"/>
              </w:rPr>
              <w:t>Recommendation</w:t>
            </w:r>
          </w:p>
        </w:tc>
        <w:tc>
          <w:tcPr>
            <w:tcW w:w="2160" w:type="dxa"/>
            <w:vAlign w:val="bottom"/>
            <w:tcBorders>
              <w:bottom w:val="single" w:sz="8" w:color="auto"/>
              <w:right w:val="single" w:sz="8" w:color="auto"/>
            </w:tcBorders>
            <w:shd w:val="clear" w:color="auto" w:fill="DCDCDE"/>
          </w:tcPr>
          <w:p>
            <w:pPr>
              <w:ind w:left="660"/>
              <w:spacing w:after="0"/>
              <w:rPr>
                <w:sz w:val="20"/>
                <w:szCs w:val="20"/>
                <w:color w:val="auto"/>
              </w:rPr>
            </w:pPr>
            <w:r>
              <w:rPr>
                <w:rFonts w:ascii="Arial" w:cs="Arial" w:eastAsia="Arial" w:hAnsi="Arial"/>
                <w:sz w:val="11"/>
                <w:szCs w:val="11"/>
                <w:b w:val="1"/>
                <w:bCs w:val="1"/>
                <w:color w:val="auto"/>
              </w:rPr>
              <w:t>Voting Standard</w:t>
            </w:r>
          </w:p>
        </w:tc>
        <w:tc>
          <w:tcPr>
            <w:tcW w:w="920" w:type="dxa"/>
            <w:vAlign w:val="bottom"/>
            <w:tcBorders>
              <w:bottom w:val="single" w:sz="8" w:color="auto"/>
              <w:right w:val="single" w:sz="8" w:color="auto"/>
            </w:tcBorders>
            <w:shd w:val="clear" w:color="auto" w:fill="DCDCDE"/>
          </w:tcPr>
          <w:p>
            <w:pPr>
              <w:jc w:val="center"/>
              <w:ind w:right="4"/>
              <w:spacing w:after="0"/>
              <w:rPr>
                <w:sz w:val="20"/>
                <w:szCs w:val="20"/>
                <w:color w:val="auto"/>
              </w:rPr>
            </w:pPr>
            <w:r>
              <w:rPr>
                <w:rFonts w:ascii="Arial" w:cs="Arial" w:eastAsia="Arial" w:hAnsi="Arial"/>
                <w:sz w:val="11"/>
                <w:szCs w:val="11"/>
                <w:b w:val="1"/>
                <w:bCs w:val="1"/>
                <w:color w:val="auto"/>
                <w:w w:val="91"/>
              </w:rPr>
              <w:t>Abstentions</w:t>
            </w:r>
          </w:p>
        </w:tc>
        <w:tc>
          <w:tcPr>
            <w:tcW w:w="660" w:type="dxa"/>
            <w:vAlign w:val="bottom"/>
            <w:tcBorders>
              <w:bottom w:val="single" w:sz="8" w:color="auto"/>
              <w:right w:val="single" w:sz="8" w:color="auto"/>
            </w:tcBorders>
            <w:shd w:val="clear" w:color="auto" w:fill="DCDCDE"/>
          </w:tcPr>
          <w:p>
            <w:pPr>
              <w:jc w:val="center"/>
              <w:ind w:right="24"/>
              <w:spacing w:after="0"/>
              <w:rPr>
                <w:sz w:val="20"/>
                <w:szCs w:val="20"/>
                <w:color w:val="auto"/>
              </w:rPr>
            </w:pPr>
            <w:r>
              <w:rPr>
                <w:rFonts w:ascii="Arial" w:cs="Arial" w:eastAsia="Arial" w:hAnsi="Arial"/>
                <w:sz w:val="11"/>
                <w:szCs w:val="11"/>
                <w:b w:val="1"/>
                <w:bCs w:val="1"/>
                <w:color w:val="auto"/>
                <w:w w:val="86"/>
              </w:rPr>
              <w:t>Votes</w:t>
            </w:r>
          </w:p>
        </w:tc>
      </w:tr>
      <w:tr>
        <w:trPr>
          <w:trHeight w:val="136"/>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1.</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Election of Directors</w:t>
            </w: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Vote in favor of all or specific nominees;</w:t>
            </w: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Plurality of votes cast</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r>
      <w:tr>
        <w:trPr>
          <w:trHeight w:val="241"/>
        </w:trPr>
        <w:tc>
          <w:tcPr>
            <w:tcW w:w="240" w:type="dxa"/>
            <w:vAlign w:val="bottom"/>
            <w:tcBorders>
              <w:left w:val="single" w:sz="8" w:color="auto"/>
            </w:tcBorders>
          </w:tcPr>
          <w:p>
            <w:pPr>
              <w:spacing w:after="0"/>
              <w:rPr>
                <w:sz w:val="20"/>
                <w:szCs w:val="20"/>
                <w:color w:val="auto"/>
              </w:rPr>
            </w:pPr>
          </w:p>
        </w:tc>
        <w:tc>
          <w:tcPr>
            <w:tcW w:w="3960" w:type="dxa"/>
            <w:vAlign w:val="bottom"/>
            <w:tcBorders>
              <w:right w:val="single" w:sz="8" w:color="auto"/>
            </w:tcBorders>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Vote against all or specific nominees; or</w:t>
            </w: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w w:val="99"/>
              </w:rPr>
              <w:t>(the nominees who receive the most votes</w:t>
            </w:r>
          </w:p>
        </w:tc>
        <w:tc>
          <w:tcPr>
            <w:tcW w:w="92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r>
      <w:tr>
        <w:trPr>
          <w:trHeight w:val="124"/>
        </w:trPr>
        <w:tc>
          <w:tcPr>
            <w:tcW w:w="240" w:type="dxa"/>
            <w:vAlign w:val="bottom"/>
            <w:tcBorders>
              <w:left w:val="single" w:sz="8" w:color="auto"/>
            </w:tcBorders>
          </w:tcPr>
          <w:p>
            <w:pPr>
              <w:spacing w:after="0"/>
              <w:rPr>
                <w:sz w:val="10"/>
                <w:szCs w:val="10"/>
                <w:color w:val="auto"/>
              </w:rPr>
            </w:pPr>
          </w:p>
        </w:tc>
        <w:tc>
          <w:tcPr>
            <w:tcW w:w="396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0" w:type="dxa"/>
            <w:vAlign w:val="bottom"/>
            <w:tcBorders>
              <w:right w:val="single" w:sz="8" w:color="auto"/>
            </w:tcBorders>
          </w:tcPr>
          <w:p>
            <w:pPr>
              <w:spacing w:after="0"/>
              <w:rPr>
                <w:sz w:val="10"/>
                <w:szCs w:val="10"/>
                <w:color w:val="auto"/>
              </w:rPr>
            </w:pPr>
          </w:p>
        </w:tc>
        <w:tc>
          <w:tcPr>
            <w:tcW w:w="21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1"/>
                <w:szCs w:val="11"/>
                <w:i w:val="1"/>
                <w:iCs w:val="1"/>
                <w:color w:val="auto"/>
              </w:rPr>
              <w:t>will be the nominees elected by</w:t>
            </w:r>
          </w:p>
        </w:tc>
        <w:tc>
          <w:tcPr>
            <w:tcW w:w="9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r>
      <w:tr>
        <w:trPr>
          <w:trHeight w:val="178"/>
        </w:trPr>
        <w:tc>
          <w:tcPr>
            <w:tcW w:w="240" w:type="dxa"/>
            <w:vAlign w:val="bottom"/>
            <w:tcBorders>
              <w:left w:val="single" w:sz="8" w:color="auto"/>
            </w:tcBorders>
          </w:tcPr>
          <w:p>
            <w:pPr>
              <w:spacing w:after="0"/>
              <w:rPr>
                <w:sz w:val="15"/>
                <w:szCs w:val="15"/>
                <w:color w:val="auto"/>
              </w:rPr>
            </w:pPr>
          </w:p>
        </w:tc>
        <w:tc>
          <w:tcPr>
            <w:tcW w:w="3960" w:type="dxa"/>
            <w:vAlign w:val="bottom"/>
            <w:tcBorders>
              <w:right w:val="single" w:sz="8" w:color="auto"/>
            </w:tcBorders>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Abstain from voting with respect to all or specific nominees.</w:t>
            </w: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1"/>
                <w:szCs w:val="11"/>
                <w:i w:val="1"/>
                <w:iCs w:val="1"/>
                <w:color w:val="auto"/>
              </w:rPr>
              <w:t>stockholders)</w:t>
            </w: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r>
      <w:tr>
        <w:trPr>
          <w:trHeight w:val="259"/>
        </w:trPr>
        <w:tc>
          <w:tcPr>
            <w:tcW w:w="240" w:type="dxa"/>
            <w:vAlign w:val="bottom"/>
            <w:tcBorders>
              <w:left w:val="single" w:sz="8" w:color="auto"/>
            </w:tcBorders>
          </w:tcPr>
          <w:p>
            <w:pPr>
              <w:spacing w:after="0"/>
              <w:rPr>
                <w:sz w:val="22"/>
                <w:szCs w:val="22"/>
                <w:color w:val="auto"/>
              </w:rPr>
            </w:pPr>
          </w:p>
        </w:tc>
        <w:tc>
          <w:tcPr>
            <w:tcW w:w="3960" w:type="dxa"/>
            <w:vAlign w:val="bottom"/>
            <w:tcBorders>
              <w:right w:val="single" w:sz="8" w:color="auto"/>
            </w:tcBorders>
          </w:tcPr>
          <w:p>
            <w:pPr>
              <w:spacing w:after="0"/>
              <w:rPr>
                <w:sz w:val="22"/>
                <w:szCs w:val="22"/>
                <w:color w:val="auto"/>
              </w:rPr>
            </w:pPr>
          </w:p>
        </w:tc>
        <w:tc>
          <w:tcPr>
            <w:tcW w:w="33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The Board recommends a vote FOR each of the director</w:t>
            </w:r>
          </w:p>
        </w:tc>
        <w:tc>
          <w:tcPr>
            <w:tcW w:w="21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r>
      <w:tr>
        <w:trPr>
          <w:trHeight w:val="135"/>
        </w:trPr>
        <w:tc>
          <w:tcPr>
            <w:tcW w:w="240" w:type="dxa"/>
            <w:vAlign w:val="bottom"/>
            <w:tcBorders>
              <w:left w:val="single" w:sz="8" w:color="auto"/>
              <w:bottom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spacing w:after="0"/>
              <w:rPr>
                <w:sz w:val="11"/>
                <w:szCs w:val="11"/>
                <w:color w:val="auto"/>
              </w:rPr>
            </w:pPr>
          </w:p>
        </w:tc>
        <w:tc>
          <w:tcPr>
            <w:tcW w:w="33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nominees.</w:t>
            </w:r>
          </w:p>
        </w:tc>
        <w:tc>
          <w:tcPr>
            <w:tcW w:w="2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r>
      <w:tr>
        <w:trPr>
          <w:trHeight w:val="106"/>
        </w:trPr>
        <w:tc>
          <w:tcPr>
            <w:tcW w:w="4200" w:type="dxa"/>
            <w:vAlign w:val="bottom"/>
            <w:tcBorders>
              <w:left w:val="single" w:sz="8" w:color="auto"/>
              <w:right w:val="single" w:sz="8" w:color="auto"/>
            </w:tcBorders>
            <w:gridSpan w:val="2"/>
            <w:shd w:val="clear" w:color="auto" w:fill="DCDCDE"/>
          </w:tcPr>
          <w:p>
            <w:pPr>
              <w:ind w:left="100"/>
              <w:spacing w:after="0" w:line="106" w:lineRule="exact"/>
              <w:rPr>
                <w:sz w:val="20"/>
                <w:szCs w:val="20"/>
                <w:color w:val="auto"/>
              </w:rPr>
            </w:pPr>
            <w:r>
              <w:rPr>
                <w:rFonts w:ascii="Arial" w:cs="Arial" w:eastAsia="Arial" w:hAnsi="Arial"/>
                <w:sz w:val="11"/>
                <w:szCs w:val="11"/>
                <w:color w:val="auto"/>
              </w:rPr>
              <w:t>2.  Ratification of the appointment of Ernst &amp; Young LLP as the company's</w:t>
            </w:r>
          </w:p>
        </w:tc>
        <w:tc>
          <w:tcPr>
            <w:tcW w:w="320" w:type="dxa"/>
            <w:vAlign w:val="bottom"/>
            <w:shd w:val="clear" w:color="auto" w:fill="DCDCDE"/>
          </w:tcPr>
          <w:p>
            <w:pPr>
              <w:ind w:left="40"/>
              <w:spacing w:after="0" w:line="106" w:lineRule="exact"/>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shd w:val="clear" w:color="auto" w:fill="DCDCDE"/>
          </w:tcPr>
          <w:p>
            <w:pPr>
              <w:ind w:left="20"/>
              <w:spacing w:after="0" w:line="106" w:lineRule="exact"/>
              <w:rPr>
                <w:sz w:val="20"/>
                <w:szCs w:val="20"/>
                <w:color w:val="auto"/>
              </w:rPr>
            </w:pPr>
            <w:r>
              <w:rPr>
                <w:rFonts w:ascii="Arial" w:cs="Arial" w:eastAsia="Arial" w:hAnsi="Arial"/>
                <w:sz w:val="11"/>
                <w:szCs w:val="11"/>
                <w:color w:val="auto"/>
              </w:rPr>
              <w:t>Vote in favor of the ratification;</w:t>
            </w:r>
          </w:p>
        </w:tc>
        <w:tc>
          <w:tcPr>
            <w:tcW w:w="2160" w:type="dxa"/>
            <w:vAlign w:val="bottom"/>
            <w:tcBorders>
              <w:right w:val="single" w:sz="8" w:color="auto"/>
            </w:tcBorders>
            <w:shd w:val="clear" w:color="auto" w:fill="DCDCDE"/>
          </w:tcPr>
          <w:p>
            <w:pPr>
              <w:ind w:left="60"/>
              <w:spacing w:after="0" w:line="106" w:lineRule="exact"/>
              <w:rPr>
                <w:sz w:val="20"/>
                <w:szCs w:val="20"/>
                <w:color w:val="auto"/>
              </w:rPr>
            </w:pPr>
            <w:r>
              <w:rPr>
                <w:rFonts w:ascii="Arial" w:cs="Arial" w:eastAsia="Arial" w:hAnsi="Arial"/>
                <w:sz w:val="11"/>
                <w:szCs w:val="11"/>
                <w:color w:val="auto"/>
              </w:rPr>
              <w:t>Majority of votes cast</w:t>
            </w:r>
          </w:p>
        </w:tc>
        <w:tc>
          <w:tcPr>
            <w:tcW w:w="920" w:type="dxa"/>
            <w:vAlign w:val="bottom"/>
            <w:tcBorders>
              <w:right w:val="single" w:sz="8" w:color="auto"/>
            </w:tcBorders>
            <w:shd w:val="clear" w:color="auto" w:fill="DCDCDE"/>
          </w:tcPr>
          <w:p>
            <w:pPr>
              <w:ind w:left="60"/>
              <w:spacing w:after="0" w:line="106" w:lineRule="exact"/>
              <w:rPr>
                <w:sz w:val="20"/>
                <w:szCs w:val="20"/>
                <w:color w:val="auto"/>
              </w:rPr>
            </w:pPr>
            <w:r>
              <w:rPr>
                <w:rFonts w:ascii="Arial" w:cs="Arial" w:eastAsia="Arial" w:hAnsi="Arial"/>
                <w:sz w:val="11"/>
                <w:szCs w:val="11"/>
                <w:color w:val="auto"/>
              </w:rPr>
              <w:t>None</w:t>
            </w:r>
          </w:p>
        </w:tc>
        <w:tc>
          <w:tcPr>
            <w:tcW w:w="660" w:type="dxa"/>
            <w:vAlign w:val="bottom"/>
            <w:tcBorders>
              <w:right w:val="single" w:sz="8" w:color="auto"/>
            </w:tcBorders>
            <w:shd w:val="clear" w:color="auto" w:fill="DCDCDE"/>
          </w:tcPr>
          <w:p>
            <w:pPr>
              <w:ind w:left="60"/>
              <w:spacing w:after="0" w:line="106" w:lineRule="exact"/>
              <w:rPr>
                <w:sz w:val="20"/>
                <w:szCs w:val="20"/>
                <w:color w:val="auto"/>
              </w:rPr>
            </w:pPr>
            <w:r>
              <w:rPr>
                <w:rFonts w:ascii="Arial" w:cs="Arial" w:eastAsia="Arial" w:hAnsi="Arial"/>
                <w:sz w:val="11"/>
                <w:szCs w:val="11"/>
                <w:color w:val="auto"/>
              </w:rPr>
              <w:t>Not</w:t>
            </w:r>
          </w:p>
        </w:tc>
      </w:tr>
      <w:tr>
        <w:trPr>
          <w:trHeight w:val="124"/>
        </w:trPr>
        <w:tc>
          <w:tcPr>
            <w:tcW w:w="240" w:type="dxa"/>
            <w:vAlign w:val="bottom"/>
            <w:tcBorders>
              <w:left w:val="single" w:sz="8" w:color="auto"/>
            </w:tcBorders>
            <w:shd w:val="clear" w:color="auto" w:fill="DCDCDE"/>
          </w:tcPr>
          <w:p>
            <w:pPr>
              <w:spacing w:after="0"/>
              <w:rPr>
                <w:sz w:val="10"/>
                <w:szCs w:val="10"/>
                <w:color w:val="auto"/>
              </w:rPr>
            </w:pPr>
          </w:p>
        </w:tc>
        <w:tc>
          <w:tcPr>
            <w:tcW w:w="3960" w:type="dxa"/>
            <w:vAlign w:val="bottom"/>
            <w:tcBorders>
              <w:right w:val="single" w:sz="8" w:color="auto"/>
            </w:tcBorders>
            <w:shd w:val="clear" w:color="auto" w:fill="DCDCDE"/>
          </w:tcPr>
          <w:p>
            <w:pPr>
              <w:ind w:left="60"/>
              <w:spacing w:after="0" w:line="124" w:lineRule="exact"/>
              <w:rPr>
                <w:sz w:val="20"/>
                <w:szCs w:val="20"/>
                <w:color w:val="auto"/>
              </w:rPr>
            </w:pPr>
            <w:r>
              <w:rPr>
                <w:rFonts w:ascii="Arial" w:cs="Arial" w:eastAsia="Arial" w:hAnsi="Arial"/>
                <w:sz w:val="11"/>
                <w:szCs w:val="11"/>
                <w:color w:val="auto"/>
              </w:rPr>
              <w:t>Independent Registered Public Accounting Firm for the fiscal year ending</w:t>
            </w:r>
          </w:p>
        </w:tc>
        <w:tc>
          <w:tcPr>
            <w:tcW w:w="320" w:type="dxa"/>
            <w:vAlign w:val="bottom"/>
            <w:shd w:val="clear" w:color="auto" w:fill="DCDCDE"/>
          </w:tcPr>
          <w:p>
            <w:pPr>
              <w:spacing w:after="0"/>
              <w:rPr>
                <w:sz w:val="10"/>
                <w:szCs w:val="10"/>
                <w:color w:val="auto"/>
              </w:rPr>
            </w:pPr>
          </w:p>
        </w:tc>
        <w:tc>
          <w:tcPr>
            <w:tcW w:w="3000" w:type="dxa"/>
            <w:vAlign w:val="bottom"/>
            <w:tcBorders>
              <w:right w:val="single" w:sz="8" w:color="auto"/>
            </w:tcBorders>
            <w:shd w:val="clear" w:color="auto" w:fill="DCDCDE"/>
          </w:tcPr>
          <w:p>
            <w:pPr>
              <w:spacing w:after="0"/>
              <w:rPr>
                <w:sz w:val="10"/>
                <w:szCs w:val="10"/>
                <w:color w:val="auto"/>
              </w:rPr>
            </w:pPr>
          </w:p>
        </w:tc>
        <w:tc>
          <w:tcPr>
            <w:tcW w:w="216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spacing w:after="0"/>
              <w:rPr>
                <w:sz w:val="10"/>
                <w:szCs w:val="10"/>
                <w:color w:val="auto"/>
              </w:rPr>
            </w:pPr>
          </w:p>
        </w:tc>
        <w:tc>
          <w:tcPr>
            <w:tcW w:w="660" w:type="dxa"/>
            <w:vAlign w:val="bottom"/>
            <w:tcBorders>
              <w:right w:val="single" w:sz="8" w:color="auto"/>
            </w:tcBorders>
            <w:shd w:val="clear" w:color="auto" w:fill="DCDCDE"/>
          </w:tcPr>
          <w:p>
            <w:pPr>
              <w:jc w:val="center"/>
              <w:ind w:right="24"/>
              <w:spacing w:after="0" w:line="124" w:lineRule="exact"/>
              <w:rPr>
                <w:sz w:val="20"/>
                <w:szCs w:val="20"/>
                <w:color w:val="auto"/>
              </w:rPr>
            </w:pPr>
            <w:r>
              <w:rPr>
                <w:rFonts w:ascii="Arial" w:cs="Arial" w:eastAsia="Arial" w:hAnsi="Arial"/>
                <w:sz w:val="11"/>
                <w:szCs w:val="11"/>
                <w:color w:val="auto"/>
                <w:w w:val="92"/>
              </w:rPr>
              <w:t>applicable</w:t>
            </w:r>
          </w:p>
        </w:tc>
      </w:tr>
      <w:tr>
        <w:trPr>
          <w:trHeight w:val="178"/>
        </w:trPr>
        <w:tc>
          <w:tcPr>
            <w:tcW w:w="240" w:type="dxa"/>
            <w:vAlign w:val="bottom"/>
            <w:tcBorders>
              <w:left w:val="single" w:sz="8" w:color="auto"/>
            </w:tcBorders>
            <w:shd w:val="clear" w:color="auto" w:fill="DCDCDE"/>
          </w:tcPr>
          <w:p>
            <w:pPr>
              <w:spacing w:after="0"/>
              <w:rPr>
                <w:sz w:val="15"/>
                <w:szCs w:val="15"/>
                <w:color w:val="auto"/>
              </w:rPr>
            </w:pPr>
          </w:p>
        </w:tc>
        <w:tc>
          <w:tcPr>
            <w:tcW w:w="3960" w:type="dxa"/>
            <w:vAlign w:val="bottom"/>
            <w:tcBorders>
              <w:right w:val="single" w:sz="8" w:color="auto"/>
            </w:tcBorders>
            <w:shd w:val="clear" w:color="auto" w:fill="DCDCDE"/>
          </w:tcPr>
          <w:p>
            <w:pPr>
              <w:ind w:left="60"/>
              <w:spacing w:after="0"/>
              <w:rPr>
                <w:sz w:val="20"/>
                <w:szCs w:val="20"/>
                <w:color w:val="auto"/>
              </w:rPr>
            </w:pPr>
            <w:r>
              <w:rPr>
                <w:rFonts w:ascii="Arial" w:cs="Arial" w:eastAsia="Arial" w:hAnsi="Arial"/>
                <w:sz w:val="11"/>
                <w:szCs w:val="11"/>
                <w:color w:val="auto"/>
              </w:rPr>
              <w:t>December 31, 2020</w:t>
            </w:r>
          </w:p>
        </w:tc>
        <w:tc>
          <w:tcPr>
            <w:tcW w:w="320" w:type="dxa"/>
            <w:vAlign w:val="bottom"/>
            <w:shd w:val="clear" w:color="auto" w:fill="DCDCDE"/>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Vote against the ratification; or</w:t>
            </w:r>
          </w:p>
        </w:tc>
        <w:tc>
          <w:tcPr>
            <w:tcW w:w="2160" w:type="dxa"/>
            <w:vAlign w:val="bottom"/>
            <w:tcBorders>
              <w:right w:val="single" w:sz="8" w:color="auto"/>
            </w:tcBorders>
            <w:shd w:val="clear" w:color="auto" w:fill="DCDCDE"/>
          </w:tcPr>
          <w:p>
            <w:pPr>
              <w:spacing w:after="0"/>
              <w:rPr>
                <w:sz w:val="15"/>
                <w:szCs w:val="15"/>
                <w:color w:val="auto"/>
              </w:rPr>
            </w:pPr>
          </w:p>
        </w:tc>
        <w:tc>
          <w:tcPr>
            <w:tcW w:w="920" w:type="dxa"/>
            <w:vAlign w:val="bottom"/>
            <w:tcBorders>
              <w:right w:val="single" w:sz="8" w:color="auto"/>
            </w:tcBorders>
            <w:shd w:val="clear" w:color="auto" w:fill="DCDCDE"/>
          </w:tcPr>
          <w:p>
            <w:pPr>
              <w:spacing w:after="0"/>
              <w:rPr>
                <w:sz w:val="15"/>
                <w:szCs w:val="15"/>
                <w:color w:val="auto"/>
              </w:rPr>
            </w:pPr>
          </w:p>
        </w:tc>
        <w:tc>
          <w:tcPr>
            <w:tcW w:w="660" w:type="dxa"/>
            <w:vAlign w:val="bottom"/>
            <w:tcBorders>
              <w:right w:val="single" w:sz="8" w:color="auto"/>
            </w:tcBorders>
            <w:shd w:val="clear" w:color="auto" w:fill="DCDCDE"/>
          </w:tcPr>
          <w:p>
            <w:pPr>
              <w:spacing w:after="0"/>
              <w:rPr>
                <w:sz w:val="15"/>
                <w:szCs w:val="15"/>
                <w:color w:val="auto"/>
              </w:rPr>
            </w:pPr>
          </w:p>
        </w:tc>
      </w:tr>
      <w:tr>
        <w:trPr>
          <w:trHeight w:val="270"/>
        </w:trPr>
        <w:tc>
          <w:tcPr>
            <w:tcW w:w="240" w:type="dxa"/>
            <w:vAlign w:val="bottom"/>
            <w:tcBorders>
              <w:left w:val="single" w:sz="8" w:color="auto"/>
            </w:tcBorders>
            <w:shd w:val="clear" w:color="auto" w:fill="DCDCDE"/>
          </w:tcPr>
          <w:p>
            <w:pPr>
              <w:spacing w:after="0"/>
              <w:rPr>
                <w:sz w:val="23"/>
                <w:szCs w:val="23"/>
                <w:color w:val="auto"/>
              </w:rPr>
            </w:pPr>
          </w:p>
        </w:tc>
        <w:tc>
          <w:tcPr>
            <w:tcW w:w="3960" w:type="dxa"/>
            <w:vAlign w:val="bottom"/>
            <w:tcBorders>
              <w:right w:val="single" w:sz="8" w:color="auto"/>
            </w:tcBorders>
            <w:shd w:val="clear" w:color="auto" w:fill="DCDCDE"/>
          </w:tcPr>
          <w:p>
            <w:pPr>
              <w:spacing w:after="0"/>
              <w:rPr>
                <w:sz w:val="23"/>
                <w:szCs w:val="23"/>
                <w:color w:val="auto"/>
              </w:rPr>
            </w:pPr>
          </w:p>
        </w:tc>
        <w:tc>
          <w:tcPr>
            <w:tcW w:w="320" w:type="dxa"/>
            <w:vAlign w:val="bottom"/>
            <w:shd w:val="clear" w:color="auto" w:fill="DCDCDE"/>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shd w:val="clear" w:color="auto" w:fill="DCDCDE"/>
          </w:tcPr>
          <w:p>
            <w:pPr>
              <w:ind w:left="20"/>
              <w:spacing w:after="0"/>
              <w:rPr>
                <w:sz w:val="20"/>
                <w:szCs w:val="20"/>
                <w:color w:val="auto"/>
              </w:rPr>
            </w:pPr>
            <w:r>
              <w:rPr>
                <w:rFonts w:ascii="Arial" w:cs="Arial" w:eastAsia="Arial" w:hAnsi="Arial"/>
                <w:sz w:val="11"/>
                <w:szCs w:val="11"/>
                <w:color w:val="auto"/>
              </w:rPr>
              <w:t>Abstain from voting on the ratification.</w:t>
            </w:r>
          </w:p>
        </w:tc>
        <w:tc>
          <w:tcPr>
            <w:tcW w:w="2160" w:type="dxa"/>
            <w:vAlign w:val="bottom"/>
            <w:tcBorders>
              <w:right w:val="single" w:sz="8" w:color="auto"/>
            </w:tcBorders>
            <w:shd w:val="clear" w:color="auto" w:fill="DCDCDE"/>
          </w:tcPr>
          <w:p>
            <w:pPr>
              <w:spacing w:after="0"/>
              <w:rPr>
                <w:sz w:val="23"/>
                <w:szCs w:val="23"/>
                <w:color w:val="auto"/>
              </w:rPr>
            </w:pPr>
          </w:p>
        </w:tc>
        <w:tc>
          <w:tcPr>
            <w:tcW w:w="920" w:type="dxa"/>
            <w:vAlign w:val="bottom"/>
            <w:tcBorders>
              <w:right w:val="single" w:sz="8" w:color="auto"/>
            </w:tcBorders>
            <w:shd w:val="clear" w:color="auto" w:fill="DCDCDE"/>
          </w:tcPr>
          <w:p>
            <w:pPr>
              <w:spacing w:after="0"/>
              <w:rPr>
                <w:sz w:val="23"/>
                <w:szCs w:val="23"/>
                <w:color w:val="auto"/>
              </w:rPr>
            </w:pPr>
          </w:p>
        </w:tc>
        <w:tc>
          <w:tcPr>
            <w:tcW w:w="660" w:type="dxa"/>
            <w:vAlign w:val="bottom"/>
            <w:tcBorders>
              <w:right w:val="single" w:sz="8" w:color="auto"/>
            </w:tcBorders>
            <w:shd w:val="clear" w:color="auto" w:fill="DCDCDE"/>
          </w:tcPr>
          <w:p>
            <w:pPr>
              <w:spacing w:after="0"/>
              <w:rPr>
                <w:sz w:val="23"/>
                <w:szCs w:val="23"/>
                <w:color w:val="auto"/>
              </w:rPr>
            </w:pPr>
          </w:p>
        </w:tc>
      </w:tr>
      <w:tr>
        <w:trPr>
          <w:trHeight w:val="259"/>
        </w:trPr>
        <w:tc>
          <w:tcPr>
            <w:tcW w:w="240" w:type="dxa"/>
            <w:vAlign w:val="bottom"/>
            <w:tcBorders>
              <w:left w:val="single" w:sz="8" w:color="auto"/>
            </w:tcBorders>
            <w:shd w:val="clear" w:color="auto" w:fill="DCDCDE"/>
          </w:tcPr>
          <w:p>
            <w:pPr>
              <w:spacing w:after="0"/>
              <w:rPr>
                <w:sz w:val="22"/>
                <w:szCs w:val="22"/>
                <w:color w:val="auto"/>
              </w:rPr>
            </w:pPr>
          </w:p>
        </w:tc>
        <w:tc>
          <w:tcPr>
            <w:tcW w:w="3960" w:type="dxa"/>
            <w:vAlign w:val="bottom"/>
            <w:tcBorders>
              <w:right w:val="single" w:sz="8" w:color="auto"/>
            </w:tcBorders>
            <w:shd w:val="clear" w:color="auto" w:fill="DCDCDE"/>
          </w:tcPr>
          <w:p>
            <w:pPr>
              <w:spacing w:after="0"/>
              <w:rPr>
                <w:sz w:val="22"/>
                <w:szCs w:val="22"/>
                <w:color w:val="auto"/>
              </w:rPr>
            </w:pPr>
          </w:p>
        </w:tc>
        <w:tc>
          <w:tcPr>
            <w:tcW w:w="3320" w:type="dxa"/>
            <w:vAlign w:val="bottom"/>
            <w:tcBorders>
              <w:right w:val="single" w:sz="8" w:color="auto"/>
            </w:tcBorders>
            <w:gridSpan w:val="2"/>
            <w:shd w:val="clear" w:color="auto" w:fill="DCDCDE"/>
          </w:tcPr>
          <w:p>
            <w:pPr>
              <w:ind w:left="40"/>
              <w:spacing w:after="0"/>
              <w:rPr>
                <w:sz w:val="20"/>
                <w:szCs w:val="20"/>
                <w:color w:val="auto"/>
              </w:rPr>
            </w:pPr>
            <w:r>
              <w:rPr>
                <w:rFonts w:ascii="Arial" w:cs="Arial" w:eastAsia="Arial" w:hAnsi="Arial"/>
                <w:sz w:val="11"/>
                <w:szCs w:val="11"/>
                <w:b w:val="1"/>
                <w:bCs w:val="1"/>
                <w:color w:val="auto"/>
              </w:rPr>
              <w:t>The Board recommends a vote FOR the ratification of Ernst &amp;</w:t>
            </w:r>
          </w:p>
        </w:tc>
        <w:tc>
          <w:tcPr>
            <w:tcW w:w="2160" w:type="dxa"/>
            <w:vAlign w:val="bottom"/>
            <w:tcBorders>
              <w:right w:val="single" w:sz="8" w:color="auto"/>
            </w:tcBorders>
            <w:shd w:val="clear" w:color="auto" w:fill="DCDCDE"/>
          </w:tcPr>
          <w:p>
            <w:pPr>
              <w:spacing w:after="0"/>
              <w:rPr>
                <w:sz w:val="22"/>
                <w:szCs w:val="22"/>
                <w:color w:val="auto"/>
              </w:rPr>
            </w:pPr>
          </w:p>
        </w:tc>
        <w:tc>
          <w:tcPr>
            <w:tcW w:w="920" w:type="dxa"/>
            <w:vAlign w:val="bottom"/>
            <w:tcBorders>
              <w:right w:val="single" w:sz="8" w:color="auto"/>
            </w:tcBorders>
            <w:shd w:val="clear" w:color="auto" w:fill="DCDCDE"/>
          </w:tcPr>
          <w:p>
            <w:pPr>
              <w:spacing w:after="0"/>
              <w:rPr>
                <w:sz w:val="22"/>
                <w:szCs w:val="22"/>
                <w:color w:val="auto"/>
              </w:rPr>
            </w:pPr>
          </w:p>
        </w:tc>
        <w:tc>
          <w:tcPr>
            <w:tcW w:w="660" w:type="dxa"/>
            <w:vAlign w:val="bottom"/>
            <w:tcBorders>
              <w:right w:val="single" w:sz="8" w:color="auto"/>
            </w:tcBorders>
            <w:shd w:val="clear" w:color="auto" w:fill="DCDCDE"/>
          </w:tcPr>
          <w:p>
            <w:pPr>
              <w:spacing w:after="0"/>
              <w:rPr>
                <w:sz w:val="22"/>
                <w:szCs w:val="22"/>
                <w:color w:val="auto"/>
              </w:rPr>
            </w:pPr>
          </w:p>
        </w:tc>
      </w:tr>
      <w:tr>
        <w:trPr>
          <w:trHeight w:val="124"/>
        </w:trPr>
        <w:tc>
          <w:tcPr>
            <w:tcW w:w="240" w:type="dxa"/>
            <w:vAlign w:val="bottom"/>
            <w:tcBorders>
              <w:left w:val="single" w:sz="8" w:color="auto"/>
            </w:tcBorders>
            <w:shd w:val="clear" w:color="auto" w:fill="DCDCDE"/>
          </w:tcPr>
          <w:p>
            <w:pPr>
              <w:spacing w:after="0"/>
              <w:rPr>
                <w:sz w:val="10"/>
                <w:szCs w:val="10"/>
                <w:color w:val="auto"/>
              </w:rPr>
            </w:pPr>
          </w:p>
        </w:tc>
        <w:tc>
          <w:tcPr>
            <w:tcW w:w="3960" w:type="dxa"/>
            <w:vAlign w:val="bottom"/>
            <w:tcBorders>
              <w:right w:val="single" w:sz="8" w:color="auto"/>
            </w:tcBorders>
            <w:shd w:val="clear" w:color="auto" w:fill="DCDCDE"/>
          </w:tcPr>
          <w:p>
            <w:pPr>
              <w:spacing w:after="0"/>
              <w:rPr>
                <w:sz w:val="10"/>
                <w:szCs w:val="10"/>
                <w:color w:val="auto"/>
              </w:rPr>
            </w:pPr>
          </w:p>
        </w:tc>
        <w:tc>
          <w:tcPr>
            <w:tcW w:w="3320" w:type="dxa"/>
            <w:vAlign w:val="bottom"/>
            <w:tcBorders>
              <w:right w:val="single" w:sz="8" w:color="auto"/>
            </w:tcBorders>
            <w:gridSpan w:val="2"/>
            <w:shd w:val="clear" w:color="auto" w:fill="DCDCDE"/>
          </w:tcPr>
          <w:p>
            <w:pPr>
              <w:ind w:left="40"/>
              <w:spacing w:after="0" w:line="124" w:lineRule="exact"/>
              <w:rPr>
                <w:sz w:val="20"/>
                <w:szCs w:val="20"/>
                <w:color w:val="auto"/>
              </w:rPr>
            </w:pPr>
            <w:r>
              <w:rPr>
                <w:rFonts w:ascii="Arial" w:cs="Arial" w:eastAsia="Arial" w:hAnsi="Arial"/>
                <w:sz w:val="11"/>
                <w:szCs w:val="11"/>
                <w:b w:val="1"/>
                <w:bCs w:val="1"/>
                <w:color w:val="auto"/>
              </w:rPr>
              <w:t>Young LLP as our Independent Registered Public Accounting</w:t>
            </w:r>
          </w:p>
        </w:tc>
        <w:tc>
          <w:tcPr>
            <w:tcW w:w="2160" w:type="dxa"/>
            <w:vAlign w:val="bottom"/>
            <w:tcBorders>
              <w:right w:val="single" w:sz="8" w:color="auto"/>
            </w:tcBorders>
            <w:shd w:val="clear" w:color="auto" w:fill="DCDCDE"/>
          </w:tcPr>
          <w:p>
            <w:pPr>
              <w:spacing w:after="0"/>
              <w:rPr>
                <w:sz w:val="10"/>
                <w:szCs w:val="10"/>
                <w:color w:val="auto"/>
              </w:rPr>
            </w:pPr>
          </w:p>
        </w:tc>
        <w:tc>
          <w:tcPr>
            <w:tcW w:w="920" w:type="dxa"/>
            <w:vAlign w:val="bottom"/>
            <w:tcBorders>
              <w:right w:val="single" w:sz="8" w:color="auto"/>
            </w:tcBorders>
            <w:shd w:val="clear" w:color="auto" w:fill="DCDCDE"/>
          </w:tcPr>
          <w:p>
            <w:pPr>
              <w:spacing w:after="0"/>
              <w:rPr>
                <w:sz w:val="10"/>
                <w:szCs w:val="10"/>
                <w:color w:val="auto"/>
              </w:rPr>
            </w:pPr>
          </w:p>
        </w:tc>
        <w:tc>
          <w:tcPr>
            <w:tcW w:w="660" w:type="dxa"/>
            <w:vAlign w:val="bottom"/>
            <w:tcBorders>
              <w:right w:val="single" w:sz="8" w:color="auto"/>
            </w:tcBorders>
            <w:shd w:val="clear" w:color="auto" w:fill="DCDCDE"/>
          </w:tcPr>
          <w:p>
            <w:pPr>
              <w:spacing w:after="0"/>
              <w:rPr>
                <w:sz w:val="10"/>
                <w:szCs w:val="10"/>
                <w:color w:val="auto"/>
              </w:rPr>
            </w:pPr>
          </w:p>
        </w:tc>
      </w:tr>
      <w:tr>
        <w:trPr>
          <w:trHeight w:val="135"/>
        </w:trPr>
        <w:tc>
          <w:tcPr>
            <w:tcW w:w="240" w:type="dxa"/>
            <w:vAlign w:val="bottom"/>
            <w:tcBorders>
              <w:left w:val="single" w:sz="8" w:color="auto"/>
              <w:bottom w:val="single" w:sz="8" w:color="auto"/>
            </w:tcBorders>
            <w:shd w:val="clear" w:color="auto" w:fill="DCDCDE"/>
          </w:tcPr>
          <w:p>
            <w:pPr>
              <w:spacing w:after="0"/>
              <w:rPr>
                <w:sz w:val="11"/>
                <w:szCs w:val="11"/>
                <w:color w:val="auto"/>
              </w:rPr>
            </w:pPr>
          </w:p>
        </w:tc>
        <w:tc>
          <w:tcPr>
            <w:tcW w:w="3960" w:type="dxa"/>
            <w:vAlign w:val="bottom"/>
            <w:tcBorders>
              <w:bottom w:val="single" w:sz="8" w:color="auto"/>
              <w:right w:val="single" w:sz="8" w:color="auto"/>
            </w:tcBorders>
            <w:shd w:val="clear" w:color="auto" w:fill="DCDCDE"/>
          </w:tcPr>
          <w:p>
            <w:pPr>
              <w:spacing w:after="0"/>
              <w:rPr>
                <w:sz w:val="11"/>
                <w:szCs w:val="11"/>
                <w:color w:val="auto"/>
              </w:rPr>
            </w:pPr>
          </w:p>
        </w:tc>
        <w:tc>
          <w:tcPr>
            <w:tcW w:w="320" w:type="dxa"/>
            <w:vAlign w:val="bottom"/>
            <w:tcBorders>
              <w:bottom w:val="single" w:sz="8" w:color="auto"/>
            </w:tcBorders>
            <w:shd w:val="clear" w:color="auto" w:fill="DCDCDE"/>
          </w:tcPr>
          <w:p>
            <w:pPr>
              <w:ind w:left="40"/>
              <w:spacing w:after="0"/>
              <w:rPr>
                <w:sz w:val="20"/>
                <w:szCs w:val="20"/>
                <w:color w:val="auto"/>
              </w:rPr>
            </w:pPr>
            <w:r>
              <w:rPr>
                <w:rFonts w:ascii="Arial" w:cs="Arial" w:eastAsia="Arial" w:hAnsi="Arial"/>
                <w:sz w:val="11"/>
                <w:szCs w:val="11"/>
                <w:b w:val="1"/>
                <w:bCs w:val="1"/>
                <w:color w:val="auto"/>
                <w:w w:val="96"/>
              </w:rPr>
              <w:t>Firm.</w:t>
            </w:r>
          </w:p>
        </w:tc>
        <w:tc>
          <w:tcPr>
            <w:tcW w:w="3000" w:type="dxa"/>
            <w:vAlign w:val="bottom"/>
            <w:tcBorders>
              <w:bottom w:val="single" w:sz="8" w:color="auto"/>
              <w:right w:val="single" w:sz="8" w:color="auto"/>
            </w:tcBorders>
            <w:shd w:val="clear" w:color="auto" w:fill="DCDCDE"/>
          </w:tcPr>
          <w:p>
            <w:pPr>
              <w:spacing w:after="0"/>
              <w:rPr>
                <w:sz w:val="11"/>
                <w:szCs w:val="11"/>
                <w:color w:val="auto"/>
              </w:rPr>
            </w:pPr>
          </w:p>
        </w:tc>
        <w:tc>
          <w:tcPr>
            <w:tcW w:w="2160" w:type="dxa"/>
            <w:vAlign w:val="bottom"/>
            <w:tcBorders>
              <w:bottom w:val="single" w:sz="8" w:color="auto"/>
              <w:right w:val="single" w:sz="8" w:color="auto"/>
            </w:tcBorders>
            <w:shd w:val="clear" w:color="auto" w:fill="DCDCDE"/>
          </w:tcPr>
          <w:p>
            <w:pPr>
              <w:spacing w:after="0"/>
              <w:rPr>
                <w:sz w:val="11"/>
                <w:szCs w:val="11"/>
                <w:color w:val="auto"/>
              </w:rPr>
            </w:pPr>
          </w:p>
        </w:tc>
        <w:tc>
          <w:tcPr>
            <w:tcW w:w="920" w:type="dxa"/>
            <w:vAlign w:val="bottom"/>
            <w:tcBorders>
              <w:bottom w:val="single" w:sz="8" w:color="auto"/>
              <w:right w:val="single" w:sz="8" w:color="auto"/>
            </w:tcBorders>
            <w:shd w:val="clear" w:color="auto" w:fill="DCDCDE"/>
          </w:tcPr>
          <w:p>
            <w:pPr>
              <w:spacing w:after="0"/>
              <w:rPr>
                <w:sz w:val="11"/>
                <w:szCs w:val="11"/>
                <w:color w:val="auto"/>
              </w:rPr>
            </w:pPr>
          </w:p>
        </w:tc>
        <w:tc>
          <w:tcPr>
            <w:tcW w:w="660" w:type="dxa"/>
            <w:vAlign w:val="bottom"/>
            <w:tcBorders>
              <w:bottom w:val="single" w:sz="8" w:color="auto"/>
              <w:right w:val="single" w:sz="8" w:color="auto"/>
            </w:tcBorders>
            <w:shd w:val="clear" w:color="auto" w:fill="DCDCDE"/>
          </w:tcPr>
          <w:p>
            <w:pPr>
              <w:spacing w:after="0"/>
              <w:rPr>
                <w:sz w:val="11"/>
                <w:szCs w:val="11"/>
                <w:color w:val="auto"/>
              </w:rPr>
            </w:pPr>
          </w:p>
        </w:tc>
      </w:tr>
      <w:tr>
        <w:trPr>
          <w:trHeight w:val="136"/>
        </w:trPr>
        <w:tc>
          <w:tcPr>
            <w:tcW w:w="240" w:type="dxa"/>
            <w:vAlign w:val="bottom"/>
            <w:tcBorders>
              <w:left w:val="single" w:sz="8" w:color="auto"/>
            </w:tcBorders>
          </w:tcPr>
          <w:p>
            <w:pPr>
              <w:ind w:left="100"/>
              <w:spacing w:after="0"/>
              <w:rPr>
                <w:sz w:val="20"/>
                <w:szCs w:val="20"/>
                <w:color w:val="auto"/>
              </w:rPr>
            </w:pPr>
            <w:r>
              <w:rPr>
                <w:rFonts w:ascii="Arial" w:cs="Arial" w:eastAsia="Arial" w:hAnsi="Arial"/>
                <w:sz w:val="11"/>
                <w:szCs w:val="11"/>
                <w:color w:val="auto"/>
              </w:rPr>
              <w:t>3.</w:t>
            </w:r>
          </w:p>
        </w:tc>
        <w:tc>
          <w:tcPr>
            <w:tcW w:w="39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Advisory vote to approve executive compensation</w:t>
            </w: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Vote in favor of the proposal;</w:t>
            </w:r>
          </w:p>
        </w:tc>
        <w:tc>
          <w:tcPr>
            <w:tcW w:w="21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Majority of votes cast</w:t>
            </w:r>
          </w:p>
        </w:tc>
        <w:tc>
          <w:tcPr>
            <w:tcW w:w="92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c>
          <w:tcPr>
            <w:tcW w:w="66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None</w:t>
            </w:r>
          </w:p>
        </w:tc>
      </w:tr>
      <w:tr>
        <w:trPr>
          <w:trHeight w:val="273"/>
        </w:trPr>
        <w:tc>
          <w:tcPr>
            <w:tcW w:w="240" w:type="dxa"/>
            <w:vAlign w:val="bottom"/>
            <w:tcBorders>
              <w:left w:val="single" w:sz="8" w:color="auto"/>
            </w:tcBorders>
          </w:tcPr>
          <w:p>
            <w:pPr>
              <w:spacing w:after="0"/>
              <w:rPr>
                <w:sz w:val="23"/>
                <w:szCs w:val="23"/>
                <w:color w:val="auto"/>
              </w:rPr>
            </w:pPr>
          </w:p>
        </w:tc>
        <w:tc>
          <w:tcPr>
            <w:tcW w:w="3960" w:type="dxa"/>
            <w:vAlign w:val="bottom"/>
            <w:tcBorders>
              <w:right w:val="single" w:sz="8" w:color="auto"/>
            </w:tcBorders>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Vote against the proposal; or</w:t>
            </w:r>
          </w:p>
        </w:tc>
        <w:tc>
          <w:tcPr>
            <w:tcW w:w="216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r>
      <w:tr>
        <w:trPr>
          <w:trHeight w:val="270"/>
        </w:trPr>
        <w:tc>
          <w:tcPr>
            <w:tcW w:w="240" w:type="dxa"/>
            <w:vAlign w:val="bottom"/>
            <w:tcBorders>
              <w:left w:val="single" w:sz="8" w:color="auto"/>
            </w:tcBorders>
          </w:tcPr>
          <w:p>
            <w:pPr>
              <w:spacing w:after="0"/>
              <w:rPr>
                <w:sz w:val="23"/>
                <w:szCs w:val="23"/>
                <w:color w:val="auto"/>
              </w:rPr>
            </w:pPr>
          </w:p>
        </w:tc>
        <w:tc>
          <w:tcPr>
            <w:tcW w:w="3960" w:type="dxa"/>
            <w:vAlign w:val="bottom"/>
            <w:tcBorders>
              <w:right w:val="single" w:sz="8" w:color="auto"/>
            </w:tcBorders>
          </w:tcPr>
          <w:p>
            <w:pPr>
              <w:spacing w:after="0"/>
              <w:rPr>
                <w:sz w:val="23"/>
                <w:szCs w:val="23"/>
                <w:color w:val="auto"/>
              </w:rPr>
            </w:pPr>
          </w:p>
        </w:tc>
        <w:tc>
          <w:tcPr>
            <w:tcW w:w="320" w:type="dxa"/>
            <w:vAlign w:val="bottom"/>
          </w:tcPr>
          <w:p>
            <w:pPr>
              <w:ind w:left="40"/>
              <w:spacing w:after="0"/>
              <w:rPr>
                <w:sz w:val="20"/>
                <w:szCs w:val="20"/>
                <w:color w:val="auto"/>
              </w:rPr>
            </w:pPr>
            <w:r>
              <w:rPr>
                <w:rFonts w:ascii="Arial" w:cs="Arial" w:eastAsia="Arial" w:hAnsi="Arial"/>
                <w:sz w:val="11"/>
                <w:szCs w:val="11"/>
                <w:color w:val="auto"/>
              </w:rPr>
              <w:t>•</w:t>
            </w:r>
          </w:p>
        </w:tc>
        <w:tc>
          <w:tcPr>
            <w:tcW w:w="3000" w:type="dxa"/>
            <w:vAlign w:val="bottom"/>
            <w:tcBorders>
              <w:right w:val="single" w:sz="8" w:color="auto"/>
            </w:tcBorders>
          </w:tcPr>
          <w:p>
            <w:pPr>
              <w:ind w:left="20"/>
              <w:spacing w:after="0"/>
              <w:rPr>
                <w:sz w:val="20"/>
                <w:szCs w:val="20"/>
                <w:color w:val="auto"/>
              </w:rPr>
            </w:pPr>
            <w:r>
              <w:rPr>
                <w:rFonts w:ascii="Arial" w:cs="Arial" w:eastAsia="Arial" w:hAnsi="Arial"/>
                <w:sz w:val="11"/>
                <w:szCs w:val="11"/>
                <w:color w:val="auto"/>
              </w:rPr>
              <w:t>Abstain from voting on the proposal.</w:t>
            </w:r>
          </w:p>
        </w:tc>
        <w:tc>
          <w:tcPr>
            <w:tcW w:w="2160" w:type="dxa"/>
            <w:vAlign w:val="bottom"/>
            <w:tcBorders>
              <w:right w:val="single" w:sz="8" w:color="auto"/>
            </w:tcBorders>
          </w:tcPr>
          <w:p>
            <w:pPr>
              <w:spacing w:after="0"/>
              <w:rPr>
                <w:sz w:val="23"/>
                <w:szCs w:val="23"/>
                <w:color w:val="auto"/>
              </w:rPr>
            </w:pPr>
          </w:p>
        </w:tc>
        <w:tc>
          <w:tcPr>
            <w:tcW w:w="92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tcPr>
          <w:p>
            <w:pPr>
              <w:spacing w:after="0"/>
              <w:rPr>
                <w:sz w:val="23"/>
                <w:szCs w:val="23"/>
                <w:color w:val="auto"/>
              </w:rPr>
            </w:pPr>
          </w:p>
        </w:tc>
      </w:tr>
      <w:tr>
        <w:trPr>
          <w:trHeight w:val="259"/>
        </w:trPr>
        <w:tc>
          <w:tcPr>
            <w:tcW w:w="240" w:type="dxa"/>
            <w:vAlign w:val="bottom"/>
            <w:tcBorders>
              <w:left w:val="single" w:sz="8" w:color="auto"/>
            </w:tcBorders>
          </w:tcPr>
          <w:p>
            <w:pPr>
              <w:spacing w:after="0"/>
              <w:rPr>
                <w:sz w:val="22"/>
                <w:szCs w:val="22"/>
                <w:color w:val="auto"/>
              </w:rPr>
            </w:pPr>
          </w:p>
        </w:tc>
        <w:tc>
          <w:tcPr>
            <w:tcW w:w="3960" w:type="dxa"/>
            <w:vAlign w:val="bottom"/>
            <w:tcBorders>
              <w:right w:val="single" w:sz="8" w:color="auto"/>
            </w:tcBorders>
          </w:tcPr>
          <w:p>
            <w:pPr>
              <w:spacing w:after="0"/>
              <w:rPr>
                <w:sz w:val="22"/>
                <w:szCs w:val="22"/>
                <w:color w:val="auto"/>
              </w:rPr>
            </w:pPr>
          </w:p>
        </w:tc>
        <w:tc>
          <w:tcPr>
            <w:tcW w:w="3320" w:type="dxa"/>
            <w:vAlign w:val="bottom"/>
            <w:tcBorders>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5"/>
              </w:rPr>
              <w:t>The Board recommends a vote FOR the advisory vote to approve</w:t>
            </w:r>
          </w:p>
        </w:tc>
        <w:tc>
          <w:tcPr>
            <w:tcW w:w="216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r>
      <w:tr>
        <w:trPr>
          <w:trHeight w:val="135"/>
        </w:trPr>
        <w:tc>
          <w:tcPr>
            <w:tcW w:w="240" w:type="dxa"/>
            <w:vAlign w:val="bottom"/>
            <w:tcBorders>
              <w:left w:val="single" w:sz="8" w:color="auto"/>
              <w:bottom w:val="single" w:sz="8" w:color="auto"/>
            </w:tcBorders>
          </w:tcPr>
          <w:p>
            <w:pPr>
              <w:spacing w:after="0"/>
              <w:rPr>
                <w:sz w:val="11"/>
                <w:szCs w:val="11"/>
                <w:color w:val="auto"/>
              </w:rPr>
            </w:pPr>
          </w:p>
        </w:tc>
        <w:tc>
          <w:tcPr>
            <w:tcW w:w="3960" w:type="dxa"/>
            <w:vAlign w:val="bottom"/>
            <w:tcBorders>
              <w:bottom w:val="single" w:sz="8" w:color="auto"/>
              <w:right w:val="single" w:sz="8" w:color="auto"/>
            </w:tcBorders>
          </w:tcPr>
          <w:p>
            <w:pPr>
              <w:spacing w:after="0"/>
              <w:rPr>
                <w:sz w:val="11"/>
                <w:szCs w:val="11"/>
                <w:color w:val="auto"/>
              </w:rPr>
            </w:pPr>
          </w:p>
        </w:tc>
        <w:tc>
          <w:tcPr>
            <w:tcW w:w="332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executive compensation.</w:t>
            </w:r>
          </w:p>
        </w:tc>
        <w:tc>
          <w:tcPr>
            <w:tcW w:w="216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difference between holding shares as a stockholder of record and as a beneficial owner?</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You may own shares of the company's common stock in two different ways:</w:t>
      </w:r>
    </w:p>
    <w:p>
      <w:pPr>
        <w:spacing w:after="0" w:line="199" w:lineRule="exact"/>
        <w:rPr>
          <w:sz w:val="20"/>
          <w:szCs w:val="20"/>
          <w:color w:val="auto"/>
        </w:rPr>
      </w:pPr>
    </w:p>
    <w:p>
      <w:pPr>
        <w:jc w:val="both"/>
        <w:ind w:left="900" w:hanging="459"/>
        <w:spacing w:after="0" w:line="260"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Record Ownership. </w:t>
      </w:r>
      <w:r>
        <w:rPr>
          <w:rFonts w:ascii="Arial" w:cs="Arial" w:eastAsia="Arial" w:hAnsi="Arial"/>
          <w:sz w:val="15"/>
          <w:szCs w:val="15"/>
          <w:color w:val="auto"/>
        </w:rPr>
        <w:t>If your stock is represented by one or more stock certificates registered in your name or if you have a Direct Registration System account in your name</w:t>
      </w:r>
      <w:r>
        <w:rPr>
          <w:rFonts w:ascii="Arial" w:cs="Arial" w:eastAsia="Arial" w:hAnsi="Arial"/>
          <w:sz w:val="15"/>
          <w:szCs w:val="15"/>
          <w:i w:val="1"/>
          <w:iCs w:val="1"/>
          <w:color w:val="auto"/>
        </w:rPr>
        <w:t xml:space="preserve"> </w:t>
      </w:r>
      <w:r>
        <w:rPr>
          <w:rFonts w:ascii="Arial" w:cs="Arial" w:eastAsia="Arial" w:hAnsi="Arial"/>
          <w:sz w:val="15"/>
          <w:szCs w:val="15"/>
          <w:color w:val="auto"/>
        </w:rPr>
        <w:t>evidencing shares held in book-entry form, then you have a stockholder account with our transfer agent, Broadridge Financial Solutions, Inc., and you are a "stockholder of record."</w:t>
      </w:r>
    </w:p>
    <w:p>
      <w:pPr>
        <w:spacing w:after="0" w:line="183" w:lineRule="exact"/>
        <w:rPr>
          <w:rFonts w:ascii="Arial" w:cs="Arial" w:eastAsia="Arial" w:hAnsi="Arial"/>
          <w:sz w:val="15"/>
          <w:szCs w:val="15"/>
          <w:color w:val="auto"/>
        </w:rPr>
      </w:pPr>
    </w:p>
    <w:p>
      <w:pPr>
        <w:jc w:val="both"/>
        <w:ind w:left="900" w:hanging="459"/>
        <w:spacing w:after="0" w:line="260"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Beneficial Ownership. </w:t>
      </w:r>
      <w:r>
        <w:rPr>
          <w:rFonts w:ascii="Arial" w:cs="Arial" w:eastAsia="Arial" w:hAnsi="Arial"/>
          <w:sz w:val="15"/>
          <w:szCs w:val="15"/>
          <w:color w:val="auto"/>
        </w:rPr>
        <w:t>If your shares are held in a brokerage account or by a bank or other nominee, those shares are held in "street name" and you are considered the</w:t>
      </w:r>
      <w:r>
        <w:rPr>
          <w:rFonts w:ascii="Arial" w:cs="Arial" w:eastAsia="Arial" w:hAnsi="Arial"/>
          <w:sz w:val="15"/>
          <w:szCs w:val="15"/>
          <w:i w:val="1"/>
          <w:iCs w:val="1"/>
          <w:color w:val="auto"/>
        </w:rPr>
        <w:t xml:space="preserve"> </w:t>
      </w:r>
      <w:r>
        <w:rPr>
          <w:rFonts w:ascii="Arial" w:cs="Arial" w:eastAsia="Arial" w:hAnsi="Arial"/>
          <w:sz w:val="15"/>
          <w:szCs w:val="15"/>
          <w:color w:val="auto"/>
        </w:rPr>
        <w:t>"beneficial owner" of the shares. As the beneficial owner of those shares, you have the right to direct your broker, bank or other nominee how to vote your shares, and you will receive separate instructions from your broker, bank or other nominee describing how to vote your shares.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8" w:name="page9"/>
    <w:bookmarkEnd w:id="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do I vote my shares?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If you are a stockholder of record, you may vote your shares:</w:t>
      </w:r>
    </w:p>
    <w:p>
      <w:pPr>
        <w:spacing w:after="0" w:line="184" w:lineRule="exact"/>
        <w:rPr>
          <w:sz w:val="20"/>
          <w:szCs w:val="20"/>
          <w:color w:val="auto"/>
        </w:rPr>
      </w:pPr>
    </w:p>
    <w:p>
      <w:pPr>
        <w:ind w:left="1820"/>
        <w:spacing w:after="0"/>
        <w:rPr>
          <w:sz w:val="20"/>
          <w:szCs w:val="20"/>
          <w:color w:val="auto"/>
        </w:rPr>
      </w:pPr>
      <w:r>
        <w:rPr>
          <w:rFonts w:ascii="Arial" w:cs="Arial" w:eastAsia="Arial" w:hAnsi="Arial"/>
          <w:sz w:val="15"/>
          <w:szCs w:val="15"/>
          <w:b w:val="1"/>
          <w:bCs w:val="1"/>
          <w:color w:val="auto"/>
        </w:rPr>
        <w:t>By Internet.</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5"/>
          <w:szCs w:val="15"/>
          <w:b w:val="1"/>
          <w:bCs w:val="1"/>
          <w:i w:val="1"/>
          <w:iCs w:val="1"/>
          <w:color w:val="auto"/>
        </w:rPr>
        <w:t xml:space="preserve">Before The Meeting </w:t>
      </w:r>
      <w:r>
        <w:rPr>
          <w:rFonts w:ascii="Arial" w:cs="Arial" w:eastAsia="Arial" w:hAnsi="Arial"/>
          <w:sz w:val="15"/>
          <w:szCs w:val="15"/>
          <w:color w:val="auto"/>
        </w:rPr>
        <w:t>- Go to</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www.proxyvote.com</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-93980</wp:posOffset>
            </wp:positionV>
            <wp:extent cx="300355" cy="179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355" cy="179070"/>
                    </a:xfrm>
                    <a:prstGeom prst="rect">
                      <a:avLst/>
                    </a:prstGeom>
                    <a:noFill/>
                  </pic:spPr>
                </pic:pic>
              </a:graphicData>
            </a:graphic>
          </wp:anchor>
        </w:drawing>
      </w:r>
    </w:p>
    <w:p>
      <w:pPr>
        <w:ind w:left="1820" w:right="1260"/>
        <w:spacing w:after="0" w:line="256" w:lineRule="auto"/>
        <w:rPr>
          <w:sz w:val="20"/>
          <w:szCs w:val="20"/>
          <w:color w:val="auto"/>
        </w:rPr>
      </w:pPr>
      <w:r>
        <w:rPr>
          <w:rFonts w:ascii="Arial" w:cs="Arial" w:eastAsia="Arial" w:hAnsi="Arial"/>
          <w:sz w:val="15"/>
          <w:szCs w:val="15"/>
          <w:color w:val="auto"/>
        </w:rPr>
        <w:t>Use the internet to transmit your voting instructions and for electronic delivery of information up until 11:59 p.m. Eastern Time on May 20, 2020. Have your proxy card in hand when you access the web site and follow the instructions to obtain your records and to create an electronic voting instruction form.</w:t>
      </w:r>
    </w:p>
    <w:p>
      <w:pPr>
        <w:spacing w:after="0" w:line="163" w:lineRule="exact"/>
        <w:rPr>
          <w:sz w:val="20"/>
          <w:szCs w:val="20"/>
          <w:color w:val="auto"/>
        </w:rPr>
      </w:pPr>
    </w:p>
    <w:p>
      <w:pPr>
        <w:ind w:left="1820"/>
        <w:spacing w:after="0"/>
        <w:rPr>
          <w:sz w:val="20"/>
          <w:szCs w:val="20"/>
          <w:color w:val="auto"/>
        </w:rPr>
      </w:pPr>
      <w:r>
        <w:rPr>
          <w:rFonts w:ascii="Arial" w:cs="Arial" w:eastAsia="Arial" w:hAnsi="Arial"/>
          <w:sz w:val="15"/>
          <w:szCs w:val="15"/>
          <w:b w:val="1"/>
          <w:bCs w:val="1"/>
          <w:i w:val="1"/>
          <w:iCs w:val="1"/>
          <w:color w:val="auto"/>
        </w:rPr>
        <w:t xml:space="preserve">During The Meeting </w:t>
      </w:r>
      <w:r>
        <w:rPr>
          <w:rFonts w:ascii="Arial" w:cs="Arial" w:eastAsia="Arial" w:hAnsi="Arial"/>
          <w:sz w:val="15"/>
          <w:szCs w:val="15"/>
          <w:color w:val="auto"/>
        </w:rPr>
        <w:t>- Go to</w:t>
      </w:r>
      <w:r>
        <w:rPr>
          <w:rFonts w:ascii="Arial" w:cs="Arial" w:eastAsia="Arial" w:hAnsi="Arial"/>
          <w:sz w:val="15"/>
          <w:szCs w:val="15"/>
          <w:b w:val="1"/>
          <w:bCs w:val="1"/>
          <w:i w:val="1"/>
          <w:iCs w:val="1"/>
          <w:color w:val="auto"/>
        </w:rPr>
        <w:t xml:space="preserve"> </w:t>
      </w:r>
      <w:r>
        <w:rPr>
          <w:rFonts w:ascii="Arial" w:cs="Arial" w:eastAsia="Arial" w:hAnsi="Arial"/>
          <w:sz w:val="15"/>
          <w:szCs w:val="15"/>
          <w:u w:val="single" w:color="auto"/>
          <w:color w:val="auto"/>
        </w:rPr>
        <w:t>www.virtualshareholdermeeting.com/EBS2020</w:t>
      </w:r>
      <w:r>
        <w:rPr>
          <w:rFonts w:ascii="Arial" w:cs="Arial" w:eastAsia="Arial" w:hAnsi="Arial"/>
          <w:sz w:val="15"/>
          <w:szCs w:val="15"/>
          <w:color w:val="auto"/>
        </w:rPr>
        <w:t>.</w:t>
      </w:r>
    </w:p>
    <w:p>
      <w:pPr>
        <w:spacing w:after="0" w:line="188" w:lineRule="exact"/>
        <w:rPr>
          <w:sz w:val="20"/>
          <w:szCs w:val="20"/>
          <w:color w:val="auto"/>
        </w:rPr>
      </w:pPr>
    </w:p>
    <w:p>
      <w:pPr>
        <w:ind w:left="1820" w:right="1340"/>
        <w:spacing w:after="0" w:line="270" w:lineRule="auto"/>
        <w:rPr>
          <w:sz w:val="20"/>
          <w:szCs w:val="20"/>
          <w:color w:val="auto"/>
        </w:rPr>
      </w:pPr>
      <w:r>
        <w:rPr>
          <w:rFonts w:ascii="Arial" w:cs="Arial" w:eastAsia="Arial" w:hAnsi="Arial"/>
          <w:sz w:val="15"/>
          <w:szCs w:val="15"/>
          <w:color w:val="auto"/>
        </w:rPr>
        <w:t>You may attend the meeting via the internet and vote during the virtual meeting. Have the information that is printed in the box marked by the arrow available and follow the instructions.</w:t>
      </w:r>
    </w:p>
    <w:p>
      <w:pPr>
        <w:spacing w:after="0" w:line="171" w:lineRule="exact"/>
        <w:rPr>
          <w:sz w:val="20"/>
          <w:szCs w:val="20"/>
          <w:color w:val="auto"/>
        </w:rPr>
      </w:pPr>
    </w:p>
    <w:p>
      <w:pPr>
        <w:ind w:left="1820" w:right="1280"/>
        <w:spacing w:after="0" w:line="263" w:lineRule="auto"/>
        <w:rPr>
          <w:sz w:val="20"/>
          <w:szCs w:val="20"/>
          <w:color w:val="auto"/>
        </w:rPr>
      </w:pPr>
      <w:r>
        <w:rPr>
          <w:rFonts w:ascii="Arial" w:cs="Arial" w:eastAsia="Arial" w:hAnsi="Arial"/>
          <w:sz w:val="15"/>
          <w:szCs w:val="15"/>
          <w:b w:val="1"/>
          <w:bCs w:val="1"/>
          <w:color w:val="auto"/>
        </w:rPr>
        <w:t xml:space="preserve">By Telephone. </w:t>
      </w:r>
      <w:r>
        <w:rPr>
          <w:rFonts w:ascii="Arial" w:cs="Arial" w:eastAsia="Arial" w:hAnsi="Arial"/>
          <w:sz w:val="15"/>
          <w:szCs w:val="15"/>
          <w:color w:val="auto"/>
        </w:rPr>
        <w:t>To vote by phone, call 1-800-690-6903 (toll-free from the U.S. and Canada). Use any touch-tone telephone to transmit your</w:t>
      </w:r>
      <w:r>
        <w:rPr>
          <w:rFonts w:ascii="Arial" w:cs="Arial" w:eastAsia="Arial" w:hAnsi="Arial"/>
          <w:sz w:val="15"/>
          <w:szCs w:val="15"/>
          <w:b w:val="1"/>
          <w:bCs w:val="1"/>
          <w:color w:val="auto"/>
        </w:rPr>
        <w:t xml:space="preserve"> </w:t>
      </w:r>
      <w:r>
        <w:rPr>
          <w:rFonts w:ascii="Arial" w:cs="Arial" w:eastAsia="Arial" w:hAnsi="Arial"/>
          <w:sz w:val="15"/>
          <w:szCs w:val="15"/>
          <w:color w:val="auto"/>
        </w:rPr>
        <w:t>voting instructions up until 11:59 p.m. Eastern Time on May 20, 2020. Have your proxy card in hand when you call and then follow the instructions. If you vote by telephone, please do not mail in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-309245</wp:posOffset>
            </wp:positionV>
            <wp:extent cx="257810" cy="257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810" cy="257810"/>
                    </a:xfrm>
                    <a:prstGeom prst="rect">
                      <a:avLst/>
                    </a:prstGeom>
                    <a:noFill/>
                  </pic:spPr>
                </pic:pic>
              </a:graphicData>
            </a:graphic>
          </wp:anchor>
        </w:drawing>
      </w:r>
    </w:p>
    <w:p>
      <w:pPr>
        <w:spacing w:after="0" w:line="157" w:lineRule="exact"/>
        <w:rPr>
          <w:sz w:val="20"/>
          <w:szCs w:val="20"/>
          <w:color w:val="auto"/>
        </w:rPr>
      </w:pPr>
    </w:p>
    <w:p>
      <w:pPr>
        <w:ind w:left="1820" w:right="1300"/>
        <w:spacing w:after="0" w:line="263" w:lineRule="auto"/>
        <w:rPr>
          <w:sz w:val="20"/>
          <w:szCs w:val="20"/>
          <w:color w:val="auto"/>
        </w:rPr>
      </w:pPr>
      <w:r>
        <w:rPr>
          <w:rFonts w:ascii="Arial" w:cs="Arial" w:eastAsia="Arial" w:hAnsi="Arial"/>
          <w:sz w:val="15"/>
          <w:szCs w:val="15"/>
          <w:b w:val="1"/>
          <w:bCs w:val="1"/>
          <w:color w:val="auto"/>
        </w:rPr>
        <w:t xml:space="preserve">By Mail. </w:t>
      </w:r>
      <w:r>
        <w:rPr>
          <w:rFonts w:ascii="Arial" w:cs="Arial" w:eastAsia="Arial" w:hAnsi="Arial"/>
          <w:sz w:val="15"/>
          <w:szCs w:val="15"/>
          <w:color w:val="auto"/>
        </w:rPr>
        <w:t>If you received your proxy materials by mail, you may vote by completing, signing and returning your proxy card. If you vote by</w:t>
      </w:r>
      <w:r>
        <w:rPr>
          <w:rFonts w:ascii="Arial" w:cs="Arial" w:eastAsia="Arial" w:hAnsi="Arial"/>
          <w:sz w:val="15"/>
          <w:szCs w:val="15"/>
          <w:b w:val="1"/>
          <w:bCs w:val="1"/>
          <w:color w:val="auto"/>
        </w:rPr>
        <w:t xml:space="preserve"> </w:t>
      </w:r>
      <w:r>
        <w:rPr>
          <w:rFonts w:ascii="Arial" w:cs="Arial" w:eastAsia="Arial" w:hAnsi="Arial"/>
          <w:sz w:val="15"/>
          <w:szCs w:val="15"/>
          <w:color w:val="auto"/>
        </w:rPr>
        <w:t>mail, please mark, sign and date your proxy card and return it in the enclosed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709295</wp:posOffset>
            </wp:positionH>
            <wp:positionV relativeFrom="paragraph">
              <wp:posOffset>-330835</wp:posOffset>
            </wp:positionV>
            <wp:extent cx="300355"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0355" cy="300355"/>
                    </a:xfrm>
                    <a:prstGeom prst="rect">
                      <a:avLst/>
                    </a:prstGeom>
                    <a:noFill/>
                  </pic:spPr>
                </pic:pic>
              </a:graphicData>
            </a:graphic>
          </wp:anchor>
        </w:drawing>
      </w:r>
    </w:p>
    <w:p>
      <w:pPr>
        <w:spacing w:after="0" w:line="138" w:lineRule="exact"/>
        <w:rPr>
          <w:sz w:val="20"/>
          <w:szCs w:val="20"/>
          <w:color w:val="auto"/>
        </w:rPr>
      </w:pPr>
    </w:p>
    <w:p>
      <w:pPr>
        <w:jc w:val="both"/>
        <w:ind w:firstLine="292"/>
        <w:spacing w:after="0" w:line="270" w:lineRule="auto"/>
        <w:rPr>
          <w:sz w:val="20"/>
          <w:szCs w:val="20"/>
          <w:color w:val="auto"/>
        </w:rPr>
      </w:pPr>
      <w:r>
        <w:rPr>
          <w:rFonts w:ascii="Arial" w:cs="Arial" w:eastAsia="Arial" w:hAnsi="Arial"/>
          <w:sz w:val="15"/>
          <w:szCs w:val="15"/>
          <w:color w:val="auto"/>
        </w:rPr>
        <w:t>You will need to follow the instructions when using any of these methods to make sure your shares will be voted at the annual meeting. We encourage you to vote by telephone or over the internet or by mail by completing your proxy card, even if you plan to attend the virtual annual meeting.</w:t>
      </w:r>
    </w:p>
    <w:p>
      <w:pPr>
        <w:spacing w:after="0" w:line="153" w:lineRule="exact"/>
        <w:rPr>
          <w:sz w:val="20"/>
          <w:szCs w:val="20"/>
          <w:color w:val="auto"/>
        </w:rPr>
      </w:pPr>
    </w:p>
    <w:p>
      <w:pPr>
        <w:jc w:val="both"/>
        <w:ind w:firstLine="315"/>
        <w:spacing w:after="0" w:line="254" w:lineRule="auto"/>
        <w:rPr>
          <w:sz w:val="20"/>
          <w:szCs w:val="20"/>
          <w:color w:val="auto"/>
        </w:rPr>
      </w:pPr>
      <w:r>
        <w:rPr>
          <w:rFonts w:ascii="Arial" w:cs="Arial" w:eastAsia="Arial" w:hAnsi="Arial"/>
          <w:sz w:val="15"/>
          <w:szCs w:val="15"/>
          <w:i w:val="1"/>
          <w:iCs w:val="1"/>
          <w:color w:val="auto"/>
        </w:rPr>
        <w:t xml:space="preserve">If you hold shares in street name </w:t>
      </w:r>
      <w:r>
        <w:rPr>
          <w:rFonts w:ascii="Arial" w:cs="Arial" w:eastAsia="Arial" w:hAnsi="Arial"/>
          <w:sz w:val="15"/>
          <w:szCs w:val="15"/>
          <w:color w:val="auto"/>
        </w:rPr>
        <w:t>through a broker, bank or other nominee, you may instruct your broker, bank or other nominee to vote your shares by following the instructions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broker, bank or other nominee provides to you with the proxy materials. Most brokers offer the ability for stockholders to submit voting instructions by mail by completing a voting instruction card, by telephone and over the internet. If you hold shares through a broker, bank or other nominee and wish to vote your shares at the annual meeting, you will need your unique control number which appears on the instructions that accompanied the proxy materials. In any case, voting in advance by phone, internet or mail or through your broker, bank or other nominee will not prevent you from voting at the virtual annual meeting. </w:t>
      </w:r>
      <w:r>
        <w:rPr>
          <w:rFonts w:ascii="Arial" w:cs="Arial" w:eastAsia="Arial" w:hAnsi="Arial"/>
          <w:sz w:val="15"/>
          <w:szCs w:val="15"/>
          <w:b w:val="1"/>
          <w:bCs w:val="1"/>
          <w:color w:val="auto"/>
        </w:rPr>
        <w:t>If you have any questions about voting your shares or attending the virtual annual meeting, please contact our Investor</w:t>
      </w:r>
      <w:r>
        <w:rPr>
          <w:rFonts w:ascii="Arial" w:cs="Arial" w:eastAsia="Arial" w:hAnsi="Arial"/>
          <w:sz w:val="15"/>
          <w:szCs w:val="15"/>
          <w:color w:val="auto"/>
        </w:rPr>
        <w:t xml:space="preserve"> </w:t>
      </w:r>
      <w:r>
        <w:rPr>
          <w:rFonts w:ascii="Arial" w:cs="Arial" w:eastAsia="Arial" w:hAnsi="Arial"/>
          <w:sz w:val="15"/>
          <w:szCs w:val="15"/>
          <w:b w:val="1"/>
          <w:bCs w:val="1"/>
          <w:color w:val="auto"/>
        </w:rPr>
        <w:t>Relations department at (240) 631-3200.</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I hold shares in street name by my broker, will my broker automatically vote my shares for me?</w:t>
      </w:r>
    </w:p>
    <w:p>
      <w:pPr>
        <w:spacing w:after="0" w:line="192"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5"/>
          <w:szCs w:val="15"/>
          <w:color w:val="auto"/>
        </w:rPr>
        <w:t>If you hold shares through an account with a bank or broker, the voting of the shares by the bank or broker when you do not provide voting instructions is governed by the rules of the New York Stock Exchange (the "NYSE"). These rules allow banks and brokers to vote shares in their discretion on "routine" matters for which their customers do not provide voting instructions. On matters considered "non-routine," banks and brokers may not vote shares without your instruction.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a "broker non-vote" and how would it affect the vote?</w:t>
      </w:r>
    </w:p>
    <w:p>
      <w:pPr>
        <w:spacing w:after="0" w:line="192" w:lineRule="exact"/>
        <w:rPr>
          <w:sz w:val="20"/>
          <w:szCs w:val="20"/>
          <w:color w:val="auto"/>
        </w:rPr>
      </w:pPr>
    </w:p>
    <w:p>
      <w:pPr>
        <w:jc w:val="both"/>
        <w:ind w:firstLine="441"/>
        <w:spacing w:after="0" w:line="348" w:lineRule="auto"/>
        <w:rPr>
          <w:sz w:val="20"/>
          <w:szCs w:val="20"/>
          <w:color w:val="auto"/>
        </w:rPr>
      </w:pPr>
      <w:r>
        <w:rPr>
          <w:rFonts w:ascii="Arial" w:cs="Arial" w:eastAsia="Arial" w:hAnsi="Arial"/>
          <w:sz w:val="13"/>
          <w:szCs w:val="13"/>
          <w:color w:val="auto"/>
        </w:rPr>
        <w:t>Shares that banks and brokers are not authorized to vote are referred to as "broker non-votes." The ratification of the company's independent registered public accounting firm is considered a routine matter. Accordingly, banks and brokers may vote shares on this proposal without your instructions, and there will be no broker non-votes with respect to this proposal.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9" w:name="page10"/>
    <w:bookmarkEnd w:id="9"/>
    <w:p>
      <w:pPr>
        <w:ind w:left="1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left="10" w:firstLine="332"/>
        <w:spacing w:after="0" w:line="260" w:lineRule="auto"/>
        <w:rPr>
          <w:sz w:val="20"/>
          <w:szCs w:val="20"/>
          <w:color w:val="auto"/>
        </w:rPr>
      </w:pPr>
      <w:r>
        <w:rPr>
          <w:rFonts w:ascii="Arial" w:cs="Arial" w:eastAsia="Arial" w:hAnsi="Arial"/>
          <w:sz w:val="15"/>
          <w:szCs w:val="15"/>
          <w:color w:val="auto"/>
        </w:rPr>
        <w:t>All other proposals are considered to be non-routine, and banks and brokers therefore cannot vote shares on those proposals without your instructions. Please note that if you want your vote to be counted on those proposals, including the election of directors, you must instruct your bank or broker how to vote your shares. If you do not provide voting instructions, no votes will be cast on your behalf with respect to those proposals.</w:t>
      </w:r>
    </w:p>
    <w:p>
      <w:pPr>
        <w:spacing w:after="0" w:line="161" w:lineRule="exact"/>
        <w:rPr>
          <w:sz w:val="20"/>
          <w:szCs w:val="20"/>
          <w:color w:val="auto"/>
        </w:rPr>
      </w:pPr>
    </w:p>
    <w:p>
      <w:pPr>
        <w:ind w:left="290"/>
        <w:spacing w:after="0"/>
        <w:rPr>
          <w:sz w:val="20"/>
          <w:szCs w:val="20"/>
          <w:color w:val="auto"/>
        </w:rPr>
      </w:pPr>
      <w:r>
        <w:rPr>
          <w:rFonts w:ascii="Arial" w:cs="Arial" w:eastAsia="Arial" w:hAnsi="Arial"/>
          <w:sz w:val="15"/>
          <w:szCs w:val="15"/>
          <w:color w:val="auto"/>
        </w:rPr>
        <w:t>Broker non-votes will be counted for purposes of establishing a quorum but will not affect the outcome of the vote on any proposal.</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What does it mean if I receive more than one proxy card from the company?</w:t>
      </w:r>
    </w:p>
    <w:p>
      <w:pPr>
        <w:spacing w:after="0" w:line="192" w:lineRule="exact"/>
        <w:rPr>
          <w:sz w:val="20"/>
          <w:szCs w:val="20"/>
          <w:color w:val="auto"/>
        </w:rPr>
      </w:pPr>
    </w:p>
    <w:p>
      <w:pPr>
        <w:jc w:val="both"/>
        <w:ind w:left="10" w:firstLine="295"/>
        <w:spacing w:after="0" w:line="270" w:lineRule="auto"/>
        <w:rPr>
          <w:sz w:val="20"/>
          <w:szCs w:val="20"/>
          <w:color w:val="auto"/>
        </w:rPr>
      </w:pPr>
      <w:r>
        <w:rPr>
          <w:rFonts w:ascii="Arial" w:cs="Arial" w:eastAsia="Arial" w:hAnsi="Arial"/>
          <w:sz w:val="15"/>
          <w:szCs w:val="15"/>
          <w:color w:val="auto"/>
        </w:rPr>
        <w:t>It means that you have more than one account for your shares. Please vote by internet or telephone using each of the identification numbers, or complete and mail all proxy cards to ensure that all of your shares are voted.</w:t>
      </w:r>
    </w:p>
    <w:p>
      <w:pPr>
        <w:spacing w:after="0" w:line="14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What is "householding" and how does it affect me?</w:t>
      </w:r>
    </w:p>
    <w:p>
      <w:pPr>
        <w:spacing w:after="0" w:line="192" w:lineRule="exact"/>
        <w:rPr>
          <w:sz w:val="20"/>
          <w:szCs w:val="20"/>
          <w:color w:val="auto"/>
        </w:rPr>
      </w:pPr>
    </w:p>
    <w:p>
      <w:pPr>
        <w:jc w:val="both"/>
        <w:ind w:left="10" w:firstLine="293"/>
        <w:spacing w:after="0" w:line="290" w:lineRule="auto"/>
        <w:rPr>
          <w:sz w:val="20"/>
          <w:szCs w:val="20"/>
          <w:color w:val="auto"/>
        </w:rPr>
      </w:pPr>
      <w:r>
        <w:rPr>
          <w:rFonts w:ascii="Arial" w:cs="Arial" w:eastAsia="Arial" w:hAnsi="Arial"/>
          <w:sz w:val="13"/>
          <w:szCs w:val="13"/>
          <w:color w:val="auto"/>
        </w:rPr>
        <w:t>The Securities and Exchange Commission ("SEC") has adopted rules that permit companies and intermediaries, such as brokers, to satisfy delivery requirements for proxy statements with respect to two or more stockholders sharing the same address by delivering a single Notice of Internet Availability of Proxy Materials or proxy statement and annual report addressed to those stockholders. This process, commonly referred to as "householding," potentially provides extra convenience for stockholders and cost savings for companies. Because we utilize the "householding" rules for proxy materials, stockholders who share the same address generally will receive only one copy of the Notice of Internet Availability of Proxy Materials or proxy statement and annual report, unless we receive contrary instructions from any stockholder at that address. If you prefer to receive multiple copies of the Notice of Internet Availability of Proxy Materials or proxy statement and annual report at the same address, additional copies will be provided to you promptly upon request. If you are a stockholder of record, you may obtain additional copies upon written or oral request to Emergent BioSolutions Inc., Attn: Investor Relations, 400 Professional Drive, Suite 400, Gaithersburg, Maryland 20879; Telephone:</w:t>
      </w:r>
    </w:p>
    <w:p>
      <w:pPr>
        <w:spacing w:after="0" w:line="4" w:lineRule="exact"/>
        <w:rPr>
          <w:sz w:val="20"/>
          <w:szCs w:val="20"/>
          <w:color w:val="auto"/>
        </w:rPr>
      </w:pPr>
    </w:p>
    <w:p>
      <w:pPr>
        <w:ind w:left="10" w:right="20" w:hanging="10"/>
        <w:spacing w:after="0" w:line="261" w:lineRule="auto"/>
        <w:tabs>
          <w:tab w:leader="none" w:pos="393" w:val="left"/>
        </w:tabs>
        <w:numPr>
          <w:ilvl w:val="0"/>
          <w:numId w:val="8"/>
        </w:numPr>
        <w:rPr>
          <w:rFonts w:ascii="Arial" w:cs="Arial" w:eastAsia="Arial" w:hAnsi="Arial"/>
          <w:sz w:val="15"/>
          <w:szCs w:val="15"/>
          <w:color w:val="auto"/>
        </w:rPr>
      </w:pPr>
      <w:r>
        <w:rPr>
          <w:rFonts w:ascii="Arial" w:cs="Arial" w:eastAsia="Arial" w:hAnsi="Arial"/>
          <w:sz w:val="15"/>
          <w:szCs w:val="15"/>
          <w:color w:val="auto"/>
        </w:rPr>
        <w:t>631-3200. Eligible stockholders of record receiving multiple copies of the Notice of Internet Availability of Proxy Materials or proxy statement and annual report can request householding by contacting us in the same manner.</w:t>
      </w:r>
    </w:p>
    <w:p>
      <w:pPr>
        <w:spacing w:after="0" w:line="159" w:lineRule="exact"/>
        <w:rPr>
          <w:sz w:val="20"/>
          <w:szCs w:val="20"/>
          <w:color w:val="auto"/>
        </w:rPr>
      </w:pPr>
    </w:p>
    <w:p>
      <w:pPr>
        <w:jc w:val="both"/>
        <w:ind w:left="10" w:firstLine="321"/>
        <w:spacing w:after="0" w:line="270" w:lineRule="auto"/>
        <w:rPr>
          <w:sz w:val="20"/>
          <w:szCs w:val="20"/>
          <w:color w:val="auto"/>
        </w:rPr>
      </w:pPr>
      <w:r>
        <w:rPr>
          <w:rFonts w:ascii="Arial" w:cs="Arial" w:eastAsia="Arial" w:hAnsi="Arial"/>
          <w:sz w:val="15"/>
          <w:szCs w:val="15"/>
          <w:color w:val="auto"/>
        </w:rPr>
        <w:t>If you are a beneficial owner and hold your shares in a brokerage or custody account, you can request additional copies of the Notice of Internet Availability of Proxy Materials or proxy statement and annual report or you can request householding by notifying your broker, bank or other nominee.</w:t>
      </w:r>
    </w:p>
    <w:p>
      <w:pPr>
        <w:spacing w:after="0" w:line="149" w:lineRule="exact"/>
        <w:rPr>
          <w:sz w:val="20"/>
          <w:szCs w:val="20"/>
          <w:color w:val="auto"/>
        </w:rPr>
      </w:pPr>
    </w:p>
    <w:p>
      <w:pPr>
        <w:ind w:left="10"/>
        <w:spacing w:after="0"/>
        <w:rPr>
          <w:sz w:val="20"/>
          <w:szCs w:val="20"/>
          <w:color w:val="auto"/>
        </w:rPr>
      </w:pPr>
      <w:r>
        <w:rPr>
          <w:rFonts w:ascii="Arial" w:cs="Arial" w:eastAsia="Arial" w:hAnsi="Arial"/>
          <w:sz w:val="15"/>
          <w:szCs w:val="15"/>
          <w:b w:val="1"/>
          <w:bCs w:val="1"/>
          <w:color w:val="auto"/>
        </w:rPr>
        <w:t>How do I attend the annual meeting? When and where will the annual meeting be held?</w:t>
      </w:r>
    </w:p>
    <w:p>
      <w:pPr>
        <w:spacing w:after="0" w:line="192" w:lineRule="exact"/>
        <w:rPr>
          <w:sz w:val="20"/>
          <w:szCs w:val="20"/>
          <w:color w:val="auto"/>
        </w:rPr>
      </w:pPr>
    </w:p>
    <w:p>
      <w:pPr>
        <w:jc w:val="both"/>
        <w:ind w:left="10" w:firstLine="309"/>
        <w:spacing w:after="0" w:line="254" w:lineRule="auto"/>
        <w:rPr>
          <w:sz w:val="20"/>
          <w:szCs w:val="20"/>
          <w:color w:val="auto"/>
        </w:rPr>
      </w:pPr>
      <w:r>
        <w:rPr>
          <w:rFonts w:ascii="Arial" w:cs="Arial" w:eastAsia="Arial" w:hAnsi="Arial"/>
          <w:sz w:val="15"/>
          <w:szCs w:val="15"/>
          <w:color w:val="auto"/>
        </w:rPr>
        <w:t xml:space="preserve">The annual meeting will be held on May 21, 2020. This year, we will be hosting the annual meeting live via the internet. You will not be able to attend the annual meeting in person. Any stockholder can listen to and participate in the annual meeting live via the internet at </w:t>
      </w:r>
      <w:r>
        <w:rPr>
          <w:rFonts w:ascii="Arial" w:cs="Arial" w:eastAsia="Arial" w:hAnsi="Arial"/>
          <w:sz w:val="15"/>
          <w:szCs w:val="15"/>
          <w:u w:val="single" w:color="auto"/>
          <w:color w:val="auto"/>
        </w:rPr>
        <w:t>www.virtualshareholdermeeting.com/EBS2020</w:t>
      </w:r>
      <w:r>
        <w:rPr>
          <w:rFonts w:ascii="Arial" w:cs="Arial" w:eastAsia="Arial" w:hAnsi="Arial"/>
          <w:sz w:val="15"/>
          <w:szCs w:val="15"/>
          <w:color w:val="auto"/>
        </w:rPr>
        <w:t>. To participate in the virtual annual meeting, you will need the 16-digit control number which appears on your proxy card, voting instruction form or notice you will receive. The annual meeting webcast will begin promptly at 9:00 a.m., Eastern Time. We encourage you to access the annual meeting webcast prior to the start time. Online check-in will begin, and stockholders may begin submitting written questions, at 8:45 a.m., Eastern Time, and you should allow ample time for the check-in procedures. If you do not have a control number, you may attend as a guest (non-stockholder), but will not have the option to vote your shares at the virtual meeting.</w:t>
      </w:r>
    </w:p>
    <w:p>
      <w:pPr>
        <w:spacing w:after="0" w:line="163" w:lineRule="exact"/>
        <w:rPr>
          <w:sz w:val="20"/>
          <w:szCs w:val="20"/>
          <w:color w:val="auto"/>
        </w:rPr>
      </w:pPr>
    </w:p>
    <w:p>
      <w:pPr>
        <w:ind w:left="290"/>
        <w:spacing w:after="0"/>
        <w:rPr>
          <w:sz w:val="20"/>
          <w:szCs w:val="20"/>
          <w:color w:val="auto"/>
        </w:rPr>
      </w:pPr>
      <w:r>
        <w:rPr>
          <w:rFonts w:ascii="Arial" w:cs="Arial" w:eastAsia="Arial" w:hAnsi="Arial"/>
          <w:sz w:val="15"/>
          <w:szCs w:val="15"/>
          <w:b w:val="1"/>
          <w:bCs w:val="1"/>
          <w:color w:val="auto"/>
        </w:rPr>
        <w:t>What if during the check-in time or during the annual meeting I have technical difficulties or trouble accessing the virtual meeting?</w:t>
      </w:r>
    </w:p>
    <w:p>
      <w:pPr>
        <w:spacing w:after="0" w:line="192" w:lineRule="exact"/>
        <w:rPr>
          <w:sz w:val="20"/>
          <w:szCs w:val="20"/>
          <w:color w:val="auto"/>
        </w:rPr>
      </w:pPr>
    </w:p>
    <w:p>
      <w:pPr>
        <w:jc w:val="both"/>
        <w:ind w:left="10" w:right="20" w:firstLine="360"/>
        <w:spacing w:after="0" w:line="270" w:lineRule="auto"/>
        <w:rPr>
          <w:sz w:val="20"/>
          <w:szCs w:val="20"/>
          <w:color w:val="auto"/>
        </w:rPr>
      </w:pPr>
      <w:r>
        <w:rPr>
          <w:rFonts w:ascii="Arial" w:cs="Arial" w:eastAsia="Arial" w:hAnsi="Arial"/>
          <w:sz w:val="15"/>
          <w:szCs w:val="15"/>
          <w:color w:val="auto"/>
        </w:rPr>
        <w:t>We will have technicians ready to assist you with any technical difficulties you may have accessing the virtual meeting. If you encounter any difficulties accessing the virtual meeting during the check-in or</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60260"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32" w:right="319" w:bottom="1440" w:gutter="0" w:footer="0" w:header="0"/>
        </w:sectPr>
      </w:pPr>
    </w:p>
    <w:bookmarkStart w:id="10" w:name="page11"/>
    <w:bookmarkEnd w:id="1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meeting time, please call the technical support number that will be posted on the Virtual Shareholder Meeting log in page.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Why are we holding the annual meeting virtually?</w:t>
      </w:r>
    </w:p>
    <w:p>
      <w:pPr>
        <w:spacing w:after="0" w:line="192" w:lineRule="exact"/>
        <w:rPr>
          <w:sz w:val="20"/>
          <w:szCs w:val="20"/>
          <w:color w:val="auto"/>
        </w:rPr>
      </w:pPr>
    </w:p>
    <w:p>
      <w:pPr>
        <w:jc w:val="both"/>
        <w:ind w:firstLine="336"/>
        <w:spacing w:after="0" w:line="296" w:lineRule="auto"/>
        <w:rPr>
          <w:sz w:val="20"/>
          <w:szCs w:val="20"/>
          <w:color w:val="auto"/>
        </w:rPr>
      </w:pPr>
      <w:r>
        <w:rPr>
          <w:rFonts w:ascii="Arial" w:cs="Arial" w:eastAsia="Arial" w:hAnsi="Arial"/>
          <w:sz w:val="13"/>
          <w:szCs w:val="13"/>
          <w:color w:val="auto"/>
        </w:rPr>
        <w:t xml:space="preserve">As part of our effort to maintain a safe and healthy environment for our directors, members of management and stockholders who wish to attend the annual meeting, and in light of the novel coronavirus disease (COVID-19), we believe that hosting a virtual annual meeting is in our best interest and the best interest of our stockholders and enables increased stockholder attendance and participation during a time when many travel restrictions are in place that may limit attendance. Furthermore, we have determined that hosting a virtual annual meeting of stockholders will provide expanded access, improved communication, and cost savings. Hosting a virtual meeting enables increased stockholder attendance and participation since stockholders can participate from any location around the world. We intend that the virtual meeting format will provide stockholders a similar level of transparency to the traditional in-person meeting format and we will take steps to ensure such an experience. Our stockholders will be afforded the same opportunities to participate at the virtual annual meeting as they would at an in-person annual meeting of stockholders. Our virtual annual meeting allows stockholders to submit questions and comments before and during the annual meeting. After the annual meeting, we will be answering stockholder questions that comply with the rules of conduct for the annual meeting; which will be posted on the virtual annual meeting web portal. To the extent time does not allow us to answer all of the appropriately submitted questions, we will answer them in writing on the company's website at </w:t>
      </w:r>
      <w:r>
        <w:rPr>
          <w:rFonts w:ascii="Arial" w:cs="Arial" w:eastAsia="Arial" w:hAnsi="Arial"/>
          <w:sz w:val="13"/>
          <w:szCs w:val="13"/>
          <w:u w:val="single" w:color="auto"/>
          <w:color w:val="auto"/>
        </w:rPr>
        <w:t>www.emergentbiosolutions.com</w:t>
      </w:r>
      <w:r>
        <w:rPr>
          <w:rFonts w:ascii="Arial" w:cs="Arial" w:eastAsia="Arial" w:hAnsi="Arial"/>
          <w:sz w:val="13"/>
          <w:szCs w:val="13"/>
          <w:color w:val="auto"/>
        </w:rPr>
        <w:t xml:space="preserve"> under the section "Investors," soon after the meeting. If we receive substantially similar questions, we will group such questions together and provide a single response to avoid repetition.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can I change my vote or revoke my proxy?</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i w:val="1"/>
          <w:iCs w:val="1"/>
          <w:color w:val="auto"/>
        </w:rPr>
        <w:t>If you hold shares in your own name as a stockholder of record</w:t>
      </w:r>
      <w:r>
        <w:rPr>
          <w:rFonts w:ascii="Arial" w:cs="Arial" w:eastAsia="Arial" w:hAnsi="Arial"/>
          <w:sz w:val="15"/>
          <w:szCs w:val="15"/>
          <w:color w:val="auto"/>
        </w:rPr>
        <w:t>, you may change your vote or revoke your proxy at any time before voting begins by:</w:t>
      </w:r>
    </w:p>
    <w:p>
      <w:pPr>
        <w:spacing w:after="0" w:line="199" w:lineRule="exact"/>
        <w:rPr>
          <w:sz w:val="20"/>
          <w:szCs w:val="20"/>
          <w:color w:val="auto"/>
        </w:rPr>
      </w:pPr>
    </w:p>
    <w:p>
      <w:pPr>
        <w:ind w:left="900" w:right="20" w:hanging="459"/>
        <w:spacing w:after="0" w:line="270"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Giving notice of revocation to our Corporate Secretary, at Emergent BioSolutions Inc., 400 Professional Drive, Suite 400, Gaithersburg, Maryland 20879 (by mail or overnight delivery);</w:t>
      </w:r>
    </w:p>
    <w:p>
      <w:pPr>
        <w:spacing w:after="0" w:line="175" w:lineRule="exact"/>
        <w:rPr>
          <w:rFonts w:ascii="Arial" w:cs="Arial" w:eastAsia="Arial" w:hAnsi="Arial"/>
          <w:sz w:val="15"/>
          <w:szCs w:val="15"/>
          <w:color w:val="auto"/>
        </w:rPr>
      </w:pPr>
    </w:p>
    <w:p>
      <w:pPr>
        <w:ind w:left="900" w:hanging="459"/>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Executing and delivering to our Corporate Secretary, at the address noted above, a proxy card relating to the same shares bearing a later date;</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Voting by the internet or telephone prior to the time the voting facilities close (your latest internet or telephone vote will be counted); or</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Logging onto and voting at the virtual annual meeting,</w:t>
      </w:r>
    </w:p>
    <w:p>
      <w:pPr>
        <w:spacing w:after="0" w:line="188" w:lineRule="exact"/>
        <w:rPr>
          <w:sz w:val="20"/>
          <w:szCs w:val="20"/>
          <w:color w:val="auto"/>
        </w:rPr>
      </w:pPr>
    </w:p>
    <w:p>
      <w:pPr>
        <w:jc w:val="both"/>
        <w:ind w:right="20" w:firstLine="310"/>
        <w:spacing w:after="0" w:line="270" w:lineRule="auto"/>
        <w:rPr>
          <w:sz w:val="20"/>
          <w:szCs w:val="20"/>
          <w:color w:val="auto"/>
        </w:rPr>
      </w:pPr>
      <w:r>
        <w:rPr>
          <w:rFonts w:ascii="Arial" w:cs="Arial" w:eastAsia="Arial" w:hAnsi="Arial"/>
          <w:sz w:val="15"/>
          <w:szCs w:val="15"/>
          <w:color w:val="auto"/>
        </w:rPr>
        <w:t>If you decide to revoke or change your vote other than by voting at the annual meeting, we must receive the notice of revocation or new vote by 11:59 p.m., Eastern Time, on Wednesday May 20, 2020, the date prior to the date of the annual meeting.</w:t>
      </w:r>
    </w:p>
    <w:p>
      <w:pPr>
        <w:spacing w:after="0" w:line="153" w:lineRule="exact"/>
        <w:rPr>
          <w:sz w:val="20"/>
          <w:szCs w:val="20"/>
          <w:color w:val="auto"/>
        </w:rPr>
      </w:pPr>
    </w:p>
    <w:p>
      <w:pPr>
        <w:jc w:val="both"/>
        <w:ind w:firstLine="304"/>
        <w:spacing w:after="0" w:line="270" w:lineRule="auto"/>
        <w:rPr>
          <w:sz w:val="20"/>
          <w:szCs w:val="20"/>
          <w:color w:val="auto"/>
        </w:rPr>
      </w:pPr>
      <w:r>
        <w:rPr>
          <w:rFonts w:ascii="Arial" w:cs="Arial" w:eastAsia="Arial" w:hAnsi="Arial"/>
          <w:sz w:val="15"/>
          <w:szCs w:val="15"/>
          <w:i w:val="1"/>
          <w:iCs w:val="1"/>
          <w:color w:val="auto"/>
        </w:rPr>
        <w:t xml:space="preserve">If your shares are held in "street name," </w:t>
      </w:r>
      <w:r>
        <w:rPr>
          <w:rFonts w:ascii="Arial" w:cs="Arial" w:eastAsia="Arial" w:hAnsi="Arial"/>
          <w:sz w:val="15"/>
          <w:szCs w:val="15"/>
          <w:color w:val="auto"/>
        </w:rPr>
        <w:t>you must contact your broker, bank or other nominee to revoke or change your vote. The revocation or change must be made by the broker, bank</w:t>
      </w:r>
      <w:r>
        <w:rPr>
          <w:rFonts w:ascii="Arial" w:cs="Arial" w:eastAsia="Arial" w:hAnsi="Arial"/>
          <w:sz w:val="15"/>
          <w:szCs w:val="15"/>
          <w:i w:val="1"/>
          <w:iCs w:val="1"/>
          <w:color w:val="auto"/>
        </w:rPr>
        <w:t xml:space="preserve"> </w:t>
      </w:r>
      <w:r>
        <w:rPr>
          <w:rFonts w:ascii="Arial" w:cs="Arial" w:eastAsia="Arial" w:hAnsi="Arial"/>
          <w:sz w:val="15"/>
          <w:szCs w:val="15"/>
          <w:color w:val="auto"/>
        </w:rPr>
        <w:t>or other nominee before the annual meeting.</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"quorum" for the annual meeting and what happens if a quorum is not present?</w:t>
      </w:r>
    </w:p>
    <w:p>
      <w:pPr>
        <w:spacing w:after="0" w:line="192" w:lineRule="exact"/>
        <w:rPr>
          <w:sz w:val="20"/>
          <w:szCs w:val="20"/>
          <w:color w:val="auto"/>
        </w:rPr>
      </w:pPr>
    </w:p>
    <w:p>
      <w:pPr>
        <w:jc w:val="both"/>
        <w:ind w:firstLine="329"/>
        <w:spacing w:after="0" w:line="287" w:lineRule="auto"/>
        <w:rPr>
          <w:sz w:val="20"/>
          <w:szCs w:val="20"/>
          <w:color w:val="auto"/>
        </w:rPr>
      </w:pPr>
      <w:r>
        <w:rPr>
          <w:rFonts w:ascii="Arial" w:cs="Arial" w:eastAsia="Arial" w:hAnsi="Arial"/>
          <w:sz w:val="14"/>
          <w:szCs w:val="14"/>
          <w:color w:val="auto"/>
        </w:rPr>
        <w:t>In order to conduct business at the annual meeting, the holders of at least a majority of the total number of shares of the company's common stock issued and outstanding and entitled to vote as of the March 26, 2020 record date, or 26,133,217 shares, must be present in person or represented by proxy. This requirement is called a "quorum." If you vote by internet or by telephone, or submit a properly executed proxy card, your shares will be included for purposes of determining the existence of a quorum. Proxies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1" w:name="page12"/>
    <w:bookmarkEnd w:id="1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marked "abstain" and "broker non-votes" also will be counted in determining the presence of a quorum. If the shares present in person or represented by proxy at the annual meeting are not sufficient to constitute a quorum, the annual meeting may be adjourned to a different time and place to permit further solicitations of proxies sufficient to constitute a quorum.</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an "abstention" and how would it affect the vote?</w:t>
      </w:r>
    </w:p>
    <w:p>
      <w:pPr>
        <w:spacing w:after="0" w:line="192" w:lineRule="exact"/>
        <w:rPr>
          <w:sz w:val="20"/>
          <w:szCs w:val="20"/>
          <w:color w:val="auto"/>
        </w:rPr>
      </w:pPr>
    </w:p>
    <w:p>
      <w:pPr>
        <w:jc w:val="both"/>
        <w:ind w:firstLine="331"/>
        <w:spacing w:after="0" w:line="309" w:lineRule="auto"/>
        <w:rPr>
          <w:sz w:val="20"/>
          <w:szCs w:val="20"/>
          <w:color w:val="auto"/>
        </w:rPr>
      </w:pPr>
      <w:r>
        <w:rPr>
          <w:rFonts w:ascii="Arial" w:cs="Arial" w:eastAsia="Arial" w:hAnsi="Arial"/>
          <w:sz w:val="13"/>
          <w:szCs w:val="13"/>
          <w:color w:val="auto"/>
        </w:rPr>
        <w:t>An "abstention" occurs when a stockholder submits a proxy with explicit instructions to decline to vote regarding a particular matter. Abstentions are counted as present for purposes of determining a quorum. As a general matter, an abstention with respect to the election of directors is neither a vote cast "for" a nominee nor a vote cast "against" the nominee and, therefore, will have no effect on the outcome of the vote. Because an abstention is generally not considered to be a vote "cast" for a particular matter, it will have no effect on the ratification of the appointment of Ernst &amp; Young LLP as our Independent Registered Public Accounting Firm or the advisory vote on the compensation of our named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Does the company offer an opportunity to receive future proxy materials electronically?</w:t>
      </w:r>
    </w:p>
    <w:p>
      <w:pPr>
        <w:spacing w:after="0" w:line="192"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5"/>
          <w:szCs w:val="15"/>
          <w:color w:val="auto"/>
        </w:rPr>
        <w:t>Yes. If you vote on the internet, simply follow the prompts for enrolling in electronic proxy delivery service. This will reduce our printing and postage costs, as well as the number of paper documents you will receive.</w:t>
      </w:r>
    </w:p>
    <w:p>
      <w:pPr>
        <w:spacing w:after="0" w:line="153"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5"/>
          <w:szCs w:val="15"/>
          <w:color w:val="auto"/>
        </w:rPr>
        <w:t xml:space="preserve">If you are a stockholder of record, you may enroll in this service at the time you vote your proxy or at any time after the annual meeting and can read additional information about this option and request electronic delivery by going to </w:t>
      </w:r>
      <w:r>
        <w:rPr>
          <w:rFonts w:ascii="Arial" w:cs="Arial" w:eastAsia="Arial" w:hAnsi="Arial"/>
          <w:sz w:val="15"/>
          <w:szCs w:val="15"/>
          <w:u w:val="single" w:color="auto"/>
          <w:color w:val="auto"/>
        </w:rPr>
        <w:t>www.proxyvote.com</w:t>
      </w:r>
      <w:r>
        <w:rPr>
          <w:rFonts w:ascii="Arial" w:cs="Arial" w:eastAsia="Arial" w:hAnsi="Arial"/>
          <w:sz w:val="15"/>
          <w:szCs w:val="15"/>
          <w:color w:val="auto"/>
        </w:rPr>
        <w:t>. If you hold shares in street name, please contact your broker, bank or other nominee to enroll for electronic proxy delivery.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will conduct the proxy solicitation and who will bear the cost?</w:t>
      </w:r>
    </w:p>
    <w:p>
      <w:pPr>
        <w:spacing w:after="0" w:line="192" w:lineRule="exact"/>
        <w:rPr>
          <w:sz w:val="20"/>
          <w:szCs w:val="20"/>
          <w:color w:val="auto"/>
        </w:rPr>
      </w:pPr>
    </w:p>
    <w:p>
      <w:pPr>
        <w:jc w:val="both"/>
        <w:ind w:firstLine="383"/>
        <w:spacing w:after="0" w:line="319" w:lineRule="auto"/>
        <w:rPr>
          <w:sz w:val="20"/>
          <w:szCs w:val="20"/>
          <w:color w:val="auto"/>
        </w:rPr>
      </w:pPr>
      <w:r>
        <w:rPr>
          <w:rFonts w:ascii="Arial" w:cs="Arial" w:eastAsia="Arial" w:hAnsi="Arial"/>
          <w:sz w:val="13"/>
          <w:szCs w:val="13"/>
          <w:color w:val="auto"/>
        </w:rPr>
        <w:t>The costs of soliciting proxies will be borne by us. The solicitation is being made primarily through the mail and electronic mail, but our directors, officers and employees may also engage in the solicitation of proxies in person, by telephone, electronic transmission or by other means. No compensation will be paid by us in connection with the solicitation of proxies, except that we may reimburse brokers, banks, custodians, nominees and other record holders for their reasonable out-of-pocket expenses in forwarding proxy materials to beneficial owners.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Who will count the votes?</w:t>
      </w:r>
    </w:p>
    <w:p>
      <w:pPr>
        <w:spacing w:after="0" w:line="192"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5"/>
          <w:szCs w:val="15"/>
          <w:color w:val="auto"/>
        </w:rPr>
        <w:t>Broadridge Financial Solutions, Inc. will tabulate the votes cast by internet, telephone and mail. Brian Millard, our Senior Vice President, Corporate Controller, will tabulate any votes cast at the annual meeting and will act as inspector of election to certify the results.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Where can I find the voting results of the meeting?</w:t>
      </w:r>
    </w:p>
    <w:p>
      <w:pPr>
        <w:spacing w:after="0" w:line="192" w:lineRule="exact"/>
        <w:rPr>
          <w:sz w:val="20"/>
          <w:szCs w:val="20"/>
          <w:color w:val="auto"/>
        </w:rPr>
      </w:pPr>
    </w:p>
    <w:p>
      <w:pPr>
        <w:jc w:val="both"/>
        <w:ind w:firstLine="327"/>
        <w:spacing w:after="0" w:line="270" w:lineRule="auto"/>
        <w:rPr>
          <w:sz w:val="20"/>
          <w:szCs w:val="20"/>
          <w:color w:val="auto"/>
        </w:rPr>
      </w:pPr>
      <w:r>
        <w:rPr>
          <w:rFonts w:ascii="Arial" w:cs="Arial" w:eastAsia="Arial" w:hAnsi="Arial"/>
          <w:sz w:val="15"/>
          <w:szCs w:val="15"/>
          <w:color w:val="auto"/>
        </w:rPr>
        <w:t xml:space="preserve">We will publish the voting results in a Form 8-K filed with the SEC within four business days after the annual meeting. You can read or print a copy of that report by going to either the company's website at </w:t>
      </w:r>
      <w:r>
        <w:rPr>
          <w:rFonts w:ascii="Arial" w:cs="Arial" w:eastAsia="Arial" w:hAnsi="Arial"/>
          <w:sz w:val="15"/>
          <w:szCs w:val="15"/>
          <w:u w:val="single" w:color="auto"/>
          <w:color w:val="auto"/>
        </w:rPr>
        <w:t>www.emergentbiosolutions.com</w:t>
      </w:r>
      <w:r>
        <w:rPr>
          <w:rFonts w:ascii="Arial" w:cs="Arial" w:eastAsia="Arial" w:hAnsi="Arial"/>
          <w:sz w:val="15"/>
          <w:szCs w:val="15"/>
          <w:color w:val="auto"/>
        </w:rPr>
        <w:t xml:space="preserve"> under the section "Investors — SEC Filings" or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Will a list of stockholders entitled to vote at the annual meeting be available?</w:t>
      </w:r>
    </w:p>
    <w:p>
      <w:pPr>
        <w:spacing w:after="0" w:line="192" w:lineRule="exact"/>
        <w:rPr>
          <w:sz w:val="20"/>
          <w:szCs w:val="20"/>
          <w:color w:val="auto"/>
        </w:rPr>
      </w:pPr>
    </w:p>
    <w:p>
      <w:pPr>
        <w:jc w:val="both"/>
        <w:ind w:firstLine="370"/>
        <w:spacing w:after="0" w:line="260" w:lineRule="auto"/>
        <w:rPr>
          <w:sz w:val="20"/>
          <w:szCs w:val="20"/>
          <w:color w:val="auto"/>
        </w:rPr>
      </w:pPr>
      <w:r>
        <w:rPr>
          <w:rFonts w:ascii="Arial" w:cs="Arial" w:eastAsia="Arial" w:hAnsi="Arial"/>
          <w:sz w:val="15"/>
          <w:szCs w:val="15"/>
          <w:color w:val="auto"/>
        </w:rPr>
        <w:t xml:space="preserve">A list of stockholders of record as of March 26, 2020, the record date, will be available for inspection by stockholders for any purpose germane to the annual meeting during normal business hours from May 11, 2020 to May 20, 2020, at our corporate headquarters at 400 Professional Drive, Suite 400, Gaithersburg, Maryland 20879. This list will also be available during the virtual annual meeting for examination by any stockholder at </w:t>
      </w:r>
      <w:r>
        <w:rPr>
          <w:rFonts w:ascii="Arial" w:cs="Arial" w:eastAsia="Arial" w:hAnsi="Arial"/>
          <w:sz w:val="15"/>
          <w:szCs w:val="15"/>
          <w:u w:val="single" w:color="auto"/>
          <w:color w:val="auto"/>
        </w:rPr>
        <w:t>www.virtualshareholdermeeting.com/EBS2020</w:t>
      </w:r>
      <w:r>
        <w:rPr>
          <w:rFonts w:ascii="Arial" w:cs="Arial" w:eastAsia="Arial" w:hAnsi="Arial"/>
          <w:sz w:val="15"/>
          <w:szCs w:val="15"/>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2" w:name="page13"/>
    <w:bookmarkEnd w:id="1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CORPORATE SOCIAL RESPONSIBILITY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Community Involvement</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3"/>
          <w:szCs w:val="13"/>
          <w:color w:val="auto"/>
        </w:rPr>
        <w:t>Our mission, to protect and enhance life, applies not only to the products and services that we deliver, but also to how we serve the communities in which we live and work. Throughout several cities in North America, we have developed philanthropic programs to strengthen relationships with local nonprofits and encourage employees to give back to the community. In 2012, we established eGIVE — Give, Invest, Volunteer in the communities in which we operate. Through eGIVE, employee-led teams are activated to direct donations to nonprofits and to organize volunteer activities in regions such as Baltimore, Maryland; Montgomery County, Maryland; Washington, D.C.; Lansing, Michigan; Canton, Massachusetts; Hattiesburg, Mississippi; and Winnipeg, Manitoba, Canada. Our eGive program enables every employee to bring their skills, their passion and their energy to building healthier and safer communities. Each employee has the ability to recommend charities to partner with or support and is given eight (8) hours of paid time off to volunteer and participate in the program.</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Diversity and Inclusion</w:t>
      </w:r>
    </w:p>
    <w:p>
      <w:pPr>
        <w:spacing w:after="0" w:line="188" w:lineRule="exact"/>
        <w:rPr>
          <w:sz w:val="20"/>
          <w:szCs w:val="20"/>
          <w:color w:val="auto"/>
        </w:rPr>
      </w:pPr>
    </w:p>
    <w:p>
      <w:pPr>
        <w:jc w:val="both"/>
        <w:ind w:firstLine="293"/>
        <w:spacing w:after="0" w:line="275" w:lineRule="auto"/>
        <w:rPr>
          <w:sz w:val="20"/>
          <w:szCs w:val="20"/>
          <w:color w:val="auto"/>
        </w:rPr>
      </w:pPr>
      <w:r>
        <w:rPr>
          <w:rFonts w:ascii="Arial" w:cs="Arial" w:eastAsia="Arial" w:hAnsi="Arial"/>
          <w:sz w:val="14"/>
          <w:szCs w:val="14"/>
          <w:color w:val="auto"/>
        </w:rPr>
        <w:t>Diversity and inclusion are an integral part of our culture for our Board members as well as our employees. Our corporate governance guidelines state that it is a goal of the Board to strive for diversity in the composition of the membership of the Board. We are also committed to attracting, developing, and retaining the best diverse employee talent. Diversity fuels our business growth. It drives innovation in the products and services we develop, in the way we solve problems, and in the way we serve the needs of an increasingly global and diverse customer and partner base. We recognize the value that diversity contributes to our global organization and the competitive advantage we can maintain by having a broad range of talents, perspectives, and ideas with a commitment to continuously improving our business. We are also a proud supporter of our military veterans. We value the diversity that each employee brings, and while we look for people who share our Core Values, we thrive on difference. Employees come from different backgrounds and take on a wide variety of roles, but they are all working toward the same mission — to protect and enhance life.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Environmental Responsibility</w:t>
      </w:r>
    </w:p>
    <w:p>
      <w:pPr>
        <w:spacing w:after="0" w:line="188" w:lineRule="exact"/>
        <w:rPr>
          <w:sz w:val="20"/>
          <w:szCs w:val="20"/>
          <w:color w:val="auto"/>
        </w:rPr>
      </w:pPr>
    </w:p>
    <w:p>
      <w:pPr>
        <w:jc w:val="both"/>
        <w:ind w:firstLine="362"/>
        <w:spacing w:after="0" w:line="255" w:lineRule="auto"/>
        <w:rPr>
          <w:sz w:val="20"/>
          <w:szCs w:val="20"/>
          <w:color w:val="auto"/>
        </w:rPr>
      </w:pPr>
      <w:r>
        <w:rPr>
          <w:rFonts w:ascii="Arial" w:cs="Arial" w:eastAsia="Arial" w:hAnsi="Arial"/>
          <w:sz w:val="15"/>
          <w:szCs w:val="15"/>
          <w:color w:val="auto"/>
        </w:rPr>
        <w:t>We continually work to safeguard the environment and health of the communities in which we live and work. Employee-led teams drive local green initiatives. For example, we have multiple recycling programs to divert single-use garments worn by employees who work in manufacturing into useable products, such as furniture. We also have recycling programs where deposits collected from donated aluminum cans go to local charties such as the Ronald McDonald House. Our Adopt-a-Highway program encourages employees to volunteer to keep a section of a highway free from litter. Our volunteer teams work hard at each of our highway and other park clean-up events, enjoying a day of fresh air while making an appreciated and worthwhile contribution to our surroundings.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3" w:name="page14"/>
    <w:bookmarkEnd w:id="1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CORPORATE GOVERNANCE</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92" w:lineRule="exact"/>
        <w:rPr>
          <w:sz w:val="20"/>
          <w:szCs w:val="20"/>
          <w:color w:val="auto"/>
        </w:rPr>
      </w:pPr>
    </w:p>
    <w:p>
      <w:pPr>
        <w:jc w:val="both"/>
        <w:ind w:firstLine="317"/>
        <w:spacing w:after="0" w:line="278" w:lineRule="auto"/>
        <w:rPr>
          <w:sz w:val="20"/>
          <w:szCs w:val="20"/>
          <w:color w:val="auto"/>
        </w:rPr>
      </w:pPr>
      <w:r>
        <w:rPr>
          <w:rFonts w:ascii="Arial" w:cs="Arial" w:eastAsia="Arial" w:hAnsi="Arial"/>
          <w:sz w:val="14"/>
          <w:szCs w:val="14"/>
          <w:color w:val="auto"/>
        </w:rPr>
        <w:t>Our by-laws provide that the number of directors shall be fixed from time to time by the Board. The Board has established the number of directors at ten. The Board is divided into three classes, with one class being elected each year and members of each class serving for staggered three-year terms. Zsolt Harsanyi, Ph.D., General George A. Joulwan, Seamus Mulligan and Louis W. Sullivan, M.D. are Class II directors with terms expiring at this annual meeting. Dr. Sue Bailey, Jerome Hauer, Ph.D. and Robert G. Kramer, are Class III directors with terms expiring at the 2021 annual meeting. Fuad El-Hibri, Ronald B. Richard and Kathryn C. Zoon, Ph.D. are Class I directors with terms expiring at the 2022 annual meeting For more information regarding the members of our Board, please see "Directors and Nominees" beginning on page 19.</w:t>
      </w:r>
    </w:p>
    <w:p>
      <w:pPr>
        <w:spacing w:after="0" w:line="149" w:lineRule="exact"/>
        <w:rPr>
          <w:sz w:val="20"/>
          <w:szCs w:val="20"/>
          <w:color w:val="auto"/>
        </w:rPr>
      </w:pPr>
    </w:p>
    <w:p>
      <w:pPr>
        <w:jc w:val="both"/>
        <w:ind w:firstLine="301"/>
        <w:spacing w:after="0" w:line="257" w:lineRule="auto"/>
        <w:rPr>
          <w:sz w:val="20"/>
          <w:szCs w:val="20"/>
          <w:color w:val="auto"/>
        </w:rPr>
      </w:pPr>
      <w:r>
        <w:rPr>
          <w:rFonts w:ascii="Arial" w:cs="Arial" w:eastAsia="Arial" w:hAnsi="Arial"/>
          <w:sz w:val="15"/>
          <w:szCs w:val="15"/>
          <w:color w:val="auto"/>
        </w:rPr>
        <w:t>Our Board believes that good corporate governance is important to ensure that the company is managed for the long-term benefit of our stockholders. This section describes key corporate governance guidelines and practices that our Board has adopted. Complete copies of our corporate governance guidelines and code of conduct and business ethics are available on our website at www.emergentbiosolutions.com under "Investors — Governance." Alternatively, you can request a copy of any of these documents by writing to Emergent BioSolutions Inc., Attn: Investor Relations, 400 Professional Drive, Suite 400, Gaithersburg, Maryland 20879.</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w:t>
      </w:r>
    </w:p>
    <w:p>
      <w:pPr>
        <w:spacing w:after="0" w:line="192" w:lineRule="exact"/>
        <w:rPr>
          <w:sz w:val="20"/>
          <w:szCs w:val="20"/>
          <w:color w:val="auto"/>
        </w:rPr>
      </w:pPr>
    </w:p>
    <w:p>
      <w:pPr>
        <w:jc w:val="both"/>
        <w:ind w:firstLine="296"/>
        <w:spacing w:after="0" w:line="257" w:lineRule="auto"/>
        <w:rPr>
          <w:sz w:val="20"/>
          <w:szCs w:val="20"/>
          <w:color w:val="auto"/>
        </w:rPr>
      </w:pPr>
      <w:r>
        <w:rPr>
          <w:rFonts w:ascii="Arial" w:cs="Arial" w:eastAsia="Arial" w:hAnsi="Arial"/>
          <w:sz w:val="15"/>
          <w:szCs w:val="15"/>
          <w:color w:val="auto"/>
        </w:rPr>
        <w:t>We are strongly committed to the highest standards of ethical conduct and corporate governance. These standards are consistent with our corporate culture. We understand that adhering to sound principles of corporate governance is critical to earning and maintaining the trust of our customers, employees and shareholders Accordingly, our Board has adopted corporate governance guidelines to assist in the exercise of its duties and responsibilities and to serve the best interests of the company and our stockholders. These guidelines, which provide a framework for the conduct of the Board's business, include the following:</w:t>
      </w:r>
    </w:p>
    <w:p>
      <w:pPr>
        <w:spacing w:after="0" w:line="174" w:lineRule="exact"/>
        <w:rPr>
          <w:sz w:val="20"/>
          <w:szCs w:val="20"/>
          <w:color w:val="auto"/>
        </w:rPr>
      </w:pPr>
    </w:p>
    <w:p>
      <w:pPr>
        <w:ind w:left="900" w:hanging="459"/>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Board's principal responsibility is to oversee the management of the company;</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majority of the members of the Board shall be independent directors;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independent directors shall meet regularly in executive session;</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Directors shall have full and free access to management and, as necessary and appropriate, independent advisors;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New directors shall participate in an orientation program and all directors are expected to participate in continuing director education on an ongoing basis; and</w:t>
      </w:r>
    </w:p>
    <w:p>
      <w:pPr>
        <w:spacing w:after="0" w:line="210" w:lineRule="exact"/>
        <w:rPr>
          <w:rFonts w:ascii="Arial" w:cs="Arial" w:eastAsia="Arial" w:hAnsi="Arial"/>
          <w:sz w:val="14"/>
          <w:szCs w:val="14"/>
          <w:color w:val="auto"/>
        </w:rPr>
      </w:pPr>
    </w:p>
    <w:p>
      <w:pPr>
        <w:ind w:left="900" w:hanging="459"/>
        <w:spacing w:after="0"/>
        <w:tabs>
          <w:tab w:leader="none" w:pos="9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At least annually, the Board and its committees will conduct a self-evaluation to determine whether they are functioning effectively.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Independence</w:t>
      </w:r>
    </w:p>
    <w:p>
      <w:pPr>
        <w:spacing w:after="0" w:line="192" w:lineRule="exact"/>
        <w:rPr>
          <w:sz w:val="20"/>
          <w:szCs w:val="20"/>
          <w:color w:val="auto"/>
        </w:rPr>
      </w:pPr>
    </w:p>
    <w:p>
      <w:pPr>
        <w:jc w:val="both"/>
        <w:ind w:right="20" w:firstLine="314"/>
        <w:spacing w:after="0" w:line="287" w:lineRule="auto"/>
        <w:rPr>
          <w:sz w:val="20"/>
          <w:szCs w:val="20"/>
          <w:color w:val="auto"/>
        </w:rPr>
      </w:pPr>
      <w:r>
        <w:rPr>
          <w:rFonts w:ascii="Arial" w:cs="Arial" w:eastAsia="Arial" w:hAnsi="Arial"/>
          <w:sz w:val="14"/>
          <w:szCs w:val="14"/>
          <w:color w:val="auto"/>
        </w:rPr>
        <w:t>Under applicable NYSE rules, a director will qualify as "independent" only if our Board affirmatively determines that such director has no material relationship with us, either directly or as a partner, stockholder or officer of an organization that has a relationship with us. Our Board has established guidelines to assist it in determining whether a director has such a material relationship. Under these guidelines, a director is not considered to have a material relationship with us if our Board determines that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such director is independent under Section 303A.02(b) of the NYSE Listed Company Manual, even if such director:</w:t>
      </w:r>
    </w:p>
    <w:p>
      <w:pPr>
        <w:spacing w:after="0" w:line="199" w:lineRule="exact"/>
        <w:rPr>
          <w:sz w:val="20"/>
          <w:szCs w:val="20"/>
          <w:color w:val="auto"/>
        </w:rPr>
      </w:pPr>
    </w:p>
    <w:p>
      <w:pPr>
        <w:ind w:left="900" w:hanging="459"/>
        <w:spacing w:after="0" w:line="27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Is an executive officer of another company which is indebted to us, or to which we are indebted, unless the total amount of either company's indebtedness to the other is more than 1% of the total consolidated assets of the company with which such director serves as an executive officer; or</w:t>
      </w:r>
    </w:p>
    <w:p>
      <w:pPr>
        <w:spacing w:after="0" w:line="175" w:lineRule="exact"/>
        <w:rPr>
          <w:rFonts w:ascii="Arial" w:cs="Arial" w:eastAsia="Arial" w:hAnsi="Arial"/>
          <w:sz w:val="15"/>
          <w:szCs w:val="15"/>
          <w:color w:val="auto"/>
        </w:rPr>
      </w:pPr>
    </w:p>
    <w:p>
      <w:pPr>
        <w:jc w:val="both"/>
        <w:ind w:left="900" w:hanging="459"/>
        <w:spacing w:after="0" w:line="260"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Serves as an officer, director or trustee of a tax-exempt organization to which we make contributions, unless our discretionary charitable contributions to the organization are more than the greater of $1 million or 2% of that organization's consolidated gross revenues. Our matching of employee charitable contributions would not be included in the amount of our contributions for this purpose.</w:t>
      </w:r>
    </w:p>
    <w:p>
      <w:pPr>
        <w:spacing w:after="0" w:line="161" w:lineRule="exact"/>
        <w:rPr>
          <w:sz w:val="20"/>
          <w:szCs w:val="20"/>
          <w:color w:val="auto"/>
        </w:rPr>
      </w:pPr>
    </w:p>
    <w:p>
      <w:pPr>
        <w:jc w:val="both"/>
        <w:ind w:right="20" w:firstLine="343"/>
        <w:spacing w:after="0" w:line="306" w:lineRule="auto"/>
        <w:rPr>
          <w:sz w:val="20"/>
          <w:szCs w:val="20"/>
          <w:color w:val="auto"/>
        </w:rPr>
      </w:pPr>
      <w:r>
        <w:rPr>
          <w:rFonts w:ascii="Arial" w:cs="Arial" w:eastAsia="Arial" w:hAnsi="Arial"/>
          <w:sz w:val="14"/>
          <w:szCs w:val="14"/>
          <w:color w:val="auto"/>
        </w:rPr>
        <w:t>In addition, ownership of a significant amount of our stock, by itself (as under NYSE listing standards), does not constitute a material relationship. For relationships not covered by the guidelines set forth above, the determination of whether a material relationship exists is made by the other members of our Board who are independent.</w:t>
      </w:r>
    </w:p>
    <w:p>
      <w:pPr>
        <w:spacing w:after="0" w:line="130" w:lineRule="exact"/>
        <w:rPr>
          <w:sz w:val="20"/>
          <w:szCs w:val="20"/>
          <w:color w:val="auto"/>
        </w:rPr>
      </w:pPr>
    </w:p>
    <w:p>
      <w:pPr>
        <w:jc w:val="both"/>
        <w:ind w:right="20" w:firstLine="293"/>
        <w:spacing w:after="0" w:line="306" w:lineRule="auto"/>
        <w:rPr>
          <w:sz w:val="20"/>
          <w:szCs w:val="20"/>
          <w:color w:val="auto"/>
        </w:rPr>
      </w:pPr>
      <w:r>
        <w:rPr>
          <w:rFonts w:ascii="Arial" w:cs="Arial" w:eastAsia="Arial" w:hAnsi="Arial"/>
          <w:sz w:val="14"/>
          <w:szCs w:val="14"/>
          <w:color w:val="auto"/>
        </w:rPr>
        <w:t>Our Board has determined that Dr. Bailey, Dr. Harsanyi, Dr. Hauer, General Joulwan, Mr. Richard, Dr. Sullivan and Dr. Zoon meet the foregoing standards, that none of these directors has a material relationship with us and that each of these directors is "independent" as determined under Section 303A.02 of the NYSE Listed Company Manual.</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and Attendance</w:t>
      </w:r>
    </w:p>
    <w:p>
      <w:pPr>
        <w:spacing w:after="0" w:line="192" w:lineRule="exact"/>
        <w:rPr>
          <w:sz w:val="20"/>
          <w:szCs w:val="20"/>
          <w:color w:val="auto"/>
        </w:rPr>
      </w:pPr>
    </w:p>
    <w:p>
      <w:pPr>
        <w:jc w:val="both"/>
        <w:ind w:firstLine="317"/>
        <w:spacing w:after="0" w:line="270" w:lineRule="auto"/>
        <w:rPr>
          <w:sz w:val="20"/>
          <w:szCs w:val="20"/>
          <w:color w:val="auto"/>
        </w:rPr>
      </w:pPr>
      <w:r>
        <w:rPr>
          <w:rFonts w:ascii="Arial" w:cs="Arial" w:eastAsia="Arial" w:hAnsi="Arial"/>
          <w:sz w:val="15"/>
          <w:szCs w:val="15"/>
          <w:color w:val="auto"/>
        </w:rPr>
        <w:t>In 2019, our Board met 11 times and the standing committees of the Board met 26 times. During 2019, no director attended fewer than 75% of the total number of meetings of the Board of Directors and of the committees of which the director was a member during 2019.</w:t>
      </w:r>
    </w:p>
    <w:p>
      <w:pPr>
        <w:spacing w:after="0" w:line="153" w:lineRule="exact"/>
        <w:rPr>
          <w:sz w:val="20"/>
          <w:szCs w:val="20"/>
          <w:color w:val="auto"/>
        </w:rPr>
      </w:pPr>
    </w:p>
    <w:p>
      <w:pPr>
        <w:jc w:val="both"/>
        <w:ind w:firstLine="300"/>
        <w:spacing w:after="0" w:line="270" w:lineRule="auto"/>
        <w:rPr>
          <w:sz w:val="20"/>
          <w:szCs w:val="20"/>
          <w:color w:val="auto"/>
        </w:rPr>
      </w:pPr>
      <w:r>
        <w:rPr>
          <w:rFonts w:ascii="Arial" w:cs="Arial" w:eastAsia="Arial" w:hAnsi="Arial"/>
          <w:sz w:val="15"/>
          <w:szCs w:val="15"/>
          <w:color w:val="auto"/>
        </w:rPr>
        <w:t>Our corporate governance guidelines provide that directors are expected to attend the annual meeting of stockholders. All members of our Board at the time of the 2019 annual meeting of stockholders attended the meeting.</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Board's Role in Risk Oversight</w:t>
      </w:r>
    </w:p>
    <w:p>
      <w:pPr>
        <w:spacing w:after="0" w:line="192" w:lineRule="exact"/>
        <w:rPr>
          <w:sz w:val="20"/>
          <w:szCs w:val="20"/>
          <w:color w:val="auto"/>
        </w:rPr>
      </w:pPr>
    </w:p>
    <w:p>
      <w:pPr>
        <w:jc w:val="both"/>
        <w:ind w:firstLine="308"/>
        <w:spacing w:after="0" w:line="255" w:lineRule="auto"/>
        <w:rPr>
          <w:sz w:val="20"/>
          <w:szCs w:val="20"/>
          <w:color w:val="auto"/>
        </w:rPr>
      </w:pPr>
      <w:r>
        <w:rPr>
          <w:rFonts w:ascii="Arial" w:cs="Arial" w:eastAsia="Arial" w:hAnsi="Arial"/>
          <w:sz w:val="15"/>
          <w:szCs w:val="15"/>
          <w:color w:val="auto"/>
        </w:rPr>
        <w:t>Our Board is actively engaged in the oversight of risks we face and consideration of the appropriate responses to those risks. The audit committee of our Board periodically discusses risk management, including guidelines and policies to govern the process by which our exposure to risk is handled, with our senior management. The audit committee also reviews and comments on a periodic risk assessment performed by management. After the audit committee performs its review and comment function, it reports any significant findings to our Board. The Board is responsible for the oversight of our risk management programs and, in performing this function, receives periodic risk assessment and mitigation initiatives for information and approval as necessary.</w:t>
      </w:r>
    </w:p>
    <w:p>
      <w:pPr>
        <w:spacing w:after="0" w:line="165" w:lineRule="exact"/>
        <w:rPr>
          <w:sz w:val="20"/>
          <w:szCs w:val="20"/>
          <w:color w:val="auto"/>
        </w:rPr>
      </w:pPr>
    </w:p>
    <w:p>
      <w:pPr>
        <w:jc w:val="both"/>
        <w:ind w:right="20" w:firstLine="386"/>
        <w:spacing w:after="0" w:line="270" w:lineRule="auto"/>
        <w:rPr>
          <w:sz w:val="20"/>
          <w:szCs w:val="20"/>
          <w:color w:val="auto"/>
        </w:rPr>
      </w:pPr>
      <w:r>
        <w:rPr>
          <w:rFonts w:ascii="Arial" w:cs="Arial" w:eastAsia="Arial" w:hAnsi="Arial"/>
          <w:sz w:val="15"/>
          <w:szCs w:val="15"/>
          <w:color w:val="auto"/>
        </w:rPr>
        <w:t>The Board's other committees oversee risks associated with their respective areas of responsibility. For example, the compensation committee considers the risks associated with our compensation policies and practices for both executive compensation and compensation generally.</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Committees</w:t>
      </w:r>
    </w:p>
    <w:p>
      <w:pPr>
        <w:spacing w:after="0" w:line="192" w:lineRule="exact"/>
        <w:rPr>
          <w:sz w:val="20"/>
          <w:szCs w:val="20"/>
          <w:color w:val="auto"/>
        </w:rPr>
      </w:pPr>
    </w:p>
    <w:p>
      <w:pPr>
        <w:jc w:val="both"/>
        <w:ind w:firstLine="342"/>
        <w:spacing w:after="0" w:line="260" w:lineRule="auto"/>
        <w:rPr>
          <w:sz w:val="20"/>
          <w:szCs w:val="20"/>
          <w:color w:val="auto"/>
        </w:rPr>
      </w:pPr>
      <w:r>
        <w:rPr>
          <w:rFonts w:ascii="Arial" w:cs="Arial" w:eastAsia="Arial" w:hAnsi="Arial"/>
          <w:sz w:val="15"/>
          <w:szCs w:val="15"/>
          <w:color w:val="auto"/>
        </w:rPr>
        <w:t>Our Board has established five standing committees — audit, compensation, nominating and corporate governance, scientific review and strategic operations — each of which operates under a written charter that has been approved by our Board. Current copies of each committee's charter are available on our website at www.emergentbiosolutions.com under "Investors — Governance." Alternatively, you can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5" w:name="page16"/>
    <w:bookmarkEnd w:id="1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request a copy of any of these documents by writing to Emergent BioSolutions Inc., Attn: Investor Relations, 400 Professional Drive, Suite 400, Gaithersburg, Maryland 20879.</w:t>
      </w:r>
    </w:p>
    <w:p>
      <w:pPr>
        <w:spacing w:after="0" w:line="200" w:lineRule="exact"/>
        <w:rPr>
          <w:sz w:val="20"/>
          <w:szCs w:val="20"/>
          <w:color w:val="auto"/>
        </w:rPr>
      </w:pPr>
    </w:p>
    <w:p>
      <w:pPr>
        <w:ind w:firstLine="321"/>
        <w:spacing w:after="0" w:line="270" w:lineRule="auto"/>
        <w:rPr>
          <w:sz w:val="20"/>
          <w:szCs w:val="20"/>
          <w:color w:val="auto"/>
        </w:rPr>
      </w:pPr>
      <w:r>
        <w:rPr>
          <w:rFonts w:ascii="Arial" w:cs="Arial" w:eastAsia="Arial" w:hAnsi="Arial"/>
          <w:sz w:val="15"/>
          <w:szCs w:val="15"/>
          <w:color w:val="auto"/>
        </w:rPr>
        <w:t>Our Board has determined that all of the current members of each of the audit, compensation and nominating and corporate governance committees are independent as defined under the rules of the NYSE.</w:t>
      </w:r>
    </w:p>
    <w:p>
      <w:pPr>
        <w:spacing w:after="0" w:line="320" w:lineRule="exact"/>
        <w:rPr>
          <w:sz w:val="20"/>
          <w:szCs w:val="20"/>
          <w:color w:val="auto"/>
        </w:rPr>
      </w:pPr>
    </w:p>
    <w:tbl>
      <w:tblPr>
        <w:tblLayout w:type="fixed"/>
        <w:tblInd w:w="1690" w:type="dxa"/>
        <w:tblCellMar>
          <w:top w:w="0" w:type="dxa"/>
          <w:left w:w="0" w:type="dxa"/>
          <w:bottom w:w="0" w:type="dxa"/>
          <w:right w:w="0" w:type="dxa"/>
        </w:tblCellMar>
      </w:tblPr>
      <w:tr>
        <w:trPr>
          <w:trHeight w:val="135"/>
        </w:trPr>
        <w:tc>
          <w:tcPr>
            <w:tcW w:w="20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960" w:type="dxa"/>
            <w:vAlign w:val="bottom"/>
            <w:tcBorders>
              <w:top w:val="single" w:sz="8" w:color="auto"/>
              <w:bottom w:val="single" w:sz="8" w:color="auto"/>
              <w:right w:val="single" w:sz="8" w:color="DCDCDE"/>
            </w:tcBorders>
            <w:shd w:val="clear" w:color="auto" w:fill="DCDCDE"/>
          </w:tcPr>
          <w:p>
            <w:pPr>
              <w:spacing w:after="0"/>
              <w:rPr>
                <w:sz w:val="11"/>
                <w:szCs w:val="11"/>
                <w:color w:val="auto"/>
              </w:rPr>
            </w:pPr>
          </w:p>
        </w:tc>
        <w:tc>
          <w:tcPr>
            <w:tcW w:w="2780" w:type="dxa"/>
            <w:vAlign w:val="bottom"/>
            <w:tcBorders>
              <w:top w:val="single" w:sz="8" w:color="auto"/>
              <w:bottom w:val="single" w:sz="8" w:color="auto"/>
            </w:tcBorders>
            <w:gridSpan w:val="3"/>
            <w:shd w:val="clear" w:color="auto" w:fill="DCDCDE"/>
          </w:tcPr>
          <w:p>
            <w:pPr>
              <w:ind w:left="580"/>
              <w:spacing w:after="0"/>
              <w:rPr>
                <w:sz w:val="20"/>
                <w:szCs w:val="20"/>
                <w:color w:val="auto"/>
              </w:rPr>
            </w:pPr>
            <w:r>
              <w:rPr>
                <w:rFonts w:ascii="Arial" w:cs="Arial" w:eastAsia="Arial" w:hAnsi="Arial"/>
                <w:sz w:val="11"/>
                <w:szCs w:val="11"/>
                <w:b w:val="1"/>
                <w:bCs w:val="1"/>
                <w:color w:val="auto"/>
              </w:rPr>
              <w:t>COMMITTEE MEMBERSHIPS</w:t>
            </w:r>
          </w:p>
        </w:tc>
        <w:tc>
          <w:tcPr>
            <w:tcW w:w="120" w:type="dxa"/>
            <w:vAlign w:val="bottom"/>
            <w:tcBorders>
              <w:top w:val="single" w:sz="8" w:color="auto"/>
              <w:bottom w:val="single" w:sz="8" w:color="auto"/>
              <w:right w:val="single" w:sz="8" w:color="DCDCDE"/>
            </w:tcBorders>
            <w:shd w:val="clear" w:color="auto" w:fill="DCDCDE"/>
          </w:tcPr>
          <w:p>
            <w:pPr>
              <w:spacing w:after="0"/>
              <w:rPr>
                <w:sz w:val="11"/>
                <w:szCs w:val="11"/>
                <w:color w:val="auto"/>
              </w:rPr>
            </w:pPr>
          </w:p>
        </w:tc>
        <w:tc>
          <w:tcPr>
            <w:tcW w:w="900" w:type="dxa"/>
            <w:vAlign w:val="bottom"/>
            <w:tcBorders>
              <w:top w:val="single" w:sz="8" w:color="auto"/>
              <w:bottom w:val="single" w:sz="8" w:color="auto"/>
              <w:right w:val="single" w:sz="8" w:color="auto"/>
            </w:tcBorders>
            <w:shd w:val="clear" w:color="auto" w:fill="DCDCDE"/>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00" w:type="dxa"/>
            <w:vAlign w:val="bottom"/>
            <w:tcBorders>
              <w:left w:val="single" w:sz="8" w:color="auto"/>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58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040" w:type="dxa"/>
            <w:vAlign w:val="bottom"/>
            <w:tcBorders>
              <w:right w:val="single" w:sz="8" w:color="auto"/>
            </w:tcBorders>
          </w:tcPr>
          <w:p>
            <w:pPr>
              <w:jc w:val="center"/>
              <w:ind w:right="104"/>
              <w:spacing w:after="0" w:line="104" w:lineRule="exact"/>
              <w:rPr>
                <w:sz w:val="20"/>
                <w:szCs w:val="20"/>
                <w:color w:val="auto"/>
              </w:rPr>
            </w:pPr>
            <w:r>
              <w:rPr>
                <w:rFonts w:ascii="Arial" w:cs="Arial" w:eastAsia="Arial" w:hAnsi="Arial"/>
                <w:sz w:val="11"/>
                <w:szCs w:val="11"/>
                <w:b w:val="1"/>
                <w:bCs w:val="1"/>
                <w:color w:val="auto"/>
                <w:w w:val="92"/>
              </w:rPr>
              <w:t>Nominating</w:t>
            </w: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3"/>
              </w:rPr>
              <w:t>Scientific</w:t>
            </w:r>
          </w:p>
        </w:tc>
        <w:tc>
          <w:tcPr>
            <w:tcW w:w="1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vMerge w:val="restart"/>
          </w:tcPr>
          <w:p>
            <w:pPr>
              <w:jc w:val="center"/>
              <w:ind w:right="104"/>
              <w:spacing w:after="0"/>
              <w:rPr>
                <w:sz w:val="20"/>
                <w:szCs w:val="20"/>
                <w:color w:val="auto"/>
              </w:rPr>
            </w:pPr>
            <w:r>
              <w:rPr>
                <w:rFonts w:ascii="Arial" w:cs="Arial" w:eastAsia="Arial" w:hAnsi="Arial"/>
                <w:sz w:val="11"/>
                <w:szCs w:val="11"/>
                <w:b w:val="1"/>
                <w:bCs w:val="1"/>
                <w:color w:val="auto"/>
                <w:w w:val="89"/>
              </w:rPr>
              <w:t>Strategic</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00" w:type="dxa"/>
            <w:vAlign w:val="bottom"/>
            <w:tcBorders>
              <w:left w:val="single" w:sz="8" w:color="auto"/>
              <w:right w:val="single" w:sz="8" w:color="auto"/>
            </w:tcBorders>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580" w:type="dxa"/>
            <w:vAlign w:val="bottom"/>
            <w:tcBorders>
              <w:right w:val="single" w:sz="8" w:color="auto"/>
            </w:tcBorders>
            <w:vMerge w:val="restart"/>
          </w:tcPr>
          <w:p>
            <w:pPr>
              <w:jc w:val="center"/>
              <w:spacing w:after="0" w:line="124" w:lineRule="exact"/>
              <w:rPr>
                <w:sz w:val="20"/>
                <w:szCs w:val="20"/>
                <w:color w:val="auto"/>
              </w:rPr>
            </w:pPr>
            <w:r>
              <w:rPr>
                <w:rFonts w:ascii="Arial" w:cs="Arial" w:eastAsia="Arial" w:hAnsi="Arial"/>
                <w:sz w:val="11"/>
                <w:szCs w:val="11"/>
                <w:b w:val="1"/>
                <w:bCs w:val="1"/>
                <w:color w:val="auto"/>
                <w:w w:val="96"/>
              </w:rPr>
              <w:t>Term</w:t>
            </w:r>
          </w:p>
        </w:tc>
        <w:tc>
          <w:tcPr>
            <w:tcW w:w="960" w:type="dxa"/>
            <w:vAlign w:val="bottom"/>
            <w:tcBorders>
              <w:right w:val="single" w:sz="8" w:color="auto"/>
            </w:tcBorders>
            <w:vMerge w:val="restart"/>
          </w:tcPr>
          <w:p>
            <w:pPr>
              <w:jc w:val="center"/>
              <w:spacing w:after="0" w:line="124" w:lineRule="exact"/>
              <w:rPr>
                <w:sz w:val="20"/>
                <w:szCs w:val="20"/>
                <w:color w:val="auto"/>
              </w:rPr>
            </w:pPr>
            <w:r>
              <w:rPr>
                <w:rFonts w:ascii="Arial" w:cs="Arial" w:eastAsia="Arial" w:hAnsi="Arial"/>
                <w:sz w:val="11"/>
                <w:szCs w:val="11"/>
                <w:b w:val="1"/>
                <w:bCs w:val="1"/>
                <w:color w:val="auto"/>
                <w:w w:val="92"/>
              </w:rPr>
              <w:t>Audit</w:t>
            </w:r>
          </w:p>
        </w:tc>
        <w:tc>
          <w:tcPr>
            <w:tcW w:w="1020" w:type="dxa"/>
            <w:vAlign w:val="bottom"/>
            <w:tcBorders>
              <w:right w:val="single" w:sz="8" w:color="auto"/>
            </w:tcBorders>
            <w:vMerge w:val="restart"/>
          </w:tcPr>
          <w:p>
            <w:pPr>
              <w:jc w:val="center"/>
              <w:ind w:right="104"/>
              <w:spacing w:after="0" w:line="124" w:lineRule="exact"/>
              <w:rPr>
                <w:sz w:val="20"/>
                <w:szCs w:val="20"/>
                <w:color w:val="auto"/>
              </w:rPr>
            </w:pPr>
            <w:r>
              <w:rPr>
                <w:rFonts w:ascii="Arial" w:cs="Arial" w:eastAsia="Arial" w:hAnsi="Arial"/>
                <w:sz w:val="11"/>
                <w:szCs w:val="11"/>
                <w:b w:val="1"/>
                <w:bCs w:val="1"/>
                <w:color w:val="auto"/>
                <w:w w:val="91"/>
              </w:rPr>
              <w:t>Compensation</w:t>
            </w:r>
          </w:p>
        </w:tc>
        <w:tc>
          <w:tcPr>
            <w:tcW w:w="1040" w:type="dxa"/>
            <w:vAlign w:val="bottom"/>
            <w:tcBorders>
              <w:right w:val="single" w:sz="8" w:color="auto"/>
            </w:tcBorders>
            <w:vMerge w:val="restart"/>
          </w:tcPr>
          <w:p>
            <w:pPr>
              <w:jc w:val="center"/>
              <w:ind w:right="104"/>
              <w:spacing w:after="0" w:line="124" w:lineRule="exact"/>
              <w:rPr>
                <w:sz w:val="20"/>
                <w:szCs w:val="20"/>
                <w:color w:val="auto"/>
              </w:rPr>
            </w:pPr>
            <w:r>
              <w:rPr>
                <w:rFonts w:ascii="Arial" w:cs="Arial" w:eastAsia="Arial" w:hAnsi="Arial"/>
                <w:sz w:val="11"/>
                <w:szCs w:val="11"/>
                <w:b w:val="1"/>
                <w:bCs w:val="1"/>
                <w:color w:val="auto"/>
                <w:w w:val="95"/>
              </w:rPr>
              <w:t>and Corporate</w:t>
            </w:r>
          </w:p>
        </w:tc>
        <w:tc>
          <w:tcPr>
            <w:tcW w:w="720" w:type="dxa"/>
            <w:vAlign w:val="bottom"/>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0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vMerge w:val="restart"/>
          </w:tcPr>
          <w:p>
            <w:pPr>
              <w:jc w:val="center"/>
              <w:ind w:right="88"/>
              <w:spacing w:after="0" w:line="124" w:lineRule="exact"/>
              <w:rPr>
                <w:sz w:val="20"/>
                <w:szCs w:val="20"/>
                <w:color w:val="auto"/>
              </w:rPr>
            </w:pPr>
            <w:r>
              <w:rPr>
                <w:rFonts w:ascii="Arial" w:cs="Arial" w:eastAsia="Arial" w:hAnsi="Arial"/>
                <w:sz w:val="11"/>
                <w:szCs w:val="11"/>
                <w:b w:val="1"/>
                <w:bCs w:val="1"/>
                <w:color w:val="auto"/>
                <w:w w:val="88"/>
              </w:rPr>
              <w:t>Class</w:t>
            </w:r>
          </w:p>
        </w:tc>
        <w:tc>
          <w:tcPr>
            <w:tcW w:w="58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720" w:type="dxa"/>
            <w:vAlign w:val="bottom"/>
            <w:vMerge w:val="restart"/>
          </w:tcPr>
          <w:p>
            <w:pPr>
              <w:jc w:val="center"/>
              <w:spacing w:after="0" w:line="124" w:lineRule="exact"/>
              <w:rPr>
                <w:sz w:val="20"/>
                <w:szCs w:val="20"/>
                <w:color w:val="auto"/>
              </w:rPr>
            </w:pPr>
            <w:r>
              <w:rPr>
                <w:rFonts w:ascii="Arial" w:cs="Arial" w:eastAsia="Arial" w:hAnsi="Arial"/>
                <w:sz w:val="11"/>
                <w:szCs w:val="11"/>
                <w:b w:val="1"/>
                <w:bCs w:val="1"/>
                <w:color w:val="auto"/>
                <w:w w:val="89"/>
              </w:rPr>
              <w:t>Review</w:t>
            </w:r>
          </w:p>
        </w:tc>
        <w:tc>
          <w:tcPr>
            <w:tcW w:w="1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ind w:right="104"/>
              <w:spacing w:after="0" w:line="124" w:lineRule="exact"/>
              <w:rPr>
                <w:sz w:val="20"/>
                <w:szCs w:val="20"/>
                <w:color w:val="auto"/>
              </w:rPr>
            </w:pPr>
            <w:r>
              <w:rPr>
                <w:rFonts w:ascii="Arial" w:cs="Arial" w:eastAsia="Arial" w:hAnsi="Arial"/>
                <w:sz w:val="11"/>
                <w:szCs w:val="11"/>
                <w:b w:val="1"/>
                <w:bCs w:val="1"/>
                <w:color w:val="auto"/>
                <w:w w:val="92"/>
              </w:rPr>
              <w:t>Operations</w:t>
            </w: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2000" w:type="dxa"/>
            <w:vAlign w:val="bottom"/>
            <w:tcBorders>
              <w:left w:val="single" w:sz="8" w:color="auto"/>
              <w:right w:val="single" w:sz="8" w:color="auto"/>
            </w:tcBorders>
          </w:tcPr>
          <w:p>
            <w:pPr>
              <w:spacing w:after="0"/>
              <w:rPr>
                <w:sz w:val="4"/>
                <w:szCs w:val="4"/>
                <w:color w:val="auto"/>
              </w:rPr>
            </w:pPr>
          </w:p>
        </w:tc>
        <w:tc>
          <w:tcPr>
            <w:tcW w:w="580" w:type="dxa"/>
            <w:vAlign w:val="bottom"/>
            <w:tcBorders>
              <w:right w:val="single" w:sz="8" w:color="auto"/>
            </w:tcBorders>
            <w:vMerge w:val="continue"/>
          </w:tcPr>
          <w:p>
            <w:pPr>
              <w:spacing w:after="0"/>
              <w:rPr>
                <w:sz w:val="4"/>
                <w:szCs w:val="4"/>
                <w:color w:val="auto"/>
              </w:rPr>
            </w:pPr>
          </w:p>
        </w:tc>
        <w:tc>
          <w:tcPr>
            <w:tcW w:w="580" w:type="dxa"/>
            <w:vAlign w:val="bottom"/>
            <w:tcBorders>
              <w:right w:val="single" w:sz="8" w:color="auto"/>
            </w:tcBorders>
            <w:vMerge w:val="restart"/>
          </w:tcPr>
          <w:p>
            <w:pPr>
              <w:jc w:val="center"/>
              <w:spacing w:after="0" w:line="124" w:lineRule="exact"/>
              <w:rPr>
                <w:sz w:val="20"/>
                <w:szCs w:val="20"/>
                <w:color w:val="auto"/>
              </w:rPr>
            </w:pPr>
            <w:r>
              <w:rPr>
                <w:rFonts w:ascii="Arial" w:cs="Arial" w:eastAsia="Arial" w:hAnsi="Arial"/>
                <w:sz w:val="11"/>
                <w:szCs w:val="11"/>
                <w:b w:val="1"/>
                <w:bCs w:val="1"/>
                <w:color w:val="auto"/>
                <w:w w:val="90"/>
              </w:rPr>
              <w:t>Expires</w:t>
            </w:r>
          </w:p>
        </w:tc>
        <w:tc>
          <w:tcPr>
            <w:tcW w:w="960" w:type="dxa"/>
            <w:vAlign w:val="bottom"/>
            <w:tcBorders>
              <w:right w:val="single" w:sz="8" w:color="auto"/>
            </w:tcBorders>
            <w:vMerge w:val="restart"/>
          </w:tcPr>
          <w:p>
            <w:pPr>
              <w:jc w:val="center"/>
              <w:spacing w:after="0" w:line="124" w:lineRule="exact"/>
              <w:rPr>
                <w:sz w:val="20"/>
                <w:szCs w:val="20"/>
                <w:color w:val="auto"/>
              </w:rPr>
            </w:pPr>
            <w:r>
              <w:rPr>
                <w:rFonts w:ascii="Arial" w:cs="Arial" w:eastAsia="Arial" w:hAnsi="Arial"/>
                <w:sz w:val="11"/>
                <w:szCs w:val="11"/>
                <w:b w:val="1"/>
                <w:bCs w:val="1"/>
                <w:color w:val="auto"/>
                <w:w w:val="94"/>
              </w:rPr>
              <w:t>Committee</w:t>
            </w:r>
          </w:p>
        </w:tc>
        <w:tc>
          <w:tcPr>
            <w:tcW w:w="1020" w:type="dxa"/>
            <w:vAlign w:val="bottom"/>
            <w:tcBorders>
              <w:right w:val="single" w:sz="8" w:color="auto"/>
            </w:tcBorders>
            <w:vMerge w:val="restart"/>
          </w:tcPr>
          <w:p>
            <w:pPr>
              <w:jc w:val="center"/>
              <w:ind w:right="104"/>
              <w:spacing w:after="0" w:line="124" w:lineRule="exact"/>
              <w:rPr>
                <w:sz w:val="20"/>
                <w:szCs w:val="20"/>
                <w:color w:val="auto"/>
              </w:rPr>
            </w:pPr>
            <w:r>
              <w:rPr>
                <w:rFonts w:ascii="Arial" w:cs="Arial" w:eastAsia="Arial" w:hAnsi="Arial"/>
                <w:sz w:val="11"/>
                <w:szCs w:val="11"/>
                <w:b w:val="1"/>
                <w:bCs w:val="1"/>
                <w:color w:val="auto"/>
                <w:w w:val="94"/>
              </w:rPr>
              <w:t>Committee</w:t>
            </w:r>
          </w:p>
        </w:tc>
        <w:tc>
          <w:tcPr>
            <w:tcW w:w="1040" w:type="dxa"/>
            <w:vAlign w:val="bottom"/>
            <w:tcBorders>
              <w:right w:val="single" w:sz="8" w:color="auto"/>
            </w:tcBorders>
            <w:vMerge w:val="restart"/>
          </w:tcPr>
          <w:p>
            <w:pPr>
              <w:jc w:val="center"/>
              <w:ind w:right="84"/>
              <w:spacing w:after="0" w:line="124" w:lineRule="exact"/>
              <w:rPr>
                <w:sz w:val="20"/>
                <w:szCs w:val="20"/>
                <w:color w:val="auto"/>
              </w:rPr>
            </w:pPr>
            <w:r>
              <w:rPr>
                <w:rFonts w:ascii="Arial" w:cs="Arial" w:eastAsia="Arial" w:hAnsi="Arial"/>
                <w:sz w:val="11"/>
                <w:szCs w:val="11"/>
                <w:b w:val="1"/>
                <w:bCs w:val="1"/>
                <w:color w:val="auto"/>
                <w:w w:val="91"/>
              </w:rPr>
              <w:t>Governance</w:t>
            </w:r>
          </w:p>
        </w:tc>
        <w:tc>
          <w:tcPr>
            <w:tcW w:w="720" w:type="dxa"/>
            <w:vAlign w:val="bottom"/>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00" w:type="dxa"/>
            <w:vAlign w:val="bottom"/>
            <w:tcBorders>
              <w:left w:val="single" w:sz="8" w:color="auto"/>
              <w:right w:val="single" w:sz="8" w:color="auto"/>
            </w:tcBorders>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vMerge w:val="continue"/>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Committee</w:t>
            </w:r>
          </w:p>
        </w:tc>
        <w:tc>
          <w:tcPr>
            <w:tcW w:w="12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vMerge w:val="restart"/>
          </w:tcPr>
          <w:p>
            <w:pPr>
              <w:jc w:val="center"/>
              <w:ind w:right="104"/>
              <w:spacing w:after="0"/>
              <w:rPr>
                <w:sz w:val="20"/>
                <w:szCs w:val="20"/>
                <w:color w:val="auto"/>
              </w:rPr>
            </w:pPr>
            <w:r>
              <w:rPr>
                <w:rFonts w:ascii="Arial" w:cs="Arial" w:eastAsia="Arial" w:hAnsi="Arial"/>
                <w:sz w:val="11"/>
                <w:szCs w:val="11"/>
                <w:b w:val="1"/>
                <w:bCs w:val="1"/>
                <w:color w:val="auto"/>
                <w:w w:val="94"/>
              </w:rPr>
              <w:t>Committee</w:t>
            </w: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1"/>
                <w:szCs w:val="11"/>
                <w:b w:val="1"/>
                <w:bCs w:val="1"/>
                <w:color w:val="auto"/>
              </w:rPr>
              <w:t>Name</w:t>
            </w:r>
          </w:p>
        </w:tc>
        <w:tc>
          <w:tcPr>
            <w:tcW w:w="580" w:type="dxa"/>
            <w:vAlign w:val="bottom"/>
            <w:tcBorders>
              <w:right w:val="single" w:sz="8" w:color="auto"/>
            </w:tcBorders>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1040" w:type="dxa"/>
            <w:vAlign w:val="bottom"/>
            <w:tcBorders>
              <w:right w:val="single" w:sz="8" w:color="auto"/>
            </w:tcBorders>
            <w:vMerge w:val="restart"/>
          </w:tcPr>
          <w:p>
            <w:pPr>
              <w:jc w:val="center"/>
              <w:ind w:right="104"/>
              <w:spacing w:after="0"/>
              <w:rPr>
                <w:sz w:val="20"/>
                <w:szCs w:val="20"/>
                <w:color w:val="auto"/>
              </w:rPr>
            </w:pPr>
            <w:r>
              <w:rPr>
                <w:rFonts w:ascii="Arial" w:cs="Arial" w:eastAsia="Arial" w:hAnsi="Arial"/>
                <w:sz w:val="11"/>
                <w:szCs w:val="11"/>
                <w:b w:val="1"/>
                <w:bCs w:val="1"/>
                <w:color w:val="auto"/>
                <w:w w:val="91"/>
              </w:rPr>
              <w:t>Committee</w:t>
            </w:r>
          </w:p>
        </w:tc>
        <w:tc>
          <w:tcPr>
            <w:tcW w:w="72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0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040" w:type="dxa"/>
            <w:vAlign w:val="bottom"/>
            <w:tcBorders>
              <w:bottom w:val="single" w:sz="8" w:color="auto"/>
              <w:right w:val="single" w:sz="8" w:color="auto"/>
            </w:tcBorders>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00" w:type="dxa"/>
            <w:vAlign w:val="bottom"/>
            <w:tcBorders>
              <w:left w:val="single" w:sz="8" w:color="auto"/>
              <w:right w:val="single" w:sz="8" w:color="auto"/>
            </w:tcBorders>
          </w:tcPr>
          <w:p>
            <w:pPr>
              <w:ind w:left="160"/>
              <w:spacing w:after="0" w:line="164" w:lineRule="exact"/>
              <w:rPr>
                <w:sz w:val="20"/>
                <w:szCs w:val="20"/>
                <w:color w:val="auto"/>
              </w:rPr>
            </w:pPr>
            <w:r>
              <w:rPr>
                <w:rFonts w:ascii="Arial" w:cs="Arial" w:eastAsia="Arial" w:hAnsi="Arial"/>
                <w:sz w:val="15"/>
                <w:szCs w:val="15"/>
                <w:color w:val="auto"/>
              </w:rPr>
              <w:t>Fuad El-Hibri</w:t>
            </w:r>
          </w:p>
        </w:tc>
        <w:tc>
          <w:tcPr>
            <w:tcW w:w="58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5"/>
                <w:szCs w:val="15"/>
                <w:color w:val="auto"/>
                <w:w w:val="94"/>
              </w:rPr>
              <w:t>I</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5"/>
                <w:szCs w:val="15"/>
                <w:color w:val="auto"/>
                <w:w w:val="89"/>
              </w:rPr>
              <w:t>2022</w:t>
            </w:r>
          </w:p>
        </w:tc>
        <w:tc>
          <w:tcPr>
            <w:tcW w:w="9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5"/>
                <w:szCs w:val="15"/>
                <w:i w:val="1"/>
                <w:iCs w:val="1"/>
                <w:color w:val="auto"/>
              </w:rPr>
              <w:t>Executive Chairman</w:t>
            </w:r>
          </w:p>
        </w:tc>
        <w:tc>
          <w:tcPr>
            <w:tcW w:w="580" w:type="dxa"/>
            <w:vAlign w:val="bottom"/>
            <w:tcBorders>
              <w:right w:val="single" w:sz="8" w:color="auto"/>
            </w:tcBorders>
            <w:vMerge w:val="continue"/>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58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right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0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rPr>
              <w:t>Robert G. Kramer</w:t>
            </w:r>
          </w:p>
        </w:tc>
        <w:tc>
          <w:tcPr>
            <w:tcW w:w="580" w:type="dxa"/>
            <w:vAlign w:val="bottom"/>
            <w:tcBorders>
              <w:bottom w:val="single" w:sz="8" w:color="auto"/>
              <w:right w:val="single" w:sz="8" w:color="auto"/>
            </w:tcBorders>
            <w:shd w:val="clear" w:color="auto" w:fill="DCDCDE"/>
          </w:tcPr>
          <w:p>
            <w:pPr>
              <w:jc w:val="center"/>
              <w:ind w:right="88"/>
              <w:spacing w:after="0"/>
              <w:rPr>
                <w:sz w:val="20"/>
                <w:szCs w:val="20"/>
                <w:color w:val="auto"/>
              </w:rPr>
            </w:pPr>
            <w:r>
              <w:rPr>
                <w:rFonts w:ascii="Arial" w:cs="Arial" w:eastAsia="Arial" w:hAnsi="Arial"/>
                <w:sz w:val="15"/>
                <w:szCs w:val="15"/>
                <w:color w:val="auto"/>
              </w:rPr>
              <w:t>III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2021</w:t>
            </w:r>
          </w:p>
        </w:tc>
        <w:tc>
          <w:tcPr>
            <w:tcW w:w="960" w:type="dxa"/>
            <w:vAlign w:val="bottom"/>
            <w:tcBorders>
              <w:bottom w:val="single" w:sz="8" w:color="auto"/>
              <w:right w:val="single" w:sz="8" w:color="auto"/>
            </w:tcBorders>
            <w:shd w:val="clear" w:color="auto" w:fill="DCDCDE"/>
          </w:tcPr>
          <w:p>
            <w:pPr>
              <w:spacing w:after="0"/>
              <w:rPr>
                <w:sz w:val="16"/>
                <w:szCs w:val="16"/>
                <w:color w:val="auto"/>
              </w:rPr>
            </w:pPr>
          </w:p>
        </w:tc>
        <w:tc>
          <w:tcPr>
            <w:tcW w:w="1020" w:type="dxa"/>
            <w:vAlign w:val="bottom"/>
            <w:tcBorders>
              <w:bottom w:val="single" w:sz="8" w:color="auto"/>
              <w:right w:val="single" w:sz="8" w:color="auto"/>
            </w:tcBorders>
            <w:shd w:val="clear" w:color="auto" w:fill="DCDCDE"/>
          </w:tcPr>
          <w:p>
            <w:pPr>
              <w:spacing w:after="0"/>
              <w:rPr>
                <w:sz w:val="16"/>
                <w:szCs w:val="16"/>
                <w:color w:val="auto"/>
              </w:rPr>
            </w:pPr>
          </w:p>
        </w:tc>
        <w:tc>
          <w:tcPr>
            <w:tcW w:w="1040" w:type="dxa"/>
            <w:vAlign w:val="bottom"/>
            <w:tcBorders>
              <w:bottom w:val="single" w:sz="8" w:color="auto"/>
              <w:right w:val="single" w:sz="8" w:color="auto"/>
            </w:tcBorders>
            <w:shd w:val="clear" w:color="auto" w:fill="DCDCDE"/>
          </w:tcPr>
          <w:p>
            <w:pPr>
              <w:spacing w:after="0"/>
              <w:rPr>
                <w:sz w:val="16"/>
                <w:szCs w:val="16"/>
                <w:color w:val="auto"/>
              </w:rPr>
            </w:pPr>
          </w:p>
        </w:tc>
        <w:tc>
          <w:tcPr>
            <w:tcW w:w="720" w:type="dxa"/>
            <w:vAlign w:val="bottom"/>
            <w:tcBorders>
              <w:bottom w:val="single" w:sz="8" w:color="auto"/>
            </w:tcBorders>
            <w:shd w:val="clear" w:color="auto" w:fill="DCDCDE"/>
          </w:tcPr>
          <w:p>
            <w:pPr>
              <w:spacing w:after="0"/>
              <w:rPr>
                <w:sz w:val="16"/>
                <w:szCs w:val="16"/>
                <w:color w:val="auto"/>
              </w:rPr>
            </w:pPr>
          </w:p>
        </w:tc>
        <w:tc>
          <w:tcPr>
            <w:tcW w:w="120" w:type="dxa"/>
            <w:vAlign w:val="bottom"/>
            <w:tcBorders>
              <w:bottom w:val="single" w:sz="8" w:color="auto"/>
              <w:right w:val="single" w:sz="8" w:color="auto"/>
            </w:tcBorders>
            <w:shd w:val="clear" w:color="auto" w:fill="DCDCDE"/>
          </w:tcPr>
          <w:p>
            <w:pPr>
              <w:spacing w:after="0"/>
              <w:rPr>
                <w:sz w:val="16"/>
                <w:szCs w:val="16"/>
                <w:color w:val="auto"/>
              </w:rPr>
            </w:pPr>
          </w:p>
        </w:tc>
        <w:tc>
          <w:tcPr>
            <w:tcW w:w="900" w:type="dxa"/>
            <w:vAlign w:val="bottom"/>
            <w:tcBorders>
              <w:bottom w:val="single" w:sz="8" w:color="auto"/>
              <w:right w:val="single" w:sz="8" w:color="auto"/>
            </w:tcBorders>
            <w:shd w:val="clear" w:color="auto" w:fill="DCDCD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Dr. Sue Bailey</w:t>
            </w:r>
          </w:p>
        </w:tc>
        <w:tc>
          <w:tcPr>
            <w:tcW w:w="58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5"/>
                <w:szCs w:val="15"/>
                <w:color w:val="auto"/>
              </w:rPr>
              <w:t>III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2021</w:t>
            </w:r>
          </w:p>
        </w:tc>
        <w:tc>
          <w:tcPr>
            <w:tcW w:w="9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rPr>
              <w:t>Zsolt Harsanyi, Ph.D.</w:t>
            </w:r>
          </w:p>
        </w:tc>
        <w:tc>
          <w:tcPr>
            <w:tcW w:w="580" w:type="dxa"/>
            <w:vAlign w:val="bottom"/>
            <w:tcBorders>
              <w:bottom w:val="single" w:sz="8" w:color="auto"/>
              <w:right w:val="single" w:sz="8" w:color="auto"/>
            </w:tcBorders>
            <w:shd w:val="clear" w:color="auto" w:fill="DCDCDE"/>
          </w:tcPr>
          <w:p>
            <w:pPr>
              <w:jc w:val="center"/>
              <w:ind w:right="88"/>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2020</w:t>
            </w:r>
          </w:p>
        </w:tc>
        <w:tc>
          <w:tcPr>
            <w:tcW w:w="960" w:type="dxa"/>
            <w:vAlign w:val="bottom"/>
            <w:tcBorders>
              <w:bottom w:val="single" w:sz="8" w:color="auto"/>
              <w:right w:val="single" w:sz="8" w:color="auto"/>
            </w:tcBorders>
            <w:shd w:val="clear" w:color="auto" w:fill="DCDCDE"/>
          </w:tcPr>
          <w:p>
            <w:pPr>
              <w:spacing w:after="0"/>
              <w:rPr>
                <w:sz w:val="16"/>
                <w:szCs w:val="16"/>
                <w:color w:val="auto"/>
              </w:rPr>
            </w:pPr>
          </w:p>
        </w:tc>
        <w:tc>
          <w:tcPr>
            <w:tcW w:w="1020" w:type="dxa"/>
            <w:vAlign w:val="bottom"/>
            <w:tcBorders>
              <w:bottom w:val="single" w:sz="8" w:color="auto"/>
              <w:right w:val="single" w:sz="8" w:color="auto"/>
            </w:tcBorders>
            <w:shd w:val="clear" w:color="auto" w:fill="DCDCDE"/>
          </w:tcPr>
          <w:p>
            <w:pPr>
              <w:spacing w:after="0"/>
              <w:rPr>
                <w:sz w:val="16"/>
                <w:szCs w:val="16"/>
                <w:color w:val="auto"/>
              </w:rPr>
            </w:pPr>
          </w:p>
        </w:tc>
        <w:tc>
          <w:tcPr>
            <w:tcW w:w="1040" w:type="dxa"/>
            <w:vAlign w:val="bottom"/>
            <w:tcBorders>
              <w:bottom w:val="single" w:sz="8" w:color="auto"/>
              <w:right w:val="single" w:sz="8" w:color="auto"/>
            </w:tcBorders>
            <w:shd w:val="clear" w:color="auto" w:fill="DCDCDE"/>
          </w:tcPr>
          <w:p>
            <w:pPr>
              <w:spacing w:after="0"/>
              <w:rPr>
                <w:sz w:val="16"/>
                <w:szCs w:val="16"/>
                <w:color w:val="auto"/>
              </w:rPr>
            </w:pPr>
          </w:p>
        </w:tc>
        <w:tc>
          <w:tcPr>
            <w:tcW w:w="720" w:type="dxa"/>
            <w:vAlign w:val="bottom"/>
            <w:tcBorders>
              <w:bottom w:val="single" w:sz="8" w:color="auto"/>
            </w:tcBorders>
            <w:shd w:val="clear" w:color="auto" w:fill="DCDCDE"/>
          </w:tcPr>
          <w:p>
            <w:pPr>
              <w:spacing w:after="0"/>
              <w:rPr>
                <w:sz w:val="16"/>
                <w:szCs w:val="16"/>
                <w:color w:val="auto"/>
              </w:rPr>
            </w:pPr>
          </w:p>
        </w:tc>
        <w:tc>
          <w:tcPr>
            <w:tcW w:w="120" w:type="dxa"/>
            <w:vAlign w:val="bottom"/>
            <w:tcBorders>
              <w:bottom w:val="single" w:sz="8" w:color="auto"/>
              <w:right w:val="single" w:sz="8" w:color="auto"/>
            </w:tcBorders>
            <w:shd w:val="clear" w:color="auto" w:fill="DCDCDE"/>
          </w:tcPr>
          <w:p>
            <w:pPr>
              <w:spacing w:after="0"/>
              <w:rPr>
                <w:sz w:val="16"/>
                <w:szCs w:val="16"/>
                <w:color w:val="auto"/>
              </w:rPr>
            </w:pPr>
          </w:p>
        </w:tc>
        <w:tc>
          <w:tcPr>
            <w:tcW w:w="900" w:type="dxa"/>
            <w:vAlign w:val="bottom"/>
            <w:tcBorders>
              <w:bottom w:val="single" w:sz="8" w:color="auto"/>
              <w:right w:val="single" w:sz="8" w:color="auto"/>
            </w:tcBorders>
            <w:shd w:val="clear" w:color="auto" w:fill="DCDCD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Jerome M. Hauer, Ph.D.</w:t>
            </w:r>
          </w:p>
        </w:tc>
        <w:tc>
          <w:tcPr>
            <w:tcW w:w="58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5"/>
                <w:szCs w:val="15"/>
                <w:color w:val="auto"/>
              </w:rPr>
              <w:t>III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2021</w:t>
            </w:r>
          </w:p>
        </w:tc>
        <w:tc>
          <w:tcPr>
            <w:tcW w:w="9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w w:val="97"/>
              </w:rPr>
              <w:t>General George A. Joulwan</w:t>
            </w:r>
          </w:p>
        </w:tc>
        <w:tc>
          <w:tcPr>
            <w:tcW w:w="580" w:type="dxa"/>
            <w:vAlign w:val="bottom"/>
            <w:tcBorders>
              <w:bottom w:val="single" w:sz="8" w:color="auto"/>
              <w:right w:val="single" w:sz="8" w:color="auto"/>
            </w:tcBorders>
            <w:shd w:val="clear" w:color="auto" w:fill="DCDCDE"/>
          </w:tcPr>
          <w:p>
            <w:pPr>
              <w:jc w:val="center"/>
              <w:ind w:right="88"/>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2020</w:t>
            </w:r>
          </w:p>
        </w:tc>
        <w:tc>
          <w:tcPr>
            <w:tcW w:w="960" w:type="dxa"/>
            <w:vAlign w:val="bottom"/>
            <w:tcBorders>
              <w:bottom w:val="single" w:sz="8" w:color="auto"/>
              <w:right w:val="single" w:sz="8" w:color="auto"/>
            </w:tcBorders>
            <w:shd w:val="clear" w:color="auto" w:fill="DCDCDE"/>
          </w:tcPr>
          <w:p>
            <w:pPr>
              <w:spacing w:after="0"/>
              <w:rPr>
                <w:sz w:val="16"/>
                <w:szCs w:val="16"/>
                <w:color w:val="auto"/>
              </w:rPr>
            </w:pPr>
          </w:p>
        </w:tc>
        <w:tc>
          <w:tcPr>
            <w:tcW w:w="1020" w:type="dxa"/>
            <w:vAlign w:val="bottom"/>
            <w:tcBorders>
              <w:bottom w:val="single" w:sz="8" w:color="auto"/>
              <w:right w:val="single" w:sz="8" w:color="auto"/>
            </w:tcBorders>
            <w:shd w:val="clear" w:color="auto" w:fill="DCDCDE"/>
          </w:tcPr>
          <w:p>
            <w:pPr>
              <w:spacing w:after="0"/>
              <w:rPr>
                <w:sz w:val="16"/>
                <w:szCs w:val="16"/>
                <w:color w:val="auto"/>
              </w:rPr>
            </w:pPr>
          </w:p>
        </w:tc>
        <w:tc>
          <w:tcPr>
            <w:tcW w:w="1040" w:type="dxa"/>
            <w:vAlign w:val="bottom"/>
            <w:tcBorders>
              <w:bottom w:val="single" w:sz="8" w:color="auto"/>
              <w:right w:val="single" w:sz="8" w:color="auto"/>
            </w:tcBorders>
            <w:shd w:val="clear" w:color="auto" w:fill="DCDCDE"/>
          </w:tcPr>
          <w:p>
            <w:pPr>
              <w:spacing w:after="0"/>
              <w:rPr>
                <w:sz w:val="16"/>
                <w:szCs w:val="16"/>
                <w:color w:val="auto"/>
              </w:rPr>
            </w:pPr>
          </w:p>
        </w:tc>
        <w:tc>
          <w:tcPr>
            <w:tcW w:w="720" w:type="dxa"/>
            <w:vAlign w:val="bottom"/>
            <w:tcBorders>
              <w:bottom w:val="single" w:sz="8" w:color="auto"/>
            </w:tcBorders>
            <w:shd w:val="clear" w:color="auto" w:fill="DCDCDE"/>
          </w:tcPr>
          <w:p>
            <w:pPr>
              <w:spacing w:after="0"/>
              <w:rPr>
                <w:sz w:val="16"/>
                <w:szCs w:val="16"/>
                <w:color w:val="auto"/>
              </w:rPr>
            </w:pPr>
          </w:p>
        </w:tc>
        <w:tc>
          <w:tcPr>
            <w:tcW w:w="120" w:type="dxa"/>
            <w:vAlign w:val="bottom"/>
            <w:tcBorders>
              <w:bottom w:val="single" w:sz="8" w:color="auto"/>
              <w:right w:val="single" w:sz="8" w:color="auto"/>
            </w:tcBorders>
            <w:shd w:val="clear" w:color="auto" w:fill="DCDCDE"/>
          </w:tcPr>
          <w:p>
            <w:pPr>
              <w:spacing w:after="0"/>
              <w:rPr>
                <w:sz w:val="16"/>
                <w:szCs w:val="16"/>
                <w:color w:val="auto"/>
              </w:rPr>
            </w:pPr>
          </w:p>
        </w:tc>
        <w:tc>
          <w:tcPr>
            <w:tcW w:w="900" w:type="dxa"/>
            <w:vAlign w:val="bottom"/>
            <w:tcBorders>
              <w:bottom w:val="single" w:sz="8" w:color="auto"/>
              <w:right w:val="single" w:sz="8" w:color="auto"/>
            </w:tcBorders>
            <w:shd w:val="clear" w:color="auto" w:fill="DCDCD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Seamus Mulligan</w:t>
            </w:r>
          </w:p>
        </w:tc>
        <w:tc>
          <w:tcPr>
            <w:tcW w:w="58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2020</w:t>
            </w:r>
          </w:p>
        </w:tc>
        <w:tc>
          <w:tcPr>
            <w:tcW w:w="9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00" w:type="dxa"/>
            <w:vAlign w:val="bottom"/>
            <w:tcBorders>
              <w:left w:val="single" w:sz="8" w:color="auto"/>
              <w:right w:val="single" w:sz="8" w:color="auto"/>
            </w:tcBorders>
            <w:shd w:val="clear" w:color="auto" w:fill="DCDCDE"/>
          </w:tcPr>
          <w:p>
            <w:pPr>
              <w:ind w:left="160"/>
              <w:spacing w:after="0" w:line="164" w:lineRule="exact"/>
              <w:rPr>
                <w:sz w:val="20"/>
                <w:szCs w:val="20"/>
                <w:color w:val="auto"/>
              </w:rPr>
            </w:pPr>
            <w:r>
              <w:rPr>
                <w:rFonts w:ascii="Arial" w:cs="Arial" w:eastAsia="Arial" w:hAnsi="Arial"/>
                <w:sz w:val="15"/>
                <w:szCs w:val="15"/>
                <w:color w:val="auto"/>
              </w:rPr>
              <w:t>Ronald B. Richard</w:t>
            </w:r>
          </w:p>
        </w:tc>
        <w:tc>
          <w:tcPr>
            <w:tcW w:w="580" w:type="dxa"/>
            <w:vAlign w:val="bottom"/>
            <w:tcBorders>
              <w:right w:val="single" w:sz="8" w:color="auto"/>
            </w:tcBorders>
            <w:vMerge w:val="restart"/>
            <w:shd w:val="clear" w:color="auto" w:fill="DCDCDE"/>
          </w:tcPr>
          <w:p>
            <w:pPr>
              <w:jc w:val="center"/>
              <w:ind w:right="68"/>
              <w:spacing w:after="0"/>
              <w:rPr>
                <w:sz w:val="20"/>
                <w:szCs w:val="20"/>
                <w:color w:val="auto"/>
              </w:rPr>
            </w:pPr>
            <w:r>
              <w:rPr>
                <w:rFonts w:ascii="Arial" w:cs="Arial" w:eastAsia="Arial" w:hAnsi="Arial"/>
                <w:sz w:val="15"/>
                <w:szCs w:val="15"/>
                <w:color w:val="auto"/>
                <w:w w:val="94"/>
              </w:rPr>
              <w:t>I</w:t>
            </w:r>
          </w:p>
        </w:tc>
        <w:tc>
          <w:tcPr>
            <w:tcW w:w="580" w:type="dxa"/>
            <w:vAlign w:val="bottom"/>
            <w:tcBorders>
              <w:right w:val="single" w:sz="8" w:color="auto"/>
            </w:tcBorders>
            <w:vMerge w:val="restart"/>
            <w:shd w:val="clear" w:color="auto" w:fill="DCDCDE"/>
          </w:tcPr>
          <w:p>
            <w:pPr>
              <w:jc w:val="center"/>
              <w:spacing w:after="0"/>
              <w:rPr>
                <w:sz w:val="20"/>
                <w:szCs w:val="20"/>
                <w:color w:val="auto"/>
              </w:rPr>
            </w:pPr>
            <w:r>
              <w:rPr>
                <w:rFonts w:ascii="Arial" w:cs="Arial" w:eastAsia="Arial" w:hAnsi="Arial"/>
                <w:sz w:val="15"/>
                <w:szCs w:val="15"/>
                <w:color w:val="auto"/>
                <w:w w:val="89"/>
              </w:rPr>
              <w:t>2022</w:t>
            </w:r>
          </w:p>
        </w:tc>
        <w:tc>
          <w:tcPr>
            <w:tcW w:w="960" w:type="dxa"/>
            <w:vAlign w:val="bottom"/>
            <w:tcBorders>
              <w:right w:val="single" w:sz="8" w:color="auto"/>
            </w:tcBorders>
            <w:shd w:val="clear" w:color="auto" w:fill="DCDCDE"/>
          </w:tcPr>
          <w:p>
            <w:pPr>
              <w:spacing w:after="0"/>
              <w:rPr>
                <w:sz w:val="14"/>
                <w:szCs w:val="14"/>
                <w:color w:val="auto"/>
              </w:rPr>
            </w:pPr>
          </w:p>
        </w:tc>
        <w:tc>
          <w:tcPr>
            <w:tcW w:w="1020" w:type="dxa"/>
            <w:vAlign w:val="bottom"/>
            <w:tcBorders>
              <w:right w:val="single" w:sz="8" w:color="auto"/>
            </w:tcBorders>
            <w:shd w:val="clear" w:color="auto" w:fill="DCDCDE"/>
          </w:tcPr>
          <w:p>
            <w:pPr>
              <w:spacing w:after="0"/>
              <w:rPr>
                <w:sz w:val="14"/>
                <w:szCs w:val="14"/>
                <w:color w:val="auto"/>
              </w:rPr>
            </w:pPr>
          </w:p>
        </w:tc>
        <w:tc>
          <w:tcPr>
            <w:tcW w:w="1040" w:type="dxa"/>
            <w:vAlign w:val="bottom"/>
            <w:tcBorders>
              <w:right w:val="single" w:sz="8" w:color="auto"/>
            </w:tcBorders>
            <w:shd w:val="clear" w:color="auto" w:fill="DCDCDE"/>
          </w:tcPr>
          <w:p>
            <w:pPr>
              <w:spacing w:after="0"/>
              <w:rPr>
                <w:sz w:val="14"/>
                <w:szCs w:val="14"/>
                <w:color w:val="auto"/>
              </w:rPr>
            </w:pPr>
          </w:p>
        </w:tc>
        <w:tc>
          <w:tcPr>
            <w:tcW w:w="720" w:type="dxa"/>
            <w:vAlign w:val="bottom"/>
            <w:shd w:val="clear" w:color="auto" w:fill="DCDCDE"/>
          </w:tcPr>
          <w:p>
            <w:pPr>
              <w:spacing w:after="0"/>
              <w:rPr>
                <w:sz w:val="14"/>
                <w:szCs w:val="14"/>
                <w:color w:val="auto"/>
              </w:rPr>
            </w:pPr>
          </w:p>
        </w:tc>
        <w:tc>
          <w:tcPr>
            <w:tcW w:w="120" w:type="dxa"/>
            <w:vAlign w:val="bottom"/>
            <w:tcBorders>
              <w:right w:val="single" w:sz="8" w:color="auto"/>
            </w:tcBorders>
            <w:shd w:val="clear" w:color="auto" w:fill="DCDCDE"/>
          </w:tcPr>
          <w:p>
            <w:pPr>
              <w:spacing w:after="0"/>
              <w:rPr>
                <w:sz w:val="14"/>
                <w:szCs w:val="14"/>
                <w:color w:val="auto"/>
              </w:rPr>
            </w:pPr>
          </w:p>
        </w:tc>
        <w:tc>
          <w:tcPr>
            <w:tcW w:w="900" w:type="dxa"/>
            <w:vAlign w:val="bottom"/>
            <w:tcBorders>
              <w:right w:val="single" w:sz="8" w:color="auto"/>
            </w:tcBorders>
            <w:shd w:val="clear" w:color="auto" w:fill="DCDCD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00" w:type="dxa"/>
            <w:vAlign w:val="bottom"/>
            <w:tcBorders>
              <w:left w:val="single" w:sz="8" w:color="auto"/>
              <w:right w:val="single" w:sz="8" w:color="auto"/>
            </w:tcBorders>
            <w:vMerge w:val="restart"/>
            <w:shd w:val="clear" w:color="auto" w:fill="DCDCDE"/>
          </w:tcPr>
          <w:p>
            <w:pPr>
              <w:ind w:left="160"/>
              <w:spacing w:after="0"/>
              <w:rPr>
                <w:sz w:val="20"/>
                <w:szCs w:val="20"/>
                <w:color w:val="auto"/>
              </w:rPr>
            </w:pPr>
            <w:r>
              <w:rPr>
                <w:rFonts w:ascii="Arial" w:cs="Arial" w:eastAsia="Arial" w:hAnsi="Arial"/>
                <w:sz w:val="15"/>
                <w:szCs w:val="15"/>
                <w:i w:val="1"/>
                <w:iCs w:val="1"/>
                <w:color w:val="auto"/>
              </w:rPr>
              <w:t>Lead Independent Director</w:t>
            </w:r>
          </w:p>
        </w:tc>
        <w:tc>
          <w:tcPr>
            <w:tcW w:w="580" w:type="dxa"/>
            <w:vAlign w:val="bottom"/>
            <w:tcBorders>
              <w:right w:val="single" w:sz="8" w:color="auto"/>
            </w:tcBorders>
            <w:vMerge w:val="continue"/>
            <w:shd w:val="clear" w:color="auto" w:fill="DCDCDE"/>
          </w:tcPr>
          <w:p>
            <w:pPr>
              <w:spacing w:after="0"/>
              <w:rPr>
                <w:sz w:val="8"/>
                <w:szCs w:val="8"/>
                <w:color w:val="auto"/>
              </w:rPr>
            </w:pPr>
          </w:p>
        </w:tc>
        <w:tc>
          <w:tcPr>
            <w:tcW w:w="580" w:type="dxa"/>
            <w:vAlign w:val="bottom"/>
            <w:tcBorders>
              <w:right w:val="single" w:sz="8" w:color="auto"/>
            </w:tcBorders>
            <w:vMerge w:val="continue"/>
            <w:shd w:val="clear" w:color="auto" w:fill="DCDCDE"/>
          </w:tcPr>
          <w:p>
            <w:pPr>
              <w:spacing w:after="0"/>
              <w:rPr>
                <w:sz w:val="8"/>
                <w:szCs w:val="8"/>
                <w:color w:val="auto"/>
              </w:rPr>
            </w:pPr>
          </w:p>
        </w:tc>
        <w:tc>
          <w:tcPr>
            <w:tcW w:w="960" w:type="dxa"/>
            <w:vAlign w:val="bottom"/>
            <w:tcBorders>
              <w:right w:val="single" w:sz="8" w:color="auto"/>
            </w:tcBorders>
            <w:shd w:val="clear" w:color="auto" w:fill="DCDCDE"/>
          </w:tcPr>
          <w:p>
            <w:pPr>
              <w:spacing w:after="0"/>
              <w:rPr>
                <w:sz w:val="8"/>
                <w:szCs w:val="8"/>
                <w:color w:val="auto"/>
              </w:rPr>
            </w:pPr>
          </w:p>
        </w:tc>
        <w:tc>
          <w:tcPr>
            <w:tcW w:w="1020" w:type="dxa"/>
            <w:vAlign w:val="bottom"/>
            <w:tcBorders>
              <w:right w:val="single" w:sz="8" w:color="auto"/>
            </w:tcBorders>
            <w:shd w:val="clear" w:color="auto" w:fill="DCDCDE"/>
          </w:tcPr>
          <w:p>
            <w:pPr>
              <w:spacing w:after="0"/>
              <w:rPr>
                <w:sz w:val="8"/>
                <w:szCs w:val="8"/>
                <w:color w:val="auto"/>
              </w:rPr>
            </w:pPr>
          </w:p>
        </w:tc>
        <w:tc>
          <w:tcPr>
            <w:tcW w:w="1040" w:type="dxa"/>
            <w:vAlign w:val="bottom"/>
            <w:tcBorders>
              <w:right w:val="single" w:sz="8" w:color="auto"/>
            </w:tcBorders>
            <w:shd w:val="clear" w:color="auto" w:fill="DCDCDE"/>
          </w:tcPr>
          <w:p>
            <w:pPr>
              <w:spacing w:after="0"/>
              <w:rPr>
                <w:sz w:val="8"/>
                <w:szCs w:val="8"/>
                <w:color w:val="auto"/>
              </w:rPr>
            </w:pPr>
          </w:p>
        </w:tc>
        <w:tc>
          <w:tcPr>
            <w:tcW w:w="720" w:type="dxa"/>
            <w:vAlign w:val="bottom"/>
            <w:shd w:val="clear" w:color="auto" w:fill="DCDCDE"/>
          </w:tcPr>
          <w:p>
            <w:pPr>
              <w:spacing w:after="0"/>
              <w:rPr>
                <w:sz w:val="8"/>
                <w:szCs w:val="8"/>
                <w:color w:val="auto"/>
              </w:rPr>
            </w:pPr>
          </w:p>
        </w:tc>
        <w:tc>
          <w:tcPr>
            <w:tcW w:w="120" w:type="dxa"/>
            <w:vAlign w:val="bottom"/>
            <w:tcBorders>
              <w:right w:val="single" w:sz="8" w:color="auto"/>
            </w:tcBorders>
            <w:shd w:val="clear" w:color="auto" w:fill="DCDCDE"/>
          </w:tcPr>
          <w:p>
            <w:pPr>
              <w:spacing w:after="0"/>
              <w:rPr>
                <w:sz w:val="8"/>
                <w:szCs w:val="8"/>
                <w:color w:val="auto"/>
              </w:rPr>
            </w:pPr>
          </w:p>
        </w:tc>
        <w:tc>
          <w:tcPr>
            <w:tcW w:w="900" w:type="dxa"/>
            <w:vAlign w:val="bottom"/>
            <w:tcBorders>
              <w:right w:val="single" w:sz="8" w:color="auto"/>
            </w:tcBorders>
            <w:shd w:val="clear" w:color="auto" w:fill="DCDCDE"/>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00" w:type="dxa"/>
            <w:vAlign w:val="bottom"/>
            <w:tcBorders>
              <w:left w:val="single" w:sz="8" w:color="auto"/>
              <w:bottom w:val="single" w:sz="8" w:color="auto"/>
              <w:right w:val="single" w:sz="8" w:color="auto"/>
            </w:tcBorders>
            <w:vMerge w:val="continue"/>
            <w:shd w:val="clear" w:color="auto" w:fill="DCDCDE"/>
          </w:tcPr>
          <w:p>
            <w:pPr>
              <w:spacing w:after="0"/>
              <w:rPr>
                <w:sz w:val="7"/>
                <w:szCs w:val="7"/>
                <w:color w:val="auto"/>
              </w:rPr>
            </w:pPr>
          </w:p>
        </w:tc>
        <w:tc>
          <w:tcPr>
            <w:tcW w:w="580" w:type="dxa"/>
            <w:vAlign w:val="bottom"/>
            <w:tcBorders>
              <w:bottom w:val="single" w:sz="8" w:color="auto"/>
              <w:right w:val="single" w:sz="8" w:color="auto"/>
            </w:tcBorders>
            <w:shd w:val="clear" w:color="auto" w:fill="DCDCDE"/>
          </w:tcPr>
          <w:p>
            <w:pPr>
              <w:spacing w:after="0"/>
              <w:rPr>
                <w:sz w:val="7"/>
                <w:szCs w:val="7"/>
                <w:color w:val="auto"/>
              </w:rPr>
            </w:pPr>
          </w:p>
        </w:tc>
        <w:tc>
          <w:tcPr>
            <w:tcW w:w="580" w:type="dxa"/>
            <w:vAlign w:val="bottom"/>
            <w:tcBorders>
              <w:bottom w:val="single" w:sz="8" w:color="auto"/>
              <w:right w:val="single" w:sz="8" w:color="auto"/>
            </w:tcBorders>
            <w:shd w:val="clear" w:color="auto" w:fill="DCDCDE"/>
          </w:tcPr>
          <w:p>
            <w:pPr>
              <w:spacing w:after="0"/>
              <w:rPr>
                <w:sz w:val="7"/>
                <w:szCs w:val="7"/>
                <w:color w:val="auto"/>
              </w:rPr>
            </w:pPr>
          </w:p>
        </w:tc>
        <w:tc>
          <w:tcPr>
            <w:tcW w:w="960" w:type="dxa"/>
            <w:vAlign w:val="bottom"/>
            <w:tcBorders>
              <w:bottom w:val="single" w:sz="8" w:color="auto"/>
              <w:right w:val="single" w:sz="8" w:color="auto"/>
            </w:tcBorders>
            <w:shd w:val="clear" w:color="auto" w:fill="DCDCDE"/>
          </w:tcPr>
          <w:p>
            <w:pPr>
              <w:spacing w:after="0"/>
              <w:rPr>
                <w:sz w:val="7"/>
                <w:szCs w:val="7"/>
                <w:color w:val="auto"/>
              </w:rPr>
            </w:pPr>
          </w:p>
        </w:tc>
        <w:tc>
          <w:tcPr>
            <w:tcW w:w="1020" w:type="dxa"/>
            <w:vAlign w:val="bottom"/>
            <w:tcBorders>
              <w:bottom w:val="single" w:sz="8" w:color="auto"/>
              <w:right w:val="single" w:sz="8" w:color="auto"/>
            </w:tcBorders>
            <w:shd w:val="clear" w:color="auto" w:fill="DCDCDE"/>
          </w:tcPr>
          <w:p>
            <w:pPr>
              <w:spacing w:after="0"/>
              <w:rPr>
                <w:sz w:val="7"/>
                <w:szCs w:val="7"/>
                <w:color w:val="auto"/>
              </w:rPr>
            </w:pPr>
          </w:p>
        </w:tc>
        <w:tc>
          <w:tcPr>
            <w:tcW w:w="1040" w:type="dxa"/>
            <w:vAlign w:val="bottom"/>
            <w:tcBorders>
              <w:bottom w:val="single" w:sz="8" w:color="auto"/>
              <w:right w:val="single" w:sz="8" w:color="auto"/>
            </w:tcBorders>
            <w:shd w:val="clear" w:color="auto" w:fill="DCDCDE"/>
          </w:tcPr>
          <w:p>
            <w:pPr>
              <w:spacing w:after="0"/>
              <w:rPr>
                <w:sz w:val="7"/>
                <w:szCs w:val="7"/>
                <w:color w:val="auto"/>
              </w:rPr>
            </w:pPr>
          </w:p>
        </w:tc>
        <w:tc>
          <w:tcPr>
            <w:tcW w:w="720" w:type="dxa"/>
            <w:vAlign w:val="bottom"/>
            <w:tcBorders>
              <w:bottom w:val="single" w:sz="8" w:color="auto"/>
            </w:tcBorders>
            <w:shd w:val="clear" w:color="auto" w:fill="DCDCDE"/>
          </w:tcPr>
          <w:p>
            <w:pPr>
              <w:spacing w:after="0"/>
              <w:rPr>
                <w:sz w:val="7"/>
                <w:szCs w:val="7"/>
                <w:color w:val="auto"/>
              </w:rPr>
            </w:pPr>
          </w:p>
        </w:tc>
        <w:tc>
          <w:tcPr>
            <w:tcW w:w="120" w:type="dxa"/>
            <w:vAlign w:val="bottom"/>
            <w:tcBorders>
              <w:bottom w:val="single" w:sz="8" w:color="auto"/>
              <w:right w:val="single" w:sz="8" w:color="auto"/>
            </w:tcBorders>
            <w:shd w:val="clear" w:color="auto" w:fill="DCDCDE"/>
          </w:tcPr>
          <w:p>
            <w:pPr>
              <w:spacing w:after="0"/>
              <w:rPr>
                <w:sz w:val="7"/>
                <w:szCs w:val="7"/>
                <w:color w:val="auto"/>
              </w:rPr>
            </w:pPr>
          </w:p>
        </w:tc>
        <w:tc>
          <w:tcPr>
            <w:tcW w:w="900" w:type="dxa"/>
            <w:vAlign w:val="bottom"/>
            <w:tcBorders>
              <w:bottom w:val="single" w:sz="8" w:color="auto"/>
              <w:right w:val="single" w:sz="8" w:color="auto"/>
            </w:tcBorders>
            <w:shd w:val="clear" w:color="auto" w:fill="DCDCDE"/>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5"/>
                <w:szCs w:val="15"/>
                <w:color w:val="auto"/>
              </w:rPr>
              <w:t>Louis W. Sullivan, M.D.</w:t>
            </w:r>
          </w:p>
        </w:tc>
        <w:tc>
          <w:tcPr>
            <w:tcW w:w="58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5"/>
                <w:szCs w:val="15"/>
                <w:color w:val="auto"/>
              </w:rPr>
              <w:t>II</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2020</w:t>
            </w:r>
          </w:p>
        </w:tc>
        <w:tc>
          <w:tcPr>
            <w:tcW w:w="9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104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00" w:type="dxa"/>
            <w:vAlign w:val="bottom"/>
            <w:tcBorders>
              <w:left w:val="single" w:sz="8" w:color="auto"/>
              <w:bottom w:val="single" w:sz="8" w:color="auto"/>
              <w:right w:val="single" w:sz="8" w:color="auto"/>
            </w:tcBorders>
            <w:shd w:val="clear" w:color="auto" w:fill="DCDCDE"/>
          </w:tcPr>
          <w:p>
            <w:pPr>
              <w:ind w:left="160"/>
              <w:spacing w:after="0"/>
              <w:rPr>
                <w:sz w:val="20"/>
                <w:szCs w:val="20"/>
                <w:color w:val="auto"/>
              </w:rPr>
            </w:pPr>
            <w:r>
              <w:rPr>
                <w:rFonts w:ascii="Arial" w:cs="Arial" w:eastAsia="Arial" w:hAnsi="Arial"/>
                <w:sz w:val="15"/>
                <w:szCs w:val="15"/>
                <w:color w:val="auto"/>
              </w:rPr>
              <w:t>Kathryn C. Zoon, Ph.D.</w:t>
            </w:r>
          </w:p>
        </w:tc>
        <w:tc>
          <w:tcPr>
            <w:tcW w:w="580" w:type="dxa"/>
            <w:vAlign w:val="bottom"/>
            <w:tcBorders>
              <w:bottom w:val="single" w:sz="8" w:color="auto"/>
              <w:right w:val="single" w:sz="8" w:color="auto"/>
            </w:tcBorders>
            <w:shd w:val="clear" w:color="auto" w:fill="DCDCDE"/>
          </w:tcPr>
          <w:p>
            <w:pPr>
              <w:jc w:val="center"/>
              <w:ind w:right="68"/>
              <w:spacing w:after="0"/>
              <w:rPr>
                <w:sz w:val="20"/>
                <w:szCs w:val="20"/>
                <w:color w:val="auto"/>
              </w:rPr>
            </w:pPr>
            <w:r>
              <w:rPr>
                <w:rFonts w:ascii="Arial" w:cs="Arial" w:eastAsia="Arial" w:hAnsi="Arial"/>
                <w:sz w:val="15"/>
                <w:szCs w:val="15"/>
                <w:color w:val="auto"/>
                <w:w w:val="94"/>
              </w:rPr>
              <w:t>I</w:t>
            </w:r>
          </w:p>
        </w:tc>
        <w:tc>
          <w:tcPr>
            <w:tcW w:w="580" w:type="dxa"/>
            <w:vAlign w:val="bottom"/>
            <w:tcBorders>
              <w:bottom w:val="single" w:sz="8" w:color="auto"/>
              <w:right w:val="single" w:sz="8" w:color="auto"/>
            </w:tcBorders>
            <w:shd w:val="clear" w:color="auto" w:fill="DCDCDE"/>
          </w:tcPr>
          <w:p>
            <w:pPr>
              <w:jc w:val="center"/>
              <w:spacing w:after="0"/>
              <w:rPr>
                <w:sz w:val="20"/>
                <w:szCs w:val="20"/>
                <w:color w:val="auto"/>
              </w:rPr>
            </w:pPr>
            <w:r>
              <w:rPr>
                <w:rFonts w:ascii="Arial" w:cs="Arial" w:eastAsia="Arial" w:hAnsi="Arial"/>
                <w:sz w:val="15"/>
                <w:szCs w:val="15"/>
                <w:color w:val="auto"/>
                <w:w w:val="89"/>
              </w:rPr>
              <w:t>2022</w:t>
            </w:r>
          </w:p>
        </w:tc>
        <w:tc>
          <w:tcPr>
            <w:tcW w:w="960" w:type="dxa"/>
            <w:vAlign w:val="bottom"/>
            <w:tcBorders>
              <w:bottom w:val="single" w:sz="8" w:color="auto"/>
              <w:right w:val="single" w:sz="8" w:color="auto"/>
            </w:tcBorders>
            <w:shd w:val="clear" w:color="auto" w:fill="DCDCDE"/>
          </w:tcPr>
          <w:p>
            <w:pPr>
              <w:spacing w:after="0"/>
              <w:rPr>
                <w:sz w:val="16"/>
                <w:szCs w:val="16"/>
                <w:color w:val="auto"/>
              </w:rPr>
            </w:pPr>
          </w:p>
        </w:tc>
        <w:tc>
          <w:tcPr>
            <w:tcW w:w="1020" w:type="dxa"/>
            <w:vAlign w:val="bottom"/>
            <w:tcBorders>
              <w:bottom w:val="single" w:sz="8" w:color="auto"/>
              <w:right w:val="single" w:sz="8" w:color="auto"/>
            </w:tcBorders>
            <w:shd w:val="clear" w:color="auto" w:fill="DCDCDE"/>
          </w:tcPr>
          <w:p>
            <w:pPr>
              <w:spacing w:after="0"/>
              <w:rPr>
                <w:sz w:val="16"/>
                <w:szCs w:val="16"/>
                <w:color w:val="auto"/>
              </w:rPr>
            </w:pPr>
          </w:p>
        </w:tc>
        <w:tc>
          <w:tcPr>
            <w:tcW w:w="1040" w:type="dxa"/>
            <w:vAlign w:val="bottom"/>
            <w:tcBorders>
              <w:bottom w:val="single" w:sz="8" w:color="auto"/>
              <w:right w:val="single" w:sz="8" w:color="auto"/>
            </w:tcBorders>
            <w:shd w:val="clear" w:color="auto" w:fill="DCDCDE"/>
          </w:tcPr>
          <w:p>
            <w:pPr>
              <w:spacing w:after="0"/>
              <w:rPr>
                <w:sz w:val="16"/>
                <w:szCs w:val="16"/>
                <w:color w:val="auto"/>
              </w:rPr>
            </w:pPr>
          </w:p>
        </w:tc>
        <w:tc>
          <w:tcPr>
            <w:tcW w:w="720" w:type="dxa"/>
            <w:vAlign w:val="bottom"/>
            <w:tcBorders>
              <w:bottom w:val="single" w:sz="8" w:color="auto"/>
            </w:tcBorders>
            <w:shd w:val="clear" w:color="auto" w:fill="DCDCDE"/>
          </w:tcPr>
          <w:p>
            <w:pPr>
              <w:spacing w:after="0"/>
              <w:rPr>
                <w:sz w:val="16"/>
                <w:szCs w:val="16"/>
                <w:color w:val="auto"/>
              </w:rPr>
            </w:pPr>
          </w:p>
        </w:tc>
        <w:tc>
          <w:tcPr>
            <w:tcW w:w="120" w:type="dxa"/>
            <w:vAlign w:val="bottom"/>
            <w:tcBorders>
              <w:bottom w:val="single" w:sz="8" w:color="auto"/>
              <w:right w:val="single" w:sz="8" w:color="auto"/>
            </w:tcBorders>
            <w:shd w:val="clear" w:color="auto" w:fill="DCDCDE"/>
          </w:tcPr>
          <w:p>
            <w:pPr>
              <w:spacing w:after="0"/>
              <w:rPr>
                <w:sz w:val="16"/>
                <w:szCs w:val="16"/>
                <w:color w:val="auto"/>
              </w:rPr>
            </w:pPr>
          </w:p>
        </w:tc>
        <w:tc>
          <w:tcPr>
            <w:tcW w:w="900" w:type="dxa"/>
            <w:vAlign w:val="bottom"/>
            <w:tcBorders>
              <w:bottom w:val="single" w:sz="8" w:color="auto"/>
              <w:right w:val="single" w:sz="8" w:color="auto"/>
            </w:tcBorders>
            <w:shd w:val="clear" w:color="auto" w:fill="DCDCD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20" w:type="dxa"/>
            <w:vAlign w:val="bottom"/>
            <w:gridSpan w:val="3"/>
          </w:tcPr>
          <w:p>
            <w:pPr>
              <w:jc w:val="center"/>
              <w:ind w:right="224"/>
              <w:spacing w:after="0"/>
              <w:rPr>
                <w:sz w:val="20"/>
                <w:szCs w:val="20"/>
                <w:color w:val="auto"/>
              </w:rPr>
            </w:pPr>
            <w:r>
              <w:rPr>
                <w:rFonts w:ascii="Arial" w:cs="Arial" w:eastAsia="Arial" w:hAnsi="Arial"/>
                <w:sz w:val="15"/>
                <w:szCs w:val="15"/>
                <w:i w:val="1"/>
                <w:iCs w:val="1"/>
                <w:color w:val="auto"/>
                <w:w w:val="89"/>
              </w:rPr>
              <w:t>Committee Chairperson</w:t>
            </w:r>
          </w:p>
        </w:tc>
        <w:tc>
          <w:tcPr>
            <w:tcW w:w="720" w:type="dxa"/>
            <w:vAlign w:val="bottom"/>
          </w:tcPr>
          <w:p>
            <w:pPr>
              <w:spacing w:after="0"/>
              <w:rPr>
                <w:sz w:val="17"/>
                <w:szCs w:val="17"/>
                <w:color w:val="auto"/>
              </w:rPr>
            </w:pPr>
          </w:p>
        </w:tc>
        <w:tc>
          <w:tcPr>
            <w:tcW w:w="1260" w:type="dxa"/>
            <w:vAlign w:val="bottom"/>
            <w:gridSpan w:val="3"/>
          </w:tcPr>
          <w:p>
            <w:pPr>
              <w:ind w:left="100"/>
              <w:spacing w:after="0"/>
              <w:rPr>
                <w:sz w:val="20"/>
                <w:szCs w:val="20"/>
                <w:color w:val="auto"/>
              </w:rPr>
            </w:pPr>
            <w:r>
              <w:rPr>
                <w:rFonts w:ascii="Arial" w:cs="Arial" w:eastAsia="Arial" w:hAnsi="Arial"/>
                <w:sz w:val="15"/>
                <w:szCs w:val="15"/>
                <w:i w:val="1"/>
                <w:iCs w:val="1"/>
                <w:color w:val="auto"/>
                <w:w w:val="86"/>
              </w:rPr>
              <w:t>Committee Member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-1579880</wp:posOffset>
            </wp:positionV>
            <wp:extent cx="171450" cy="1073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107315"/>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-1400810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3900170</wp:posOffset>
            </wp:positionH>
            <wp:positionV relativeFrom="paragraph">
              <wp:posOffset>-1264920</wp:posOffset>
            </wp:positionV>
            <wp:extent cx="107315" cy="1073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-1264920</wp:posOffset>
            </wp:positionV>
            <wp:extent cx="107315" cy="1073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-1264920</wp:posOffset>
            </wp:positionV>
            <wp:extent cx="2561590" cy="1237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1590" cy="123761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-1264920</wp:posOffset>
            </wp:positionV>
            <wp:extent cx="2561590" cy="1237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1590" cy="1237615"/>
                    </a:xfrm>
                    <a:prstGeom prst="rect">
                      <a:avLst/>
                    </a:prstGeom>
                    <a:noFill/>
                  </pic:spPr>
                </pic:pic>
              </a:graphicData>
            </a:graphic>
          </wp:anchor>
        </w:drawing>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audit committee's responsibilities include:</w:t>
      </w:r>
    </w:p>
    <w:p>
      <w:pPr>
        <w:spacing w:after="0" w:line="199" w:lineRule="exact"/>
        <w:rPr>
          <w:sz w:val="20"/>
          <w:szCs w:val="20"/>
          <w:color w:val="auto"/>
        </w:rPr>
      </w:pPr>
    </w:p>
    <w:p>
      <w:pPr>
        <w:ind w:left="900" w:hanging="459"/>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Appointing, evaluating, approving the compensation of and assessing the independence of our Independent Registered Public Accounting Firm;</w:t>
      </w:r>
    </w:p>
    <w:p>
      <w:pPr>
        <w:spacing w:after="0" w:line="210" w:lineRule="exact"/>
        <w:rPr>
          <w:rFonts w:ascii="Arial" w:cs="Arial" w:eastAsia="Arial" w:hAnsi="Arial"/>
          <w:sz w:val="15"/>
          <w:szCs w:val="15"/>
          <w:color w:val="auto"/>
        </w:rPr>
      </w:pPr>
    </w:p>
    <w:p>
      <w:pPr>
        <w:ind w:left="900" w:hanging="459"/>
        <w:spacing w:after="0" w:line="27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Overseeing the work of our Independent Registered Public Accounting Firm, including through the receipt and consideration of reports from our Independent Registered Public Accounting Firm;</w:t>
      </w:r>
    </w:p>
    <w:p>
      <w:pPr>
        <w:spacing w:after="0" w:line="164" w:lineRule="exact"/>
        <w:rPr>
          <w:rFonts w:ascii="Arial" w:cs="Arial" w:eastAsia="Arial" w:hAnsi="Arial"/>
          <w:sz w:val="15"/>
          <w:szCs w:val="15"/>
          <w:color w:val="auto"/>
        </w:rPr>
      </w:pPr>
    </w:p>
    <w:p>
      <w:pPr>
        <w:ind w:left="900" w:hanging="459"/>
        <w:spacing w:after="0"/>
        <w:tabs>
          <w:tab w:leader="none" w:pos="9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Reviewing and discussing with management and the Independent Registered Public Accounting Firm our annual and quarterly financial statements and related disclosures;</w:t>
      </w:r>
    </w:p>
    <w:p>
      <w:pPr>
        <w:spacing w:after="0" w:line="222" w:lineRule="exact"/>
        <w:rPr>
          <w:rFonts w:ascii="Arial" w:cs="Arial" w:eastAsia="Arial" w:hAnsi="Arial"/>
          <w:sz w:val="13"/>
          <w:szCs w:val="13"/>
          <w:color w:val="auto"/>
        </w:rPr>
      </w:pPr>
    </w:p>
    <w:p>
      <w:pPr>
        <w:ind w:left="900" w:right="20" w:hanging="459"/>
        <w:spacing w:after="0" w:line="270" w:lineRule="auto"/>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Reviewing the type and presentation of information to be disclosed in the company's earnings press releases, as well as financial information and earnings guidance provided to analysts, rating agencies and others;</w:t>
      </w:r>
    </w:p>
    <w:p>
      <w:pPr>
        <w:spacing w:after="0" w:line="175" w:lineRule="exact"/>
        <w:rPr>
          <w:rFonts w:ascii="Arial" w:cs="Arial" w:eastAsia="Arial" w:hAnsi="Arial"/>
          <w:sz w:val="15"/>
          <w:szCs w:val="15"/>
          <w:color w:val="auto"/>
        </w:rPr>
      </w:pPr>
    </w:p>
    <w:p>
      <w:pPr>
        <w:ind w:left="900" w:hanging="459"/>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Monitoring our internal control over financial reporting and disclosure controls and procedures;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Assisting the Board of Directors in overseeing our risk management function and ethics and compliance program, including our Code of Conduct and Business Ethics;</w:t>
      </w:r>
    </w:p>
    <w:p>
      <w:pPr>
        <w:spacing w:after="0" w:line="210" w:lineRule="exact"/>
        <w:rPr>
          <w:rFonts w:ascii="Arial" w:cs="Arial" w:eastAsia="Arial" w:hAnsi="Arial"/>
          <w:sz w:val="14"/>
          <w:szCs w:val="14"/>
          <w:color w:val="auto"/>
        </w:rPr>
      </w:pPr>
    </w:p>
    <w:p>
      <w:pPr>
        <w:ind w:left="900" w:hanging="459"/>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Assisting the Board of Directors in overseeing our internal audit function;</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Assisting the Board of Directors in overseeing our compliance with legal and regulatory requirements and internal policies and procedures;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6" w:name="page17"/>
    <w:bookmarkEnd w:id="1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99" w:lineRule="exact"/>
        <w:rPr>
          <w:sz w:val="20"/>
          <w:szCs w:val="20"/>
          <w:color w:val="auto"/>
        </w:rPr>
      </w:pPr>
    </w:p>
    <w:p>
      <w:pPr>
        <w:ind w:left="900" w:hanging="459"/>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Periodically discussing our risk management policies, and reviewing and commenting on an initial risk assessment by management;</w:t>
      </w:r>
    </w:p>
    <w:p>
      <w:pPr>
        <w:spacing w:after="0" w:line="210" w:lineRule="exact"/>
        <w:rPr>
          <w:rFonts w:ascii="Arial" w:cs="Arial" w:eastAsia="Arial" w:hAnsi="Arial"/>
          <w:sz w:val="15"/>
          <w:szCs w:val="15"/>
          <w:color w:val="auto"/>
        </w:rPr>
      </w:pPr>
    </w:p>
    <w:p>
      <w:pPr>
        <w:ind w:left="900" w:hanging="459"/>
        <w:spacing w:after="0" w:line="270"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Establishing policies regarding hiring employees from our Independent Registered Public Accounting Firm and procedures for the receipt and retention of accounting-related complaints and concerns;</w:t>
      </w:r>
    </w:p>
    <w:p>
      <w:pPr>
        <w:spacing w:after="0" w:line="164" w:lineRule="exact"/>
        <w:rPr>
          <w:rFonts w:ascii="Arial" w:cs="Arial" w:eastAsia="Arial" w:hAnsi="Arial"/>
          <w:sz w:val="15"/>
          <w:szCs w:val="15"/>
          <w:color w:val="auto"/>
        </w:rPr>
      </w:pPr>
    </w:p>
    <w:p>
      <w:pPr>
        <w:ind w:left="900" w:hanging="459"/>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Meeting independently with our internal auditing staff, ethics and compliance lead, Independent Registered Public Accounting Firm and management;</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Reviewing and approving or ratifying any related person transactions;</w:t>
      </w:r>
    </w:p>
    <w:p>
      <w:pPr>
        <w:spacing w:after="0" w:line="210" w:lineRule="exact"/>
        <w:rPr>
          <w:rFonts w:ascii="Arial" w:cs="Arial" w:eastAsia="Arial" w:hAnsi="Arial"/>
          <w:sz w:val="15"/>
          <w:szCs w:val="15"/>
          <w:color w:val="auto"/>
        </w:rPr>
      </w:pPr>
    </w:p>
    <w:p>
      <w:pPr>
        <w:ind w:left="900" w:right="20" w:hanging="459"/>
        <w:spacing w:after="0" w:line="270"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Evaluating, in coordination with the compensation committee, the company's senior financial and ethics and compliance management, including the chief financial officer, chief ethics and compliance officer and head of internal audit; and</w:t>
      </w:r>
    </w:p>
    <w:p>
      <w:pPr>
        <w:spacing w:after="0" w:line="164" w:lineRule="exact"/>
        <w:rPr>
          <w:rFonts w:ascii="Arial" w:cs="Arial" w:eastAsia="Arial" w:hAnsi="Arial"/>
          <w:sz w:val="15"/>
          <w:szCs w:val="15"/>
          <w:color w:val="auto"/>
        </w:rPr>
      </w:pPr>
    </w:p>
    <w:p>
      <w:pPr>
        <w:ind w:left="900" w:hanging="459"/>
        <w:spacing w:after="0"/>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Preparing the audit committee report required by SEC rules, which is included on page 28 of this proxy statement.</w:t>
      </w:r>
    </w:p>
    <w:p>
      <w:pPr>
        <w:spacing w:after="0" w:line="188"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3"/>
          <w:szCs w:val="13"/>
          <w:color w:val="auto"/>
        </w:rPr>
        <w:t>The members of our audit committee are Dr. Harsanyi, General Joulwan, Mr. Richard and Dr. Sullivan. Dr. Harsanyi is the chairperson of this committee. Our Board has determined that each of the current members of the committee is "independent" in accordance with NYSE listing standards, meets the independence requirements of Rule 10A-3 under the Securities Exchange Act of 1934 (the "Exchange Act"), and is financially literate. Dr. Harsanyi has been designated as the "audit committee financial expert." Our audit committee met eight times during 2019.</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compensation committee's responsibilities include:</w:t>
      </w:r>
    </w:p>
    <w:p>
      <w:pPr>
        <w:spacing w:after="0" w:line="199" w:lineRule="exact"/>
        <w:rPr>
          <w:sz w:val="20"/>
          <w:szCs w:val="20"/>
          <w:color w:val="auto"/>
        </w:rPr>
      </w:pPr>
    </w:p>
    <w:p>
      <w:pPr>
        <w:ind w:left="900" w:hanging="459"/>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Annually reviewing and approving corporate goals and objectives relevant to the compensation of our executive officers;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Determining the compensation of our chief executive officer and executive chairman;</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Reviewing and approving the compensation of our other named executive officers;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the evaluation of our senior executives;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and administering our cash and equity incentive plans and employee stock purchase plan;</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and discussing annually with management our "Compensation Discussion and Analysis," which is included beginning on page 34 of this proxy statement; and</w:t>
      </w:r>
    </w:p>
    <w:p>
      <w:pPr>
        <w:spacing w:after="0" w:line="222" w:lineRule="exact"/>
        <w:rPr>
          <w:rFonts w:ascii="Arial" w:cs="Arial" w:eastAsia="Arial" w:hAnsi="Arial"/>
          <w:sz w:val="13"/>
          <w:szCs w:val="13"/>
          <w:color w:val="auto"/>
        </w:rPr>
      </w:pPr>
    </w:p>
    <w:p>
      <w:pPr>
        <w:ind w:left="900" w:hanging="459"/>
        <w:spacing w:after="0"/>
        <w:tabs>
          <w:tab w:leader="none" w:pos="9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Preparing the compensation committee report required by SEC rules, which is included on page 54 of this proxy statement.</w:t>
      </w:r>
    </w:p>
    <w:p>
      <w:pPr>
        <w:spacing w:after="0" w:line="188" w:lineRule="exact"/>
        <w:rPr>
          <w:sz w:val="20"/>
          <w:szCs w:val="20"/>
          <w:color w:val="auto"/>
        </w:rPr>
      </w:pPr>
    </w:p>
    <w:p>
      <w:pPr>
        <w:ind w:firstLine="637"/>
        <w:spacing w:after="0" w:line="270" w:lineRule="auto"/>
        <w:rPr>
          <w:sz w:val="20"/>
          <w:szCs w:val="20"/>
          <w:color w:val="auto"/>
        </w:rPr>
      </w:pPr>
      <w:r>
        <w:rPr>
          <w:rFonts w:ascii="Arial" w:cs="Arial" w:eastAsia="Arial" w:hAnsi="Arial"/>
          <w:sz w:val="15"/>
          <w:szCs w:val="15"/>
          <w:color w:val="auto"/>
        </w:rPr>
        <w:t>The processes and procedures followed by our compensation committee in considering and determining executive compensation are described below under "Executive Compensation — Executive Compensation Processes."</w:t>
      </w:r>
    </w:p>
    <w:p>
      <w:pPr>
        <w:spacing w:after="0" w:line="153" w:lineRule="exact"/>
        <w:rPr>
          <w:sz w:val="20"/>
          <w:szCs w:val="20"/>
          <w:color w:val="auto"/>
        </w:rPr>
      </w:pPr>
    </w:p>
    <w:p>
      <w:pPr>
        <w:ind w:right="20" w:firstLine="334"/>
        <w:spacing w:after="0" w:line="306" w:lineRule="auto"/>
        <w:rPr>
          <w:sz w:val="20"/>
          <w:szCs w:val="20"/>
          <w:color w:val="auto"/>
        </w:rPr>
      </w:pPr>
      <w:r>
        <w:rPr>
          <w:rFonts w:ascii="Arial" w:cs="Arial" w:eastAsia="Arial" w:hAnsi="Arial"/>
          <w:sz w:val="14"/>
          <w:szCs w:val="14"/>
          <w:color w:val="auto"/>
        </w:rPr>
        <w:t>The members of our compensation committee are Dr. Bailey, Dr. Hauer, General Joulwan and Dr. Sullivan. Dr. Sullivan is the chairperson of this committee. Our Board has determined that each of the members of the committee is "independent" in accordance with NYSE listing standards. Our compensation committee met seven times during 2019.</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7" w:name="page18"/>
    <w:bookmarkEnd w:id="1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nominating and corporate governance committee's responsibilities include:</w:t>
      </w:r>
    </w:p>
    <w:p>
      <w:pPr>
        <w:spacing w:after="0" w:line="199" w:lineRule="exact"/>
        <w:rPr>
          <w:sz w:val="20"/>
          <w:szCs w:val="20"/>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Identifying individuals qualified to become members of the Board of Directors;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Recommending to the Board of Directors the persons to be nominated for election as directors and appointed to each of the Board's committees;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Reviewing and making recommendations to our Board of Directors with respect to director compensation;</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Reviewing and making recommendations to the Board of Directors with respect to management succession planning;</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Developing and recommending to the Board of Directors our corporate governance guidelines;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Overseeing director education activities; and</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Overseeing an annual evaluation of the Board of Directors.</w:t>
      </w:r>
    </w:p>
    <w:p>
      <w:pPr>
        <w:spacing w:after="0" w:line="188" w:lineRule="exact"/>
        <w:rPr>
          <w:sz w:val="20"/>
          <w:szCs w:val="20"/>
          <w:color w:val="auto"/>
        </w:rPr>
      </w:pPr>
    </w:p>
    <w:p>
      <w:pPr>
        <w:jc w:val="both"/>
        <w:ind w:firstLine="433"/>
        <w:spacing w:after="0" w:line="270" w:lineRule="auto"/>
        <w:rPr>
          <w:sz w:val="20"/>
          <w:szCs w:val="20"/>
          <w:color w:val="auto"/>
        </w:rPr>
      </w:pPr>
      <w:r>
        <w:rPr>
          <w:rFonts w:ascii="Arial" w:cs="Arial" w:eastAsia="Arial" w:hAnsi="Arial"/>
          <w:sz w:val="15"/>
          <w:szCs w:val="15"/>
          <w:color w:val="auto"/>
        </w:rPr>
        <w:t>The processes and procedures followed by our nominating and corporate governance committee in identifying and evaluating director candidates and in making recommendations regarding director compensation are described below under the headings "Director Nomination Process" and "Director Compensation," respectively.</w:t>
      </w:r>
    </w:p>
    <w:p>
      <w:pPr>
        <w:spacing w:after="0" w:line="153" w:lineRule="exact"/>
        <w:rPr>
          <w:sz w:val="20"/>
          <w:szCs w:val="20"/>
          <w:color w:val="auto"/>
        </w:rPr>
      </w:pPr>
    </w:p>
    <w:p>
      <w:pPr>
        <w:jc w:val="both"/>
        <w:ind w:firstLine="365"/>
        <w:spacing w:after="0" w:line="260" w:lineRule="auto"/>
        <w:rPr>
          <w:sz w:val="20"/>
          <w:szCs w:val="20"/>
          <w:color w:val="auto"/>
        </w:rPr>
      </w:pPr>
      <w:r>
        <w:rPr>
          <w:rFonts w:ascii="Arial" w:cs="Arial" w:eastAsia="Arial" w:hAnsi="Arial"/>
          <w:sz w:val="15"/>
          <w:szCs w:val="15"/>
          <w:color w:val="auto"/>
        </w:rPr>
        <w:t>The members of our nominating and corporate governance committee are Dr. Bailey, General Joulwan, Mr. Richard, Dr. Sullivan and Dr. Zoon. Mr. Richard is the chairperson of this committee and also serves as our lead independent director. Our Board has determined that each of the members of the committee is "independent" in accordance with NYSE listing standards. Our nominating and corporate governance committee met five times during 2019.</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Scientific Review Committee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scientific review committee's responsibilities include:</w:t>
      </w:r>
    </w:p>
    <w:p>
      <w:pPr>
        <w:spacing w:after="0" w:line="211" w:lineRule="exact"/>
        <w:rPr>
          <w:sz w:val="20"/>
          <w:szCs w:val="20"/>
          <w:color w:val="auto"/>
        </w:rPr>
      </w:pPr>
    </w:p>
    <w:p>
      <w:pPr>
        <w:ind w:left="900" w:hanging="459"/>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scientific advice and guidance to the Board of Directors regarding decisions related to existing products and technology platforms;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Reviewing and advising the Board of Directors regarding the priorities with respect to our research and development portfolio to ensure alignment with corporate strategy; and</w:t>
      </w:r>
    </w:p>
    <w:p>
      <w:pPr>
        <w:spacing w:after="0" w:line="222" w:lineRule="exact"/>
        <w:rPr>
          <w:rFonts w:ascii="Arial" w:cs="Arial" w:eastAsia="Arial" w:hAnsi="Arial"/>
          <w:sz w:val="13"/>
          <w:szCs w:val="13"/>
          <w:color w:val="auto"/>
        </w:rPr>
      </w:pPr>
    </w:p>
    <w:p>
      <w:pPr>
        <w:ind w:left="900" w:hanging="459"/>
        <w:spacing w:after="0"/>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Providing advice and guidance to the Board of Directors with respect to proposed acquisitions, in-licensing, collaborations and alliances.</w:t>
      </w:r>
    </w:p>
    <w:p>
      <w:pPr>
        <w:spacing w:after="0" w:line="188" w:lineRule="exact"/>
        <w:rPr>
          <w:sz w:val="20"/>
          <w:szCs w:val="20"/>
          <w:color w:val="auto"/>
        </w:rPr>
      </w:pPr>
    </w:p>
    <w:p>
      <w:pPr>
        <w:ind w:firstLine="300"/>
        <w:spacing w:after="0" w:line="270" w:lineRule="auto"/>
        <w:rPr>
          <w:sz w:val="20"/>
          <w:szCs w:val="20"/>
          <w:color w:val="auto"/>
        </w:rPr>
      </w:pPr>
      <w:r>
        <w:rPr>
          <w:rFonts w:ascii="Arial" w:cs="Arial" w:eastAsia="Arial" w:hAnsi="Arial"/>
          <w:sz w:val="15"/>
          <w:szCs w:val="15"/>
          <w:color w:val="auto"/>
        </w:rPr>
        <w:t>The members of our scientific review committee are Dr. Bailey, Dr. Harsanyi, Dr. Hauer, Mr. Mulligan and Dr. Zoon. Dr. Hauer is the chairperson of this committee. Our scientific review committee met three times during 2019.</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Strategic Operations Committee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strategic operations committee's responsibilities include evaluating and making recommendations to the Board with respect to:</w:t>
      </w:r>
    </w:p>
    <w:p>
      <w:pPr>
        <w:spacing w:after="0" w:line="211" w:lineRule="exact"/>
        <w:rPr>
          <w:sz w:val="20"/>
          <w:szCs w:val="20"/>
          <w:color w:val="auto"/>
        </w:rPr>
      </w:pPr>
    </w:p>
    <w:p>
      <w:pPr>
        <w:ind w:left="900" w:hanging="459"/>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mission, core strategy, strategic plan objectives/success criteria, and the strategic processes;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Material acquisition and disposition opportunities;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Material litigation and disputes;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financial plans and programs and capital structure;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8" w:name="page19"/>
    <w:bookmarkEnd w:id="1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99" w:lineRule="exact"/>
        <w:rPr>
          <w:sz w:val="20"/>
          <w:szCs w:val="20"/>
          <w:color w:val="auto"/>
        </w:rPr>
      </w:pPr>
    </w:p>
    <w:p>
      <w:pPr>
        <w:ind w:left="900" w:hanging="459"/>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corporate investment policies; and</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corporate social responsibility activities.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strategic operations committee is also responsible for reviewing, evaluating and approving:</w:t>
      </w:r>
    </w:p>
    <w:p>
      <w:pPr>
        <w:spacing w:after="0" w:line="199" w:lineRule="exact"/>
        <w:rPr>
          <w:sz w:val="20"/>
          <w:szCs w:val="20"/>
          <w:color w:val="auto"/>
        </w:rPr>
      </w:pPr>
    </w:p>
    <w:p>
      <w:pPr>
        <w:ind w:left="900" w:hanging="459"/>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foreign exchange policy;</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decisions to enter into swaps; and</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Our corporate treasury policies, including our interest rate risk management and hedging policies.</w:t>
      </w:r>
    </w:p>
    <w:p>
      <w:pPr>
        <w:spacing w:after="0" w:line="188" w:lineRule="exact"/>
        <w:rPr>
          <w:sz w:val="20"/>
          <w:szCs w:val="20"/>
          <w:color w:val="auto"/>
        </w:rPr>
      </w:pPr>
    </w:p>
    <w:p>
      <w:pPr>
        <w:jc w:val="both"/>
        <w:ind w:firstLine="295"/>
        <w:spacing w:after="0" w:line="270" w:lineRule="auto"/>
        <w:rPr>
          <w:sz w:val="20"/>
          <w:szCs w:val="20"/>
          <w:color w:val="auto"/>
        </w:rPr>
      </w:pPr>
      <w:r>
        <w:rPr>
          <w:rFonts w:ascii="Arial" w:cs="Arial" w:eastAsia="Arial" w:hAnsi="Arial"/>
          <w:sz w:val="15"/>
          <w:szCs w:val="15"/>
          <w:color w:val="auto"/>
        </w:rPr>
        <w:t>The members of the strategic operations committee are Mr. El-Hibri, Dr. Harsanyi, Dr. Hauer, Mr. Kramer, Mr. Mulligan, Mr. Richard and Dr. Zoon. Mr. El-Hibri is the chairperson of this committee. Our strategic operations committee met three times during 2019.</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Nomination Process</w:t>
      </w:r>
    </w:p>
    <w:p>
      <w:pPr>
        <w:spacing w:after="0" w:line="192" w:lineRule="exact"/>
        <w:rPr>
          <w:sz w:val="20"/>
          <w:szCs w:val="20"/>
          <w:color w:val="auto"/>
        </w:rPr>
      </w:pPr>
    </w:p>
    <w:p>
      <w:pPr>
        <w:jc w:val="both"/>
        <w:ind w:firstLine="341"/>
        <w:spacing w:after="0" w:line="260" w:lineRule="auto"/>
        <w:rPr>
          <w:sz w:val="20"/>
          <w:szCs w:val="20"/>
          <w:color w:val="auto"/>
        </w:rPr>
      </w:pPr>
      <w:r>
        <w:rPr>
          <w:rFonts w:ascii="Arial" w:cs="Arial" w:eastAsia="Arial" w:hAnsi="Arial"/>
          <w:sz w:val="15"/>
          <w:szCs w:val="15"/>
          <w:color w:val="auto"/>
        </w:rPr>
        <w:t>The process followed by our nominating and corporate governance committee to identify and evaluate director candidates includes requests to members of our Board, management and others for recommendations, meetings from time to time to evaluate biographical information and background material relating to potential candidates and interviews of selected candidates by members of the committee and the Board.</w:t>
      </w:r>
    </w:p>
    <w:p>
      <w:pPr>
        <w:spacing w:after="0" w:line="161" w:lineRule="exact"/>
        <w:rPr>
          <w:sz w:val="20"/>
          <w:szCs w:val="20"/>
          <w:color w:val="auto"/>
        </w:rPr>
      </w:pPr>
    </w:p>
    <w:p>
      <w:pPr>
        <w:jc w:val="both"/>
        <w:ind w:firstLine="327"/>
        <w:spacing w:after="0" w:line="301" w:lineRule="auto"/>
        <w:rPr>
          <w:sz w:val="20"/>
          <w:szCs w:val="20"/>
          <w:color w:val="auto"/>
        </w:rPr>
      </w:pPr>
      <w:r>
        <w:rPr>
          <w:rFonts w:ascii="Arial" w:cs="Arial" w:eastAsia="Arial" w:hAnsi="Arial"/>
          <w:sz w:val="13"/>
          <w:szCs w:val="13"/>
          <w:color w:val="auto"/>
        </w:rPr>
        <w:t>In considering whether to recommend any particular candidate for inclusion in the Board's slate of director nominees, our nominating and corporate governance committee considers the candidate's integrity, business acumen, knowledge of our business and industry, experience, diligence, conflicts of interest and the ability to act in the interests of all stockholders, as well as the needs of the Board for a specific skill set or experience. The nominating and corporate governance committee does not assign specific weights to particular criteria and no particular criterion is a prerequisite for a prospective nominee. The nominating and corporate governance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as previously noted, our corporate governance guidelines state that it is a goal of the Board to strive for diversity in the composition of the membership of the Board.</w:t>
      </w:r>
    </w:p>
    <w:p>
      <w:pPr>
        <w:spacing w:after="0" w:line="137" w:lineRule="exact"/>
        <w:rPr>
          <w:sz w:val="20"/>
          <w:szCs w:val="20"/>
          <w:color w:val="auto"/>
        </w:rPr>
      </w:pPr>
    </w:p>
    <w:p>
      <w:pPr>
        <w:jc w:val="both"/>
        <w:ind w:firstLine="349"/>
        <w:spacing w:after="0" w:line="301" w:lineRule="auto"/>
        <w:rPr>
          <w:sz w:val="20"/>
          <w:szCs w:val="20"/>
          <w:color w:val="auto"/>
        </w:rPr>
      </w:pPr>
      <w:r>
        <w:rPr>
          <w:rFonts w:ascii="Arial" w:cs="Arial" w:eastAsia="Arial" w:hAnsi="Arial"/>
          <w:sz w:val="13"/>
          <w:szCs w:val="13"/>
          <w:color w:val="auto"/>
        </w:rPr>
        <w:t>Stockholders may recommend to our nominating and corporate governance committee individuals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Emergent BioSolutions Inc., 400 Professional Drive, Suite 400, Gaithersburg, Maryland 20879. Assuming that appropriate biographical and background material has been provided on a timely basis, in accordance with the procedures described under the heading "Additional Matters — Stockholder Proposals for the 2021 Annual Meeting," the nominating and corporate governance committee will evaluate candidates recommended by stockholders by following the same process, and applying the same criteria, as it follows for candidates submitted by others.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Skills / Attributes Composition</w:t>
      </w:r>
    </w:p>
    <w:p>
      <w:pPr>
        <w:spacing w:after="0" w:line="192" w:lineRule="exact"/>
        <w:rPr>
          <w:sz w:val="20"/>
          <w:szCs w:val="20"/>
          <w:color w:val="auto"/>
        </w:rPr>
      </w:pPr>
    </w:p>
    <w:p>
      <w:pPr>
        <w:jc w:val="both"/>
        <w:ind w:firstLine="313"/>
        <w:spacing w:after="0" w:line="270" w:lineRule="auto"/>
        <w:rPr>
          <w:sz w:val="20"/>
          <w:szCs w:val="20"/>
          <w:color w:val="auto"/>
        </w:rPr>
      </w:pPr>
      <w:r>
        <w:rPr>
          <w:rFonts w:ascii="Arial" w:cs="Arial" w:eastAsia="Arial" w:hAnsi="Arial"/>
          <w:sz w:val="15"/>
          <w:szCs w:val="15"/>
          <w:color w:val="auto"/>
        </w:rPr>
        <w:t>We believe our directors possess the skills and attributes necessary to meet our current and future business needs. The Board annually assesses the mix of skills, attributes and experience of the directors.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19" w:name="page20"/>
    <w:bookmarkEnd w:id="1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Core Attributes for all Board Members</w:t>
      </w:r>
    </w:p>
    <w:p>
      <w:pPr>
        <w:spacing w:after="0" w:line="199" w:lineRule="exact"/>
        <w:rPr>
          <w:sz w:val="20"/>
          <w:szCs w:val="20"/>
          <w:color w:val="auto"/>
        </w:rPr>
      </w:pPr>
    </w:p>
    <w:p>
      <w:pPr>
        <w:ind w:left="900" w:hanging="459"/>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High level of integrity and character;</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Demonstrated track record of success;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Advanced degree in science or other relevant discipline; and</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commitment to contribute the time necessary for active involvement.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519"/>
        </w:trPr>
        <w:tc>
          <w:tcPr>
            <w:tcW w:w="1140" w:type="dxa"/>
            <w:vAlign w:val="bottom"/>
            <w:tcBorders>
              <w:right w:val="single" w:sz="8" w:color="auto"/>
            </w:tcBorders>
          </w:tcPr>
          <w:p>
            <w:pPr>
              <w:spacing w:after="0"/>
              <w:rPr>
                <w:sz w:val="24"/>
                <w:szCs w:val="24"/>
                <w:color w:val="auto"/>
              </w:rPr>
            </w:pPr>
          </w:p>
        </w:tc>
        <w:tc>
          <w:tcPr>
            <w:tcW w:w="16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1"/>
                <w:szCs w:val="11"/>
                <w:b w:val="1"/>
                <w:bCs w:val="1"/>
                <w:color w:val="auto"/>
              </w:rPr>
              <w:t>Desired Skill / Experience</w:t>
            </w:r>
          </w:p>
        </w:tc>
        <w:tc>
          <w:tcPr>
            <w:tcW w:w="900" w:type="dxa"/>
            <w:vAlign w:val="bottom"/>
            <w:tcBorders>
              <w:top w:val="single" w:sz="8" w:color="auto"/>
              <w:right w:val="single" w:sz="8" w:color="auto"/>
            </w:tcBorders>
          </w:tcPr>
          <w:p>
            <w:pPr>
              <w:spacing w:after="0"/>
              <w:rPr>
                <w:sz w:val="24"/>
                <w:szCs w:val="24"/>
                <w:color w:val="auto"/>
              </w:rPr>
            </w:pPr>
          </w:p>
        </w:tc>
        <w:tc>
          <w:tcPr>
            <w:tcW w:w="760" w:type="dxa"/>
            <w:vAlign w:val="bottom"/>
            <w:tcBorders>
              <w:top w:val="single" w:sz="8" w:color="auto"/>
              <w:right w:val="single" w:sz="8" w:color="auto"/>
            </w:tcBorders>
          </w:tcPr>
          <w:p>
            <w:pPr>
              <w:spacing w:after="0"/>
              <w:rPr>
                <w:sz w:val="24"/>
                <w:szCs w:val="24"/>
                <w:color w:val="auto"/>
              </w:rPr>
            </w:pPr>
          </w:p>
        </w:tc>
        <w:tc>
          <w:tcPr>
            <w:tcW w:w="62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spacing w:after="0"/>
              <w:rPr>
                <w:sz w:val="24"/>
                <w:szCs w:val="24"/>
                <w:color w:val="auto"/>
              </w:rPr>
            </w:pPr>
          </w:p>
        </w:tc>
        <w:tc>
          <w:tcPr>
            <w:tcW w:w="640" w:type="dxa"/>
            <w:vAlign w:val="bottom"/>
            <w:tcBorders>
              <w:top w:val="single" w:sz="8" w:color="auto"/>
              <w:right w:val="single" w:sz="8" w:color="auto"/>
            </w:tcBorders>
          </w:tcPr>
          <w:p>
            <w:pPr>
              <w:spacing w:after="0"/>
              <w:rPr>
                <w:sz w:val="24"/>
                <w:szCs w:val="24"/>
                <w:color w:val="auto"/>
              </w:rPr>
            </w:pPr>
          </w:p>
        </w:tc>
        <w:tc>
          <w:tcPr>
            <w:tcW w:w="90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Borders>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Mr. El-Hibri</w:t>
            </w:r>
          </w:p>
        </w:tc>
        <w:tc>
          <w:tcPr>
            <w:tcW w:w="76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rPr>
              <w:t>Mr. Kramer</w:t>
            </w:r>
          </w:p>
        </w:tc>
        <w:tc>
          <w:tcPr>
            <w:tcW w:w="62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0"/>
              </w:rPr>
              <w:t>Dr. Bailey</w:t>
            </w:r>
          </w:p>
        </w:tc>
        <w:tc>
          <w:tcPr>
            <w:tcW w:w="78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95"/>
              </w:rPr>
              <w:t>Dr. Harsanyi</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Mr. Richard</w:t>
            </w:r>
          </w:p>
        </w:tc>
        <w:tc>
          <w:tcPr>
            <w:tcW w:w="64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96"/>
              </w:rPr>
              <w:t>Dr. Hauer</w:t>
            </w:r>
          </w:p>
        </w:tc>
        <w:tc>
          <w:tcPr>
            <w:tcW w:w="90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2"/>
              </w:rPr>
              <w:t>Gen. Joulwan</w:t>
            </w:r>
          </w:p>
        </w:tc>
        <w:tc>
          <w:tcPr>
            <w:tcW w:w="80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99"/>
              </w:rPr>
              <w:t>Mr. Mulligan</w:t>
            </w:r>
          </w:p>
        </w:tc>
        <w:tc>
          <w:tcPr>
            <w:tcW w:w="720" w:type="dxa"/>
            <w:vAlign w:val="bottom"/>
            <w:tcBorders>
              <w:bottom w:val="single" w:sz="8" w:color="auto"/>
              <w:right w:val="single" w:sz="8" w:color="auto"/>
            </w:tcBorders>
          </w:tcPr>
          <w:p>
            <w:pPr>
              <w:jc w:val="center"/>
              <w:ind w:right="8"/>
              <w:spacing w:after="0"/>
              <w:rPr>
                <w:sz w:val="20"/>
                <w:szCs w:val="20"/>
                <w:color w:val="auto"/>
              </w:rPr>
            </w:pPr>
            <w:r>
              <w:rPr>
                <w:rFonts w:ascii="Arial" w:cs="Arial" w:eastAsia="Arial" w:hAnsi="Arial"/>
                <w:sz w:val="11"/>
                <w:szCs w:val="11"/>
                <w:b w:val="1"/>
                <w:bCs w:val="1"/>
                <w:color w:val="auto"/>
                <w:w w:val="92"/>
              </w:rPr>
              <w:t>Dr. Sullivan</w:t>
            </w:r>
          </w:p>
        </w:tc>
        <w:tc>
          <w:tcPr>
            <w:tcW w:w="58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1"/>
                <w:szCs w:val="11"/>
                <w:b w:val="1"/>
                <w:bCs w:val="1"/>
                <w:color w:val="auto"/>
                <w:w w:val="92"/>
              </w:rPr>
              <w:t>Dr. Zoon</w:t>
            </w:r>
          </w:p>
        </w:tc>
        <w:tc>
          <w:tcPr>
            <w:tcW w:w="0" w:type="dxa"/>
            <w:vAlign w:val="bottom"/>
          </w:tcPr>
          <w:p>
            <w:pPr>
              <w:spacing w:after="0"/>
              <w:rPr>
                <w:sz w:val="1"/>
                <w:szCs w:val="1"/>
                <w:color w:val="auto"/>
              </w:rPr>
            </w:pPr>
          </w:p>
        </w:tc>
      </w:tr>
      <w:tr>
        <w:trPr>
          <w:trHeight w:val="160"/>
        </w:trPr>
        <w:tc>
          <w:tcPr>
            <w:tcW w:w="1140" w:type="dxa"/>
            <w:vAlign w:val="bottom"/>
            <w:tcBorders>
              <w:right w:val="single" w:sz="8" w:color="auto"/>
            </w:tcBorders>
          </w:tcPr>
          <w:p>
            <w:pPr>
              <w:spacing w:after="0"/>
              <w:rPr>
                <w:sz w:val="13"/>
                <w:szCs w:val="13"/>
                <w:color w:val="auto"/>
              </w:rPr>
            </w:pPr>
          </w:p>
        </w:tc>
        <w:tc>
          <w:tcPr>
            <w:tcW w:w="1680" w:type="dxa"/>
            <w:vAlign w:val="bottom"/>
            <w:tcBorders>
              <w:right w:val="single" w:sz="8" w:color="DCDCDE"/>
            </w:tcBorders>
            <w:shd w:val="clear" w:color="auto" w:fill="DCDCDE"/>
          </w:tcPr>
          <w:p>
            <w:pPr>
              <w:ind w:left="240"/>
              <w:spacing w:after="0" w:line="160" w:lineRule="exact"/>
              <w:rPr>
                <w:sz w:val="20"/>
                <w:szCs w:val="20"/>
                <w:color w:val="auto"/>
              </w:rPr>
            </w:pPr>
            <w:r>
              <w:rPr>
                <w:rFonts w:ascii="Arial" w:cs="Arial" w:eastAsia="Arial" w:hAnsi="Arial"/>
                <w:sz w:val="15"/>
                <w:szCs w:val="15"/>
                <w:b w:val="1"/>
                <w:bCs w:val="1"/>
                <w:color w:val="auto"/>
              </w:rPr>
              <w:t>INDEPENDENCE /</w:t>
            </w:r>
          </w:p>
        </w:tc>
        <w:tc>
          <w:tcPr>
            <w:tcW w:w="900" w:type="dxa"/>
            <w:vAlign w:val="bottom"/>
            <w:tcBorders>
              <w:right w:val="single" w:sz="8" w:color="DCDCDE"/>
            </w:tcBorders>
            <w:shd w:val="clear" w:color="auto" w:fill="DCDCDE"/>
          </w:tcPr>
          <w:p>
            <w:pPr>
              <w:spacing w:after="0"/>
              <w:rPr>
                <w:sz w:val="13"/>
                <w:szCs w:val="13"/>
                <w:color w:val="auto"/>
              </w:rPr>
            </w:pPr>
          </w:p>
        </w:tc>
        <w:tc>
          <w:tcPr>
            <w:tcW w:w="760" w:type="dxa"/>
            <w:vAlign w:val="bottom"/>
            <w:tcBorders>
              <w:right w:val="single" w:sz="8" w:color="DCDCDE"/>
            </w:tcBorders>
            <w:shd w:val="clear" w:color="auto" w:fill="DCDCDE"/>
          </w:tcPr>
          <w:p>
            <w:pPr>
              <w:spacing w:after="0"/>
              <w:rPr>
                <w:sz w:val="13"/>
                <w:szCs w:val="13"/>
                <w:color w:val="auto"/>
              </w:rPr>
            </w:pPr>
          </w:p>
        </w:tc>
        <w:tc>
          <w:tcPr>
            <w:tcW w:w="620" w:type="dxa"/>
            <w:vAlign w:val="bottom"/>
            <w:tcBorders>
              <w:right w:val="single" w:sz="8" w:color="DCDCDE"/>
            </w:tcBorders>
            <w:shd w:val="clear" w:color="auto" w:fill="DCDCDE"/>
          </w:tcPr>
          <w:p>
            <w:pPr>
              <w:spacing w:after="0"/>
              <w:rPr>
                <w:sz w:val="13"/>
                <w:szCs w:val="13"/>
                <w:color w:val="auto"/>
              </w:rPr>
            </w:pPr>
          </w:p>
        </w:tc>
        <w:tc>
          <w:tcPr>
            <w:tcW w:w="780" w:type="dxa"/>
            <w:vAlign w:val="bottom"/>
            <w:tcBorders>
              <w:right w:val="single" w:sz="8" w:color="DCDCDE"/>
            </w:tcBorders>
            <w:shd w:val="clear" w:color="auto" w:fill="DCDCDE"/>
          </w:tcPr>
          <w:p>
            <w:pPr>
              <w:spacing w:after="0"/>
              <w:rPr>
                <w:sz w:val="13"/>
                <w:szCs w:val="13"/>
                <w:color w:val="auto"/>
              </w:rPr>
            </w:pPr>
          </w:p>
        </w:tc>
        <w:tc>
          <w:tcPr>
            <w:tcW w:w="740" w:type="dxa"/>
            <w:vAlign w:val="bottom"/>
            <w:tcBorders>
              <w:right w:val="single" w:sz="8" w:color="DCDCDE"/>
            </w:tcBorders>
            <w:shd w:val="clear" w:color="auto" w:fill="DCDCDE"/>
          </w:tcPr>
          <w:p>
            <w:pPr>
              <w:spacing w:after="0"/>
              <w:rPr>
                <w:sz w:val="13"/>
                <w:szCs w:val="13"/>
                <w:color w:val="auto"/>
              </w:rPr>
            </w:pPr>
          </w:p>
        </w:tc>
        <w:tc>
          <w:tcPr>
            <w:tcW w:w="640" w:type="dxa"/>
            <w:vAlign w:val="bottom"/>
            <w:tcBorders>
              <w:right w:val="single" w:sz="8" w:color="DCDCDE"/>
            </w:tcBorders>
            <w:shd w:val="clear" w:color="auto" w:fill="DCDCDE"/>
          </w:tcPr>
          <w:p>
            <w:pPr>
              <w:spacing w:after="0"/>
              <w:rPr>
                <w:sz w:val="13"/>
                <w:szCs w:val="13"/>
                <w:color w:val="auto"/>
              </w:rPr>
            </w:pPr>
          </w:p>
        </w:tc>
        <w:tc>
          <w:tcPr>
            <w:tcW w:w="900" w:type="dxa"/>
            <w:vAlign w:val="bottom"/>
            <w:tcBorders>
              <w:right w:val="single" w:sz="8" w:color="DCDCDE"/>
            </w:tcBorders>
            <w:shd w:val="clear" w:color="auto" w:fill="DCDCDE"/>
          </w:tcPr>
          <w:p>
            <w:pPr>
              <w:spacing w:after="0"/>
              <w:rPr>
                <w:sz w:val="13"/>
                <w:szCs w:val="13"/>
                <w:color w:val="auto"/>
              </w:rPr>
            </w:pPr>
          </w:p>
        </w:tc>
        <w:tc>
          <w:tcPr>
            <w:tcW w:w="800" w:type="dxa"/>
            <w:vAlign w:val="bottom"/>
            <w:tcBorders>
              <w:right w:val="single" w:sz="8" w:color="DCDCDE"/>
            </w:tcBorders>
            <w:shd w:val="clear" w:color="auto" w:fill="DCDCDE"/>
          </w:tcPr>
          <w:p>
            <w:pPr>
              <w:spacing w:after="0"/>
              <w:rPr>
                <w:sz w:val="13"/>
                <w:szCs w:val="13"/>
                <w:color w:val="auto"/>
              </w:rPr>
            </w:pPr>
          </w:p>
        </w:tc>
        <w:tc>
          <w:tcPr>
            <w:tcW w:w="720" w:type="dxa"/>
            <w:vAlign w:val="bottom"/>
            <w:tcBorders>
              <w:right w:val="single" w:sz="8" w:color="DCDCDE"/>
            </w:tcBorders>
            <w:shd w:val="clear" w:color="auto" w:fill="DCDCDE"/>
          </w:tcPr>
          <w:p>
            <w:pPr>
              <w:spacing w:after="0"/>
              <w:rPr>
                <w:sz w:val="13"/>
                <w:szCs w:val="13"/>
                <w:color w:val="auto"/>
              </w:rPr>
            </w:pPr>
          </w:p>
        </w:tc>
        <w:tc>
          <w:tcPr>
            <w:tcW w:w="580" w:type="dxa"/>
            <w:vAlign w:val="bottom"/>
            <w:tcBorders>
              <w:right w:val="single" w:sz="8" w:color="auto"/>
            </w:tcBorders>
            <w:shd w:val="clear" w:color="auto" w:fill="DCDCD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DIVERSITY</w:t>
            </w: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2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40" w:type="dxa"/>
            <w:vAlign w:val="bottom"/>
            <w:tcBorders>
              <w:bottom w:val="single" w:sz="8" w:color="auto"/>
              <w:right w:val="single" w:sz="8" w:color="DCDCDE"/>
            </w:tcBorders>
            <w:shd w:val="clear" w:color="auto" w:fill="DCDCDE"/>
          </w:tcPr>
          <w:p>
            <w:pPr>
              <w:spacing w:after="0"/>
              <w:rPr>
                <w:sz w:val="16"/>
                <w:szCs w:val="16"/>
                <w:color w:val="auto"/>
              </w:rPr>
            </w:pP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80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5" w:lineRule="exact"/>
              <w:rPr>
                <w:sz w:val="20"/>
                <w:szCs w:val="20"/>
                <w:color w:val="auto"/>
              </w:rPr>
            </w:pPr>
            <w:r>
              <w:rPr>
                <w:rFonts w:ascii="Arial" w:cs="Arial" w:eastAsia="Arial" w:hAnsi="Arial"/>
                <w:sz w:val="15"/>
                <w:szCs w:val="15"/>
                <w:color w:val="auto"/>
              </w:rPr>
              <w:t>Experience with</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vMerge w:val="restart"/>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vMerge w:val="restart"/>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Diversity Issues</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Diverse Background</w:t>
            </w:r>
          </w:p>
        </w:tc>
        <w:tc>
          <w:tcPr>
            <w:tcW w:w="9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bottom w:val="single" w:sz="8" w:color="auto"/>
              <w:right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60"/>
        </w:trPr>
        <w:tc>
          <w:tcPr>
            <w:tcW w:w="1140" w:type="dxa"/>
            <w:vAlign w:val="bottom"/>
            <w:tcBorders>
              <w:right w:val="single" w:sz="8" w:color="auto"/>
            </w:tcBorders>
          </w:tcPr>
          <w:p>
            <w:pPr>
              <w:spacing w:after="0"/>
              <w:rPr>
                <w:sz w:val="13"/>
                <w:szCs w:val="13"/>
                <w:color w:val="auto"/>
              </w:rPr>
            </w:pPr>
          </w:p>
        </w:tc>
        <w:tc>
          <w:tcPr>
            <w:tcW w:w="1680" w:type="dxa"/>
            <w:vAlign w:val="bottom"/>
            <w:tcBorders>
              <w:right w:val="single" w:sz="8" w:color="DCDCDE"/>
            </w:tcBorders>
            <w:shd w:val="clear" w:color="auto" w:fill="DCDCDE"/>
          </w:tcPr>
          <w:p>
            <w:pPr>
              <w:ind w:left="240"/>
              <w:spacing w:after="0" w:line="160" w:lineRule="exact"/>
              <w:rPr>
                <w:sz w:val="20"/>
                <w:szCs w:val="20"/>
                <w:color w:val="auto"/>
              </w:rPr>
            </w:pPr>
            <w:r>
              <w:rPr>
                <w:rFonts w:ascii="Arial" w:cs="Arial" w:eastAsia="Arial" w:hAnsi="Arial"/>
                <w:sz w:val="15"/>
                <w:szCs w:val="15"/>
                <w:b w:val="1"/>
                <w:bCs w:val="1"/>
                <w:color w:val="auto"/>
              </w:rPr>
              <w:t>FINANCIAL /</w:t>
            </w:r>
          </w:p>
        </w:tc>
        <w:tc>
          <w:tcPr>
            <w:tcW w:w="900" w:type="dxa"/>
            <w:vAlign w:val="bottom"/>
            <w:tcBorders>
              <w:right w:val="single" w:sz="8" w:color="DCDCDE"/>
            </w:tcBorders>
            <w:shd w:val="clear" w:color="auto" w:fill="DCDCDE"/>
          </w:tcPr>
          <w:p>
            <w:pPr>
              <w:spacing w:after="0"/>
              <w:rPr>
                <w:sz w:val="13"/>
                <w:szCs w:val="13"/>
                <w:color w:val="auto"/>
              </w:rPr>
            </w:pPr>
          </w:p>
        </w:tc>
        <w:tc>
          <w:tcPr>
            <w:tcW w:w="760" w:type="dxa"/>
            <w:vAlign w:val="bottom"/>
            <w:tcBorders>
              <w:right w:val="single" w:sz="8" w:color="DCDCDE"/>
            </w:tcBorders>
            <w:shd w:val="clear" w:color="auto" w:fill="DCDCDE"/>
          </w:tcPr>
          <w:p>
            <w:pPr>
              <w:spacing w:after="0"/>
              <w:rPr>
                <w:sz w:val="13"/>
                <w:szCs w:val="13"/>
                <w:color w:val="auto"/>
              </w:rPr>
            </w:pPr>
          </w:p>
        </w:tc>
        <w:tc>
          <w:tcPr>
            <w:tcW w:w="620" w:type="dxa"/>
            <w:vAlign w:val="bottom"/>
            <w:tcBorders>
              <w:right w:val="single" w:sz="8" w:color="DCDCDE"/>
            </w:tcBorders>
            <w:shd w:val="clear" w:color="auto" w:fill="DCDCDE"/>
          </w:tcPr>
          <w:p>
            <w:pPr>
              <w:spacing w:after="0"/>
              <w:rPr>
                <w:sz w:val="13"/>
                <w:szCs w:val="13"/>
                <w:color w:val="auto"/>
              </w:rPr>
            </w:pPr>
          </w:p>
        </w:tc>
        <w:tc>
          <w:tcPr>
            <w:tcW w:w="780" w:type="dxa"/>
            <w:vAlign w:val="bottom"/>
            <w:tcBorders>
              <w:right w:val="single" w:sz="8" w:color="DCDCDE"/>
            </w:tcBorders>
            <w:shd w:val="clear" w:color="auto" w:fill="DCDCDE"/>
          </w:tcPr>
          <w:p>
            <w:pPr>
              <w:spacing w:after="0"/>
              <w:rPr>
                <w:sz w:val="13"/>
                <w:szCs w:val="13"/>
                <w:color w:val="auto"/>
              </w:rPr>
            </w:pPr>
          </w:p>
        </w:tc>
        <w:tc>
          <w:tcPr>
            <w:tcW w:w="740" w:type="dxa"/>
            <w:vAlign w:val="bottom"/>
            <w:tcBorders>
              <w:right w:val="single" w:sz="8" w:color="DCDCDE"/>
            </w:tcBorders>
            <w:shd w:val="clear" w:color="auto" w:fill="DCDCDE"/>
          </w:tcPr>
          <w:p>
            <w:pPr>
              <w:spacing w:after="0"/>
              <w:rPr>
                <w:sz w:val="13"/>
                <w:szCs w:val="13"/>
                <w:color w:val="auto"/>
              </w:rPr>
            </w:pPr>
          </w:p>
        </w:tc>
        <w:tc>
          <w:tcPr>
            <w:tcW w:w="640" w:type="dxa"/>
            <w:vAlign w:val="bottom"/>
            <w:tcBorders>
              <w:right w:val="single" w:sz="8" w:color="DCDCDE"/>
            </w:tcBorders>
            <w:shd w:val="clear" w:color="auto" w:fill="DCDCDE"/>
          </w:tcPr>
          <w:p>
            <w:pPr>
              <w:spacing w:after="0"/>
              <w:rPr>
                <w:sz w:val="13"/>
                <w:szCs w:val="13"/>
                <w:color w:val="auto"/>
              </w:rPr>
            </w:pPr>
          </w:p>
        </w:tc>
        <w:tc>
          <w:tcPr>
            <w:tcW w:w="900" w:type="dxa"/>
            <w:vAlign w:val="bottom"/>
            <w:tcBorders>
              <w:right w:val="single" w:sz="8" w:color="DCDCDE"/>
            </w:tcBorders>
            <w:shd w:val="clear" w:color="auto" w:fill="DCDCDE"/>
          </w:tcPr>
          <w:p>
            <w:pPr>
              <w:spacing w:after="0"/>
              <w:rPr>
                <w:sz w:val="13"/>
                <w:szCs w:val="13"/>
                <w:color w:val="auto"/>
              </w:rPr>
            </w:pPr>
          </w:p>
        </w:tc>
        <w:tc>
          <w:tcPr>
            <w:tcW w:w="800" w:type="dxa"/>
            <w:vAlign w:val="bottom"/>
            <w:tcBorders>
              <w:right w:val="single" w:sz="8" w:color="DCDCDE"/>
            </w:tcBorders>
            <w:shd w:val="clear" w:color="auto" w:fill="DCDCDE"/>
          </w:tcPr>
          <w:p>
            <w:pPr>
              <w:spacing w:after="0"/>
              <w:rPr>
                <w:sz w:val="13"/>
                <w:szCs w:val="13"/>
                <w:color w:val="auto"/>
              </w:rPr>
            </w:pPr>
          </w:p>
        </w:tc>
        <w:tc>
          <w:tcPr>
            <w:tcW w:w="720" w:type="dxa"/>
            <w:vAlign w:val="bottom"/>
            <w:tcBorders>
              <w:right w:val="single" w:sz="8" w:color="DCDCDE"/>
            </w:tcBorders>
            <w:shd w:val="clear" w:color="auto" w:fill="DCDCDE"/>
          </w:tcPr>
          <w:p>
            <w:pPr>
              <w:spacing w:after="0"/>
              <w:rPr>
                <w:sz w:val="13"/>
                <w:szCs w:val="13"/>
                <w:color w:val="auto"/>
              </w:rPr>
            </w:pPr>
          </w:p>
        </w:tc>
        <w:tc>
          <w:tcPr>
            <w:tcW w:w="580" w:type="dxa"/>
            <w:vAlign w:val="bottom"/>
            <w:tcBorders>
              <w:right w:val="single" w:sz="8" w:color="auto"/>
            </w:tcBorders>
            <w:shd w:val="clear" w:color="auto" w:fill="DCDCD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ACCOUNTING</w:t>
            </w: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2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40" w:type="dxa"/>
            <w:vAlign w:val="bottom"/>
            <w:tcBorders>
              <w:bottom w:val="single" w:sz="8" w:color="auto"/>
              <w:right w:val="single" w:sz="8" w:color="DCDCDE"/>
            </w:tcBorders>
            <w:shd w:val="clear" w:color="auto" w:fill="DCDCDE"/>
          </w:tcPr>
          <w:p>
            <w:pPr>
              <w:spacing w:after="0"/>
              <w:rPr>
                <w:sz w:val="16"/>
                <w:szCs w:val="16"/>
                <w:color w:val="auto"/>
              </w:rPr>
            </w:pP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80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Financial Expertise</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Risk Management /</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vMerge w:val="restart"/>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Internal Controls</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w w:val="99"/>
              </w:rPr>
              <w:t>Investment Banking /</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M&amp;A</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40" w:type="dxa"/>
            <w:vAlign w:val="bottom"/>
            <w:tcBorders>
              <w:right w:val="single" w:sz="8" w:color="auto"/>
            </w:tcBorders>
          </w:tcPr>
          <w:p>
            <w:pPr>
              <w:spacing w:after="0"/>
              <w:rPr>
                <w:sz w:val="13"/>
                <w:szCs w:val="13"/>
                <w:color w:val="auto"/>
              </w:rPr>
            </w:pPr>
          </w:p>
        </w:tc>
        <w:tc>
          <w:tcPr>
            <w:tcW w:w="1680" w:type="dxa"/>
            <w:vAlign w:val="bottom"/>
            <w:tcBorders>
              <w:right w:val="single" w:sz="8" w:color="DCDCDE"/>
            </w:tcBorders>
            <w:shd w:val="clear" w:color="auto" w:fill="DCDCDE"/>
          </w:tcPr>
          <w:p>
            <w:pPr>
              <w:ind w:left="240"/>
              <w:spacing w:after="0" w:line="160" w:lineRule="exact"/>
              <w:rPr>
                <w:sz w:val="20"/>
                <w:szCs w:val="20"/>
                <w:color w:val="auto"/>
              </w:rPr>
            </w:pPr>
            <w:r>
              <w:rPr>
                <w:rFonts w:ascii="Arial" w:cs="Arial" w:eastAsia="Arial" w:hAnsi="Arial"/>
                <w:sz w:val="15"/>
                <w:szCs w:val="15"/>
                <w:b w:val="1"/>
                <w:bCs w:val="1"/>
                <w:color w:val="auto"/>
              </w:rPr>
              <w:t>CORPORATE</w:t>
            </w:r>
          </w:p>
        </w:tc>
        <w:tc>
          <w:tcPr>
            <w:tcW w:w="900" w:type="dxa"/>
            <w:vAlign w:val="bottom"/>
            <w:tcBorders>
              <w:right w:val="single" w:sz="8" w:color="DCDCDE"/>
            </w:tcBorders>
            <w:shd w:val="clear" w:color="auto" w:fill="DCDCDE"/>
          </w:tcPr>
          <w:p>
            <w:pPr>
              <w:spacing w:after="0"/>
              <w:rPr>
                <w:sz w:val="13"/>
                <w:szCs w:val="13"/>
                <w:color w:val="auto"/>
              </w:rPr>
            </w:pPr>
          </w:p>
        </w:tc>
        <w:tc>
          <w:tcPr>
            <w:tcW w:w="760" w:type="dxa"/>
            <w:vAlign w:val="bottom"/>
            <w:tcBorders>
              <w:right w:val="single" w:sz="8" w:color="DCDCDE"/>
            </w:tcBorders>
            <w:shd w:val="clear" w:color="auto" w:fill="DCDCDE"/>
          </w:tcPr>
          <w:p>
            <w:pPr>
              <w:spacing w:after="0"/>
              <w:rPr>
                <w:sz w:val="13"/>
                <w:szCs w:val="13"/>
                <w:color w:val="auto"/>
              </w:rPr>
            </w:pPr>
          </w:p>
        </w:tc>
        <w:tc>
          <w:tcPr>
            <w:tcW w:w="620" w:type="dxa"/>
            <w:vAlign w:val="bottom"/>
            <w:tcBorders>
              <w:right w:val="single" w:sz="8" w:color="DCDCDE"/>
            </w:tcBorders>
            <w:shd w:val="clear" w:color="auto" w:fill="DCDCDE"/>
          </w:tcPr>
          <w:p>
            <w:pPr>
              <w:spacing w:after="0"/>
              <w:rPr>
                <w:sz w:val="13"/>
                <w:szCs w:val="13"/>
                <w:color w:val="auto"/>
              </w:rPr>
            </w:pPr>
          </w:p>
        </w:tc>
        <w:tc>
          <w:tcPr>
            <w:tcW w:w="780" w:type="dxa"/>
            <w:vAlign w:val="bottom"/>
            <w:tcBorders>
              <w:right w:val="single" w:sz="8" w:color="DCDCDE"/>
            </w:tcBorders>
            <w:shd w:val="clear" w:color="auto" w:fill="DCDCDE"/>
          </w:tcPr>
          <w:p>
            <w:pPr>
              <w:spacing w:after="0"/>
              <w:rPr>
                <w:sz w:val="13"/>
                <w:szCs w:val="13"/>
                <w:color w:val="auto"/>
              </w:rPr>
            </w:pPr>
          </w:p>
        </w:tc>
        <w:tc>
          <w:tcPr>
            <w:tcW w:w="740" w:type="dxa"/>
            <w:vAlign w:val="bottom"/>
            <w:tcBorders>
              <w:right w:val="single" w:sz="8" w:color="DCDCDE"/>
            </w:tcBorders>
            <w:shd w:val="clear" w:color="auto" w:fill="DCDCDE"/>
          </w:tcPr>
          <w:p>
            <w:pPr>
              <w:spacing w:after="0"/>
              <w:rPr>
                <w:sz w:val="13"/>
                <w:szCs w:val="13"/>
                <w:color w:val="auto"/>
              </w:rPr>
            </w:pPr>
          </w:p>
        </w:tc>
        <w:tc>
          <w:tcPr>
            <w:tcW w:w="640" w:type="dxa"/>
            <w:vAlign w:val="bottom"/>
            <w:tcBorders>
              <w:right w:val="single" w:sz="8" w:color="DCDCDE"/>
            </w:tcBorders>
            <w:shd w:val="clear" w:color="auto" w:fill="DCDCDE"/>
          </w:tcPr>
          <w:p>
            <w:pPr>
              <w:spacing w:after="0"/>
              <w:rPr>
                <w:sz w:val="13"/>
                <w:szCs w:val="13"/>
                <w:color w:val="auto"/>
              </w:rPr>
            </w:pPr>
          </w:p>
        </w:tc>
        <w:tc>
          <w:tcPr>
            <w:tcW w:w="900" w:type="dxa"/>
            <w:vAlign w:val="bottom"/>
            <w:tcBorders>
              <w:right w:val="single" w:sz="8" w:color="DCDCDE"/>
            </w:tcBorders>
            <w:shd w:val="clear" w:color="auto" w:fill="DCDCDE"/>
          </w:tcPr>
          <w:p>
            <w:pPr>
              <w:spacing w:after="0"/>
              <w:rPr>
                <w:sz w:val="13"/>
                <w:szCs w:val="13"/>
                <w:color w:val="auto"/>
              </w:rPr>
            </w:pPr>
          </w:p>
        </w:tc>
        <w:tc>
          <w:tcPr>
            <w:tcW w:w="800" w:type="dxa"/>
            <w:vAlign w:val="bottom"/>
            <w:tcBorders>
              <w:right w:val="single" w:sz="8" w:color="DCDCDE"/>
            </w:tcBorders>
            <w:shd w:val="clear" w:color="auto" w:fill="DCDCDE"/>
          </w:tcPr>
          <w:p>
            <w:pPr>
              <w:spacing w:after="0"/>
              <w:rPr>
                <w:sz w:val="13"/>
                <w:szCs w:val="13"/>
                <w:color w:val="auto"/>
              </w:rPr>
            </w:pPr>
          </w:p>
        </w:tc>
        <w:tc>
          <w:tcPr>
            <w:tcW w:w="720" w:type="dxa"/>
            <w:vAlign w:val="bottom"/>
            <w:tcBorders>
              <w:right w:val="single" w:sz="8" w:color="DCDCDE"/>
            </w:tcBorders>
            <w:shd w:val="clear" w:color="auto" w:fill="DCDCDE"/>
          </w:tcPr>
          <w:p>
            <w:pPr>
              <w:spacing w:after="0"/>
              <w:rPr>
                <w:sz w:val="13"/>
                <w:szCs w:val="13"/>
                <w:color w:val="auto"/>
              </w:rPr>
            </w:pPr>
          </w:p>
        </w:tc>
        <w:tc>
          <w:tcPr>
            <w:tcW w:w="580" w:type="dxa"/>
            <w:vAlign w:val="bottom"/>
            <w:tcBorders>
              <w:right w:val="single" w:sz="8" w:color="auto"/>
            </w:tcBorders>
            <w:shd w:val="clear" w:color="auto" w:fill="DCDCD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GOVERNANCE</w:t>
            </w: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2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40" w:type="dxa"/>
            <w:vAlign w:val="bottom"/>
            <w:tcBorders>
              <w:bottom w:val="single" w:sz="8" w:color="auto"/>
              <w:right w:val="single" w:sz="8" w:color="DCDCDE"/>
            </w:tcBorders>
            <w:shd w:val="clear" w:color="auto" w:fill="DCDCDE"/>
          </w:tcPr>
          <w:p>
            <w:pPr>
              <w:spacing w:after="0"/>
              <w:rPr>
                <w:sz w:val="16"/>
                <w:szCs w:val="16"/>
                <w:color w:val="auto"/>
              </w:rPr>
            </w:pP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80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5" w:lineRule="exact"/>
              <w:rPr>
                <w:sz w:val="20"/>
                <w:szCs w:val="20"/>
                <w:color w:val="auto"/>
              </w:rPr>
            </w:pPr>
            <w:r>
              <w:rPr>
                <w:rFonts w:ascii="Arial" w:cs="Arial" w:eastAsia="Arial" w:hAnsi="Arial"/>
                <w:sz w:val="15"/>
                <w:szCs w:val="15"/>
                <w:color w:val="auto"/>
              </w:rPr>
              <w:t>Governance</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vMerge w:val="restart"/>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vMerge w:val="restart"/>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Oversight</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Executive</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vMerge w:val="restart"/>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vMerge w:val="restart"/>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Compensation</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40" w:type="dxa"/>
            <w:vAlign w:val="bottom"/>
            <w:tcBorders>
              <w:right w:val="single" w:sz="8" w:color="auto"/>
            </w:tcBorders>
          </w:tcPr>
          <w:p>
            <w:pPr>
              <w:spacing w:after="0"/>
              <w:rPr>
                <w:sz w:val="13"/>
                <w:szCs w:val="13"/>
                <w:color w:val="auto"/>
              </w:rPr>
            </w:pPr>
          </w:p>
        </w:tc>
        <w:tc>
          <w:tcPr>
            <w:tcW w:w="1680" w:type="dxa"/>
            <w:vAlign w:val="bottom"/>
            <w:tcBorders>
              <w:right w:val="single" w:sz="8" w:color="DCDCDE"/>
            </w:tcBorders>
            <w:shd w:val="clear" w:color="auto" w:fill="DCDCDE"/>
          </w:tcPr>
          <w:p>
            <w:pPr>
              <w:ind w:left="240"/>
              <w:spacing w:after="0" w:line="160" w:lineRule="exact"/>
              <w:rPr>
                <w:sz w:val="20"/>
                <w:szCs w:val="20"/>
                <w:color w:val="auto"/>
              </w:rPr>
            </w:pPr>
            <w:r>
              <w:rPr>
                <w:rFonts w:ascii="Arial" w:cs="Arial" w:eastAsia="Arial" w:hAnsi="Arial"/>
                <w:sz w:val="15"/>
                <w:szCs w:val="15"/>
                <w:b w:val="1"/>
                <w:bCs w:val="1"/>
                <w:color w:val="auto"/>
              </w:rPr>
              <w:t>SPECIALIZED</w:t>
            </w:r>
          </w:p>
        </w:tc>
        <w:tc>
          <w:tcPr>
            <w:tcW w:w="900" w:type="dxa"/>
            <w:vAlign w:val="bottom"/>
            <w:tcBorders>
              <w:right w:val="single" w:sz="8" w:color="DCDCDE"/>
            </w:tcBorders>
            <w:shd w:val="clear" w:color="auto" w:fill="DCDCDE"/>
          </w:tcPr>
          <w:p>
            <w:pPr>
              <w:spacing w:after="0"/>
              <w:rPr>
                <w:sz w:val="13"/>
                <w:szCs w:val="13"/>
                <w:color w:val="auto"/>
              </w:rPr>
            </w:pPr>
          </w:p>
        </w:tc>
        <w:tc>
          <w:tcPr>
            <w:tcW w:w="760" w:type="dxa"/>
            <w:vAlign w:val="bottom"/>
            <w:tcBorders>
              <w:right w:val="single" w:sz="8" w:color="DCDCDE"/>
            </w:tcBorders>
            <w:shd w:val="clear" w:color="auto" w:fill="DCDCDE"/>
          </w:tcPr>
          <w:p>
            <w:pPr>
              <w:spacing w:after="0"/>
              <w:rPr>
                <w:sz w:val="13"/>
                <w:szCs w:val="13"/>
                <w:color w:val="auto"/>
              </w:rPr>
            </w:pPr>
          </w:p>
        </w:tc>
        <w:tc>
          <w:tcPr>
            <w:tcW w:w="620" w:type="dxa"/>
            <w:vAlign w:val="bottom"/>
            <w:tcBorders>
              <w:right w:val="single" w:sz="8" w:color="DCDCDE"/>
            </w:tcBorders>
            <w:shd w:val="clear" w:color="auto" w:fill="DCDCDE"/>
          </w:tcPr>
          <w:p>
            <w:pPr>
              <w:spacing w:after="0"/>
              <w:rPr>
                <w:sz w:val="13"/>
                <w:szCs w:val="13"/>
                <w:color w:val="auto"/>
              </w:rPr>
            </w:pPr>
          </w:p>
        </w:tc>
        <w:tc>
          <w:tcPr>
            <w:tcW w:w="780" w:type="dxa"/>
            <w:vAlign w:val="bottom"/>
            <w:tcBorders>
              <w:right w:val="single" w:sz="8" w:color="DCDCDE"/>
            </w:tcBorders>
            <w:shd w:val="clear" w:color="auto" w:fill="DCDCDE"/>
          </w:tcPr>
          <w:p>
            <w:pPr>
              <w:spacing w:after="0"/>
              <w:rPr>
                <w:sz w:val="13"/>
                <w:szCs w:val="13"/>
                <w:color w:val="auto"/>
              </w:rPr>
            </w:pPr>
          </w:p>
        </w:tc>
        <w:tc>
          <w:tcPr>
            <w:tcW w:w="740" w:type="dxa"/>
            <w:vAlign w:val="bottom"/>
            <w:tcBorders>
              <w:right w:val="single" w:sz="8" w:color="DCDCDE"/>
            </w:tcBorders>
            <w:shd w:val="clear" w:color="auto" w:fill="DCDCDE"/>
          </w:tcPr>
          <w:p>
            <w:pPr>
              <w:spacing w:after="0"/>
              <w:rPr>
                <w:sz w:val="13"/>
                <w:szCs w:val="13"/>
                <w:color w:val="auto"/>
              </w:rPr>
            </w:pPr>
          </w:p>
        </w:tc>
        <w:tc>
          <w:tcPr>
            <w:tcW w:w="640" w:type="dxa"/>
            <w:vAlign w:val="bottom"/>
            <w:tcBorders>
              <w:right w:val="single" w:sz="8" w:color="DCDCDE"/>
            </w:tcBorders>
            <w:shd w:val="clear" w:color="auto" w:fill="DCDCDE"/>
          </w:tcPr>
          <w:p>
            <w:pPr>
              <w:spacing w:after="0"/>
              <w:rPr>
                <w:sz w:val="13"/>
                <w:szCs w:val="13"/>
                <w:color w:val="auto"/>
              </w:rPr>
            </w:pPr>
          </w:p>
        </w:tc>
        <w:tc>
          <w:tcPr>
            <w:tcW w:w="900" w:type="dxa"/>
            <w:vAlign w:val="bottom"/>
            <w:tcBorders>
              <w:right w:val="single" w:sz="8" w:color="DCDCDE"/>
            </w:tcBorders>
            <w:shd w:val="clear" w:color="auto" w:fill="DCDCDE"/>
          </w:tcPr>
          <w:p>
            <w:pPr>
              <w:spacing w:after="0"/>
              <w:rPr>
                <w:sz w:val="13"/>
                <w:szCs w:val="13"/>
                <w:color w:val="auto"/>
              </w:rPr>
            </w:pPr>
          </w:p>
        </w:tc>
        <w:tc>
          <w:tcPr>
            <w:tcW w:w="800" w:type="dxa"/>
            <w:vAlign w:val="bottom"/>
            <w:tcBorders>
              <w:right w:val="single" w:sz="8" w:color="DCDCDE"/>
            </w:tcBorders>
            <w:shd w:val="clear" w:color="auto" w:fill="DCDCDE"/>
          </w:tcPr>
          <w:p>
            <w:pPr>
              <w:spacing w:after="0"/>
              <w:rPr>
                <w:sz w:val="13"/>
                <w:szCs w:val="13"/>
                <w:color w:val="auto"/>
              </w:rPr>
            </w:pPr>
          </w:p>
        </w:tc>
        <w:tc>
          <w:tcPr>
            <w:tcW w:w="720" w:type="dxa"/>
            <w:vAlign w:val="bottom"/>
            <w:tcBorders>
              <w:right w:val="single" w:sz="8" w:color="DCDCDE"/>
            </w:tcBorders>
            <w:shd w:val="clear" w:color="auto" w:fill="DCDCDE"/>
          </w:tcPr>
          <w:p>
            <w:pPr>
              <w:spacing w:after="0"/>
              <w:rPr>
                <w:sz w:val="13"/>
                <w:szCs w:val="13"/>
                <w:color w:val="auto"/>
              </w:rPr>
            </w:pPr>
          </w:p>
        </w:tc>
        <w:tc>
          <w:tcPr>
            <w:tcW w:w="580" w:type="dxa"/>
            <w:vAlign w:val="bottom"/>
            <w:tcBorders>
              <w:right w:val="single" w:sz="8" w:color="auto"/>
            </w:tcBorders>
            <w:shd w:val="clear" w:color="auto" w:fill="DCDCD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DCDCDE"/>
            </w:tcBorders>
            <w:shd w:val="clear" w:color="auto" w:fill="DCDCDE"/>
          </w:tcPr>
          <w:p>
            <w:pPr>
              <w:ind w:left="380"/>
              <w:spacing w:after="0"/>
              <w:rPr>
                <w:sz w:val="20"/>
                <w:szCs w:val="20"/>
                <w:color w:val="auto"/>
              </w:rPr>
            </w:pPr>
            <w:r>
              <w:rPr>
                <w:rFonts w:ascii="Arial" w:cs="Arial" w:eastAsia="Arial" w:hAnsi="Arial"/>
                <w:sz w:val="15"/>
                <w:szCs w:val="15"/>
                <w:b w:val="1"/>
                <w:bCs w:val="1"/>
                <w:color w:val="auto"/>
              </w:rPr>
              <w:t>EXPERTISE</w:t>
            </w: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760" w:type="dxa"/>
            <w:vAlign w:val="bottom"/>
            <w:tcBorders>
              <w:bottom w:val="single" w:sz="8" w:color="auto"/>
              <w:right w:val="single" w:sz="8" w:color="DCDCDE"/>
            </w:tcBorders>
            <w:shd w:val="clear" w:color="auto" w:fill="DCDCDE"/>
          </w:tcPr>
          <w:p>
            <w:pPr>
              <w:spacing w:after="0"/>
              <w:rPr>
                <w:sz w:val="16"/>
                <w:szCs w:val="16"/>
                <w:color w:val="auto"/>
              </w:rPr>
            </w:pPr>
          </w:p>
        </w:tc>
        <w:tc>
          <w:tcPr>
            <w:tcW w:w="620" w:type="dxa"/>
            <w:vAlign w:val="bottom"/>
            <w:tcBorders>
              <w:bottom w:val="single" w:sz="8" w:color="auto"/>
              <w:right w:val="single" w:sz="8" w:color="DCDCDE"/>
            </w:tcBorders>
            <w:shd w:val="clear" w:color="auto" w:fill="DCDCDE"/>
          </w:tcPr>
          <w:p>
            <w:pPr>
              <w:spacing w:after="0"/>
              <w:rPr>
                <w:sz w:val="16"/>
                <w:szCs w:val="16"/>
                <w:color w:val="auto"/>
              </w:rPr>
            </w:pPr>
          </w:p>
        </w:tc>
        <w:tc>
          <w:tcPr>
            <w:tcW w:w="780" w:type="dxa"/>
            <w:vAlign w:val="bottom"/>
            <w:tcBorders>
              <w:bottom w:val="single" w:sz="8" w:color="auto"/>
              <w:right w:val="single" w:sz="8" w:color="DCDCDE"/>
            </w:tcBorders>
            <w:shd w:val="clear" w:color="auto" w:fill="DCDCDE"/>
          </w:tcPr>
          <w:p>
            <w:pPr>
              <w:spacing w:after="0"/>
              <w:rPr>
                <w:sz w:val="16"/>
                <w:szCs w:val="16"/>
                <w:color w:val="auto"/>
              </w:rPr>
            </w:pPr>
          </w:p>
        </w:tc>
        <w:tc>
          <w:tcPr>
            <w:tcW w:w="740" w:type="dxa"/>
            <w:vAlign w:val="bottom"/>
            <w:tcBorders>
              <w:bottom w:val="single" w:sz="8" w:color="auto"/>
              <w:right w:val="single" w:sz="8" w:color="DCDCDE"/>
            </w:tcBorders>
            <w:shd w:val="clear" w:color="auto" w:fill="DCDCDE"/>
          </w:tcPr>
          <w:p>
            <w:pPr>
              <w:spacing w:after="0"/>
              <w:rPr>
                <w:sz w:val="16"/>
                <w:szCs w:val="16"/>
                <w:color w:val="auto"/>
              </w:rPr>
            </w:pPr>
          </w:p>
        </w:tc>
        <w:tc>
          <w:tcPr>
            <w:tcW w:w="640" w:type="dxa"/>
            <w:vAlign w:val="bottom"/>
            <w:tcBorders>
              <w:bottom w:val="single" w:sz="8" w:color="auto"/>
              <w:right w:val="single" w:sz="8" w:color="DCDCDE"/>
            </w:tcBorders>
            <w:shd w:val="clear" w:color="auto" w:fill="DCDCDE"/>
          </w:tcPr>
          <w:p>
            <w:pPr>
              <w:spacing w:after="0"/>
              <w:rPr>
                <w:sz w:val="16"/>
                <w:szCs w:val="16"/>
                <w:color w:val="auto"/>
              </w:rPr>
            </w:pPr>
          </w:p>
        </w:tc>
        <w:tc>
          <w:tcPr>
            <w:tcW w:w="900" w:type="dxa"/>
            <w:vAlign w:val="bottom"/>
            <w:tcBorders>
              <w:bottom w:val="single" w:sz="8" w:color="auto"/>
              <w:right w:val="single" w:sz="8" w:color="DCDCDE"/>
            </w:tcBorders>
            <w:shd w:val="clear" w:color="auto" w:fill="DCDCDE"/>
          </w:tcPr>
          <w:p>
            <w:pPr>
              <w:spacing w:after="0"/>
              <w:rPr>
                <w:sz w:val="16"/>
                <w:szCs w:val="16"/>
                <w:color w:val="auto"/>
              </w:rPr>
            </w:pPr>
          </w:p>
        </w:tc>
        <w:tc>
          <w:tcPr>
            <w:tcW w:w="800" w:type="dxa"/>
            <w:vAlign w:val="bottom"/>
            <w:tcBorders>
              <w:bottom w:val="single" w:sz="8" w:color="auto"/>
              <w:right w:val="single" w:sz="8" w:color="DCDCDE"/>
            </w:tcBorders>
            <w:shd w:val="clear" w:color="auto" w:fill="DCDCDE"/>
          </w:tcPr>
          <w:p>
            <w:pPr>
              <w:spacing w:after="0"/>
              <w:rPr>
                <w:sz w:val="16"/>
                <w:szCs w:val="16"/>
                <w:color w:val="auto"/>
              </w:rPr>
            </w:pPr>
          </w:p>
        </w:tc>
        <w:tc>
          <w:tcPr>
            <w:tcW w:w="720" w:type="dxa"/>
            <w:vAlign w:val="bottom"/>
            <w:tcBorders>
              <w:bottom w:val="single" w:sz="8" w:color="auto"/>
              <w:right w:val="single" w:sz="8" w:color="DCDCDE"/>
            </w:tcBorders>
            <w:shd w:val="clear" w:color="auto" w:fill="DCDCDE"/>
          </w:tcPr>
          <w:p>
            <w:pPr>
              <w:spacing w:after="0"/>
              <w:rPr>
                <w:sz w:val="16"/>
                <w:szCs w:val="16"/>
                <w:color w:val="auto"/>
              </w:rPr>
            </w:pPr>
          </w:p>
        </w:tc>
        <w:tc>
          <w:tcPr>
            <w:tcW w:w="580" w:type="dxa"/>
            <w:vAlign w:val="bottom"/>
            <w:tcBorders>
              <w:bottom w:val="single" w:sz="8" w:color="auto"/>
              <w:right w:val="single" w:sz="8" w:color="auto"/>
            </w:tcBorders>
            <w:shd w:val="clear" w:color="auto" w:fill="DCDCDE"/>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Pharma / Biotech</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bottom w:val="single" w:sz="8" w:color="auto"/>
              <w:right w:val="single" w:sz="8" w:color="auto"/>
            </w:tcBorders>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Medicine / Science</w:t>
            </w:r>
          </w:p>
        </w:tc>
        <w:tc>
          <w:tcPr>
            <w:tcW w:w="90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bottom w:val="single" w:sz="8" w:color="auto"/>
              <w:right w:val="single" w:sz="8" w:color="auto"/>
            </w:tcBorders>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Government (Health,</w:t>
            </w:r>
          </w:p>
        </w:tc>
        <w:tc>
          <w:tcPr>
            <w:tcW w:w="9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Defense,</w:t>
            </w:r>
          </w:p>
        </w:tc>
        <w:tc>
          <w:tcPr>
            <w:tcW w:w="9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ind w:left="380"/>
              <w:spacing w:after="0"/>
              <w:rPr>
                <w:sz w:val="20"/>
                <w:szCs w:val="20"/>
                <w:color w:val="auto"/>
              </w:rPr>
            </w:pPr>
            <w:r>
              <w:rPr>
                <w:rFonts w:ascii="Arial" w:cs="Arial" w:eastAsia="Arial" w:hAnsi="Arial"/>
                <w:sz w:val="15"/>
                <w:szCs w:val="15"/>
                <w:color w:val="auto"/>
              </w:rPr>
              <w:t>Intelligence,</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vMerge w:val="restart"/>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tcPr>
          <w:p>
            <w:pPr>
              <w:spacing w:after="0"/>
              <w:rPr>
                <w:sz w:val="15"/>
                <w:szCs w:val="15"/>
                <w:color w:val="auto"/>
              </w:rPr>
            </w:pPr>
          </w:p>
        </w:tc>
        <w:tc>
          <w:tcPr>
            <w:tcW w:w="7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vMerge w:val="restart"/>
          </w:tcPr>
          <w:p>
            <w:pPr>
              <w:jc w:val="center"/>
              <w:ind w:right="29"/>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Security)</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Sales / Marketing /</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Distribution</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40" w:type="dxa"/>
            <w:vAlign w:val="bottom"/>
            <w:tcBorders>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w w:val="94"/>
              </w:rPr>
              <w:t>International Business</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bottom w:val="single" w:sz="8" w:color="auto"/>
              <w:right w:val="single" w:sz="8" w:color="auto"/>
            </w:tcBorders>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bottom w:val="single" w:sz="8" w:color="auto"/>
              <w:right w:val="single" w:sz="8" w:color="auto"/>
            </w:tcBorders>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bottom w:val="single" w:sz="8" w:color="auto"/>
              <w:right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ind w:left="240"/>
              <w:spacing w:after="0" w:line="164" w:lineRule="exact"/>
              <w:rPr>
                <w:sz w:val="20"/>
                <w:szCs w:val="20"/>
                <w:color w:val="auto"/>
              </w:rPr>
            </w:pPr>
            <w:r>
              <w:rPr>
                <w:rFonts w:ascii="Arial" w:cs="Arial" w:eastAsia="Arial" w:hAnsi="Arial"/>
                <w:sz w:val="15"/>
                <w:szCs w:val="15"/>
                <w:color w:val="auto"/>
              </w:rPr>
              <w:t>Investor / Public</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6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620" w:type="dxa"/>
            <w:vAlign w:val="bottom"/>
            <w:tcBorders>
              <w:right w:val="single" w:sz="8" w:color="auto"/>
            </w:tcBorders>
            <w:vMerge w:val="restart"/>
          </w:tcPr>
          <w:p>
            <w:pPr>
              <w:jc w:val="center"/>
              <w:ind w:right="9"/>
              <w:spacing w:after="0" w:line="151" w:lineRule="exact"/>
              <w:rPr>
                <w:sz w:val="20"/>
                <w:szCs w:val="20"/>
                <w:color w:val="auto"/>
              </w:rPr>
            </w:pPr>
            <w:r>
              <w:rPr>
                <w:rFonts w:ascii="MS PGothic" w:cs="MS PGothic" w:eastAsia="MS PGothic" w:hAnsi="MS PGothic"/>
                <w:sz w:val="15"/>
                <w:szCs w:val="15"/>
                <w:color w:val="auto"/>
                <w:w w:val="93"/>
              </w:rPr>
              <w:t>✓</w:t>
            </w:r>
          </w:p>
        </w:tc>
        <w:tc>
          <w:tcPr>
            <w:tcW w:w="78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74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64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900" w:type="dxa"/>
            <w:vAlign w:val="bottom"/>
            <w:tcBorders>
              <w:right w:val="single" w:sz="8" w:color="auto"/>
            </w:tcBorders>
            <w:vMerge w:val="restart"/>
          </w:tcPr>
          <w:p>
            <w:pPr>
              <w:jc w:val="center"/>
              <w:spacing w:after="0" w:line="151" w:lineRule="exact"/>
              <w:rPr>
                <w:sz w:val="20"/>
                <w:szCs w:val="20"/>
                <w:color w:val="auto"/>
              </w:rPr>
            </w:pPr>
            <w:r>
              <w:rPr>
                <w:rFonts w:ascii="MS PGothic" w:cs="MS PGothic" w:eastAsia="MS PGothic" w:hAnsi="MS PGothic"/>
                <w:sz w:val="15"/>
                <w:szCs w:val="15"/>
                <w:color w:val="auto"/>
                <w:w w:val="79"/>
              </w:rPr>
              <w:t>✓</w:t>
            </w:r>
          </w:p>
        </w:tc>
        <w:tc>
          <w:tcPr>
            <w:tcW w:w="80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720" w:type="dxa"/>
            <w:vAlign w:val="bottom"/>
            <w:tcBorders>
              <w:right w:val="single" w:sz="8" w:color="auto"/>
            </w:tcBorders>
            <w:vMerge w:val="restart"/>
          </w:tcPr>
          <w:p>
            <w:pPr>
              <w:jc w:val="center"/>
              <w:ind w:right="8"/>
              <w:spacing w:after="0" w:line="151" w:lineRule="exact"/>
              <w:rPr>
                <w:sz w:val="20"/>
                <w:szCs w:val="20"/>
                <w:color w:val="auto"/>
              </w:rPr>
            </w:pPr>
            <w:r>
              <w:rPr>
                <w:rFonts w:ascii="MS PGothic" w:cs="MS PGothic" w:eastAsia="MS PGothic" w:hAnsi="MS PGothic"/>
                <w:sz w:val="15"/>
                <w:szCs w:val="15"/>
                <w:color w:val="auto"/>
                <w:w w:val="79"/>
              </w:rPr>
              <w:t>✓</w:t>
            </w:r>
          </w:p>
        </w:tc>
        <w:tc>
          <w:tcPr>
            <w:tcW w:w="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140" w:type="dxa"/>
            <w:vAlign w:val="bottom"/>
            <w:tcBorders>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5"/>
                <w:szCs w:val="15"/>
                <w:color w:val="auto"/>
              </w:rPr>
              <w:t>Relations</w:t>
            </w: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760" w:type="dxa"/>
            <w:vAlign w:val="bottom"/>
            <w:tcBorders>
              <w:bottom w:val="single" w:sz="8" w:color="auto"/>
              <w:right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40" w:type="dxa"/>
            <w:vAlign w:val="bottom"/>
            <w:tcBorders>
              <w:bottom w:val="single" w:sz="8" w:color="auto"/>
              <w:right w:val="single" w:sz="8" w:color="auto"/>
            </w:tcBorders>
            <w:vMerge w:val="continue"/>
          </w:tcPr>
          <w:p>
            <w:pPr>
              <w:spacing w:after="0"/>
              <w:rPr>
                <w:sz w:val="16"/>
                <w:szCs w:val="16"/>
                <w:color w:val="auto"/>
              </w:rPr>
            </w:pPr>
          </w:p>
        </w:tc>
        <w:tc>
          <w:tcPr>
            <w:tcW w:w="640" w:type="dxa"/>
            <w:vAlign w:val="bottom"/>
            <w:tcBorders>
              <w:bottom w:val="single" w:sz="8" w:color="auto"/>
              <w:right w:val="single" w:sz="8" w:color="auto"/>
            </w:tcBorders>
            <w:vMerge w:val="continue"/>
          </w:tcPr>
          <w:p>
            <w:pPr>
              <w:spacing w:after="0"/>
              <w:rPr>
                <w:sz w:val="16"/>
                <w:szCs w:val="16"/>
                <w:color w:val="auto"/>
              </w:rPr>
            </w:pPr>
          </w:p>
        </w:tc>
        <w:tc>
          <w:tcPr>
            <w:tcW w:w="90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5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2820" w:type="dxa"/>
            <w:vAlign w:val="bottom"/>
            <w:gridSpan w:val="2"/>
          </w:tcPr>
          <w:p>
            <w:pPr>
              <w:spacing w:after="0"/>
              <w:rPr>
                <w:sz w:val="20"/>
                <w:szCs w:val="20"/>
                <w:color w:val="auto"/>
              </w:rPr>
            </w:pPr>
            <w:r>
              <w:rPr>
                <w:rFonts w:ascii="Arial" w:cs="Arial" w:eastAsia="Arial" w:hAnsi="Arial"/>
                <w:sz w:val="15"/>
                <w:szCs w:val="15"/>
                <w:b w:val="1"/>
                <w:bCs w:val="1"/>
                <w:color w:val="auto"/>
                <w:w w:val="96"/>
              </w:rPr>
              <w:t>Governance Structure and Lead Director</w:t>
            </w: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44"/>
        <w:spacing w:after="0" w:line="301" w:lineRule="auto"/>
        <w:rPr>
          <w:sz w:val="20"/>
          <w:szCs w:val="20"/>
          <w:color w:val="auto"/>
        </w:rPr>
      </w:pPr>
      <w:r>
        <w:rPr>
          <w:rFonts w:ascii="Arial" w:cs="Arial" w:eastAsia="Arial" w:hAnsi="Arial"/>
          <w:sz w:val="13"/>
          <w:szCs w:val="13"/>
          <w:color w:val="auto"/>
        </w:rPr>
        <w:t>In December 2011, our Board determined to separate the positions of chief executive officer and board chairman, appointing Fuad El-Hibri as executive chairman of the Board and our former chief executive officer, Daniel J. Abdun-Nabi as chief executive officer, effective April 1, 2012. Mr. El-Hibri previously served as our chief executive officer and chairman of our Board of Directors from June 2004 through March 2012. Mr. Abdun-Nabi served as our chief executive officer from April 2012 through March 2019. We have continued to maintain the separate positions of chief executive officer and board chairman with the April 2019 appointment of Robert G. Kramer, as president and chief executive officer. The Board believes this separate governance structure is optimal because it enables the chief executive officer to focus his entire energy on running the company while affording us the benefits of continued leadership and other contributions from Mr. El-Hibri, including advising on the strategic direction of the company, collaborating on acquisitions and presiding over meetings of the Board.</w:t>
      </w:r>
    </w:p>
    <w:p>
      <w:pPr>
        <w:spacing w:after="0" w:line="137"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5"/>
          <w:szCs w:val="15"/>
          <w:color w:val="auto"/>
        </w:rPr>
        <w:t>Our corporate governance guidelines provide that in the event the chairman of our Board of Directors is not an independent director, a majority of the Board's independent directors may appoint an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0" w:name="page21"/>
    <w:bookmarkEnd w:id="2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spacing w:after="0" w:line="309" w:lineRule="auto"/>
        <w:rPr>
          <w:sz w:val="20"/>
          <w:szCs w:val="20"/>
          <w:color w:val="auto"/>
        </w:rPr>
      </w:pPr>
      <w:r>
        <w:rPr>
          <w:rFonts w:ascii="Arial" w:cs="Arial" w:eastAsia="Arial" w:hAnsi="Arial"/>
          <w:sz w:val="13"/>
          <w:szCs w:val="13"/>
          <w:color w:val="auto"/>
        </w:rPr>
        <w:t>independent director, who has been nominated by the nominating and corporate governance committee, to serve as lead director. Because Mr. El-Hibri is not an independent director, our independent directors, based on the recommendation of the nominating and corporate governance committee, re-appointed Mr. Richard as the lead director in May 2019. As lead director, Mr. Richard serves as the presiding director at all executive sessions of our non-management or independent directors, facilitates communications between Mr. El-Hibri and other members of the Board, determines the need for special meetings of the Board and consults with Mr. El-Hibri on matters relating to corporate governance and Board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Communicating with the Board of Directors</w:t>
      </w:r>
    </w:p>
    <w:p>
      <w:pPr>
        <w:spacing w:after="0" w:line="192" w:lineRule="exact"/>
        <w:rPr>
          <w:sz w:val="20"/>
          <w:szCs w:val="20"/>
          <w:color w:val="auto"/>
        </w:rPr>
      </w:pPr>
    </w:p>
    <w:p>
      <w:pPr>
        <w:jc w:val="both"/>
        <w:ind w:firstLine="396"/>
        <w:spacing w:after="0" w:line="260" w:lineRule="auto"/>
        <w:rPr>
          <w:sz w:val="20"/>
          <w:szCs w:val="20"/>
          <w:color w:val="auto"/>
        </w:rPr>
      </w:pPr>
      <w:r>
        <w:rPr>
          <w:rFonts w:ascii="Arial" w:cs="Arial" w:eastAsia="Arial" w:hAnsi="Arial"/>
          <w:sz w:val="15"/>
          <w:szCs w:val="15"/>
          <w:color w:val="auto"/>
        </w:rPr>
        <w:t>Our Board will give appropriate attention to written communications that are submitted by stockholders and other interested parties and will respond if and as appropriate. The lead director, with the assistance of our corporate secretary is primarily responsible for monitoring communications from stockholders and other interested parties and for providing copies or summaries to the other directors as the lead director considers appropriate.</w:t>
      </w:r>
    </w:p>
    <w:p>
      <w:pPr>
        <w:spacing w:after="0" w:line="161" w:lineRule="exact"/>
        <w:rPr>
          <w:sz w:val="20"/>
          <w:szCs w:val="20"/>
          <w:color w:val="auto"/>
        </w:rPr>
      </w:pPr>
    </w:p>
    <w:p>
      <w:pPr>
        <w:jc w:val="both"/>
        <w:ind w:firstLine="453"/>
        <w:spacing w:after="0" w:line="319" w:lineRule="auto"/>
        <w:rPr>
          <w:sz w:val="20"/>
          <w:szCs w:val="20"/>
          <w:color w:val="auto"/>
        </w:rPr>
      </w:pPr>
      <w:r>
        <w:rPr>
          <w:rFonts w:ascii="Arial" w:cs="Arial" w:eastAsia="Arial" w:hAnsi="Arial"/>
          <w:sz w:val="13"/>
          <w:szCs w:val="13"/>
          <w:color w:val="auto"/>
        </w:rPr>
        <w:t>Under procedures approved by a majority of our independent directors, communications are forwarded to all directors if they relate to important substantive matters and include suggestions or comments that the lead director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25" w:lineRule="exact"/>
        <w:rPr>
          <w:sz w:val="20"/>
          <w:szCs w:val="20"/>
          <w:color w:val="auto"/>
        </w:rPr>
      </w:pPr>
    </w:p>
    <w:p>
      <w:pPr>
        <w:jc w:val="both"/>
        <w:ind w:right="20" w:firstLine="320"/>
        <w:spacing w:after="0" w:line="309" w:lineRule="auto"/>
        <w:rPr>
          <w:sz w:val="20"/>
          <w:szCs w:val="20"/>
          <w:color w:val="auto"/>
        </w:rPr>
      </w:pPr>
      <w:r>
        <w:rPr>
          <w:rFonts w:ascii="Arial" w:cs="Arial" w:eastAsia="Arial" w:hAnsi="Arial"/>
          <w:sz w:val="13"/>
          <w:szCs w:val="13"/>
          <w:color w:val="auto"/>
        </w:rPr>
        <w:t>Stockholders and other interested parties who wish to send communications on any topic to our Board of Directors, lead director or independent directors as a group should address such communications to the Board of Directors, Lead Director or Independent Directors, as applicable, c/o Corporate Secretary, Emergent BioSolutions Inc., 400 Professional Drive, Suite 400, Gaithersburg, Maryland 20879. At the direction of the Board, the corporate secretary will review all such correspondence and forward to the Board, lead director or independent directors a summary and/or copies of any such correspondence that deals with the functions of the Board or its committees or that he or she otherwise determines requires their attention.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1" w:name="page22"/>
    <w:bookmarkEnd w:id="2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STOCK OWNERSHIP INFORMATION</w:t>
      </w:r>
    </w:p>
    <w:p>
      <w:pPr>
        <w:spacing w:after="0" w:line="192" w:lineRule="exact"/>
        <w:rPr>
          <w:sz w:val="20"/>
          <w:szCs w:val="20"/>
          <w:color w:val="auto"/>
        </w:rPr>
      </w:pPr>
    </w:p>
    <w:p>
      <w:pPr>
        <w:jc w:val="both"/>
        <w:ind w:firstLine="356"/>
        <w:spacing w:after="0" w:line="260" w:lineRule="auto"/>
        <w:rPr>
          <w:sz w:val="20"/>
          <w:szCs w:val="20"/>
          <w:color w:val="auto"/>
        </w:rPr>
      </w:pPr>
      <w:r>
        <w:rPr>
          <w:rFonts w:ascii="Arial" w:cs="Arial" w:eastAsia="Arial" w:hAnsi="Arial"/>
          <w:sz w:val="15"/>
          <w:szCs w:val="15"/>
          <w:color w:val="auto"/>
        </w:rPr>
        <w:t>The following table sets forth information regarding the beneficial ownership of our common stock as of March 26, 2020, by (1) each of our directors and director nominees, (2) each named executive officer, (3) all of our executive officers and directors as a group and (4) each stockholder known by us to beneficially own 5% or more of our outstanding common stock. There were 52,266,433 shares of our common stock outstanding on March 26, 2020.</w:t>
      </w:r>
    </w:p>
    <w:p>
      <w:pPr>
        <w:spacing w:after="0" w:line="157"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120" w:type="dxa"/>
            <w:vAlign w:val="bottom"/>
          </w:tcPr>
          <w:p>
            <w:pPr>
              <w:jc w:val="center"/>
              <w:spacing w:after="0"/>
              <w:rPr>
                <w:sz w:val="20"/>
                <w:szCs w:val="20"/>
                <w:color w:val="auto"/>
              </w:rPr>
            </w:pPr>
            <w:r>
              <w:rPr>
                <w:rFonts w:ascii="Arial" w:cs="Arial" w:eastAsia="Arial" w:hAnsi="Arial"/>
                <w:sz w:val="11"/>
                <w:szCs w:val="11"/>
                <w:b w:val="1"/>
                <w:bCs w:val="1"/>
                <w:color w:val="auto"/>
                <w:w w:val="91"/>
              </w:rPr>
              <w:t>Outstanding Shares</w:t>
            </w:r>
          </w:p>
        </w:tc>
        <w:tc>
          <w:tcPr>
            <w:tcW w:w="14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Arial" w:cs="Arial" w:eastAsia="Arial" w:hAnsi="Arial"/>
                <w:sz w:val="11"/>
                <w:szCs w:val="11"/>
                <w:b w:val="1"/>
                <w:bCs w:val="1"/>
                <w:color w:val="auto"/>
                <w:w w:val="93"/>
              </w:rPr>
              <w:t>Right to Acquire</w:t>
            </w:r>
          </w:p>
        </w:tc>
        <w:tc>
          <w:tcPr>
            <w:tcW w:w="12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Total Shares</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87"/>
              </w:rPr>
              <w:t>Percentage of</w:t>
            </w:r>
          </w:p>
        </w:tc>
      </w:tr>
      <w:tr>
        <w:trPr>
          <w:trHeight w:val="124"/>
        </w:trPr>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12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140" w:type="dxa"/>
            <w:vAlign w:val="bottom"/>
          </w:tcPr>
          <w:p>
            <w:pPr>
              <w:spacing w:after="0"/>
              <w:rPr>
                <w:sz w:val="10"/>
                <w:szCs w:val="10"/>
                <w:color w:val="auto"/>
              </w:rPr>
            </w:pPr>
          </w:p>
        </w:tc>
        <w:tc>
          <w:tcPr>
            <w:tcW w:w="9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Beneficial</w:t>
            </w:r>
          </w:p>
        </w:tc>
        <w:tc>
          <w:tcPr>
            <w:tcW w:w="120" w:type="dxa"/>
            <w:vAlign w:val="bottom"/>
          </w:tcPr>
          <w:p>
            <w:pPr>
              <w:spacing w:after="0"/>
              <w:rPr>
                <w:sz w:val="10"/>
                <w:szCs w:val="10"/>
                <w:color w:val="auto"/>
              </w:rPr>
            </w:pPr>
          </w:p>
        </w:tc>
        <w:tc>
          <w:tcPr>
            <w:tcW w:w="88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1"/>
              </w:rPr>
              <w:t>Beneficially</w:t>
            </w:r>
          </w:p>
        </w:tc>
        <w:tc>
          <w:tcPr>
            <w:tcW w:w="10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1"/>
              </w:rPr>
              <w:t>Shares Beneficially</w:t>
            </w:r>
          </w:p>
        </w:tc>
      </w:tr>
      <w:tr>
        <w:trPr>
          <w:trHeight w:val="146"/>
        </w:trPr>
        <w:tc>
          <w:tcPr>
            <w:tcW w:w="4760" w:type="dxa"/>
            <w:vAlign w:val="bottom"/>
            <w:gridSpan w:val="3"/>
          </w:tcPr>
          <w:p>
            <w:pPr>
              <w:spacing w:after="0"/>
              <w:rPr>
                <w:sz w:val="20"/>
                <w:szCs w:val="20"/>
                <w:color w:val="auto"/>
              </w:rPr>
            </w:pPr>
            <w:r>
              <w:rPr>
                <w:rFonts w:ascii="Arial" w:cs="Arial" w:eastAsia="Arial" w:hAnsi="Arial"/>
                <w:sz w:val="11"/>
                <w:szCs w:val="11"/>
                <w:b w:val="1"/>
                <w:bCs w:val="1"/>
                <w:color w:val="auto"/>
              </w:rPr>
              <w:t>Name of Beneficial Owner</w:t>
            </w:r>
          </w:p>
        </w:tc>
        <w:tc>
          <w:tcPr>
            <w:tcW w:w="1120" w:type="dxa"/>
            <w:vAlign w:val="bottom"/>
          </w:tcPr>
          <w:p>
            <w:pPr>
              <w:jc w:val="center"/>
              <w:spacing w:after="0" w:line="147" w:lineRule="exact"/>
              <w:rPr>
                <w:sz w:val="20"/>
                <w:szCs w:val="20"/>
                <w:color w:val="auto"/>
              </w:rPr>
            </w:pPr>
            <w:r>
              <w:rPr>
                <w:rFonts w:ascii="Arial" w:cs="Arial" w:eastAsia="Arial" w:hAnsi="Arial"/>
                <w:sz w:val="10"/>
                <w:szCs w:val="10"/>
                <w:b w:val="1"/>
                <w:bCs w:val="1"/>
                <w:color w:val="auto"/>
                <w:w w:val="94"/>
              </w:rPr>
              <w:t>Owned</w:t>
            </w:r>
            <w:r>
              <w:rPr>
                <w:rFonts w:ascii="Arial" w:cs="Arial" w:eastAsia="Arial" w:hAnsi="Arial"/>
                <w:sz w:val="16"/>
                <w:szCs w:val="16"/>
                <w:b w:val="1"/>
                <w:bCs w:val="1"/>
                <w:color w:val="auto"/>
                <w:w w:val="94"/>
                <w:vertAlign w:val="superscript"/>
              </w:rPr>
              <w:t>(1)</w:t>
            </w:r>
          </w:p>
        </w:tc>
        <w:tc>
          <w:tcPr>
            <w:tcW w:w="14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0"/>
                <w:szCs w:val="10"/>
                <w:b w:val="1"/>
                <w:bCs w:val="1"/>
                <w:color w:val="auto"/>
                <w:w w:val="98"/>
              </w:rPr>
              <w:t>Ownership</w:t>
            </w:r>
            <w:r>
              <w:rPr>
                <w:rFonts w:ascii="Arial" w:cs="Arial" w:eastAsia="Arial" w:hAnsi="Arial"/>
                <w:sz w:val="16"/>
                <w:szCs w:val="16"/>
                <w:b w:val="1"/>
                <w:bCs w:val="1"/>
                <w:color w:val="auto"/>
                <w:w w:val="98"/>
                <w:vertAlign w:val="superscript"/>
              </w:rPr>
              <w:t>(2)</w:t>
            </w:r>
          </w:p>
        </w:tc>
        <w:tc>
          <w:tcPr>
            <w:tcW w:w="12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Owned</w:t>
            </w: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w w:val="98"/>
              </w:rPr>
              <w:t>Owned</w:t>
            </w:r>
          </w:p>
        </w:tc>
      </w:tr>
      <w:tr>
        <w:trPr>
          <w:trHeight w:val="20"/>
        </w:trPr>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172"/>
        </w:trPr>
        <w:tc>
          <w:tcPr>
            <w:tcW w:w="4760" w:type="dxa"/>
            <w:vAlign w:val="bottom"/>
            <w:gridSpan w:val="3"/>
            <w:shd w:val="clear" w:color="auto" w:fill="DCDCDE"/>
          </w:tcPr>
          <w:p>
            <w:pPr>
              <w:spacing w:after="0"/>
              <w:rPr>
                <w:sz w:val="20"/>
                <w:szCs w:val="20"/>
                <w:color w:val="auto"/>
              </w:rPr>
            </w:pPr>
            <w:r>
              <w:rPr>
                <w:rFonts w:ascii="Arial" w:cs="Arial" w:eastAsia="Arial" w:hAnsi="Arial"/>
                <w:sz w:val="15"/>
                <w:szCs w:val="15"/>
                <w:b w:val="1"/>
                <w:bCs w:val="1"/>
                <w:color w:val="auto"/>
              </w:rPr>
              <w:t>Non-Employee Directors and Director Nominees</w:t>
            </w:r>
          </w:p>
        </w:tc>
        <w:tc>
          <w:tcPr>
            <w:tcW w:w="1120" w:type="dxa"/>
            <w:vAlign w:val="bottom"/>
            <w:shd w:val="clear" w:color="auto" w:fill="DCDCDE"/>
          </w:tcPr>
          <w:p>
            <w:pPr>
              <w:spacing w:after="0"/>
              <w:rPr>
                <w:sz w:val="14"/>
                <w:szCs w:val="14"/>
                <w:color w:val="auto"/>
              </w:rPr>
            </w:pPr>
          </w:p>
        </w:tc>
        <w:tc>
          <w:tcPr>
            <w:tcW w:w="140" w:type="dxa"/>
            <w:vAlign w:val="bottom"/>
            <w:shd w:val="clear" w:color="auto" w:fill="DCDCDE"/>
          </w:tcPr>
          <w:p>
            <w:pPr>
              <w:spacing w:after="0"/>
              <w:rPr>
                <w:sz w:val="14"/>
                <w:szCs w:val="14"/>
                <w:color w:val="auto"/>
              </w:rPr>
            </w:pPr>
          </w:p>
        </w:tc>
        <w:tc>
          <w:tcPr>
            <w:tcW w:w="960" w:type="dxa"/>
            <w:vAlign w:val="bottom"/>
            <w:shd w:val="clear" w:color="auto" w:fill="DCDCDE"/>
          </w:tcPr>
          <w:p>
            <w:pPr>
              <w:spacing w:after="0"/>
              <w:rPr>
                <w:sz w:val="14"/>
                <w:szCs w:val="14"/>
                <w:color w:val="auto"/>
              </w:rPr>
            </w:pPr>
          </w:p>
        </w:tc>
        <w:tc>
          <w:tcPr>
            <w:tcW w:w="120" w:type="dxa"/>
            <w:vAlign w:val="bottom"/>
            <w:shd w:val="clear" w:color="auto" w:fill="DCDCDE"/>
          </w:tcPr>
          <w:p>
            <w:pPr>
              <w:spacing w:after="0"/>
              <w:rPr>
                <w:sz w:val="14"/>
                <w:szCs w:val="14"/>
                <w:color w:val="auto"/>
              </w:rPr>
            </w:pPr>
          </w:p>
        </w:tc>
        <w:tc>
          <w:tcPr>
            <w:tcW w:w="760" w:type="dxa"/>
            <w:vAlign w:val="bottom"/>
            <w:shd w:val="clear" w:color="auto" w:fill="DCDCDE"/>
          </w:tcPr>
          <w:p>
            <w:pPr>
              <w:spacing w:after="0"/>
              <w:rPr>
                <w:sz w:val="14"/>
                <w:szCs w:val="14"/>
                <w:color w:val="auto"/>
              </w:rPr>
            </w:pPr>
          </w:p>
        </w:tc>
        <w:tc>
          <w:tcPr>
            <w:tcW w:w="120" w:type="dxa"/>
            <w:vAlign w:val="bottom"/>
            <w:shd w:val="clear" w:color="auto" w:fill="DCDCDE"/>
          </w:tcPr>
          <w:p>
            <w:pPr>
              <w:spacing w:after="0"/>
              <w:rPr>
                <w:sz w:val="14"/>
                <w:szCs w:val="14"/>
                <w:color w:val="auto"/>
              </w:rPr>
            </w:pPr>
          </w:p>
        </w:tc>
        <w:tc>
          <w:tcPr>
            <w:tcW w:w="1080" w:type="dxa"/>
            <w:vAlign w:val="bottom"/>
            <w:shd w:val="clear" w:color="auto" w:fill="DCDCDE"/>
          </w:tcPr>
          <w:p>
            <w:pPr>
              <w:spacing w:after="0"/>
              <w:rPr>
                <w:sz w:val="14"/>
                <w:szCs w:val="14"/>
                <w:color w:val="auto"/>
              </w:rPr>
            </w:pPr>
          </w:p>
        </w:tc>
      </w:tr>
      <w:tr>
        <w:trPr>
          <w:trHeight w:val="180"/>
        </w:trPr>
        <w:tc>
          <w:tcPr>
            <w:tcW w:w="4760" w:type="dxa"/>
            <w:vAlign w:val="bottom"/>
            <w:gridSpan w:val="3"/>
          </w:tcPr>
          <w:p>
            <w:pPr>
              <w:ind w:left="140"/>
              <w:spacing w:after="0"/>
              <w:rPr>
                <w:sz w:val="20"/>
                <w:szCs w:val="20"/>
                <w:color w:val="auto"/>
              </w:rPr>
            </w:pPr>
            <w:r>
              <w:rPr>
                <w:rFonts w:ascii="Arial" w:cs="Arial" w:eastAsia="Arial" w:hAnsi="Arial"/>
                <w:sz w:val="15"/>
                <w:szCs w:val="15"/>
                <w:color w:val="auto"/>
              </w:rPr>
              <w:t>Dr. Sue Bailey</w:t>
            </w:r>
          </w:p>
        </w:tc>
        <w:tc>
          <w:tcPr>
            <w:tcW w:w="1120" w:type="dxa"/>
            <w:vAlign w:val="bottom"/>
          </w:tcPr>
          <w:p>
            <w:pPr>
              <w:jc w:val="right"/>
              <w:spacing w:after="0"/>
              <w:rPr>
                <w:sz w:val="20"/>
                <w:szCs w:val="20"/>
                <w:color w:val="auto"/>
              </w:rPr>
            </w:pPr>
            <w:r>
              <w:rPr>
                <w:rFonts w:ascii="Arial" w:cs="Arial" w:eastAsia="Arial" w:hAnsi="Arial"/>
                <w:sz w:val="15"/>
                <w:szCs w:val="15"/>
                <w:color w:val="auto"/>
              </w:rPr>
              <w:t>28,009</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6,297</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34,306</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Zsolt Harsanyi, Ph.D.</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18,121</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9,731</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27,852</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tcPr>
          <w:p>
            <w:pPr>
              <w:ind w:left="140"/>
              <w:spacing w:after="0"/>
              <w:rPr>
                <w:sz w:val="20"/>
                <w:szCs w:val="20"/>
                <w:color w:val="auto"/>
              </w:rPr>
            </w:pPr>
            <w:r>
              <w:rPr>
                <w:rFonts w:ascii="Arial" w:cs="Arial" w:eastAsia="Arial" w:hAnsi="Arial"/>
                <w:sz w:val="15"/>
                <w:szCs w:val="15"/>
                <w:color w:val="auto"/>
              </w:rPr>
              <w:t>Jerome Hauer, Ph.D.</w:t>
            </w: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6,297</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6,297</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George Joulwan</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20,198</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6,297</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26,495</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w:t>
            </w:r>
          </w:p>
        </w:tc>
      </w:tr>
      <w:tr>
        <w:trPr>
          <w:trHeight w:val="214"/>
        </w:trPr>
        <w:tc>
          <w:tcPr>
            <w:tcW w:w="4760" w:type="dxa"/>
            <w:vAlign w:val="bottom"/>
            <w:gridSpan w:val="3"/>
          </w:tcPr>
          <w:p>
            <w:pPr>
              <w:ind w:left="140"/>
              <w:spacing w:after="0" w:line="214" w:lineRule="exact"/>
              <w:rPr>
                <w:sz w:val="20"/>
                <w:szCs w:val="20"/>
                <w:color w:val="auto"/>
              </w:rPr>
            </w:pPr>
            <w:r>
              <w:rPr>
                <w:rFonts w:ascii="Arial" w:cs="Arial" w:eastAsia="Arial" w:hAnsi="Arial"/>
                <w:sz w:val="15"/>
                <w:szCs w:val="15"/>
                <w:color w:val="auto"/>
              </w:rPr>
              <w:t>Seamus Mulligan</w:t>
            </w:r>
            <w:r>
              <w:rPr>
                <w:rFonts w:ascii="Arial" w:cs="Arial" w:eastAsia="Arial" w:hAnsi="Arial"/>
                <w:sz w:val="24"/>
                <w:szCs w:val="24"/>
                <w:color w:val="auto"/>
                <w:vertAlign w:val="superscript"/>
              </w:rPr>
              <w:t>(3)</w:t>
            </w:r>
          </w:p>
        </w:tc>
        <w:tc>
          <w:tcPr>
            <w:tcW w:w="1120" w:type="dxa"/>
            <w:vAlign w:val="bottom"/>
          </w:tcPr>
          <w:p>
            <w:pPr>
              <w:jc w:val="right"/>
              <w:spacing w:after="0"/>
              <w:rPr>
                <w:sz w:val="20"/>
                <w:szCs w:val="20"/>
                <w:color w:val="auto"/>
              </w:rPr>
            </w:pPr>
            <w:r>
              <w:rPr>
                <w:rFonts w:ascii="Arial" w:cs="Arial" w:eastAsia="Arial" w:hAnsi="Arial"/>
                <w:sz w:val="15"/>
                <w:szCs w:val="15"/>
                <w:color w:val="auto"/>
              </w:rPr>
              <w:t>596,685</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596,685</w:t>
            </w:r>
          </w:p>
        </w:tc>
        <w:tc>
          <w:tcPr>
            <w:tcW w:w="1080" w:type="dxa"/>
            <w:vAlign w:val="bottom"/>
          </w:tcPr>
          <w:p>
            <w:pPr>
              <w:jc w:val="right"/>
              <w:ind w:right="269"/>
              <w:spacing w:after="0"/>
              <w:rPr>
                <w:sz w:val="20"/>
                <w:szCs w:val="20"/>
                <w:color w:val="auto"/>
              </w:rPr>
            </w:pPr>
            <w:r>
              <w:rPr>
                <w:rFonts w:ascii="Arial" w:cs="Arial" w:eastAsia="Arial" w:hAnsi="Arial"/>
                <w:sz w:val="15"/>
                <w:szCs w:val="15"/>
                <w:color w:val="auto"/>
              </w:rPr>
              <w:t>1.1%</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Ronald B. Richard</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14,947</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14,190</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29,137</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tcPr>
          <w:p>
            <w:pPr>
              <w:ind w:left="140"/>
              <w:spacing w:after="0"/>
              <w:rPr>
                <w:sz w:val="20"/>
                <w:szCs w:val="20"/>
                <w:color w:val="auto"/>
              </w:rPr>
            </w:pPr>
            <w:r>
              <w:rPr>
                <w:rFonts w:ascii="Arial" w:cs="Arial" w:eastAsia="Arial" w:hAnsi="Arial"/>
                <w:sz w:val="15"/>
                <w:szCs w:val="15"/>
                <w:color w:val="auto"/>
              </w:rPr>
              <w:t>Louis W. Sullivan, M.D.</w:t>
            </w:r>
          </w:p>
        </w:tc>
        <w:tc>
          <w:tcPr>
            <w:tcW w:w="1120" w:type="dxa"/>
            <w:vAlign w:val="bottom"/>
          </w:tcPr>
          <w:p>
            <w:pPr>
              <w:jc w:val="right"/>
              <w:spacing w:after="0"/>
              <w:rPr>
                <w:sz w:val="20"/>
                <w:szCs w:val="20"/>
                <w:color w:val="auto"/>
              </w:rPr>
            </w:pPr>
            <w:r>
              <w:rPr>
                <w:rFonts w:ascii="Arial" w:cs="Arial" w:eastAsia="Arial" w:hAnsi="Arial"/>
                <w:sz w:val="15"/>
                <w:szCs w:val="15"/>
                <w:color w:val="auto"/>
              </w:rPr>
              <w:t>48,714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24,495</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73,209</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Kathryn Zoon, Ph.D.</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4,669</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6,297</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10,966</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tcPr>
          <w:p>
            <w:pPr>
              <w:spacing w:after="0"/>
              <w:rPr>
                <w:sz w:val="20"/>
                <w:szCs w:val="20"/>
                <w:color w:val="auto"/>
              </w:rPr>
            </w:pPr>
            <w:r>
              <w:rPr>
                <w:rFonts w:ascii="Arial" w:cs="Arial" w:eastAsia="Arial" w:hAnsi="Arial"/>
                <w:sz w:val="15"/>
                <w:szCs w:val="15"/>
                <w:b w:val="1"/>
                <w:bCs w:val="1"/>
                <w:color w:val="auto"/>
              </w:rPr>
              <w:t>Named Executive Officers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760" w:type="dxa"/>
            <w:vAlign w:val="bottom"/>
            <w:gridSpan w:val="3"/>
            <w:shd w:val="clear" w:color="auto" w:fill="DCDCDE"/>
          </w:tcPr>
          <w:p>
            <w:pPr>
              <w:ind w:left="140"/>
              <w:spacing w:after="0" w:line="214" w:lineRule="exact"/>
              <w:rPr>
                <w:sz w:val="20"/>
                <w:szCs w:val="20"/>
                <w:color w:val="auto"/>
              </w:rPr>
            </w:pPr>
            <w:r>
              <w:rPr>
                <w:rFonts w:ascii="Arial" w:cs="Arial" w:eastAsia="Arial" w:hAnsi="Arial"/>
                <w:sz w:val="15"/>
                <w:szCs w:val="15"/>
                <w:color w:val="auto"/>
              </w:rPr>
              <w:t>Fuad El-Hibri</w:t>
            </w:r>
            <w:r>
              <w:rPr>
                <w:rFonts w:ascii="Arial" w:cs="Arial" w:eastAsia="Arial" w:hAnsi="Arial"/>
                <w:sz w:val="24"/>
                <w:szCs w:val="24"/>
                <w:color w:val="auto"/>
                <w:vertAlign w:val="superscript"/>
              </w:rPr>
              <w:t>(4)</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5,343,532</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234,180</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5,577,712</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10.7%</w:t>
            </w:r>
          </w:p>
        </w:tc>
      </w:tr>
      <w:tr>
        <w:trPr>
          <w:trHeight w:val="180"/>
        </w:trPr>
        <w:tc>
          <w:tcPr>
            <w:tcW w:w="4760" w:type="dxa"/>
            <w:vAlign w:val="bottom"/>
            <w:gridSpan w:val="3"/>
          </w:tcPr>
          <w:p>
            <w:pPr>
              <w:ind w:left="140"/>
              <w:spacing w:after="0"/>
              <w:rPr>
                <w:sz w:val="20"/>
                <w:szCs w:val="20"/>
                <w:color w:val="auto"/>
              </w:rPr>
            </w:pPr>
            <w:r>
              <w:rPr>
                <w:rFonts w:ascii="Arial" w:cs="Arial" w:eastAsia="Arial" w:hAnsi="Arial"/>
                <w:sz w:val="15"/>
                <w:szCs w:val="15"/>
                <w:color w:val="auto"/>
              </w:rPr>
              <w:t>Robert G. Kramer</w:t>
            </w:r>
          </w:p>
        </w:tc>
        <w:tc>
          <w:tcPr>
            <w:tcW w:w="1120" w:type="dxa"/>
            <w:vAlign w:val="bottom"/>
          </w:tcPr>
          <w:p>
            <w:pPr>
              <w:jc w:val="right"/>
              <w:spacing w:after="0"/>
              <w:rPr>
                <w:sz w:val="20"/>
                <w:szCs w:val="20"/>
                <w:color w:val="auto"/>
              </w:rPr>
            </w:pPr>
            <w:r>
              <w:rPr>
                <w:rFonts w:ascii="Arial" w:cs="Arial" w:eastAsia="Arial" w:hAnsi="Arial"/>
                <w:sz w:val="15"/>
                <w:szCs w:val="15"/>
                <w:color w:val="auto"/>
              </w:rPr>
              <w:t>75,674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148,284</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223,958</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Richard S. Lindahl</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2,506</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22,167</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24,673</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tcPr>
          <w:p>
            <w:pPr>
              <w:ind w:left="140"/>
              <w:spacing w:after="0"/>
              <w:rPr>
                <w:sz w:val="20"/>
                <w:szCs w:val="20"/>
                <w:color w:val="auto"/>
              </w:rPr>
            </w:pPr>
            <w:r>
              <w:rPr>
                <w:rFonts w:ascii="Arial" w:cs="Arial" w:eastAsia="Arial" w:hAnsi="Arial"/>
                <w:sz w:val="15"/>
                <w:szCs w:val="15"/>
                <w:color w:val="auto"/>
              </w:rPr>
              <w:t>Adam Havey</w:t>
            </w:r>
          </w:p>
        </w:tc>
        <w:tc>
          <w:tcPr>
            <w:tcW w:w="1120" w:type="dxa"/>
            <w:vAlign w:val="bottom"/>
          </w:tcPr>
          <w:p>
            <w:pPr>
              <w:jc w:val="right"/>
              <w:spacing w:after="0"/>
              <w:rPr>
                <w:sz w:val="20"/>
                <w:szCs w:val="20"/>
                <w:color w:val="auto"/>
              </w:rPr>
            </w:pPr>
            <w:r>
              <w:rPr>
                <w:rFonts w:ascii="Arial" w:cs="Arial" w:eastAsia="Arial" w:hAnsi="Arial"/>
                <w:sz w:val="15"/>
                <w:szCs w:val="15"/>
                <w:color w:val="auto"/>
              </w:rPr>
              <w:t>13,304</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74,754</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88,058</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Atul Saran</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9,582</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34,325</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43,907</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tcPr>
          <w:p>
            <w:pPr>
              <w:ind w:left="140"/>
              <w:spacing w:after="0"/>
              <w:rPr>
                <w:sz w:val="20"/>
                <w:szCs w:val="20"/>
                <w:color w:val="auto"/>
              </w:rPr>
            </w:pPr>
            <w:r>
              <w:rPr>
                <w:rFonts w:ascii="Arial" w:cs="Arial" w:eastAsia="Arial" w:hAnsi="Arial"/>
                <w:sz w:val="15"/>
                <w:szCs w:val="15"/>
                <w:color w:val="auto"/>
              </w:rPr>
              <w:t>Other Executive Officers</w:t>
            </w:r>
          </w:p>
        </w:tc>
        <w:tc>
          <w:tcPr>
            <w:tcW w:w="1120" w:type="dxa"/>
            <w:vAlign w:val="bottom"/>
          </w:tcPr>
          <w:p>
            <w:pPr>
              <w:jc w:val="right"/>
              <w:spacing w:after="0"/>
              <w:rPr>
                <w:sz w:val="20"/>
                <w:szCs w:val="20"/>
                <w:color w:val="auto"/>
              </w:rPr>
            </w:pPr>
            <w:r>
              <w:rPr>
                <w:rFonts w:ascii="Arial" w:cs="Arial" w:eastAsia="Arial" w:hAnsi="Arial"/>
                <w:sz w:val="15"/>
                <w:szCs w:val="15"/>
                <w:color w:val="auto"/>
              </w:rPr>
              <w:t>14,385</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55,572</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69,957</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All executive officers and directors as a group (15 persons)</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6,190,326</w:t>
            </w:r>
          </w:p>
        </w:tc>
        <w:tc>
          <w:tcPr>
            <w:tcW w:w="11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642,886</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6,833,212</w:t>
            </w:r>
          </w:p>
        </w:tc>
        <w:tc>
          <w:tcPr>
            <w:tcW w:w="1080" w:type="dxa"/>
            <w:vAlign w:val="bottom"/>
            <w:shd w:val="clear" w:color="auto" w:fill="DCDCDE"/>
          </w:tcPr>
          <w:p>
            <w:pPr>
              <w:jc w:val="right"/>
              <w:ind w:right="249"/>
              <w:spacing w:after="0"/>
              <w:rPr>
                <w:sz w:val="20"/>
                <w:szCs w:val="20"/>
                <w:color w:val="auto"/>
              </w:rPr>
            </w:pPr>
            <w:r>
              <w:rPr>
                <w:rFonts w:ascii="Arial" w:cs="Arial" w:eastAsia="Arial" w:hAnsi="Arial"/>
                <w:sz w:val="15"/>
                <w:szCs w:val="15"/>
                <w:color w:val="auto"/>
              </w:rPr>
              <w:t>13.1%</w:t>
            </w:r>
          </w:p>
        </w:tc>
      </w:tr>
      <w:tr>
        <w:trPr>
          <w:trHeight w:val="180"/>
        </w:trPr>
        <w:tc>
          <w:tcPr>
            <w:tcW w:w="4760" w:type="dxa"/>
            <w:vAlign w:val="bottom"/>
            <w:gridSpan w:val="3"/>
          </w:tcPr>
          <w:p>
            <w:pPr>
              <w:spacing w:after="0"/>
              <w:rPr>
                <w:sz w:val="20"/>
                <w:szCs w:val="20"/>
                <w:color w:val="auto"/>
              </w:rPr>
            </w:pPr>
            <w:r>
              <w:rPr>
                <w:rFonts w:ascii="Arial" w:cs="Arial" w:eastAsia="Arial" w:hAnsi="Arial"/>
                <w:sz w:val="15"/>
                <w:szCs w:val="15"/>
                <w:b w:val="1"/>
                <w:bCs w:val="1"/>
                <w:color w:val="auto"/>
              </w:rPr>
              <w:t>5% or greater stockholders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4"/>
        </w:trPr>
        <w:tc>
          <w:tcPr>
            <w:tcW w:w="4760" w:type="dxa"/>
            <w:vAlign w:val="bottom"/>
            <w:gridSpan w:val="3"/>
            <w:shd w:val="clear" w:color="auto" w:fill="DCDCDE"/>
          </w:tcPr>
          <w:p>
            <w:pPr>
              <w:ind w:left="140"/>
              <w:spacing w:after="0" w:line="214" w:lineRule="exact"/>
              <w:rPr>
                <w:sz w:val="20"/>
                <w:szCs w:val="20"/>
                <w:color w:val="auto"/>
              </w:rPr>
            </w:pPr>
            <w:r>
              <w:rPr>
                <w:rFonts w:ascii="Arial" w:cs="Arial" w:eastAsia="Arial" w:hAnsi="Arial"/>
                <w:sz w:val="15"/>
                <w:szCs w:val="15"/>
                <w:color w:val="auto"/>
              </w:rPr>
              <w:t>Vanguard Group</w:t>
            </w:r>
            <w:r>
              <w:rPr>
                <w:rFonts w:ascii="Arial" w:cs="Arial" w:eastAsia="Arial" w:hAnsi="Arial"/>
                <w:sz w:val="24"/>
                <w:szCs w:val="24"/>
                <w:color w:val="auto"/>
                <w:vertAlign w:val="superscript"/>
              </w:rPr>
              <w:t>(5)</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4,667,246</w:t>
            </w:r>
          </w:p>
        </w:tc>
        <w:tc>
          <w:tcPr>
            <w:tcW w:w="140" w:type="dxa"/>
            <w:vAlign w:val="bottom"/>
            <w:shd w:val="clear" w:color="auto" w:fill="DCDCDE"/>
          </w:tcPr>
          <w:p>
            <w:pPr>
              <w:spacing w:after="0"/>
              <w:rPr>
                <w:sz w:val="18"/>
                <w:szCs w:val="18"/>
                <w:color w:val="auto"/>
              </w:rPr>
            </w:pP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4,667,246</w:t>
            </w:r>
          </w:p>
        </w:tc>
        <w:tc>
          <w:tcPr>
            <w:tcW w:w="1080" w:type="dxa"/>
            <w:vAlign w:val="bottom"/>
            <w:shd w:val="clear" w:color="auto" w:fill="DCDCDE"/>
          </w:tcPr>
          <w:p>
            <w:pPr>
              <w:jc w:val="right"/>
              <w:ind w:right="269"/>
              <w:spacing w:after="0"/>
              <w:rPr>
                <w:sz w:val="20"/>
                <w:szCs w:val="20"/>
                <w:color w:val="auto"/>
              </w:rPr>
            </w:pPr>
            <w:r>
              <w:rPr>
                <w:rFonts w:ascii="Arial" w:cs="Arial" w:eastAsia="Arial" w:hAnsi="Arial"/>
                <w:sz w:val="15"/>
                <w:szCs w:val="15"/>
                <w:color w:val="auto"/>
              </w:rPr>
              <w:t>8.9%</w:t>
            </w:r>
          </w:p>
        </w:tc>
      </w:tr>
      <w:tr>
        <w:trPr>
          <w:trHeight w:val="214"/>
        </w:trPr>
        <w:tc>
          <w:tcPr>
            <w:tcW w:w="4760" w:type="dxa"/>
            <w:vAlign w:val="bottom"/>
            <w:gridSpan w:val="3"/>
          </w:tcPr>
          <w:p>
            <w:pPr>
              <w:ind w:left="140"/>
              <w:spacing w:after="0" w:line="214" w:lineRule="exact"/>
              <w:rPr>
                <w:sz w:val="20"/>
                <w:szCs w:val="20"/>
                <w:color w:val="auto"/>
              </w:rPr>
            </w:pPr>
            <w:r>
              <w:rPr>
                <w:rFonts w:ascii="Arial" w:cs="Arial" w:eastAsia="Arial" w:hAnsi="Arial"/>
                <w:sz w:val="15"/>
                <w:szCs w:val="15"/>
                <w:color w:val="auto"/>
              </w:rPr>
              <w:t>BlackRock, Inc.</w:t>
            </w:r>
            <w:r>
              <w:rPr>
                <w:rFonts w:ascii="Arial" w:cs="Arial" w:eastAsia="Arial" w:hAnsi="Arial"/>
                <w:sz w:val="24"/>
                <w:szCs w:val="24"/>
                <w:color w:val="auto"/>
                <w:vertAlign w:val="superscript"/>
              </w:rPr>
              <w:t>(6)</w:t>
            </w:r>
          </w:p>
        </w:tc>
        <w:tc>
          <w:tcPr>
            <w:tcW w:w="1120" w:type="dxa"/>
            <w:vAlign w:val="bottom"/>
          </w:tcPr>
          <w:p>
            <w:pPr>
              <w:jc w:val="right"/>
              <w:spacing w:after="0"/>
              <w:rPr>
                <w:sz w:val="20"/>
                <w:szCs w:val="20"/>
                <w:color w:val="auto"/>
              </w:rPr>
            </w:pPr>
            <w:r>
              <w:rPr>
                <w:rFonts w:ascii="Arial" w:cs="Arial" w:eastAsia="Arial" w:hAnsi="Arial"/>
                <w:sz w:val="15"/>
                <w:szCs w:val="15"/>
                <w:color w:val="auto"/>
              </w:rPr>
              <w:t>6,820,268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5"/>
                <w:szCs w:val="15"/>
                <w:color w:val="auto"/>
              </w:rPr>
              <w:t>6,820,268</w:t>
            </w:r>
          </w:p>
        </w:tc>
        <w:tc>
          <w:tcPr>
            <w:tcW w:w="1080" w:type="dxa"/>
            <w:vAlign w:val="bottom"/>
          </w:tcPr>
          <w:p>
            <w:pPr>
              <w:jc w:val="right"/>
              <w:ind w:right="249"/>
              <w:spacing w:after="0"/>
              <w:rPr>
                <w:sz w:val="20"/>
                <w:szCs w:val="20"/>
                <w:color w:val="auto"/>
              </w:rPr>
            </w:pPr>
            <w:r>
              <w:rPr>
                <w:rFonts w:ascii="Arial" w:cs="Arial" w:eastAsia="Arial" w:hAnsi="Arial"/>
                <w:sz w:val="15"/>
                <w:szCs w:val="15"/>
                <w:color w:val="auto"/>
              </w:rPr>
              <w:t>13.0%</w:t>
            </w:r>
          </w:p>
        </w:tc>
      </w:tr>
      <w:tr>
        <w:trPr>
          <w:trHeight w:val="180"/>
        </w:trPr>
        <w:tc>
          <w:tcPr>
            <w:tcW w:w="476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Intervac, L.L.C.</w:t>
            </w:r>
          </w:p>
        </w:tc>
        <w:tc>
          <w:tcPr>
            <w:tcW w:w="11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4,344,250</w:t>
            </w:r>
          </w:p>
        </w:tc>
        <w:tc>
          <w:tcPr>
            <w:tcW w:w="140" w:type="dxa"/>
            <w:vAlign w:val="bottom"/>
            <w:shd w:val="clear" w:color="auto" w:fill="DCDCDE"/>
          </w:tcPr>
          <w:p>
            <w:pPr>
              <w:spacing w:after="0"/>
              <w:rPr>
                <w:sz w:val="15"/>
                <w:szCs w:val="15"/>
                <w:color w:val="auto"/>
              </w:rPr>
            </w:pPr>
          </w:p>
        </w:tc>
        <w:tc>
          <w:tcPr>
            <w:tcW w:w="9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00" w:type="dxa"/>
            <w:vAlign w:val="bottom"/>
            <w:gridSpan w:val="3"/>
            <w:shd w:val="clear" w:color="auto" w:fill="DCDCDE"/>
          </w:tcPr>
          <w:p>
            <w:pPr>
              <w:jc w:val="right"/>
              <w:ind w:right="120"/>
              <w:spacing w:after="0"/>
              <w:rPr>
                <w:sz w:val="20"/>
                <w:szCs w:val="20"/>
                <w:color w:val="auto"/>
              </w:rPr>
            </w:pPr>
            <w:r>
              <w:rPr>
                <w:rFonts w:ascii="Arial" w:cs="Arial" w:eastAsia="Arial" w:hAnsi="Arial"/>
                <w:sz w:val="15"/>
                <w:szCs w:val="15"/>
                <w:color w:val="auto"/>
              </w:rPr>
              <w:t>4,344,250</w:t>
            </w:r>
          </w:p>
        </w:tc>
        <w:tc>
          <w:tcPr>
            <w:tcW w:w="1080" w:type="dxa"/>
            <w:vAlign w:val="bottom"/>
            <w:shd w:val="clear" w:color="auto" w:fill="DCDCDE"/>
          </w:tcPr>
          <w:p>
            <w:pPr>
              <w:jc w:val="right"/>
              <w:ind w:right="269"/>
              <w:spacing w:after="0"/>
              <w:rPr>
                <w:sz w:val="20"/>
                <w:szCs w:val="20"/>
                <w:color w:val="auto"/>
              </w:rPr>
            </w:pPr>
            <w:r>
              <w:rPr>
                <w:rFonts w:ascii="Arial" w:cs="Arial" w:eastAsia="Arial" w:hAnsi="Arial"/>
                <w:sz w:val="15"/>
                <w:szCs w:val="15"/>
                <w:color w:val="auto"/>
              </w:rPr>
              <w:t>8.3%</w:t>
            </w:r>
          </w:p>
        </w:tc>
      </w:tr>
      <w:tr>
        <w:trPr>
          <w:trHeight w:val="90"/>
        </w:trPr>
        <w:tc>
          <w:tcPr>
            <w:tcW w:w="8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184" w:lineRule="exact"/>
        <w:rPr>
          <w:sz w:val="20"/>
          <w:szCs w:val="20"/>
          <w:color w:val="auto"/>
        </w:rPr>
      </w:pPr>
    </w:p>
    <w:p>
      <w:pPr>
        <w:ind w:left="1560" w:hanging="443"/>
        <w:spacing w:after="0"/>
        <w:tabs>
          <w:tab w:leader="none" w:pos="15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Represents beneficial ownership of less than 1% of common stock.</w:t>
      </w:r>
    </w:p>
    <w:p>
      <w:pPr>
        <w:spacing w:after="0" w:line="211" w:lineRule="exact"/>
        <w:rPr>
          <w:sz w:val="20"/>
          <w:szCs w:val="20"/>
          <w:color w:val="auto"/>
        </w:rPr>
      </w:pPr>
    </w:p>
    <w:p>
      <w:pPr>
        <w:jc w:val="both"/>
        <w:ind w:left="1560" w:hanging="443"/>
        <w:spacing w:after="0" w:line="275" w:lineRule="auto"/>
        <w:tabs>
          <w:tab w:leader="none" w:pos="15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 Except as otherwise noted, to our knowledge, the persons and entities named in the table above have sole voting and investment power with respect to all of the shares of common stock beneficially owned by them, subject to community property laws, where applicable. Except as otherwise indicated, the address of each of the beneficial owners named in the table above is c/o Emergent BioSolutions Inc., 400 Professional Drive, Suite 400, Gaithersburg, Maryland 20879. Percentage ownership calculations are based on 52,266,433 shares of common stock outstanding as of March 26, 2020.</w:t>
      </w:r>
    </w:p>
    <w:p>
      <w:pPr>
        <w:spacing w:after="0" w:line="162" w:lineRule="exact"/>
        <w:rPr>
          <w:rFonts w:ascii="Arial" w:cs="Arial" w:eastAsia="Arial" w:hAnsi="Arial"/>
          <w:sz w:val="14"/>
          <w:szCs w:val="14"/>
          <w:color w:val="auto"/>
        </w:rPr>
      </w:pPr>
    </w:p>
    <w:p>
      <w:pPr>
        <w:jc w:val="both"/>
        <w:ind w:left="1560" w:hanging="443"/>
        <w:spacing w:after="0" w:line="257" w:lineRule="auto"/>
        <w:tabs>
          <w:tab w:leader="none" w:pos="15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Consists of shares of common stock subject to stock options exercisable as of, or within 60 days of March 26, 2020, and shares of common stock issuable under restricted stock unit ("RSU") awards that vest within 60 days of March 26, 2020. Shares of common stock subject to stock options that are exercisable as of or within 60 days of March 26, 2020, and shares of common stock issuable under RSU awards that vest within 60 days of March 26, 2020 are deemed to be outstanding and beneficially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2" w:name="page23"/>
    <w:bookmarkEnd w:id="2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1560"/>
        <w:spacing w:after="0" w:line="270" w:lineRule="auto"/>
        <w:rPr>
          <w:sz w:val="20"/>
          <w:szCs w:val="20"/>
          <w:color w:val="auto"/>
        </w:rPr>
      </w:pPr>
      <w:r>
        <w:rPr>
          <w:rFonts w:ascii="Arial" w:cs="Arial" w:eastAsia="Arial" w:hAnsi="Arial"/>
          <w:sz w:val="15"/>
          <w:szCs w:val="15"/>
          <w:color w:val="auto"/>
        </w:rPr>
        <w:t>owned by the person holding the option or RSU for the purpose of calculating the percentage ownership of that person, but are not deemed outstanding for the purpose of calculating the percentage ownership of any other person.</w:t>
      </w:r>
    </w:p>
    <w:p>
      <w:pPr>
        <w:spacing w:after="0" w:line="164" w:lineRule="exact"/>
        <w:rPr>
          <w:sz w:val="20"/>
          <w:szCs w:val="20"/>
          <w:color w:val="auto"/>
        </w:rPr>
      </w:pPr>
    </w:p>
    <w:p>
      <w:pPr>
        <w:ind w:left="1560" w:right="20" w:hanging="443"/>
        <w:spacing w:after="0" w:line="306" w:lineRule="auto"/>
        <w:tabs>
          <w:tab w:leader="none" w:pos="1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Mr. Mulligan has a beneficial ownership interest in 596,685 shares of our common stock, of which he directly beneficially owns 51,095 shares. Mr. Mulligan and his family collectively hold an aggregate 100% equity interest in Nerano Pharma Ltd., which beneficially owns 545,590 shares of our common stock.</w:t>
      </w:r>
    </w:p>
    <w:p>
      <w:pPr>
        <w:spacing w:after="0" w:line="152" w:lineRule="exact"/>
        <w:rPr>
          <w:rFonts w:ascii="Arial" w:cs="Arial" w:eastAsia="Arial" w:hAnsi="Arial"/>
          <w:sz w:val="14"/>
          <w:szCs w:val="14"/>
          <w:color w:val="auto"/>
        </w:rPr>
      </w:pPr>
    </w:p>
    <w:p>
      <w:pPr>
        <w:jc w:val="both"/>
        <w:ind w:left="1560" w:hanging="443"/>
        <w:spacing w:after="0" w:line="309" w:lineRule="auto"/>
        <w:tabs>
          <w:tab w:leader="none" w:pos="15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Mr. El-Hibri has a beneficial ownership interest in 5,577,712 shares of our common stock through his direct holdings in certain entities, his vested restricted stock units and stock options (including restricted stock units and stock options vesting within 60 days of March 26, 2020), and shares held by trusts indirectly controlled by Mr. El-Hibri, which represent approximately 10.7% of our outstanding common stock. This amount also includes 628,678 shares pledged as collateral. In accordance with the rules and regulations of the SEC, Mr. El-Hibri's beneficial ownership is deemed to consist of the following shares of our common stock:</w:t>
      </w:r>
    </w:p>
    <w:p>
      <w:pPr>
        <w:spacing w:after="0" w:line="323" w:lineRule="exact"/>
        <w:rPr>
          <w:rFonts w:ascii="Arial" w:cs="Arial" w:eastAsia="Arial" w:hAnsi="Arial"/>
          <w:sz w:val="13"/>
          <w:szCs w:val="13"/>
          <w:color w:val="auto"/>
        </w:rPr>
      </w:pPr>
    </w:p>
    <w:p>
      <w:pPr>
        <w:ind w:left="2020" w:hanging="452"/>
        <w:spacing w:after="0"/>
        <w:tabs>
          <w:tab w:leader="none" w:pos="20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2,350,331 shares held by Intervac, L.L.C.;</w:t>
      </w:r>
    </w:p>
    <w:p>
      <w:pPr>
        <w:spacing w:after="0" w:line="199" w:lineRule="exact"/>
        <w:rPr>
          <w:rFonts w:ascii="Arial" w:cs="Arial" w:eastAsia="Arial" w:hAnsi="Arial"/>
          <w:sz w:val="15"/>
          <w:szCs w:val="15"/>
          <w:color w:val="auto"/>
        </w:rPr>
      </w:pPr>
    </w:p>
    <w:p>
      <w:pPr>
        <w:ind w:left="2020" w:hanging="452"/>
        <w:spacing w:after="0"/>
        <w:tabs>
          <w:tab w:leader="none" w:pos="20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1,524,155 shares held by BioVac, L.L.C.;</w:t>
      </w:r>
    </w:p>
    <w:p>
      <w:pPr>
        <w:spacing w:after="0" w:line="210" w:lineRule="exact"/>
        <w:rPr>
          <w:rFonts w:ascii="Arial" w:cs="Arial" w:eastAsia="Arial" w:hAnsi="Arial"/>
          <w:sz w:val="15"/>
          <w:szCs w:val="15"/>
          <w:color w:val="auto"/>
        </w:rPr>
      </w:pPr>
    </w:p>
    <w:p>
      <w:pPr>
        <w:ind w:left="2020" w:hanging="452"/>
        <w:spacing w:after="0"/>
        <w:tabs>
          <w:tab w:leader="none" w:pos="20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1,469,046 shares held directly by Mr. El-Hibri; and</w:t>
      </w:r>
    </w:p>
    <w:p>
      <w:pPr>
        <w:spacing w:after="0" w:line="199" w:lineRule="exact"/>
        <w:rPr>
          <w:rFonts w:ascii="Arial" w:cs="Arial" w:eastAsia="Arial" w:hAnsi="Arial"/>
          <w:sz w:val="15"/>
          <w:szCs w:val="15"/>
          <w:color w:val="auto"/>
        </w:rPr>
      </w:pPr>
    </w:p>
    <w:p>
      <w:pPr>
        <w:ind w:left="2020" w:hanging="452"/>
        <w:spacing w:after="0"/>
        <w:tabs>
          <w:tab w:leader="none" w:pos="2020" w:val="left"/>
        </w:tabs>
        <w:numPr>
          <w:ilvl w:val="1"/>
          <w:numId w:val="23"/>
        </w:numPr>
        <w:rPr>
          <w:rFonts w:ascii="Arial" w:cs="Arial" w:eastAsia="Arial" w:hAnsi="Arial"/>
          <w:sz w:val="15"/>
          <w:szCs w:val="15"/>
          <w:color w:val="auto"/>
        </w:rPr>
      </w:pPr>
      <w:r>
        <w:rPr>
          <w:rFonts w:ascii="Arial" w:cs="Arial" w:eastAsia="Arial" w:hAnsi="Arial"/>
          <w:sz w:val="15"/>
          <w:szCs w:val="15"/>
          <w:color w:val="auto"/>
        </w:rPr>
        <w:t>234,180 shares of common stock subject to stock options exercisable within 60 days of March 26, 2020.</w:t>
      </w:r>
    </w:p>
    <w:p>
      <w:pPr>
        <w:spacing w:after="0" w:line="188" w:lineRule="exact"/>
        <w:rPr>
          <w:rFonts w:ascii="Arial" w:cs="Arial" w:eastAsia="Arial" w:hAnsi="Arial"/>
          <w:sz w:val="15"/>
          <w:szCs w:val="15"/>
          <w:color w:val="auto"/>
        </w:rPr>
      </w:pPr>
    </w:p>
    <w:p>
      <w:pPr>
        <w:ind w:left="2020"/>
        <w:spacing w:after="0"/>
        <w:rPr>
          <w:rFonts w:ascii="Arial" w:cs="Arial" w:eastAsia="Arial" w:hAnsi="Arial"/>
          <w:sz w:val="15"/>
          <w:szCs w:val="15"/>
          <w:color w:val="auto"/>
        </w:rPr>
      </w:pPr>
      <w:r>
        <w:rPr>
          <w:rFonts w:ascii="Arial" w:cs="Arial" w:eastAsia="Arial" w:hAnsi="Arial"/>
          <w:sz w:val="15"/>
          <w:szCs w:val="15"/>
          <w:color w:val="auto"/>
        </w:rPr>
        <w:t>For more information regarding beneficial ownership and voting of these shares, see "— Certain Stockholder Ownership" below.</w:t>
      </w:r>
    </w:p>
    <w:p>
      <w:pPr>
        <w:spacing w:after="0" w:line="199" w:lineRule="exact"/>
        <w:rPr>
          <w:rFonts w:ascii="Arial" w:cs="Arial" w:eastAsia="Arial" w:hAnsi="Arial"/>
          <w:sz w:val="15"/>
          <w:szCs w:val="15"/>
          <w:color w:val="auto"/>
        </w:rPr>
      </w:pPr>
    </w:p>
    <w:p>
      <w:pPr>
        <w:jc w:val="both"/>
        <w:ind w:left="1560" w:hanging="443"/>
        <w:spacing w:after="0" w:line="276" w:lineRule="auto"/>
        <w:tabs>
          <w:tab w:leader="none" w:pos="1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information provided in a Schedule 13G/A that was filed with the SEC on February 12, 2020, by The Vanguard Group, Inc., The Vanguard Group, Inc. reported sole voting power with respect to 95,251 shares, sole dispositive power with respect to 4,570,361 shares, shared voting power with respect to 7,121 shares and shared dispositive power with respect to 96,885 shares of our common stock as of December 31, 2019. Aggregate beneficial ownership reported by The Vanguard Group, Inc. is on a consolidated basis and includes shares beneficially owned by the following wholly-owned subsidiaries of The Vanguard Group, Inc., none of which individually beneficially owns 5% or greater of the outstanding shares of our common stock: Vanguard Fiduciary Trust Company and Vanguard Investments Australia, Ltd. The address of The Vanguard Group is 100 Vanguard Blvd., Malvern, Pennsylvania 19355.</w:t>
      </w:r>
    </w:p>
    <w:p>
      <w:pPr>
        <w:spacing w:after="0" w:line="173" w:lineRule="exact"/>
        <w:rPr>
          <w:rFonts w:ascii="Arial" w:cs="Arial" w:eastAsia="Arial" w:hAnsi="Arial"/>
          <w:sz w:val="14"/>
          <w:szCs w:val="14"/>
          <w:color w:val="auto"/>
        </w:rPr>
      </w:pPr>
    </w:p>
    <w:p>
      <w:pPr>
        <w:jc w:val="both"/>
        <w:ind w:left="1560" w:hanging="443"/>
        <w:spacing w:after="0" w:line="273" w:lineRule="auto"/>
        <w:tabs>
          <w:tab w:leader="none" w:pos="15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information provided in a Schedule 13G/A that was filed with the SEC on February 4, 2020, by BlackRock, Inc., BlackRock, Inc. is the beneficial owner of 6,820,268 shares of our common stock and has sole voting power with respect to 6,715,685 shares of our common stock and sole dispositive power with respect to 6,820,268 shares of our common stock as of December 31, 2019. Aggregate beneficial ownership reported by BlackRock, Inc. is on a consolidated basis and includes shares beneficially owned by the following subsidiaries of BlackRock, Inc., none of which individually beneficially owns 5% or greater of the outstanding shares of our common stock: BlackRock Advisors, LLC; BlackRock (Netherlands) B.V.; BlackRock Institutional Trust Company, N.A; BlackRock Asset Management Ireland Limited; BlackRock Financial Management, Inc.; BlackRock Japan Co., LTD; BlackRock Asset Management Schweiz AG; BlackRock Investment Management, LLC; BlackRock Investment Management (UK) LTD; BlackRock Asset Management Canada Limited; BlackRock (Luxembourg) S.A.; and BlackRock Investment Management (Australia) Limited, except for BlackRock Fund Advisors, which owns 5% or greater of shares of our common stock. The address of BlackRock, Inc. is 55 East 52nd Street, New York, New York 10055.</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3" w:name="page24"/>
    <w:bookmarkEnd w:id="2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Stockholder Ownership</w:t>
      </w:r>
    </w:p>
    <w:p>
      <w:pPr>
        <w:spacing w:after="0" w:line="192"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5"/>
          <w:szCs w:val="15"/>
          <w:color w:val="auto"/>
        </w:rPr>
        <w:t>Mr. El-Hibri individually, and Mr. El-Hibri and his wife, as tenants by the entirety, hold 89.2% of the ownership interests in BioVac, L.L.C. and have the power to vote and dispose of all shares of our common stock held by BioVac. Mr. El-Hibri disclaims beneficial ownership of these shares for purposes of Section 16 of the Exchange Act or otherwise, except to the extent of his pecuniary interest therein.</w:t>
      </w:r>
    </w:p>
    <w:p>
      <w:pPr>
        <w:spacing w:after="0" w:line="161" w:lineRule="exact"/>
        <w:rPr>
          <w:sz w:val="20"/>
          <w:szCs w:val="20"/>
          <w:color w:val="auto"/>
        </w:rPr>
      </w:pPr>
    </w:p>
    <w:p>
      <w:pPr>
        <w:jc w:val="both"/>
        <w:ind w:firstLine="338"/>
        <w:spacing w:after="0" w:line="287" w:lineRule="auto"/>
        <w:rPr>
          <w:sz w:val="20"/>
          <w:szCs w:val="20"/>
          <w:color w:val="auto"/>
        </w:rPr>
      </w:pPr>
      <w:r>
        <w:rPr>
          <w:rFonts w:ascii="Arial" w:cs="Arial" w:eastAsia="Arial" w:hAnsi="Arial"/>
          <w:sz w:val="14"/>
          <w:szCs w:val="14"/>
          <w:color w:val="auto"/>
        </w:rPr>
        <w:t>Mr. El-Hibri's holdings through Intervac, L.L.C. include 1,638,403 shares of our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92" w:lineRule="exact"/>
        <w:rPr>
          <w:sz w:val="20"/>
          <w:szCs w:val="20"/>
          <w:color w:val="auto"/>
        </w:rPr>
      </w:pPr>
    </w:p>
    <w:p>
      <w:pPr>
        <w:jc w:val="both"/>
        <w:ind w:firstLine="415"/>
        <w:spacing w:after="0" w:line="281" w:lineRule="auto"/>
        <w:rPr>
          <w:sz w:val="20"/>
          <w:szCs w:val="20"/>
          <w:color w:val="auto"/>
        </w:rPr>
      </w:pPr>
      <w:r>
        <w:rPr>
          <w:rFonts w:ascii="Arial" w:cs="Arial" w:eastAsia="Arial" w:hAnsi="Arial"/>
          <w:sz w:val="14"/>
          <w:szCs w:val="14"/>
          <w:color w:val="auto"/>
        </w:rPr>
        <w:t>Section 16(a) of the Exchange Act requires that our executive officers and directors, and holders of more than 10% of our common stock file reports of ownership and changes in ownership with the SEC and provide us with copies of such reports. Subject to certain exceptions, the company undertakes to file Section 16 reports on behalf of its directors and executive officers, pursuant to a power of attorney granted to certain attorneys-in-fact at the company. Based solely on the company's review of these reports and executive officer and director certifications, the company believes that all Section 16(a) filing requirements applicable to its directors and executive officers were complied with during fiscal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4" w:name="page25"/>
    <w:bookmarkEnd w:id="2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PROPOSALS TO BE VOTED ON AT THE ANNUAL MEETING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1 — ELECTION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Background</w:t>
      </w:r>
    </w:p>
    <w:p>
      <w:pPr>
        <w:spacing w:after="0" w:line="192" w:lineRule="exact"/>
        <w:rPr>
          <w:sz w:val="20"/>
          <w:szCs w:val="20"/>
          <w:color w:val="auto"/>
        </w:rPr>
      </w:pPr>
    </w:p>
    <w:p>
      <w:pPr>
        <w:jc w:val="both"/>
        <w:ind w:firstLine="297"/>
        <w:spacing w:after="0" w:line="260" w:lineRule="auto"/>
        <w:rPr>
          <w:sz w:val="20"/>
          <w:szCs w:val="20"/>
          <w:color w:val="auto"/>
        </w:rPr>
      </w:pPr>
      <w:r>
        <w:rPr>
          <w:rFonts w:ascii="Arial" w:cs="Arial" w:eastAsia="Arial" w:hAnsi="Arial"/>
          <w:sz w:val="15"/>
          <w:szCs w:val="15"/>
          <w:color w:val="auto"/>
        </w:rPr>
        <w:t>At the annual meeting, stockholders will have an opportunity to vote for the election of Class II directors Zsolt Harsanyi, Ph.D., General George A. Joulwan and Louis W. Sullivan, M.D., following the recommendation of the nominating and corporate governance committee. Seamus Mulligan is a Class II director through the date of the annual meeting and will not stand for reelection.</w:t>
      </w:r>
    </w:p>
    <w:p>
      <w:pPr>
        <w:spacing w:after="0" w:line="161" w:lineRule="exact"/>
        <w:rPr>
          <w:sz w:val="20"/>
          <w:szCs w:val="20"/>
          <w:color w:val="auto"/>
        </w:rPr>
      </w:pPr>
    </w:p>
    <w:p>
      <w:pPr>
        <w:jc w:val="both"/>
        <w:ind w:firstLine="311"/>
        <w:spacing w:after="0" w:line="255" w:lineRule="auto"/>
        <w:rPr>
          <w:sz w:val="20"/>
          <w:szCs w:val="20"/>
          <w:color w:val="auto"/>
        </w:rPr>
      </w:pPr>
      <w:r>
        <w:rPr>
          <w:rFonts w:ascii="Arial" w:cs="Arial" w:eastAsia="Arial" w:hAnsi="Arial"/>
          <w:sz w:val="15"/>
          <w:szCs w:val="15"/>
          <w:color w:val="auto"/>
        </w:rPr>
        <w:t>The company's bylaws provide for the election of directors by a plurality of the votes cast by the stockholders at the annual meeting (i.e. the nominees who receive the most votes will be the nominees elected by the stockholders). If elected, the terms of Zsolt Harsanyi, Ph.D., General George A. Joulwan, and Louis W. Sullivan, M.D. will expire at the 2023 annual meeting of stockholders. Proxies received by the company from stockholders will be voted to elect these three nominees, unless marked to the contrary. Each of the nominees has indicated his or her willingness to serve, if elected. However, if any of the nominees should be unable or unwilling to serve, the proxies may be voted for a substitute nominee designated by our Board, or our Board may reduce the number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Recommendation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The Board of Directors recommends a vote "FOR" the election of all Class II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126365</wp:posOffset>
            </wp:positionV>
            <wp:extent cx="15170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DIRECTORS AND NOMINEES</w:t>
      </w:r>
    </w:p>
    <w:p>
      <w:pPr>
        <w:spacing w:after="0" w:line="192" w:lineRule="exact"/>
        <w:rPr>
          <w:sz w:val="20"/>
          <w:szCs w:val="20"/>
          <w:color w:val="auto"/>
        </w:rPr>
      </w:pPr>
    </w:p>
    <w:p>
      <w:pPr>
        <w:jc w:val="both"/>
        <w:ind w:firstLine="333"/>
        <w:spacing w:after="0" w:line="319" w:lineRule="auto"/>
        <w:rPr>
          <w:sz w:val="20"/>
          <w:szCs w:val="20"/>
          <w:color w:val="auto"/>
        </w:rPr>
      </w:pPr>
      <w:r>
        <w:rPr>
          <w:rFonts w:ascii="Arial" w:cs="Arial" w:eastAsia="Arial" w:hAnsi="Arial"/>
          <w:sz w:val="13"/>
          <w:szCs w:val="13"/>
          <w:color w:val="auto"/>
        </w:rPr>
        <w:t>The following biographical information discloses each director's and director nominee's age, business experience, and other directorships held during the past five years. It also includes the experiences, attributes, and skills that caused the nominating and corporate governance committee and the Board of Directors to determine that the individual should serve as a director of the company and the year that each individual was first elected to the Board of Directors. Unless otherwise specified, each nominee has held his or her current position for at least five years.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5" w:name="page26"/>
    <w:bookmarkEnd w:id="2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 NOMINEES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II Directors — Terms to Expire at the 2020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Zsolt Harsanyi, Ph.D., age 76, a director since 2004</w:t>
      </w:r>
    </w:p>
    <w:p>
      <w:pPr>
        <w:spacing w:after="0" w:line="188"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Dr. Harsanyi has served as a director since August 2004. Dr. Harsanyi has served as chairman of the board of N-Gene Research Laboratories, Inc., a privately-held biopharmaceutical company, since March 2011. Prior to that, Dr. Harsanyi served as chief executive officer and chairman of the board of directors of Exponential Biotherapies Inc., a private biotechnology company, from December 2004 to February 2011. In January 2016, Dr. Harsanyi returned to Exponential Biotherapies Inc. to serve as chairman of the board. Since August 2016, Dr. Harsanyi has been a director of Aptevo Therapeutics Inc., a publicly-traded biotech company which focuses on bringing novel oncology and hematology therapeutics to market. Dr. Harsanyi served as president of Porton International plc, a pharmaceutical and vaccine company, from January 1983 to December 2004. Dr. Harsanyi was a founder of Dynport Vaccine Company LLC in September 1996. Prior to joining Porton International, Dr. Harsanyi was vice president of corporate finance at E.F. Hutton, Inc. Previously,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a Ph.D. from Albert Einstein College of Medicine and a B.A. from Amherst College. We believe Dr. Harsanyi's qualifications to serve on our Board of Directors include his industry experience, including his senior executive and financial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-1269365</wp:posOffset>
            </wp:positionV>
            <wp:extent cx="965835" cy="13595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George A. Joulwan (Ret.), age 80, a director since 2013</w:t>
      </w:r>
    </w:p>
    <w:p>
      <w:pPr>
        <w:spacing w:after="0" w:line="188"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General George A. Joulwan (Ret.) has served as a director since July 2013. General Joulwan's distinguished military career spans 36 years from 1961 to his retirement as a four-star general and the Supreme Allied Commander of NATO in 1997. In 1998 General Joulwan founded, and currently serves as president of, One Team, Inc., which provides business consulting services. Previously, General Joulwan served as a director of General Dynamics Corporation from 1998 through 2012, and currently serves on several private company and charitable boards. He was a professor at the United States Military Academy at West Point and served on the Board of Trustees for the United States Military Academy. General Joulwan was a professor of National Security Strategy at the National Defense University. General Joulwan is a graduate of West Point and holds a Master's degree in Political Science and an Honorary Doctor of Law degree from Loyola University in Chicago. As a retired U.S. Army general, we believe General Joulwan brings a unique perspective to our board. Through his extensive and distinguished military career, he has developed critical leadership and management skills that we believe make him a significant contributor to our board. In addition, we believe General Joulwan's foreign policy experience and knowledge of the government and the military provide valuable insight into international defense markets and the global defense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-1153160</wp:posOffset>
            </wp:positionV>
            <wp:extent cx="965835" cy="13595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6" w:name="page27"/>
    <w:bookmarkEnd w:id="2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Louis W. Sullivan, M.D., age 86, a director since 2006</w:t>
      </w:r>
    </w:p>
    <w:p>
      <w:pPr>
        <w:spacing w:after="0" w:line="188" w:lineRule="exact"/>
        <w:rPr>
          <w:sz w:val="20"/>
          <w:szCs w:val="20"/>
          <w:color w:val="auto"/>
        </w:rPr>
      </w:pPr>
    </w:p>
    <w:p>
      <w:pPr>
        <w:jc w:val="both"/>
        <w:ind w:left="1600"/>
        <w:spacing w:after="0" w:line="297" w:lineRule="auto"/>
        <w:rPr>
          <w:sz w:val="20"/>
          <w:szCs w:val="20"/>
          <w:color w:val="auto"/>
        </w:rPr>
      </w:pPr>
      <w:r>
        <w:rPr>
          <w:rFonts w:ascii="Arial" w:cs="Arial" w:eastAsia="Arial" w:hAnsi="Arial"/>
          <w:sz w:val="13"/>
          <w:szCs w:val="13"/>
          <w:color w:val="auto"/>
        </w:rPr>
        <w:t>Dr. Sullivan has served as a director since June 2006. Dr. Sullivan has served as president emeritus of Morehouse School of Medicine since July 2002. Dr. Sullivan served as president of Morehouse School of Medicine from 1981 to 1989 and from 1993 to 2002. From 1989 to 1993, Dr. Sullivan was Secretary of the Department of Health and Human Services. Dr. Sullivan serves on the board of directors of United Therapeutics Corporation, a publicly-traded biotechnology company. He served as a director for Henry Schein, Inc. a publicly-traded biotechnology company, from 2004 to June 2016. He was a founder and chairman of Medical Education for South African Blacks, Inc., a trustee of Africare, a director of the National Center on Addiction and Substance Abuse at Columbia University and chairman of the board of trustees of the National Health Museum, a non-profit institution developing a museum of health sciences. Dr. Sullivan received his M.D. from Boston University and a B.S. from Morehouse College. We believe Dr. Sullivan's qualifications to serve on our Board of Directors include his extensive service on various other boards and service with public institutions, as well as his medical background and prior senior positions in other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-934720</wp:posOffset>
            </wp:positionV>
            <wp:extent cx="965835" cy="1359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7" w:name="page28"/>
    <w:bookmarkEnd w:id="2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ind w:left="4120"/>
        <w:spacing w:after="0"/>
        <w:rPr>
          <w:sz w:val="20"/>
          <w:szCs w:val="20"/>
          <w:color w:val="auto"/>
        </w:rPr>
      </w:pPr>
      <w:r>
        <w:rPr>
          <w:rFonts w:ascii="Arial" w:cs="Arial" w:eastAsia="Arial" w:hAnsi="Arial"/>
          <w:sz w:val="15"/>
          <w:szCs w:val="15"/>
          <w:b w:val="1"/>
          <w:bCs w:val="1"/>
          <w:color w:val="auto"/>
        </w:rPr>
        <w:t>EXISTING AND CONTINUING DIRECTORS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II Director — Term to Expire at the 2020 Annual Meeting Without Standing for Reelection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Seamus Mulligan, age 59, a director since 2019</w:t>
      </w:r>
    </w:p>
    <w:p>
      <w:pPr>
        <w:spacing w:after="0" w:line="188" w:lineRule="exact"/>
        <w:rPr>
          <w:sz w:val="20"/>
          <w:szCs w:val="20"/>
          <w:color w:val="auto"/>
        </w:rPr>
      </w:pPr>
    </w:p>
    <w:p>
      <w:pPr>
        <w:jc w:val="both"/>
        <w:ind w:left="1600"/>
        <w:spacing w:after="0" w:line="290" w:lineRule="auto"/>
        <w:rPr>
          <w:sz w:val="20"/>
          <w:szCs w:val="20"/>
          <w:color w:val="auto"/>
        </w:rPr>
      </w:pPr>
      <w:r>
        <w:rPr>
          <w:rFonts w:ascii="Arial" w:cs="Arial" w:eastAsia="Arial" w:hAnsi="Arial"/>
          <w:sz w:val="13"/>
          <w:szCs w:val="13"/>
          <w:color w:val="auto"/>
        </w:rPr>
        <w:t>Mr. Mulligan is a Class II director through the date of the annual meeting and will not stand for reelection. He has served as a director since March 2019. Prior to that, he was a consultant to us from October 2018 until the effective date of his appointment as a director. Mr. Mulligan was a co-founder and principal investor of Adapt Pharma Limited. ("Adapt Pharma") and served as its chairman and chief executive officer from May 2014 until October 2018, when Adapt Pharma was acquired by us. Mr. Mulligan is also a member of the board of directors of Jazz Pharmaceuticals PLC, having been appointed on the closing of the merger of Jazz Pharmaceuticals with Azur Pharma Ltd ("Azur Pharma") in January 2012 (the "Azur Merger"). Mr. Mulligan was the founder of Azur Pharma and served as its chairman and chief executive officer and as a member of its board of directors from 2005 until the closing of the Azur Merger. Mr. Mulligan also served as the chief business officer, International Business Development with Jazz Pharmaceuticals from the closing of the Azur Merger until February 2013. From 2006 to April 2017, Mr. Mulligan served as executive chairman of Circ Pharma Limited and its subsidiaries, a pharmaceutical development stage group. From 1984 until 2004, he held various positions with Elan Corporation, plc, a pharmaceutical company and, finally, as executive vice president, Business and Corporate Development. Prior to that position, he held the roles of president of Elan Pharmaceutical Technologies, the drug delivery division of Elan Corporation, plc, executive vice president, Pharmaceutical Operations, vice president, U.S. Operations and vice president, Product Development. Mr. Mulligan also served as a member of the board of directors of the U.S. National Pharmaceutical Council until 2004. Mr. Mulligan received a B.Sc. (Pharm) and M.Sc. from Trinity College Dublin. As a founder of Adapt Pharma and extensive experience as a pharmaceutical industry executive, Mr. Mulligan brings to our Board of Directors an expertise in pharmaceutical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-1485900</wp:posOffset>
            </wp:positionV>
            <wp:extent cx="965835" cy="13595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research and development and business development and over 35 years of experience in the pharmaceutical industry.</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III Directors — Terms to expire at the 2021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Robert G. Kramer, age 62, a director since 2019</w:t>
      </w:r>
    </w:p>
    <w:p>
      <w:pPr>
        <w:spacing w:after="0" w:line="188" w:lineRule="exact"/>
        <w:rPr>
          <w:sz w:val="20"/>
          <w:szCs w:val="20"/>
          <w:color w:val="auto"/>
        </w:rPr>
      </w:pPr>
    </w:p>
    <w:p>
      <w:pPr>
        <w:jc w:val="both"/>
        <w:ind w:left="1600"/>
        <w:spacing w:after="0" w:line="273" w:lineRule="auto"/>
        <w:rPr>
          <w:sz w:val="20"/>
          <w:szCs w:val="20"/>
          <w:color w:val="auto"/>
        </w:rPr>
      </w:pPr>
      <w:r>
        <w:rPr>
          <w:rFonts w:ascii="Arial" w:cs="Arial" w:eastAsia="Arial" w:hAnsi="Arial"/>
          <w:sz w:val="14"/>
          <w:szCs w:val="14"/>
          <w:color w:val="auto"/>
        </w:rPr>
        <w:t>Mr. Kramer has served as our president and chief executive officer since April 2019 and served as our president and chief operating officer from March 2018 to March 2019. Previously, he also served as our executive vice president, administration, chief financial officer and treasurer from September 2012 until his promotion to president and chief operating officer in March 2018. Mr. Kramer first joined us in 1999 as our chief financial officer. From 1999 until his prior retirement in 2010, he held various executive positions with the last being president of Emergent Biodefense Operations Lansing. Mr. Kramer returned to the company in 2011 as the interim head of the biosciences division, and then as interim executive vice president, corporate services division. Prior to joining us in 1999, Mr. Kramer held various financial management positions at Pharmaci Corporation, which subsequently merged with the Upjohn Company in 1995 and eventually became part of Pfizer Inc. Mr. Kramer holds an M.B.A. from Western Kentucky University and a B.S. in industrial management from Clemson University. We believe Mr. Kramer's qualifications to serve on our Board of Directors include his extensive experience in senior management positions and his demonstrated business judgment, including his long service as a senior executive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-1041400</wp:posOffset>
            </wp:positionV>
            <wp:extent cx="965835" cy="13595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8" w:name="page29"/>
    <w:bookmarkEnd w:id="2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Dr. Sue Bailey, age 76, a director since 2007</w:t>
      </w:r>
    </w:p>
    <w:p>
      <w:pPr>
        <w:spacing w:after="0" w:line="188" w:lineRule="exact"/>
        <w:rPr>
          <w:sz w:val="20"/>
          <w:szCs w:val="20"/>
          <w:color w:val="auto"/>
        </w:rPr>
      </w:pPr>
    </w:p>
    <w:p>
      <w:pPr>
        <w:jc w:val="both"/>
        <w:ind w:left="1600"/>
        <w:spacing w:after="0" w:line="254" w:lineRule="auto"/>
        <w:rPr>
          <w:sz w:val="20"/>
          <w:szCs w:val="20"/>
          <w:color w:val="auto"/>
        </w:rPr>
      </w:pPr>
      <w:r>
        <w:rPr>
          <w:rFonts w:ascii="Arial" w:cs="Arial" w:eastAsia="Arial" w:hAnsi="Arial"/>
          <w:sz w:val="15"/>
          <w:szCs w:val="15"/>
          <w:color w:val="auto"/>
        </w:rPr>
        <w:t>Dr. Bailey has served as a director since June 2007. Dr. Bailey served as a news analyst for NBC Universal, a media and entertainment company, from November 2001 to August 2006. Previously, Dr. Bailey served as Administrator, National Highway Traffic Safety Administration, as Assistant Secretary of Defense (Health Affairs) and as Deputy Assistant Secretary of Defense (Clinical Services). Dr. Bailey is a former faculty member at Georgetown Medical School and U.S. Navy officer, having achieved the rank of Lt. Commander, U.S. Navy Reserve. Dr. Bailey received her D.O. from Philadelphia College of Osteopathic Medicine and a B.S. from the University of Maryland. We believe Dr. Bailey's qualifications to serve on our Board of Directors include her medical background and prior senior positions in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-690245</wp:posOffset>
            </wp:positionV>
            <wp:extent cx="965835" cy="13595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Jerome M. Hauer, Ph.D., age 68, a director since 2015</w:t>
      </w:r>
    </w:p>
    <w:p>
      <w:pPr>
        <w:spacing w:after="0" w:line="200" w:lineRule="exact"/>
        <w:rPr>
          <w:sz w:val="20"/>
          <w:szCs w:val="20"/>
          <w:color w:val="auto"/>
        </w:rPr>
      </w:pPr>
    </w:p>
    <w:p>
      <w:pPr>
        <w:spacing w:after="0" w:line="349" w:lineRule="exact"/>
        <w:rPr>
          <w:sz w:val="20"/>
          <w:szCs w:val="20"/>
          <w:color w:val="auto"/>
        </w:rPr>
      </w:pPr>
    </w:p>
    <w:p>
      <w:pPr>
        <w:jc w:val="both"/>
        <w:ind w:left="1600"/>
        <w:spacing w:after="0" w:line="294" w:lineRule="auto"/>
        <w:rPr>
          <w:sz w:val="20"/>
          <w:szCs w:val="20"/>
          <w:color w:val="auto"/>
        </w:rPr>
      </w:pPr>
      <w:r>
        <w:rPr>
          <w:rFonts w:ascii="Arial" w:cs="Arial" w:eastAsia="Arial" w:hAnsi="Arial"/>
          <w:sz w:val="13"/>
          <w:szCs w:val="13"/>
          <w:color w:val="auto"/>
        </w:rPr>
        <w:t>Dr. Hauer has served as a director since January 2015. He previously served on our Board of Directors from May 2004 to October 2011. Currently, Dr. Hauer is a senior advisor at Teneo Risk in New York City and Washington, D.C. and a visiting professor at Cranfield University/Defence Academy of the United Kingdom. Before joining Teneo Risk, Dr. Hauer served from January 2012 until December 2014 as the Commissioner of New York State Division of Homeland Security and Emergency Services and Director of the Office of Counterterrorism. He is on the Board of the World Association for Disaster and Emergency Medicine and an Associate Editor of the Journal of Special Operations Medicine. Formerly, Dr. Hauer served as chief executive officer of The Hauer Group from 2006 to 2011 and as senior vice president and co-chair of the homeland security practice of Fleishman-Hillard Government Relations from January 2005 to March 2006. Prior to joining Fleishman-Hillard, Dr. Hauer served as Acting Assistant Secretary for the Office of Public Health Emergency Preparedness at HHS from June 2002 to November 2003 and as director of the office of public health preparedness of HHS from May 2002 to June 2002. Dr. Hauer served as the first director of the New York City Mayor's Office of Emergency Management under Mayor Rudolph Giuliani. He also served as the director of Emergency Medical Services and Emergency Management as well as director of the Department of Fire and Buildings for the State of Indiana under Governor Evan Bayh. Dr. Hauer holds a Ph.D. from Cranfield University/Defence Academy of the United Kingdom. He received an M.H.S. in public health from Johns Hopkins University School of Hygiene and Public Health and a B.A. from New York University. We believe Dr. Hauer's qualifications to serve on our Board of Directors include his significant experience in various governmental and public health organizations, as well as his experience on other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-1506220</wp:posOffset>
            </wp:positionV>
            <wp:extent cx="965835" cy="1438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65835" cy="143827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29" w:name="page30"/>
    <w:bookmarkEnd w:id="2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Class I Directors — Terms to Expire at the 2022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Fuad El-Hibri, age 62, a director since 2004</w:t>
      </w:r>
    </w:p>
    <w:p>
      <w:pPr>
        <w:spacing w:after="0" w:line="188" w:lineRule="exact"/>
        <w:rPr>
          <w:sz w:val="20"/>
          <w:szCs w:val="20"/>
          <w:color w:val="auto"/>
        </w:rPr>
      </w:pPr>
    </w:p>
    <w:p>
      <w:pPr>
        <w:jc w:val="both"/>
        <w:ind w:left="1600"/>
        <w:spacing w:after="0" w:line="290" w:lineRule="auto"/>
        <w:rPr>
          <w:sz w:val="20"/>
          <w:szCs w:val="20"/>
          <w:color w:val="auto"/>
        </w:rPr>
      </w:pPr>
      <w:r>
        <w:rPr>
          <w:rFonts w:ascii="Arial" w:cs="Arial" w:eastAsia="Arial" w:hAnsi="Arial"/>
          <w:sz w:val="13"/>
          <w:szCs w:val="13"/>
          <w:color w:val="auto"/>
        </w:rPr>
        <w:t>Mr. El-Hibri has served as the executive chairman of our Board of Directors since April 2012 and since August 2016, has served as the chairman of the board of directors of Aptevo Therapeutics Inc. From June 2004 to March 2012, Mr. El-Hibri served as chief executive officer and as chairman of our Board of Directors. Mr. El-Hibri previously served as president from March 2006 to April 2007. Mr. El-Hibri served as chief executive officer and chairman of the board of directors of BioPort Corporation from May 1998 until June 2004, when, as a result of our corporate reorganization, BioPort became a wholly owned subsidiary of Emergent BioSolutions and was subsequently renamed as Emergent BioDefense Operations Lansing Inc. Mr. El-Hibri is chairman of East West Resources Corporation, a venture capital and business consulting firm, a position he has held since June 1990. He served as president of East West Resources from September 1990 to January 2004. Mr. El-Hibri is a member of the advisory board of the Yale Healthcare Conference, a member of the board of directors of the International Biomedical Research Alliance, an academic joint venture among the National Institutes of Health, or NIH, Oxford University and Cambridge University. He also serves as chairman of the El-Hibri Foundation. Mr. El-Hibri has also served as a member of the board of trustees of American University from 2004 to 2010 and a member of the board of directors of the U.S. Chamber of Commerce from 2011 to 2017. Mr. El-Hibri received a master's degree in public and private management from Yale University and a B.A. in economics from Stanford University. We believe Mr. El-Hibri's qualifications to serve on our Board of Directors include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-1256665</wp:posOffset>
            </wp:positionV>
            <wp:extent cx="965835" cy="1180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5835" cy="118046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service on other boards as well as his prior business experience, including as our chief executive officer and a director.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Ronald B. Richard, age 64, a director since 2005</w:t>
      </w:r>
    </w:p>
    <w:p>
      <w:pPr>
        <w:spacing w:after="0" w:line="188"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Mr. Richard has served as a director since January 2005. Mr. Richard has served as the president and chief executive officer of the Cleveland Foundation, the nation's oldest community foundation, since June 2003. From August 2002 to February 2003, Mr. Richard served as president of Stem Cell Preservation, Inc., a start-up medical research company. After leaving Stem Cell Preservation and prior to joining our board of directors, Mr. Richard served as a strategic business advisor for IGEN International, Inc., a biotechnology company. Mr. Richard served as chief operating officer of In-Q-Tel, a venture capital fund that provides technologies to the Central Intelligence Agency, from March 2001 to August 2002. Prior to joining In-Q-Tel, Mr. Richard served in various senior management positions at Matsushita Electric (Panasonic), a consumer electronics company. Mr. Richard is a former U.S. foreign service officer. He served in Osaka/Kobe, Japan and as a desk officer for North Korean, Greek and Turkish affairs at the U.S. Department of State in Washington, D.C. Mr. Richard previously served as chairman of the board of trustees of the International Biomedical Research Alliance, an academic joint venture among the NIH, Oxford University and Cambridge University. Mr. Richard received an M.A. in international relations from Johns Hopkins University School of Advanced International Studies and a B.A. in history from Washington University. He holds honorary doctorates in humane letters from Notre Dame College and Baldwin Wallace College. We believe Mr. Richard's qualifications to serve on our Board of Directors include his past and current industry experience, including his prior senior management positions, including positions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-1384935</wp:posOffset>
            </wp:positionV>
            <wp:extent cx="965835" cy="14166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5835" cy="1416685"/>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0" w:name="page31"/>
    <w:bookmarkEnd w:id="3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Kathryn C. Zoon, Ph.D., age 71, a director since 2016</w:t>
      </w:r>
    </w:p>
    <w:p>
      <w:pPr>
        <w:spacing w:after="0" w:line="188" w:lineRule="exact"/>
        <w:rPr>
          <w:sz w:val="20"/>
          <w:szCs w:val="20"/>
          <w:color w:val="auto"/>
        </w:rPr>
      </w:pPr>
    </w:p>
    <w:p>
      <w:pPr>
        <w:jc w:val="both"/>
        <w:ind w:left="1600"/>
        <w:spacing w:after="0" w:line="290" w:lineRule="auto"/>
        <w:rPr>
          <w:sz w:val="20"/>
          <w:szCs w:val="20"/>
          <w:color w:val="auto"/>
        </w:rPr>
      </w:pPr>
      <w:r>
        <w:rPr>
          <w:rFonts w:ascii="Arial" w:cs="Arial" w:eastAsia="Arial" w:hAnsi="Arial"/>
          <w:sz w:val="13"/>
          <w:szCs w:val="13"/>
          <w:color w:val="auto"/>
        </w:rPr>
        <w:t>Dr. Zoon has served as a director since November 2016. Dr. Zoon is currently NIAID/NIH Scientist Emeritus, a position she has held since August 2016. From April 2016 to June 2016, she was Interim Director of the new NIH Office of Research Support and Compliance where she developed and established the new office and recruited key individuals to continue its future operations. She was also Chief of the Cytokine Biology Section in the Division of Intramural Research, National Institute of Allergy and Infectious Diseases ("NIAID"), NIH until July 2016, where she conducted research on the structure and function of human interferon alphas and developed a new cell therapy using IFNs and autologous monocytes which she is still collaborating with the National Cancer Institute ("NCI") on a clinical trial for ovarian cancer. She was previously the Director of the Division of Intramural Research at NIAID from 2006-August 2015 and was the Deputy Director for Planning and Development of the Division of Intramural Research at NIAID, 2004-2006. Dr. Zoon served as the Principal Deputy Director of the Center for Cancer Research at the National Cancer Institute, 2003-2004. She served as the Director of the Center for Biologics Evaluation and Research ("CBER"), Food and Drug Administration ("FDA") (1992-2003), and has been a member of the NIH Scientific Directors from 1992 to 2015. Dr. Zoon was the Director of the Division of Cytokine Biology in CBER, 1988-1992, where she directed the research and review of cytokines, growth factors, and cellular products. She studied the production and purification of human interferon at NIH from 1975 to 1980 with Nobel Laureate Christian B. Anfinsen. She received her B.S. degree, cum laude, in chemistry from Rensselaer Polytechnic Institute and was granted a Ph.D. in biochemistry from the Johns Hopkins University. Dr. Zoon was an associate editor of the Journal of Interferon Research and the author of more than 130 scientific papers. She was President of the International Society for Interferon and Cytokine Research,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-1485900</wp:posOffset>
            </wp:positionV>
            <wp:extent cx="965835" cy="13595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65835" cy="1359535"/>
                    </a:xfrm>
                    <a:prstGeom prst="rect">
                      <a:avLst/>
                    </a:prstGeom>
                    <a:noFill/>
                  </pic:spPr>
                </pic:pic>
              </a:graphicData>
            </a:graphic>
          </wp:anchor>
        </w:drawing>
      </w:r>
    </w:p>
    <w:p>
      <w:pPr>
        <w:jc w:val="both"/>
        <w:spacing w:after="0" w:line="305" w:lineRule="auto"/>
        <w:rPr>
          <w:sz w:val="20"/>
          <w:szCs w:val="20"/>
          <w:color w:val="auto"/>
        </w:rPr>
      </w:pPr>
      <w:r>
        <w:rPr>
          <w:rFonts w:ascii="Arial" w:cs="Arial" w:eastAsia="Arial" w:hAnsi="Arial"/>
          <w:sz w:val="13"/>
          <w:szCs w:val="13"/>
          <w:color w:val="auto"/>
        </w:rPr>
        <w:t>2001. Dr. Zoon has been a member of the National Academy of Medicine since 2002 and is also currently a member of the Division on Earth and Life Studies Committee, National Research Council. She has served a member of the World Health Organization's Expert Committee on Biological Standards for almost two decades. In May 2005, she received the U.S. Department of Health and Human Services ("HHS") Secretary's Award for Distinguished Service for the Tissue Action Plan Team. Most recently she received the 2014 William S. Hancock Award for outstanding achievements in CMC regulatory science. We believe Dr. Zoon's expertise in regulatory matters and product development adds great depth and breadth to our Board of Directors.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1" w:name="page32"/>
    <w:bookmarkEnd w:id="3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DIRECTOR COMPENSATION</w:t>
      </w:r>
    </w:p>
    <w:p>
      <w:pPr>
        <w:spacing w:after="0" w:line="192"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4"/>
          <w:szCs w:val="14"/>
          <w:color w:val="auto"/>
        </w:rPr>
        <w:t>The compensation of our directors is established by our nominating and corporate governance committee based on information related to market practice provided by our independent compensation consultant Willis Towers Watson. This compensation is periodically reviewed with respect to cash retainers, meeting fees and equity incentives. The following table sets forth information for the fiscal year ended December 31, 2019, regarding the compensation of our directors who are not also named executive officers.</w:t>
      </w:r>
    </w:p>
    <w:p>
      <w:pPr>
        <w:spacing w:after="0" w:line="140"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Fees Earned or</w:t>
            </w:r>
          </w:p>
        </w:tc>
        <w:tc>
          <w:tcPr>
            <w:tcW w:w="160" w:type="dxa"/>
            <w:vAlign w:val="bottom"/>
          </w:tcPr>
          <w:p>
            <w:pPr>
              <w:spacing w:after="0"/>
              <w:rPr>
                <w:sz w:val="11"/>
                <w:szCs w:val="11"/>
                <w:color w:val="auto"/>
              </w:rPr>
            </w:pPr>
          </w:p>
        </w:tc>
        <w:tc>
          <w:tcPr>
            <w:tcW w:w="960" w:type="dxa"/>
            <w:vAlign w:val="bottom"/>
            <w:gridSpan w:val="2"/>
          </w:tcPr>
          <w:p>
            <w:pPr>
              <w:ind w:left="200"/>
              <w:spacing w:after="0"/>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1"/>
                <w:szCs w:val="11"/>
                <w:color w:val="auto"/>
              </w:rPr>
            </w:pPr>
          </w:p>
        </w:tc>
        <w:tc>
          <w:tcPr>
            <w:tcW w:w="840" w:type="dxa"/>
            <w:vAlign w:val="bottom"/>
          </w:tcPr>
          <w:p>
            <w:pPr>
              <w:ind w:left="140"/>
              <w:spacing w:after="0"/>
              <w:rPr>
                <w:sz w:val="20"/>
                <w:szCs w:val="20"/>
                <w:color w:val="auto"/>
              </w:rPr>
            </w:pPr>
            <w:r>
              <w:rPr>
                <w:rFonts w:ascii="Arial" w:cs="Arial" w:eastAsia="Arial" w:hAnsi="Arial"/>
                <w:sz w:val="11"/>
                <w:szCs w:val="11"/>
                <w:b w:val="1"/>
                <w:bCs w:val="1"/>
                <w:color w:val="auto"/>
              </w:rPr>
              <w:t>All Other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6"/>
              </w:rPr>
              <w:t>Name</w:t>
            </w:r>
          </w:p>
        </w:tc>
        <w:tc>
          <w:tcPr>
            <w:tcW w:w="2760" w:type="dxa"/>
            <w:vAlign w:val="bottom"/>
            <w:gridSpan w:val="2"/>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1"/>
                <w:szCs w:val="11"/>
                <w:b w:val="1"/>
                <w:bCs w:val="1"/>
                <w:color w:val="auto"/>
              </w:rPr>
              <w:t>Paid in Cash</w:t>
            </w: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1"/>
              <w:spacing w:after="0" w:line="147"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Compensation</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2"/>
                <w:szCs w:val="12"/>
                <w:color w:val="auto"/>
              </w:rPr>
            </w:pPr>
          </w:p>
        </w:tc>
      </w:tr>
      <w:tr>
        <w:trPr>
          <w:trHeight w:val="172"/>
        </w:trPr>
        <w:tc>
          <w:tcPr>
            <w:tcW w:w="30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Dr. Sue Bailey</w:t>
            </w:r>
          </w:p>
        </w:tc>
        <w:tc>
          <w:tcPr>
            <w:tcW w:w="1620" w:type="dxa"/>
            <w:vAlign w:val="bottom"/>
            <w:shd w:val="clear" w:color="auto" w:fill="DCDCDE"/>
          </w:tcPr>
          <w:p>
            <w:pPr>
              <w:spacing w:after="0"/>
              <w:rPr>
                <w:sz w:val="14"/>
                <w:szCs w:val="14"/>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88,000</w:t>
            </w:r>
          </w:p>
        </w:tc>
        <w:tc>
          <w:tcPr>
            <w:tcW w:w="120" w:type="dxa"/>
            <w:vAlign w:val="bottom"/>
            <w:shd w:val="clear" w:color="auto" w:fill="DCDCDE"/>
          </w:tcPr>
          <w:p>
            <w:pPr>
              <w:spacing w:after="0"/>
              <w:rPr>
                <w:sz w:val="14"/>
                <w:szCs w:val="14"/>
                <w:color w:val="auto"/>
              </w:rPr>
            </w:pPr>
          </w:p>
        </w:tc>
        <w:tc>
          <w:tcPr>
            <w:tcW w:w="160" w:type="dxa"/>
            <w:vAlign w:val="bottom"/>
            <w:shd w:val="clear" w:color="auto" w:fill="DCDCDE"/>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250,000</w:t>
            </w:r>
          </w:p>
        </w:tc>
        <w:tc>
          <w:tcPr>
            <w:tcW w:w="140" w:type="dxa"/>
            <w:vAlign w:val="bottom"/>
            <w:shd w:val="clear" w:color="auto" w:fill="DCDCDE"/>
          </w:tcPr>
          <w:p>
            <w:pPr>
              <w:spacing w:after="0"/>
              <w:rPr>
                <w:sz w:val="14"/>
                <w:szCs w:val="14"/>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CDCDE"/>
          </w:tcPr>
          <w:p>
            <w:pPr>
              <w:ind w:left="700"/>
              <w:spacing w:after="0"/>
              <w:rPr>
                <w:sz w:val="20"/>
                <w:szCs w:val="20"/>
                <w:color w:val="auto"/>
              </w:rPr>
            </w:pPr>
            <w:r>
              <w:rPr>
                <w:rFonts w:ascii="Arial" w:cs="Arial" w:eastAsia="Arial" w:hAnsi="Arial"/>
                <w:sz w:val="15"/>
                <w:szCs w:val="15"/>
                <w:color w:val="auto"/>
                <w:w w:val="79"/>
              </w:rPr>
              <w:t>—</w:t>
            </w:r>
          </w:p>
        </w:tc>
        <w:tc>
          <w:tcPr>
            <w:tcW w:w="140" w:type="dxa"/>
            <w:vAlign w:val="bottom"/>
            <w:shd w:val="clear" w:color="auto" w:fill="DCDCDE"/>
          </w:tcPr>
          <w:p>
            <w:pPr>
              <w:spacing w:after="0"/>
              <w:rPr>
                <w:sz w:val="14"/>
                <w:szCs w:val="14"/>
                <w:color w:val="auto"/>
              </w:rPr>
            </w:pPr>
          </w:p>
        </w:tc>
        <w:tc>
          <w:tcPr>
            <w:tcW w:w="200" w:type="dxa"/>
            <w:vAlign w:val="bottom"/>
            <w:shd w:val="clear" w:color="auto" w:fill="DCDCDE"/>
          </w:tcPr>
          <w:p>
            <w:pPr>
              <w:jc w:val="right"/>
              <w:ind w:right="88"/>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338,000</w:t>
            </w:r>
          </w:p>
        </w:tc>
        <w:tc>
          <w:tcPr>
            <w:tcW w:w="20" w:type="dxa"/>
            <w:vAlign w:val="bottom"/>
          </w:tcPr>
          <w:p>
            <w:pPr>
              <w:spacing w:after="0"/>
              <w:rPr>
                <w:sz w:val="14"/>
                <w:szCs w:val="14"/>
                <w:color w:val="auto"/>
              </w:rPr>
            </w:pPr>
          </w:p>
        </w:tc>
      </w:tr>
      <w:tr>
        <w:trPr>
          <w:trHeight w:val="180"/>
        </w:trPr>
        <w:tc>
          <w:tcPr>
            <w:tcW w:w="3040" w:type="dxa"/>
            <w:vAlign w:val="bottom"/>
            <w:gridSpan w:val="3"/>
          </w:tcPr>
          <w:p>
            <w:pPr>
              <w:spacing w:after="0"/>
              <w:rPr>
                <w:sz w:val="20"/>
                <w:szCs w:val="20"/>
                <w:color w:val="auto"/>
              </w:rPr>
            </w:pPr>
            <w:r>
              <w:rPr>
                <w:rFonts w:ascii="Arial" w:cs="Arial" w:eastAsia="Arial" w:hAnsi="Arial"/>
                <w:sz w:val="15"/>
                <w:szCs w:val="15"/>
                <w:color w:val="auto"/>
              </w:rPr>
              <w:t>Zsolt Harsanyi, Ph.D.</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135,000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385,000</w:t>
            </w:r>
          </w:p>
        </w:tc>
        <w:tc>
          <w:tcPr>
            <w:tcW w:w="20" w:type="dxa"/>
            <w:vAlign w:val="bottom"/>
          </w:tcPr>
          <w:p>
            <w:pPr>
              <w:spacing w:after="0"/>
              <w:rPr>
                <w:sz w:val="15"/>
                <w:szCs w:val="15"/>
                <w:color w:val="auto"/>
              </w:rPr>
            </w:pPr>
          </w:p>
        </w:tc>
      </w:tr>
      <w:tr>
        <w:trPr>
          <w:trHeight w:val="180"/>
        </w:trPr>
        <w:tc>
          <w:tcPr>
            <w:tcW w:w="30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Jerome Hauer, Ph.D.</w:t>
            </w:r>
          </w:p>
        </w:tc>
        <w:tc>
          <w:tcPr>
            <w:tcW w:w="17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102,500</w:t>
            </w:r>
          </w:p>
        </w:tc>
        <w:tc>
          <w:tcPr>
            <w:tcW w:w="160" w:type="dxa"/>
            <w:vAlign w:val="bottom"/>
            <w:shd w:val="clear" w:color="auto" w:fill="DCDCD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CDCDE"/>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shd w:val="clear" w:color="auto" w:fill="DCDCDE"/>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352,500</w:t>
            </w:r>
          </w:p>
        </w:tc>
        <w:tc>
          <w:tcPr>
            <w:tcW w:w="20" w:type="dxa"/>
            <w:vAlign w:val="bottom"/>
          </w:tcPr>
          <w:p>
            <w:pPr>
              <w:spacing w:after="0"/>
              <w:rPr>
                <w:sz w:val="15"/>
                <w:szCs w:val="15"/>
                <w:color w:val="auto"/>
              </w:rPr>
            </w:pPr>
          </w:p>
        </w:tc>
      </w:tr>
      <w:tr>
        <w:trPr>
          <w:trHeight w:val="180"/>
        </w:trPr>
        <w:tc>
          <w:tcPr>
            <w:tcW w:w="3040" w:type="dxa"/>
            <w:vAlign w:val="bottom"/>
            <w:gridSpan w:val="3"/>
          </w:tcPr>
          <w:p>
            <w:pPr>
              <w:spacing w:after="0"/>
              <w:rPr>
                <w:sz w:val="20"/>
                <w:szCs w:val="20"/>
                <w:color w:val="auto"/>
              </w:rPr>
            </w:pPr>
            <w:r>
              <w:rPr>
                <w:rFonts w:ascii="Arial" w:cs="Arial" w:eastAsia="Arial" w:hAnsi="Arial"/>
                <w:sz w:val="15"/>
                <w:szCs w:val="15"/>
                <w:color w:val="auto"/>
              </w:rPr>
              <w:t>George Joulwan</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94,000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344,000</w:t>
            </w:r>
          </w:p>
        </w:tc>
        <w:tc>
          <w:tcPr>
            <w:tcW w:w="20" w:type="dxa"/>
            <w:vAlign w:val="bottom"/>
          </w:tcPr>
          <w:p>
            <w:pPr>
              <w:spacing w:after="0"/>
              <w:rPr>
                <w:sz w:val="15"/>
                <w:szCs w:val="15"/>
                <w:color w:val="auto"/>
              </w:rPr>
            </w:pPr>
          </w:p>
        </w:tc>
      </w:tr>
      <w:tr>
        <w:trPr>
          <w:trHeight w:val="214"/>
        </w:trPr>
        <w:tc>
          <w:tcPr>
            <w:tcW w:w="3040" w:type="dxa"/>
            <w:vAlign w:val="bottom"/>
            <w:gridSpan w:val="3"/>
            <w:shd w:val="clear" w:color="auto" w:fill="DCDCDE"/>
          </w:tcPr>
          <w:p>
            <w:pPr>
              <w:spacing w:after="0" w:line="214" w:lineRule="exact"/>
              <w:rPr>
                <w:sz w:val="20"/>
                <w:szCs w:val="20"/>
                <w:color w:val="auto"/>
              </w:rPr>
            </w:pPr>
            <w:r>
              <w:rPr>
                <w:rFonts w:ascii="Arial" w:cs="Arial" w:eastAsia="Arial" w:hAnsi="Arial"/>
                <w:sz w:val="15"/>
                <w:szCs w:val="15"/>
                <w:color w:val="auto"/>
              </w:rPr>
              <w:t>Seamus Mulligan</w:t>
            </w:r>
            <w:r>
              <w:rPr>
                <w:rFonts w:ascii="Arial" w:cs="Arial" w:eastAsia="Arial" w:hAnsi="Arial"/>
                <w:sz w:val="24"/>
                <w:szCs w:val="24"/>
                <w:color w:val="auto"/>
                <w:vertAlign w:val="superscript"/>
              </w:rPr>
              <w:t>(2)</w:t>
            </w:r>
          </w:p>
        </w:tc>
        <w:tc>
          <w:tcPr>
            <w:tcW w:w="17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66,360</w:t>
            </w:r>
          </w:p>
        </w:tc>
        <w:tc>
          <w:tcPr>
            <w:tcW w:w="160" w:type="dxa"/>
            <w:vAlign w:val="bottom"/>
            <w:shd w:val="clear" w:color="auto" w:fill="DCDCD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375,000</w:t>
            </w:r>
          </w:p>
        </w:tc>
        <w:tc>
          <w:tcPr>
            <w:tcW w:w="10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CDCDE"/>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shd w:val="clear" w:color="auto" w:fill="DCDCDE"/>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441,360</w:t>
            </w:r>
          </w:p>
        </w:tc>
        <w:tc>
          <w:tcPr>
            <w:tcW w:w="20" w:type="dxa"/>
            <w:vAlign w:val="bottom"/>
          </w:tcPr>
          <w:p>
            <w:pPr>
              <w:spacing w:after="0"/>
              <w:rPr>
                <w:sz w:val="18"/>
                <w:szCs w:val="18"/>
                <w:color w:val="auto"/>
              </w:rPr>
            </w:pPr>
          </w:p>
        </w:tc>
      </w:tr>
      <w:tr>
        <w:trPr>
          <w:trHeight w:val="180"/>
        </w:trPr>
        <w:tc>
          <w:tcPr>
            <w:tcW w:w="3040" w:type="dxa"/>
            <w:vAlign w:val="bottom"/>
            <w:gridSpan w:val="3"/>
          </w:tcPr>
          <w:p>
            <w:pPr>
              <w:spacing w:after="0"/>
              <w:rPr>
                <w:sz w:val="20"/>
                <w:szCs w:val="20"/>
                <w:color w:val="auto"/>
              </w:rPr>
            </w:pPr>
            <w:r>
              <w:rPr>
                <w:rFonts w:ascii="Arial" w:cs="Arial" w:eastAsia="Arial" w:hAnsi="Arial"/>
                <w:sz w:val="15"/>
                <w:szCs w:val="15"/>
                <w:color w:val="auto"/>
              </w:rPr>
              <w:t>Ronald B. Richard</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140,500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390,500</w:t>
            </w:r>
          </w:p>
        </w:tc>
        <w:tc>
          <w:tcPr>
            <w:tcW w:w="20" w:type="dxa"/>
            <w:vAlign w:val="bottom"/>
          </w:tcPr>
          <w:p>
            <w:pPr>
              <w:spacing w:after="0"/>
              <w:rPr>
                <w:sz w:val="15"/>
                <w:szCs w:val="15"/>
                <w:color w:val="auto"/>
              </w:rPr>
            </w:pPr>
          </w:p>
        </w:tc>
      </w:tr>
      <w:tr>
        <w:trPr>
          <w:trHeight w:val="180"/>
        </w:trPr>
        <w:tc>
          <w:tcPr>
            <w:tcW w:w="30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Louis W. Sullivan, M.D.</w:t>
            </w:r>
          </w:p>
        </w:tc>
        <w:tc>
          <w:tcPr>
            <w:tcW w:w="17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104,866</w:t>
            </w:r>
          </w:p>
        </w:tc>
        <w:tc>
          <w:tcPr>
            <w:tcW w:w="160" w:type="dxa"/>
            <w:vAlign w:val="bottom"/>
            <w:shd w:val="clear" w:color="auto" w:fill="DCDCD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DCDCDE"/>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shd w:val="clear" w:color="auto" w:fill="DCDCDE"/>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354,866</w:t>
            </w:r>
          </w:p>
        </w:tc>
        <w:tc>
          <w:tcPr>
            <w:tcW w:w="20" w:type="dxa"/>
            <w:vAlign w:val="bottom"/>
          </w:tcPr>
          <w:p>
            <w:pPr>
              <w:spacing w:after="0"/>
              <w:rPr>
                <w:sz w:val="15"/>
                <w:szCs w:val="15"/>
                <w:color w:val="auto"/>
              </w:rPr>
            </w:pPr>
          </w:p>
        </w:tc>
      </w:tr>
      <w:tr>
        <w:trPr>
          <w:trHeight w:val="187"/>
        </w:trPr>
        <w:tc>
          <w:tcPr>
            <w:tcW w:w="3040" w:type="dxa"/>
            <w:vAlign w:val="bottom"/>
            <w:gridSpan w:val="3"/>
          </w:tcPr>
          <w:p>
            <w:pPr>
              <w:spacing w:after="0"/>
              <w:rPr>
                <w:sz w:val="20"/>
                <w:szCs w:val="20"/>
                <w:color w:val="auto"/>
              </w:rPr>
            </w:pPr>
            <w:r>
              <w:rPr>
                <w:rFonts w:ascii="Arial" w:cs="Arial" w:eastAsia="Arial" w:hAnsi="Arial"/>
                <w:sz w:val="15"/>
                <w:szCs w:val="15"/>
                <w:color w:val="auto"/>
              </w:rPr>
              <w:t>Kathryn Zoon, Ph.D.</w:t>
            </w:r>
          </w:p>
        </w:tc>
        <w:tc>
          <w:tcPr>
            <w:tcW w:w="17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93,000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5"/>
                <w:szCs w:val="15"/>
                <w:color w:val="auto"/>
              </w:rPr>
              <w:t>250,000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ind w:left="700"/>
              <w:spacing w:after="0"/>
              <w:rPr>
                <w:sz w:val="20"/>
                <w:szCs w:val="20"/>
                <w:color w:val="auto"/>
              </w:rPr>
            </w:pPr>
            <w:r>
              <w:rPr>
                <w:rFonts w:ascii="Arial" w:cs="Arial" w:eastAsia="Arial" w:hAnsi="Arial"/>
                <w:sz w:val="15"/>
                <w:szCs w:val="15"/>
                <w:color w:val="auto"/>
                <w:w w:val="79"/>
              </w:rPr>
              <w:t>—</w:t>
            </w:r>
          </w:p>
        </w:tc>
        <w:tc>
          <w:tcPr>
            <w:tcW w:w="340" w:type="dxa"/>
            <w:vAlign w:val="bottom"/>
            <w:gridSpan w:val="2"/>
          </w:tcPr>
          <w:p>
            <w:pPr>
              <w:jc w:val="right"/>
              <w:ind w:right="88"/>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343,000</w:t>
            </w:r>
          </w:p>
        </w:tc>
        <w:tc>
          <w:tcPr>
            <w:tcW w:w="20" w:type="dxa"/>
            <w:vAlign w:val="bottom"/>
          </w:tcPr>
          <w:p>
            <w:pPr>
              <w:spacing w:after="0"/>
              <w:rPr>
                <w:sz w:val="16"/>
                <w:szCs w:val="16"/>
                <w:color w:val="auto"/>
              </w:rPr>
            </w:pPr>
          </w:p>
        </w:tc>
      </w:tr>
      <w:tr>
        <w:trPr>
          <w:trHeight w:val="84"/>
        </w:trPr>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4" w:lineRule="exact"/>
        <w:rPr>
          <w:sz w:val="20"/>
          <w:szCs w:val="20"/>
          <w:color w:val="auto"/>
        </w:rPr>
      </w:pPr>
    </w:p>
    <w:p>
      <w:pPr>
        <w:ind w:left="1560" w:hanging="443"/>
        <w:spacing w:after="0" w:line="270" w:lineRule="auto"/>
        <w:tabs>
          <w:tab w:leader="none" w:pos="1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amounts in the "Stock Awards" column reflect the grant date fair value of equity awards granted to the directors named in the table above for the fiscal year ended December 31, 2019, calculated in accordance with SEC rules.</w:t>
      </w:r>
    </w:p>
    <w:p>
      <w:pPr>
        <w:spacing w:after="0" w:line="175" w:lineRule="exact"/>
        <w:rPr>
          <w:rFonts w:ascii="Arial" w:cs="Arial" w:eastAsia="Arial" w:hAnsi="Arial"/>
          <w:sz w:val="15"/>
          <w:szCs w:val="15"/>
          <w:color w:val="auto"/>
        </w:rPr>
      </w:pPr>
    </w:p>
    <w:p>
      <w:pPr>
        <w:ind w:left="1560" w:hanging="443"/>
        <w:spacing w:after="0"/>
        <w:tabs>
          <w:tab w:leader="none" w:pos="15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stock award amount for Mr. Mulligan represents his initial election equity award.</w:t>
      </w:r>
    </w:p>
    <w:p>
      <w:pPr>
        <w:spacing w:after="0" w:line="188" w:lineRule="exact"/>
        <w:rPr>
          <w:sz w:val="20"/>
          <w:szCs w:val="20"/>
          <w:color w:val="auto"/>
        </w:rPr>
      </w:pPr>
    </w:p>
    <w:p>
      <w:pPr>
        <w:ind w:right="20" w:firstLine="307"/>
        <w:spacing w:after="0" w:line="270" w:lineRule="auto"/>
        <w:rPr>
          <w:sz w:val="20"/>
          <w:szCs w:val="20"/>
          <w:color w:val="auto"/>
        </w:rPr>
      </w:pPr>
      <w:r>
        <w:rPr>
          <w:rFonts w:ascii="Arial" w:cs="Arial" w:eastAsia="Arial" w:hAnsi="Arial"/>
          <w:sz w:val="15"/>
          <w:szCs w:val="15"/>
          <w:color w:val="auto"/>
        </w:rPr>
        <w:t>Under our director compensation program, non-employee directors receive the compensation set forth in the table below. We also reimburse our non-employee directors for out-of-pocket expenses incurred in connection with attending our Board and committee meetings.</w:t>
      </w:r>
    </w:p>
    <w:p>
      <w:pPr>
        <w:spacing w:after="0" w:line="149" w:lineRule="exact"/>
        <w:rPr>
          <w:sz w:val="20"/>
          <w:szCs w:val="20"/>
          <w:color w:val="auto"/>
        </w:rPr>
      </w:pPr>
    </w:p>
    <w:tbl>
      <w:tblPr>
        <w:tblLayout w:type="fixed"/>
        <w:tblInd w:w="1130" w:type="dxa"/>
        <w:tblCellMar>
          <w:top w:w="0" w:type="dxa"/>
          <w:left w:w="0" w:type="dxa"/>
          <w:bottom w:w="0" w:type="dxa"/>
          <w:right w:w="0" w:type="dxa"/>
        </w:tblCellMar>
      </w:tblPr>
      <w:tr>
        <w:trPr>
          <w:trHeight w:val="135"/>
        </w:trPr>
        <w:tc>
          <w:tcPr>
            <w:tcW w:w="10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1"/>
                <w:szCs w:val="11"/>
                <w:b w:val="1"/>
                <w:bCs w:val="1"/>
                <w:color w:val="auto"/>
              </w:rPr>
              <w:t>Element</w:t>
            </w:r>
          </w:p>
        </w:tc>
        <w:tc>
          <w:tcPr>
            <w:tcW w:w="296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Program 2019</w:t>
            </w:r>
          </w:p>
        </w:tc>
        <w:tc>
          <w:tcPr>
            <w:tcW w:w="296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Program 2020</w:t>
            </w:r>
          </w:p>
        </w:tc>
      </w:tr>
      <w:tr>
        <w:trPr>
          <w:trHeight w:val="172"/>
        </w:trPr>
        <w:tc>
          <w:tcPr>
            <w:tcW w:w="3100" w:type="dxa"/>
            <w:vAlign w:val="bottom"/>
            <w:tcBorders>
              <w:left w:val="single" w:sz="8" w:color="auto"/>
              <w:bottom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Annual Retainer</w:t>
            </w:r>
          </w:p>
        </w:tc>
        <w:tc>
          <w:tcPr>
            <w:tcW w:w="296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$60,000</w:t>
            </w:r>
          </w:p>
        </w:tc>
        <w:tc>
          <w:tcPr>
            <w:tcW w:w="296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$60,000</w:t>
            </w:r>
          </w:p>
        </w:tc>
      </w:tr>
      <w:tr>
        <w:trPr>
          <w:trHeight w:val="172"/>
        </w:trPr>
        <w:tc>
          <w:tcPr>
            <w:tcW w:w="310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5"/>
                <w:szCs w:val="15"/>
                <w:color w:val="auto"/>
              </w:rPr>
              <w:t>Lead Director Additional Retainer</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$30,000</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$30,000</w:t>
            </w:r>
          </w:p>
        </w:tc>
      </w:tr>
      <w:tr>
        <w:trPr>
          <w:trHeight w:val="172"/>
        </w:trPr>
        <w:tc>
          <w:tcPr>
            <w:tcW w:w="3100" w:type="dxa"/>
            <w:vAlign w:val="bottom"/>
            <w:tcBorders>
              <w:left w:val="single" w:sz="8" w:color="auto"/>
              <w:bottom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Board Meeting Fees</w:t>
            </w:r>
          </w:p>
        </w:tc>
        <w:tc>
          <w:tcPr>
            <w:tcW w:w="296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None</w:t>
            </w:r>
          </w:p>
        </w:tc>
        <w:tc>
          <w:tcPr>
            <w:tcW w:w="296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None</w:t>
            </w:r>
          </w:p>
        </w:tc>
      </w:tr>
      <w:tr>
        <w:trPr>
          <w:trHeight w:val="172"/>
        </w:trPr>
        <w:tc>
          <w:tcPr>
            <w:tcW w:w="310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5"/>
                <w:szCs w:val="15"/>
                <w:color w:val="auto"/>
              </w:rPr>
              <w:t>Committee Meeting Fees</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None</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None</w:t>
            </w:r>
          </w:p>
        </w:tc>
      </w:tr>
      <w:tr>
        <w:trPr>
          <w:trHeight w:val="205"/>
        </w:trPr>
        <w:tc>
          <w:tcPr>
            <w:tcW w:w="3100" w:type="dxa"/>
            <w:vAlign w:val="bottom"/>
            <w:tcBorders>
              <w:left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Committee Chair Additional Retainer</w:t>
            </w:r>
          </w:p>
        </w:tc>
        <w:tc>
          <w:tcPr>
            <w:tcW w:w="2960" w:type="dxa"/>
            <w:vAlign w:val="bottom"/>
            <w:tcBorders>
              <w:right w:val="single" w:sz="8" w:color="auto"/>
            </w:tcBorders>
            <w:shd w:val="clear" w:color="auto" w:fill="DCDCDE"/>
          </w:tcPr>
          <w:p>
            <w:pPr>
              <w:ind w:left="120"/>
              <w:spacing w:after="0" w:line="205" w:lineRule="exact"/>
              <w:rPr>
                <w:sz w:val="20"/>
                <w:szCs w:val="20"/>
                <w:color w:val="auto"/>
              </w:rPr>
            </w:pPr>
            <w:r>
              <w:rPr>
                <w:rFonts w:ascii="Arial" w:cs="Arial" w:eastAsia="Arial" w:hAnsi="Arial"/>
                <w:sz w:val="14"/>
                <w:szCs w:val="14"/>
                <w:color w:val="auto"/>
              </w:rPr>
              <w:t>$25,000 – Audit, Strategic Operations</w:t>
            </w:r>
            <w:r>
              <w:rPr>
                <w:rFonts w:ascii="Arial" w:cs="Arial" w:eastAsia="Arial" w:hAnsi="Arial"/>
                <w:sz w:val="23"/>
                <w:szCs w:val="23"/>
                <w:color w:val="auto"/>
                <w:vertAlign w:val="superscript"/>
              </w:rPr>
              <w:t>(1)</w:t>
            </w:r>
          </w:p>
        </w:tc>
        <w:tc>
          <w:tcPr>
            <w:tcW w:w="2960" w:type="dxa"/>
            <w:vAlign w:val="bottom"/>
            <w:tcBorders>
              <w:right w:val="single" w:sz="8" w:color="auto"/>
            </w:tcBorders>
            <w:shd w:val="clear" w:color="auto" w:fill="DCDCDE"/>
          </w:tcPr>
          <w:p>
            <w:pPr>
              <w:ind w:left="120"/>
              <w:spacing w:after="0" w:line="205" w:lineRule="exact"/>
              <w:rPr>
                <w:sz w:val="20"/>
                <w:szCs w:val="20"/>
                <w:color w:val="auto"/>
              </w:rPr>
            </w:pPr>
            <w:r>
              <w:rPr>
                <w:rFonts w:ascii="Arial" w:cs="Arial" w:eastAsia="Arial" w:hAnsi="Arial"/>
                <w:sz w:val="14"/>
                <w:szCs w:val="14"/>
                <w:color w:val="auto"/>
              </w:rPr>
              <w:t>$25,000 – Audit, Strategic Operations</w:t>
            </w:r>
            <w:r>
              <w:rPr>
                <w:rFonts w:ascii="Arial" w:cs="Arial" w:eastAsia="Arial" w:hAnsi="Arial"/>
                <w:sz w:val="23"/>
                <w:szCs w:val="23"/>
                <w:color w:val="auto"/>
                <w:vertAlign w:val="superscript"/>
              </w:rPr>
              <w:t>(1)</w:t>
            </w:r>
          </w:p>
        </w:tc>
      </w:tr>
      <w:tr>
        <w:trPr>
          <w:trHeight w:val="180"/>
        </w:trPr>
        <w:tc>
          <w:tcPr>
            <w:tcW w:w="1020" w:type="dxa"/>
            <w:vAlign w:val="bottom"/>
            <w:tcBorders>
              <w:left w:val="single" w:sz="8" w:color="auto"/>
            </w:tcBorders>
            <w:shd w:val="clear" w:color="auto" w:fill="DCDCDE"/>
          </w:tcPr>
          <w:p>
            <w:pPr>
              <w:spacing w:after="0"/>
              <w:rPr>
                <w:sz w:val="15"/>
                <w:szCs w:val="15"/>
                <w:color w:val="auto"/>
              </w:rPr>
            </w:pPr>
          </w:p>
        </w:tc>
        <w:tc>
          <w:tcPr>
            <w:tcW w:w="2080" w:type="dxa"/>
            <w:vAlign w:val="bottom"/>
            <w:tcBorders>
              <w:right w:val="single" w:sz="8" w:color="auto"/>
            </w:tcBorders>
            <w:shd w:val="clear" w:color="auto" w:fill="DCDCDE"/>
          </w:tcPr>
          <w:p>
            <w:pPr>
              <w:spacing w:after="0"/>
              <w:rPr>
                <w:sz w:val="15"/>
                <w:szCs w:val="15"/>
                <w:color w:val="auto"/>
              </w:rPr>
            </w:pPr>
          </w:p>
        </w:tc>
        <w:tc>
          <w:tcPr>
            <w:tcW w:w="2960" w:type="dxa"/>
            <w:vAlign w:val="bottom"/>
            <w:tcBorders>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$20,000 – Compensation</w:t>
            </w:r>
          </w:p>
        </w:tc>
        <w:tc>
          <w:tcPr>
            <w:tcW w:w="2960" w:type="dxa"/>
            <w:vAlign w:val="bottom"/>
            <w:tcBorders>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$20,000 – Compensation</w:t>
            </w:r>
          </w:p>
        </w:tc>
      </w:tr>
      <w:tr>
        <w:trPr>
          <w:trHeight w:val="214"/>
        </w:trPr>
        <w:tc>
          <w:tcPr>
            <w:tcW w:w="1020" w:type="dxa"/>
            <w:vAlign w:val="bottom"/>
            <w:tcBorders>
              <w:left w:val="single" w:sz="8" w:color="auto"/>
              <w:bottom w:val="single" w:sz="8" w:color="auto"/>
            </w:tcBorders>
            <w:shd w:val="clear" w:color="auto" w:fill="DCDCDE"/>
          </w:tcPr>
          <w:p>
            <w:pPr>
              <w:spacing w:after="0"/>
              <w:rPr>
                <w:sz w:val="18"/>
                <w:szCs w:val="18"/>
                <w:color w:val="auto"/>
              </w:rPr>
            </w:pPr>
          </w:p>
        </w:tc>
        <w:tc>
          <w:tcPr>
            <w:tcW w:w="2080" w:type="dxa"/>
            <w:vAlign w:val="bottom"/>
            <w:tcBorders>
              <w:bottom w:val="single" w:sz="8" w:color="auto"/>
              <w:right w:val="single" w:sz="8" w:color="auto"/>
            </w:tcBorders>
            <w:shd w:val="clear" w:color="auto" w:fill="DCDCDE"/>
          </w:tcPr>
          <w:p>
            <w:pPr>
              <w:spacing w:after="0"/>
              <w:rPr>
                <w:sz w:val="18"/>
                <w:szCs w:val="18"/>
                <w:color w:val="auto"/>
              </w:rPr>
            </w:pPr>
          </w:p>
        </w:tc>
        <w:tc>
          <w:tcPr>
            <w:tcW w:w="2960" w:type="dxa"/>
            <w:vAlign w:val="bottom"/>
            <w:tcBorders>
              <w:bottom w:val="single" w:sz="8" w:color="auto"/>
              <w:right w:val="single" w:sz="8" w:color="auto"/>
            </w:tcBorders>
            <w:shd w:val="clear" w:color="auto" w:fill="DCDCDE"/>
          </w:tcPr>
          <w:p>
            <w:pPr>
              <w:ind w:left="120"/>
              <w:spacing w:after="0" w:line="214" w:lineRule="exact"/>
              <w:rPr>
                <w:sz w:val="20"/>
                <w:szCs w:val="20"/>
                <w:color w:val="auto"/>
              </w:rPr>
            </w:pPr>
            <w:r>
              <w:rPr>
                <w:rFonts w:ascii="Arial" w:cs="Arial" w:eastAsia="Arial" w:hAnsi="Arial"/>
                <w:sz w:val="15"/>
                <w:szCs w:val="15"/>
                <w:color w:val="auto"/>
              </w:rPr>
              <w:t>$17,500 – Other</w:t>
            </w:r>
            <w:r>
              <w:rPr>
                <w:rFonts w:ascii="Arial" w:cs="Arial" w:eastAsia="Arial" w:hAnsi="Arial"/>
                <w:sz w:val="24"/>
                <w:szCs w:val="24"/>
                <w:color w:val="auto"/>
                <w:vertAlign w:val="superscript"/>
              </w:rPr>
              <w:t>(2)</w:t>
            </w:r>
          </w:p>
        </w:tc>
        <w:tc>
          <w:tcPr>
            <w:tcW w:w="2960" w:type="dxa"/>
            <w:vAlign w:val="bottom"/>
            <w:tcBorders>
              <w:bottom w:val="single" w:sz="8" w:color="auto"/>
              <w:right w:val="single" w:sz="8" w:color="auto"/>
            </w:tcBorders>
            <w:shd w:val="clear" w:color="auto" w:fill="DCDCDE"/>
          </w:tcPr>
          <w:p>
            <w:pPr>
              <w:ind w:left="120"/>
              <w:spacing w:after="0" w:line="214" w:lineRule="exact"/>
              <w:rPr>
                <w:sz w:val="20"/>
                <w:szCs w:val="20"/>
                <w:color w:val="auto"/>
              </w:rPr>
            </w:pPr>
            <w:r>
              <w:rPr>
                <w:rFonts w:ascii="Arial" w:cs="Arial" w:eastAsia="Arial" w:hAnsi="Arial"/>
                <w:sz w:val="15"/>
                <w:szCs w:val="15"/>
                <w:color w:val="auto"/>
              </w:rPr>
              <w:t>$20,000 – Other</w:t>
            </w:r>
            <w:r>
              <w:rPr>
                <w:rFonts w:ascii="Arial" w:cs="Arial" w:eastAsia="Arial" w:hAnsi="Arial"/>
                <w:sz w:val="24"/>
                <w:szCs w:val="24"/>
                <w:color w:val="auto"/>
                <w:vertAlign w:val="superscript"/>
              </w:rPr>
              <w:t>(2)</w:t>
            </w:r>
          </w:p>
        </w:tc>
      </w:tr>
      <w:tr>
        <w:trPr>
          <w:trHeight w:val="198"/>
        </w:trPr>
        <w:tc>
          <w:tcPr>
            <w:tcW w:w="3100" w:type="dxa"/>
            <w:vAlign w:val="bottom"/>
            <w:tcBorders>
              <w:left w:val="single" w:sz="8" w:color="auto"/>
              <w:right w:val="single" w:sz="8" w:color="auto"/>
            </w:tcBorders>
            <w:gridSpan w:val="2"/>
          </w:tcPr>
          <w:p>
            <w:pPr>
              <w:ind w:left="260"/>
              <w:spacing w:after="0"/>
              <w:rPr>
                <w:sz w:val="20"/>
                <w:szCs w:val="20"/>
                <w:color w:val="auto"/>
              </w:rPr>
            </w:pPr>
            <w:r>
              <w:rPr>
                <w:rFonts w:ascii="Arial" w:cs="Arial" w:eastAsia="Arial" w:hAnsi="Arial"/>
                <w:sz w:val="15"/>
                <w:szCs w:val="15"/>
                <w:color w:val="auto"/>
              </w:rPr>
              <w:t>Committee Member Additional Retainer</w:t>
            </w:r>
          </w:p>
        </w:tc>
        <w:tc>
          <w:tcPr>
            <w:tcW w:w="296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4"/>
                <w:szCs w:val="14"/>
                <w:color w:val="auto"/>
              </w:rPr>
              <w:t>$15,000 – Audit, Strategic Operations</w:t>
            </w:r>
            <w:r>
              <w:rPr>
                <w:rFonts w:ascii="Arial" w:cs="Arial" w:eastAsia="Arial" w:hAnsi="Arial"/>
                <w:sz w:val="22"/>
                <w:szCs w:val="22"/>
                <w:color w:val="auto"/>
                <w:vertAlign w:val="superscript"/>
              </w:rPr>
              <w:t>(3)</w:t>
            </w:r>
          </w:p>
        </w:tc>
        <w:tc>
          <w:tcPr>
            <w:tcW w:w="2960" w:type="dxa"/>
            <w:vAlign w:val="bottom"/>
            <w:tcBorders>
              <w:right w:val="single" w:sz="8" w:color="auto"/>
            </w:tcBorders>
          </w:tcPr>
          <w:p>
            <w:pPr>
              <w:ind w:left="120"/>
              <w:spacing w:after="0" w:line="198" w:lineRule="exact"/>
              <w:rPr>
                <w:sz w:val="20"/>
                <w:szCs w:val="20"/>
                <w:color w:val="auto"/>
              </w:rPr>
            </w:pPr>
            <w:r>
              <w:rPr>
                <w:rFonts w:ascii="Arial" w:cs="Arial" w:eastAsia="Arial" w:hAnsi="Arial"/>
                <w:sz w:val="14"/>
                <w:szCs w:val="14"/>
                <w:color w:val="auto"/>
              </w:rPr>
              <w:t>$15,000 – Audit, Strategic Operations</w:t>
            </w:r>
            <w:r>
              <w:rPr>
                <w:rFonts w:ascii="Arial" w:cs="Arial" w:eastAsia="Arial" w:hAnsi="Arial"/>
                <w:sz w:val="22"/>
                <w:szCs w:val="22"/>
                <w:color w:val="auto"/>
                <w:vertAlign w:val="superscript"/>
              </w:rPr>
              <w:t>(3)</w:t>
            </w:r>
          </w:p>
        </w:tc>
      </w:tr>
      <w:tr>
        <w:trPr>
          <w:trHeight w:val="182"/>
        </w:trPr>
        <w:tc>
          <w:tcPr>
            <w:tcW w:w="1020" w:type="dxa"/>
            <w:vAlign w:val="bottom"/>
            <w:tcBorders>
              <w:left w:val="single" w:sz="8" w:color="auto"/>
            </w:tcBorders>
          </w:tcPr>
          <w:p>
            <w:pPr>
              <w:spacing w:after="0"/>
              <w:rPr>
                <w:sz w:val="15"/>
                <w:szCs w:val="15"/>
                <w:color w:val="auto"/>
              </w:rPr>
            </w:pPr>
          </w:p>
        </w:tc>
        <w:tc>
          <w:tcPr>
            <w:tcW w:w="2080" w:type="dxa"/>
            <w:vAlign w:val="bottom"/>
            <w:tcBorders>
              <w:right w:val="single" w:sz="8" w:color="auto"/>
            </w:tcBorders>
          </w:tcPr>
          <w:p>
            <w:pPr>
              <w:spacing w:after="0"/>
              <w:rPr>
                <w:sz w:val="15"/>
                <w:szCs w:val="15"/>
                <w:color w:val="auto"/>
              </w:rPr>
            </w:pP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$10,000 – Compensation</w:t>
            </w:r>
          </w:p>
        </w:tc>
        <w:tc>
          <w:tcPr>
            <w:tcW w:w="29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$10,000 – Compensation</w:t>
            </w:r>
          </w:p>
        </w:tc>
      </w:tr>
      <w:tr>
        <w:trPr>
          <w:trHeight w:val="220"/>
        </w:trPr>
        <w:tc>
          <w:tcPr>
            <w:tcW w:w="1020" w:type="dxa"/>
            <w:vAlign w:val="bottom"/>
            <w:tcBorders>
              <w:left w:val="single" w:sz="8" w:color="auto"/>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2960" w:type="dxa"/>
            <w:vAlign w:val="bottom"/>
            <w:tcBorders>
              <w:bottom w:val="single" w:sz="8" w:color="auto"/>
              <w:right w:val="single" w:sz="8" w:color="auto"/>
            </w:tcBorders>
          </w:tcPr>
          <w:p>
            <w:pPr>
              <w:ind w:left="120"/>
              <w:spacing w:after="0" w:line="220" w:lineRule="exact"/>
              <w:rPr>
                <w:sz w:val="20"/>
                <w:szCs w:val="20"/>
                <w:color w:val="auto"/>
              </w:rPr>
            </w:pPr>
            <w:r>
              <w:rPr>
                <w:rFonts w:ascii="Arial" w:cs="Arial" w:eastAsia="Arial" w:hAnsi="Arial"/>
                <w:sz w:val="15"/>
                <w:szCs w:val="15"/>
                <w:color w:val="auto"/>
              </w:rPr>
              <w:t>$9,000 – Other</w:t>
            </w:r>
            <w:r>
              <w:rPr>
                <w:rFonts w:ascii="Arial" w:cs="Arial" w:eastAsia="Arial" w:hAnsi="Arial"/>
                <w:sz w:val="24"/>
                <w:szCs w:val="24"/>
                <w:color w:val="auto"/>
                <w:vertAlign w:val="superscript"/>
              </w:rPr>
              <w:t>(2)</w:t>
            </w:r>
          </w:p>
        </w:tc>
        <w:tc>
          <w:tcPr>
            <w:tcW w:w="2960" w:type="dxa"/>
            <w:vAlign w:val="bottom"/>
            <w:tcBorders>
              <w:bottom w:val="single" w:sz="8" w:color="auto"/>
              <w:right w:val="single" w:sz="8" w:color="auto"/>
            </w:tcBorders>
          </w:tcPr>
          <w:p>
            <w:pPr>
              <w:ind w:left="120"/>
              <w:spacing w:after="0" w:line="220" w:lineRule="exact"/>
              <w:rPr>
                <w:sz w:val="20"/>
                <w:szCs w:val="20"/>
                <w:color w:val="auto"/>
              </w:rPr>
            </w:pPr>
            <w:r>
              <w:rPr>
                <w:rFonts w:ascii="Arial" w:cs="Arial" w:eastAsia="Arial" w:hAnsi="Arial"/>
                <w:sz w:val="15"/>
                <w:szCs w:val="15"/>
                <w:color w:val="auto"/>
              </w:rPr>
              <w:t>$10,000 – Other</w:t>
            </w:r>
            <w:r>
              <w:rPr>
                <w:rFonts w:ascii="Arial" w:cs="Arial" w:eastAsia="Arial" w:hAnsi="Arial"/>
                <w:sz w:val="24"/>
                <w:szCs w:val="24"/>
                <w:color w:val="auto"/>
                <w:vertAlign w:val="superscript"/>
              </w:rPr>
              <w:t>(2)</w:t>
            </w:r>
          </w:p>
        </w:tc>
      </w:tr>
      <w:tr>
        <w:trPr>
          <w:trHeight w:val="172"/>
        </w:trPr>
        <w:tc>
          <w:tcPr>
            <w:tcW w:w="3100" w:type="dxa"/>
            <w:vAlign w:val="bottom"/>
            <w:tcBorders>
              <w:left w:val="single" w:sz="8" w:color="auto"/>
              <w:bottom w:val="single" w:sz="8" w:color="auto"/>
              <w:right w:val="single" w:sz="8" w:color="auto"/>
            </w:tcBorders>
            <w:gridSpan w:val="2"/>
            <w:shd w:val="clear" w:color="auto" w:fill="DCDCDE"/>
          </w:tcPr>
          <w:p>
            <w:pPr>
              <w:ind w:left="260"/>
              <w:spacing w:after="0"/>
              <w:rPr>
                <w:sz w:val="20"/>
                <w:szCs w:val="20"/>
                <w:color w:val="auto"/>
              </w:rPr>
            </w:pPr>
            <w:r>
              <w:rPr>
                <w:rFonts w:ascii="Arial" w:cs="Arial" w:eastAsia="Arial" w:hAnsi="Arial"/>
                <w:sz w:val="15"/>
                <w:szCs w:val="15"/>
                <w:color w:val="auto"/>
              </w:rPr>
              <w:t>Annual Equity Awards</w:t>
            </w:r>
          </w:p>
        </w:tc>
        <w:tc>
          <w:tcPr>
            <w:tcW w:w="296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$250,000 in RSUs per director</w:t>
            </w:r>
          </w:p>
        </w:tc>
        <w:tc>
          <w:tcPr>
            <w:tcW w:w="296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5"/>
                <w:szCs w:val="15"/>
                <w:color w:val="auto"/>
              </w:rPr>
              <w:t>$250,000 in RSUs per director</w:t>
            </w:r>
          </w:p>
        </w:tc>
      </w:tr>
      <w:tr>
        <w:trPr>
          <w:trHeight w:val="205"/>
        </w:trPr>
        <w:tc>
          <w:tcPr>
            <w:tcW w:w="3100" w:type="dxa"/>
            <w:vAlign w:val="bottom"/>
            <w:tcBorders>
              <w:left w:val="single" w:sz="8" w:color="auto"/>
              <w:bottom w:val="single" w:sz="8" w:color="auto"/>
              <w:right w:val="single" w:sz="8" w:color="auto"/>
            </w:tcBorders>
            <w:gridSpan w:val="2"/>
          </w:tcPr>
          <w:p>
            <w:pPr>
              <w:ind w:left="260"/>
              <w:spacing w:after="0" w:line="205" w:lineRule="exact"/>
              <w:rPr>
                <w:sz w:val="20"/>
                <w:szCs w:val="20"/>
                <w:color w:val="auto"/>
              </w:rPr>
            </w:pPr>
            <w:r>
              <w:rPr>
                <w:rFonts w:ascii="Arial" w:cs="Arial" w:eastAsia="Arial" w:hAnsi="Arial"/>
                <w:sz w:val="14"/>
                <w:szCs w:val="14"/>
                <w:color w:val="auto"/>
              </w:rPr>
              <w:t>Initial Election Equity Awards</w:t>
            </w:r>
            <w:r>
              <w:rPr>
                <w:rFonts w:ascii="Arial" w:cs="Arial" w:eastAsia="Arial" w:hAnsi="Arial"/>
                <w:sz w:val="23"/>
                <w:szCs w:val="23"/>
                <w:color w:val="auto"/>
                <w:vertAlign w:val="superscript"/>
              </w:rPr>
              <w:t>(4)</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$375,000 in RSUs per director</w:t>
            </w:r>
          </w:p>
        </w:tc>
        <w:tc>
          <w:tcPr>
            <w:tcW w:w="2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$375,000 in RSUs per director</w:t>
            </w:r>
          </w:p>
        </w:tc>
      </w:tr>
      <w:tr>
        <w:trPr>
          <w:trHeight w:val="81"/>
        </w:trPr>
        <w:tc>
          <w:tcPr>
            <w:tcW w:w="102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960" w:type="dxa"/>
            <w:vAlign w:val="bottom"/>
          </w:tcPr>
          <w:p>
            <w:pPr>
              <w:spacing w:after="0"/>
              <w:rPr>
                <w:sz w:val="7"/>
                <w:szCs w:val="7"/>
                <w:color w:val="auto"/>
              </w:rPr>
            </w:pPr>
          </w:p>
        </w:tc>
      </w:tr>
    </w:tbl>
    <w:p>
      <w:pPr>
        <w:spacing w:after="0" w:line="184" w:lineRule="exact"/>
        <w:rPr>
          <w:sz w:val="20"/>
          <w:szCs w:val="20"/>
          <w:color w:val="auto"/>
        </w:rPr>
      </w:pPr>
    </w:p>
    <w:p>
      <w:pPr>
        <w:ind w:left="1560" w:hanging="443"/>
        <w:spacing w:after="0"/>
        <w:tabs>
          <w:tab w:leader="none" w:pos="1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Chair of the Strategic Operations Committee (Fuad El-Hibri) does not receive a retainer.</w:t>
      </w:r>
    </w:p>
    <w:p>
      <w:pPr>
        <w:spacing w:after="0" w:line="199" w:lineRule="exact"/>
        <w:rPr>
          <w:rFonts w:ascii="Arial" w:cs="Arial" w:eastAsia="Arial" w:hAnsi="Arial"/>
          <w:sz w:val="15"/>
          <w:szCs w:val="15"/>
          <w:color w:val="auto"/>
        </w:rPr>
      </w:pPr>
    </w:p>
    <w:p>
      <w:pPr>
        <w:ind w:left="1560" w:hanging="443"/>
        <w:spacing w:after="0"/>
        <w:tabs>
          <w:tab w:leader="none" w:pos="1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Other includes the Nominating and Corporate Governance and Scientific Review Committee programs.</w:t>
      </w:r>
    </w:p>
    <w:p>
      <w:pPr>
        <w:spacing w:after="0" w:line="210" w:lineRule="exact"/>
        <w:rPr>
          <w:rFonts w:ascii="Arial" w:cs="Arial" w:eastAsia="Arial" w:hAnsi="Arial"/>
          <w:sz w:val="15"/>
          <w:szCs w:val="15"/>
          <w:color w:val="auto"/>
        </w:rPr>
      </w:pPr>
    </w:p>
    <w:p>
      <w:pPr>
        <w:ind w:left="1560" w:hanging="443"/>
        <w:spacing w:after="0" w:line="270" w:lineRule="auto"/>
        <w:tabs>
          <w:tab w:leader="none" w:pos="1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Employee Directors (Fuad El-Hibri, Robert G. Kramer and former director Daniel J. Abdun-Nabi) do not receive additional cash retainers for service on the Strategic Operations Committee.</w:t>
      </w:r>
    </w:p>
    <w:p>
      <w:pPr>
        <w:spacing w:after="0" w:line="164" w:lineRule="exact"/>
        <w:rPr>
          <w:rFonts w:ascii="Arial" w:cs="Arial" w:eastAsia="Arial" w:hAnsi="Arial"/>
          <w:sz w:val="15"/>
          <w:szCs w:val="15"/>
          <w:color w:val="auto"/>
        </w:rPr>
      </w:pPr>
    </w:p>
    <w:p>
      <w:pPr>
        <w:ind w:left="1560" w:hanging="443"/>
        <w:spacing w:after="0"/>
        <w:tabs>
          <w:tab w:leader="none" w:pos="15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Initial election equity award values are inclusive of the annual equity award.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2" w:name="page33"/>
    <w:bookmarkEnd w:id="3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PROPOSAL 2 — RATIFICATION OF APPOINTMENT OF INDEPENDENT</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REGISTERED PUBLIC ACCOUNTING FIRM</w:t>
      </w:r>
    </w:p>
    <w:p>
      <w:pPr>
        <w:spacing w:after="0" w:line="182"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5"/>
          <w:szCs w:val="15"/>
          <w:color w:val="auto"/>
        </w:rPr>
        <w:t>Ernst &amp; Young LLP currently serves as our Independent Registered Public Accounting Firm. After consideration of the firm's qualifications and past performance, the audit committee has appointed Ernst &amp; Young LLP as our Independent Registered Public Accounting Firm for the fiscal year ending December 31, 2020.</w:t>
      </w:r>
    </w:p>
    <w:p>
      <w:pPr>
        <w:spacing w:after="0" w:line="153" w:lineRule="exact"/>
        <w:rPr>
          <w:sz w:val="20"/>
          <w:szCs w:val="20"/>
          <w:color w:val="auto"/>
        </w:rPr>
      </w:pPr>
    </w:p>
    <w:p>
      <w:pPr>
        <w:jc w:val="both"/>
        <w:ind w:firstLine="372"/>
        <w:spacing w:after="0" w:line="299" w:lineRule="auto"/>
        <w:rPr>
          <w:sz w:val="20"/>
          <w:szCs w:val="20"/>
          <w:color w:val="auto"/>
        </w:rPr>
      </w:pPr>
      <w:r>
        <w:rPr>
          <w:rFonts w:ascii="Arial" w:cs="Arial" w:eastAsia="Arial" w:hAnsi="Arial"/>
          <w:sz w:val="13"/>
          <w:szCs w:val="13"/>
          <w:color w:val="auto"/>
        </w:rPr>
        <w:t>Under NYSE and SEC rules and the audit committee charter, the audit committee is directly responsible for the selection, appointment, compensation and oversight of the company's Independent Registered Public Accounting Firm and is not required to submit this appointment to a vote of the stockholders. Our Board and the audit committee, however, consider the appointment of our Independent Registered Public Accounting Firm to be an important matter of stockholder concern and are submitting the appointment of Ernst &amp; Young LLP for ratification by our stockholders as a matter of good corporate practice. One or more representatives of Ernst &amp; Young LLP is expected to be present at the virtual annual meeting and will have an opportunity to make a statement and respond to appropriate questions from stockholders. In the event that our stockholders fail to ratify the appointment of Ernst &amp; Young LLP, it will be considered as a direction to the audit committee to consider the appointment of a different firm. Even if the appointment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Required Vote and Board Recommendation</w:t>
      </w:r>
    </w:p>
    <w:p>
      <w:pPr>
        <w:spacing w:after="0" w:line="192" w:lineRule="exact"/>
        <w:rPr>
          <w:sz w:val="20"/>
          <w:szCs w:val="20"/>
          <w:color w:val="auto"/>
        </w:rPr>
      </w:pPr>
    </w:p>
    <w:p>
      <w:pPr>
        <w:jc w:val="both"/>
        <w:ind w:firstLine="310"/>
        <w:spacing w:after="0" w:line="270" w:lineRule="auto"/>
        <w:rPr>
          <w:sz w:val="20"/>
          <w:szCs w:val="20"/>
          <w:color w:val="auto"/>
        </w:rPr>
      </w:pPr>
      <w:r>
        <w:rPr>
          <w:rFonts w:ascii="Arial" w:cs="Arial" w:eastAsia="Arial" w:hAnsi="Arial"/>
          <w:sz w:val="15"/>
          <w:szCs w:val="15"/>
          <w:color w:val="auto"/>
        </w:rPr>
        <w:t>Ratification of the appointment of Ernst &amp; Young LLP as our Independent Registered Public Accounting Firm requires the affirmative vote of the majority of votes cast on such matter at the annual meeting. Abstentions will have no effect on the matter.</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The Board of Directors recommends a vote "FOR" the ratification of the appointment of Ernst &amp; Young LLP as the company's Independent Registered Public Accounting</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120015</wp:posOffset>
            </wp:positionV>
            <wp:extent cx="151701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3" w:name="page34"/>
    <w:bookmarkEnd w:id="3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AUDIT COMMITTEE REPORT</w:t>
      </w:r>
    </w:p>
    <w:p>
      <w:pPr>
        <w:spacing w:after="0" w:line="192" w:lineRule="exact"/>
        <w:rPr>
          <w:sz w:val="20"/>
          <w:szCs w:val="20"/>
          <w:color w:val="auto"/>
        </w:rPr>
      </w:pPr>
    </w:p>
    <w:p>
      <w:pPr>
        <w:jc w:val="both"/>
        <w:ind w:right="20" w:firstLine="345"/>
        <w:spacing w:after="0" w:line="270" w:lineRule="auto"/>
        <w:rPr>
          <w:sz w:val="20"/>
          <w:szCs w:val="20"/>
          <w:color w:val="auto"/>
        </w:rPr>
      </w:pPr>
      <w:r>
        <w:rPr>
          <w:rFonts w:ascii="Arial" w:cs="Arial" w:eastAsia="Arial" w:hAnsi="Arial"/>
          <w:sz w:val="15"/>
          <w:szCs w:val="15"/>
          <w:color w:val="auto"/>
        </w:rPr>
        <w:t>The audit committee has reviewed our audited financial statements for the fiscal year ended December 31, 2019, and discussed them with management and the Independent Registered Public Accounting Firm.</w:t>
      </w:r>
    </w:p>
    <w:p>
      <w:pPr>
        <w:spacing w:after="0" w:line="153" w:lineRule="exact"/>
        <w:rPr>
          <w:sz w:val="20"/>
          <w:szCs w:val="20"/>
          <w:color w:val="auto"/>
        </w:rPr>
      </w:pPr>
    </w:p>
    <w:p>
      <w:pPr>
        <w:jc w:val="both"/>
        <w:ind w:firstLine="374"/>
        <w:spacing w:after="0" w:line="260" w:lineRule="auto"/>
        <w:rPr>
          <w:sz w:val="20"/>
          <w:szCs w:val="20"/>
          <w:color w:val="auto"/>
        </w:rPr>
      </w:pPr>
      <w:r>
        <w:rPr>
          <w:rFonts w:ascii="Arial" w:cs="Arial" w:eastAsia="Arial" w:hAnsi="Arial"/>
          <w:sz w:val="15"/>
          <w:szCs w:val="15"/>
          <w:color w:val="auto"/>
        </w:rPr>
        <w:t>The audit committee also has received from, and discussed with, the Independent Registered Public Accounting Firm various communications that the Independent Registered Public Accounting Firm is required to provide to the audit committee, including the matters required to be discussed by the applicable requirements of the Public Company Accounting Oversight Board.</w:t>
      </w:r>
    </w:p>
    <w:p>
      <w:pPr>
        <w:spacing w:after="0" w:line="161" w:lineRule="exact"/>
        <w:rPr>
          <w:sz w:val="20"/>
          <w:szCs w:val="20"/>
          <w:color w:val="auto"/>
        </w:rPr>
      </w:pPr>
    </w:p>
    <w:p>
      <w:pPr>
        <w:jc w:val="both"/>
        <w:ind w:firstLine="359"/>
        <w:spacing w:after="0" w:line="260" w:lineRule="auto"/>
        <w:rPr>
          <w:sz w:val="20"/>
          <w:szCs w:val="20"/>
          <w:color w:val="auto"/>
        </w:rPr>
      </w:pPr>
      <w:r>
        <w:rPr>
          <w:rFonts w:ascii="Arial" w:cs="Arial" w:eastAsia="Arial" w:hAnsi="Arial"/>
          <w:sz w:val="15"/>
          <w:szCs w:val="15"/>
          <w:color w:val="auto"/>
        </w:rPr>
        <w:t>The audit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their independence.</w:t>
      </w:r>
    </w:p>
    <w:p>
      <w:pPr>
        <w:spacing w:after="0" w:line="161" w:lineRule="exact"/>
        <w:rPr>
          <w:sz w:val="20"/>
          <w:szCs w:val="20"/>
          <w:color w:val="auto"/>
        </w:rPr>
      </w:pPr>
    </w:p>
    <w:p>
      <w:pPr>
        <w:jc w:val="both"/>
        <w:ind w:firstLine="303"/>
        <w:spacing w:after="0" w:line="270" w:lineRule="auto"/>
        <w:rPr>
          <w:sz w:val="20"/>
          <w:szCs w:val="20"/>
          <w:color w:val="auto"/>
        </w:rPr>
      </w:pPr>
      <w:r>
        <w:rPr>
          <w:rFonts w:ascii="Arial" w:cs="Arial" w:eastAsia="Arial" w:hAnsi="Arial"/>
          <w:sz w:val="15"/>
          <w:szCs w:val="15"/>
          <w:color w:val="auto"/>
        </w:rPr>
        <w:t>Based on the review and discussions referred to above, the audit committee recommended to the Board of Directors of Emergent BioSolutions Inc. that the audited financial statements be included in the Annual Report on Form 10-K for the year ended December 31, 2019 for filing with the Securities and Exchange Commission.</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 the Audit Committee of the Board of Directors of</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Emergent BioSolutions Inc.</w:t>
      </w:r>
    </w:p>
    <w:p>
      <w:pPr>
        <w:spacing w:after="0" w:line="182"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Zsolt Harsanyi, Ph.D., Chairperson</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General George A. Joulwan</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Ronald B. Richard</w:t>
      </w:r>
    </w:p>
    <w:p>
      <w:pPr>
        <w:spacing w:after="0" w:line="8"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Louis W. Sullivan, M.D.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4" w:name="page35"/>
    <w:bookmarkEnd w:id="3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Registered Public Accounting Firm's Fees</w:t>
      </w:r>
    </w:p>
    <w:p>
      <w:pPr>
        <w:spacing w:after="0" w:line="192" w:lineRule="exact"/>
        <w:rPr>
          <w:sz w:val="20"/>
          <w:szCs w:val="20"/>
          <w:color w:val="auto"/>
        </w:rPr>
      </w:pPr>
    </w:p>
    <w:p>
      <w:pPr>
        <w:jc w:val="both"/>
        <w:ind w:right="20" w:firstLine="323"/>
        <w:spacing w:after="0" w:line="348" w:lineRule="auto"/>
        <w:rPr>
          <w:sz w:val="20"/>
          <w:szCs w:val="20"/>
          <w:color w:val="auto"/>
        </w:rPr>
      </w:pPr>
      <w:r>
        <w:rPr>
          <w:rFonts w:ascii="Arial" w:cs="Arial" w:eastAsia="Arial" w:hAnsi="Arial"/>
          <w:sz w:val="13"/>
          <w:szCs w:val="13"/>
          <w:color w:val="auto"/>
        </w:rPr>
        <w:t>The following table summarizes the fees of Ernst &amp; Young LLP, our Independent Registered Public Accounting Firm, billed to us for each of the last two fiscal years for audit and other services. For 2019, audit fees include an estimate of amounts not yet billed. None of the fees described in the following table were approved using the "de minimis exception" under SEC rules.</w:t>
      </w:r>
    </w:p>
    <w:p>
      <w:pPr>
        <w:spacing w:after="0" w:line="149"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7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1"/>
                <w:szCs w:val="11"/>
                <w:b w:val="1"/>
                <w:bCs w:val="1"/>
                <w:color w:val="auto"/>
              </w:rPr>
              <w:t>December 31,</w:t>
            </w:r>
          </w:p>
        </w:tc>
      </w:tr>
      <w:tr>
        <w:trPr>
          <w:trHeight w:val="115"/>
        </w:trPr>
        <w:tc>
          <w:tcPr>
            <w:tcW w:w="7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2"/>
              <w:spacing w:after="0" w:line="115" w:lineRule="exact"/>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10"/>
              <w:spacing w:after="0" w:line="115" w:lineRule="exact"/>
              <w:rPr>
                <w:sz w:val="20"/>
                <w:szCs w:val="20"/>
                <w:color w:val="auto"/>
              </w:rPr>
            </w:pPr>
            <w:r>
              <w:rPr>
                <w:rFonts w:ascii="Arial" w:cs="Arial" w:eastAsia="Arial" w:hAnsi="Arial"/>
                <w:sz w:val="11"/>
                <w:szCs w:val="11"/>
                <w:b w:val="1"/>
                <w:bCs w:val="1"/>
                <w:color w:val="auto"/>
              </w:rPr>
              <w:t>2018</w:t>
            </w:r>
          </w:p>
        </w:tc>
      </w:tr>
      <w:tr>
        <w:trPr>
          <w:trHeight w:val="172"/>
        </w:trPr>
        <w:tc>
          <w:tcPr>
            <w:tcW w:w="7200" w:type="dxa"/>
            <w:vAlign w:val="bottom"/>
            <w:shd w:val="clear" w:color="auto" w:fill="DCDCDE"/>
          </w:tcPr>
          <w:p>
            <w:pPr>
              <w:spacing w:after="0"/>
              <w:rPr>
                <w:sz w:val="20"/>
                <w:szCs w:val="20"/>
                <w:color w:val="auto"/>
              </w:rPr>
            </w:pPr>
            <w:r>
              <w:rPr>
                <w:rFonts w:ascii="Arial" w:cs="Arial" w:eastAsia="Arial" w:hAnsi="Arial"/>
                <w:sz w:val="15"/>
                <w:szCs w:val="15"/>
                <w:color w:val="auto"/>
              </w:rPr>
              <w:t>Audit Fees</w:t>
            </w:r>
          </w:p>
        </w:tc>
        <w:tc>
          <w:tcPr>
            <w:tcW w:w="1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3,383,682</w:t>
            </w:r>
          </w:p>
        </w:tc>
        <w:tc>
          <w:tcPr>
            <w:tcW w:w="120" w:type="dxa"/>
            <w:vAlign w:val="bottom"/>
            <w:shd w:val="clear" w:color="auto" w:fill="DCDCDE"/>
          </w:tcPr>
          <w:p>
            <w:pPr>
              <w:spacing w:after="0"/>
              <w:rPr>
                <w:sz w:val="14"/>
                <w:szCs w:val="14"/>
                <w:color w:val="auto"/>
              </w:rPr>
            </w:pPr>
          </w:p>
        </w:tc>
        <w:tc>
          <w:tcPr>
            <w:tcW w:w="1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3,536,039</w:t>
            </w:r>
          </w:p>
        </w:tc>
      </w:tr>
      <w:tr>
        <w:trPr>
          <w:trHeight w:val="180"/>
        </w:trPr>
        <w:tc>
          <w:tcPr>
            <w:tcW w:w="7200" w:type="dxa"/>
            <w:vAlign w:val="bottom"/>
          </w:tcPr>
          <w:p>
            <w:pPr>
              <w:spacing w:after="0"/>
              <w:rPr>
                <w:sz w:val="20"/>
                <w:szCs w:val="20"/>
                <w:color w:val="auto"/>
              </w:rPr>
            </w:pPr>
            <w:r>
              <w:rPr>
                <w:rFonts w:ascii="Arial" w:cs="Arial" w:eastAsia="Arial" w:hAnsi="Arial"/>
                <w:sz w:val="15"/>
                <w:szCs w:val="15"/>
                <w:color w:val="auto"/>
              </w:rPr>
              <w:t>Audit-Related Fees</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418,041</w:t>
            </w:r>
          </w:p>
        </w:tc>
      </w:tr>
      <w:tr>
        <w:trPr>
          <w:trHeight w:val="180"/>
        </w:trPr>
        <w:tc>
          <w:tcPr>
            <w:tcW w:w="7200" w:type="dxa"/>
            <w:vAlign w:val="bottom"/>
            <w:shd w:val="clear" w:color="auto" w:fill="DCDCDE"/>
          </w:tcPr>
          <w:p>
            <w:pPr>
              <w:spacing w:after="0"/>
              <w:rPr>
                <w:sz w:val="20"/>
                <w:szCs w:val="20"/>
                <w:color w:val="auto"/>
              </w:rPr>
            </w:pPr>
            <w:r>
              <w:rPr>
                <w:rFonts w:ascii="Arial" w:cs="Arial" w:eastAsia="Arial" w:hAnsi="Arial"/>
                <w:sz w:val="15"/>
                <w:szCs w:val="15"/>
                <w:color w:val="auto"/>
              </w:rPr>
              <w:t>Tax Fees</w:t>
            </w: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246,330</w:t>
            </w:r>
          </w:p>
        </w:tc>
        <w:tc>
          <w:tcPr>
            <w:tcW w:w="1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356,524</w:t>
            </w:r>
          </w:p>
        </w:tc>
      </w:tr>
      <w:tr>
        <w:trPr>
          <w:trHeight w:val="180"/>
        </w:trPr>
        <w:tc>
          <w:tcPr>
            <w:tcW w:w="7200" w:type="dxa"/>
            <w:vAlign w:val="bottom"/>
          </w:tcPr>
          <w:p>
            <w:pPr>
              <w:spacing w:after="0"/>
              <w:rPr>
                <w:sz w:val="20"/>
                <w:szCs w:val="20"/>
                <w:color w:val="auto"/>
              </w:rPr>
            </w:pPr>
            <w:r>
              <w:rPr>
                <w:rFonts w:ascii="Arial" w:cs="Arial" w:eastAsia="Arial" w:hAnsi="Arial"/>
                <w:sz w:val="15"/>
                <w:szCs w:val="15"/>
                <w:color w:val="auto"/>
              </w:rPr>
              <w:t>All Other Fees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10,000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2"/>
        </w:trPr>
        <w:tc>
          <w:tcPr>
            <w:tcW w:w="7200" w:type="dxa"/>
            <w:vAlign w:val="bottom"/>
            <w:shd w:val="clear" w:color="auto" w:fill="DCDCDE"/>
          </w:tcPr>
          <w:p>
            <w:pPr>
              <w:spacing w:after="0"/>
              <w:rPr>
                <w:sz w:val="14"/>
                <w:szCs w:val="14"/>
                <w:color w:val="auto"/>
              </w:rPr>
            </w:pPr>
          </w:p>
        </w:tc>
        <w:tc>
          <w:tcPr>
            <w:tcW w:w="14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92"/>
              </w:rPr>
              <w:t>3,655,012</w:t>
            </w:r>
          </w:p>
        </w:tc>
        <w:tc>
          <w:tcPr>
            <w:tcW w:w="120" w:type="dxa"/>
            <w:vAlign w:val="bottom"/>
            <w:shd w:val="clear" w:color="auto" w:fill="DCDCDE"/>
          </w:tcPr>
          <w:p>
            <w:pPr>
              <w:spacing w:after="0"/>
              <w:rPr>
                <w:sz w:val="14"/>
                <w:szCs w:val="14"/>
                <w:color w:val="auto"/>
              </w:rPr>
            </w:pPr>
          </w:p>
        </w:tc>
        <w:tc>
          <w:tcPr>
            <w:tcW w:w="14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DCDCDE"/>
          </w:tcPr>
          <w:p>
            <w:pPr>
              <w:jc w:val="right"/>
              <w:spacing w:after="0"/>
              <w:rPr>
                <w:sz w:val="20"/>
                <w:szCs w:val="20"/>
                <w:color w:val="auto"/>
              </w:rPr>
            </w:pPr>
            <w:r>
              <w:rPr>
                <w:rFonts w:ascii="Arial" w:cs="Arial" w:eastAsia="Arial" w:hAnsi="Arial"/>
                <w:sz w:val="15"/>
                <w:szCs w:val="15"/>
                <w:color w:val="auto"/>
                <w:w w:val="92"/>
              </w:rPr>
              <w:t>4,310,604</w:t>
            </w:r>
          </w:p>
        </w:tc>
      </w:tr>
      <w:tr>
        <w:trPr>
          <w:trHeight w:val="20"/>
        </w:trPr>
        <w:tc>
          <w:tcPr>
            <w:tcW w:w="7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5"/>
        <w:spacing w:after="0" w:line="270" w:lineRule="auto"/>
        <w:rPr>
          <w:sz w:val="20"/>
          <w:szCs w:val="20"/>
          <w:color w:val="auto"/>
        </w:rPr>
      </w:pPr>
      <w:r>
        <w:rPr>
          <w:rFonts w:ascii="Arial" w:cs="Arial" w:eastAsia="Arial" w:hAnsi="Arial"/>
          <w:sz w:val="15"/>
          <w:szCs w:val="15"/>
          <w:i w:val="1"/>
          <w:iCs w:val="1"/>
          <w:color w:val="auto"/>
        </w:rPr>
        <w:t xml:space="preserve">Audit Fees. </w:t>
      </w:r>
      <w:r>
        <w:rPr>
          <w:rFonts w:ascii="Arial" w:cs="Arial" w:eastAsia="Arial" w:hAnsi="Arial"/>
          <w:sz w:val="15"/>
          <w:szCs w:val="15"/>
          <w:color w:val="auto"/>
        </w:rPr>
        <w:t>Audit fees consist of fees for the audit of our consolidated financial statements and other professional services provided in connection with statutory and regulatory filings or</w:t>
      </w:r>
      <w:r>
        <w:rPr>
          <w:rFonts w:ascii="Arial" w:cs="Arial" w:eastAsia="Arial" w:hAnsi="Arial"/>
          <w:sz w:val="15"/>
          <w:szCs w:val="15"/>
          <w:i w:val="1"/>
          <w:iCs w:val="1"/>
          <w:color w:val="auto"/>
        </w:rPr>
        <w:t xml:space="preserve"> </w:t>
      </w:r>
      <w:r>
        <w:rPr>
          <w:rFonts w:ascii="Arial" w:cs="Arial" w:eastAsia="Arial" w:hAnsi="Arial"/>
          <w:sz w:val="15"/>
          <w:szCs w:val="15"/>
          <w:color w:val="auto"/>
        </w:rPr>
        <w:t>engagements, along with fees in connection with financing transactions.</w:t>
      </w:r>
    </w:p>
    <w:p>
      <w:pPr>
        <w:spacing w:after="0" w:line="153" w:lineRule="exact"/>
        <w:rPr>
          <w:sz w:val="20"/>
          <w:szCs w:val="20"/>
          <w:color w:val="auto"/>
        </w:rPr>
      </w:pPr>
    </w:p>
    <w:p>
      <w:pPr>
        <w:jc w:val="both"/>
        <w:ind w:right="20" w:firstLine="338"/>
        <w:spacing w:after="0" w:line="270" w:lineRule="auto"/>
        <w:rPr>
          <w:sz w:val="20"/>
          <w:szCs w:val="20"/>
          <w:color w:val="auto"/>
        </w:rPr>
      </w:pPr>
      <w:r>
        <w:rPr>
          <w:rFonts w:ascii="Arial" w:cs="Arial" w:eastAsia="Arial" w:hAnsi="Arial"/>
          <w:sz w:val="15"/>
          <w:szCs w:val="15"/>
          <w:i w:val="1"/>
          <w:iCs w:val="1"/>
          <w:color w:val="auto"/>
        </w:rPr>
        <w:t xml:space="preserve">Audit-related fees. </w:t>
      </w:r>
      <w:r>
        <w:rPr>
          <w:rFonts w:ascii="Arial" w:cs="Arial" w:eastAsia="Arial" w:hAnsi="Arial"/>
          <w:sz w:val="15"/>
          <w:szCs w:val="15"/>
          <w:color w:val="auto"/>
        </w:rPr>
        <w:t>Audit-related fees consist of fees for assurance and related services that are reasonably related to the performance of the audit, the review of our financial statements</w:t>
      </w:r>
      <w:r>
        <w:rPr>
          <w:rFonts w:ascii="Arial" w:cs="Arial" w:eastAsia="Arial" w:hAnsi="Arial"/>
          <w:sz w:val="15"/>
          <w:szCs w:val="15"/>
          <w:i w:val="1"/>
          <w:iCs w:val="1"/>
          <w:color w:val="auto"/>
        </w:rPr>
        <w:t xml:space="preserve"> </w:t>
      </w:r>
      <w:r>
        <w:rPr>
          <w:rFonts w:ascii="Arial" w:cs="Arial" w:eastAsia="Arial" w:hAnsi="Arial"/>
          <w:sz w:val="15"/>
          <w:szCs w:val="15"/>
          <w:color w:val="auto"/>
        </w:rPr>
        <w:t>and acquisition-related services, which are not reported under "Audit Fees."</w:t>
      </w:r>
    </w:p>
    <w:p>
      <w:pPr>
        <w:spacing w:after="0" w:line="153" w:lineRule="exact"/>
        <w:rPr>
          <w:sz w:val="20"/>
          <w:szCs w:val="20"/>
          <w:color w:val="auto"/>
        </w:rPr>
      </w:pPr>
    </w:p>
    <w:p>
      <w:pPr>
        <w:jc w:val="both"/>
        <w:ind w:firstLine="361"/>
        <w:spacing w:after="0" w:line="260"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Tax fees consist of fees for tax compliance, tax advice and tax planning services. Tax compliance services, which relate to preparation of tax returns and claims for refunds,</w:t>
      </w:r>
      <w:r>
        <w:rPr>
          <w:rFonts w:ascii="Arial" w:cs="Arial" w:eastAsia="Arial" w:hAnsi="Arial"/>
          <w:sz w:val="15"/>
          <w:szCs w:val="15"/>
          <w:i w:val="1"/>
          <w:iCs w:val="1"/>
          <w:color w:val="auto"/>
        </w:rPr>
        <w:t xml:space="preserve"> </w:t>
      </w:r>
      <w:r>
        <w:rPr>
          <w:rFonts w:ascii="Arial" w:cs="Arial" w:eastAsia="Arial" w:hAnsi="Arial"/>
          <w:sz w:val="15"/>
          <w:szCs w:val="15"/>
          <w:color w:val="auto"/>
        </w:rPr>
        <w:t>accounted for none of the total tax fees billed in 2019 or 2018. Tax advice and tax planning services relate to assistance with tax credit and deduction studies and calculations and tax advice related to acquisitions and dispositions, including audit support.</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Policies and Procedures</w:t>
      </w:r>
    </w:p>
    <w:p>
      <w:pPr>
        <w:spacing w:after="0" w:line="192" w:lineRule="exact"/>
        <w:rPr>
          <w:sz w:val="20"/>
          <w:szCs w:val="20"/>
          <w:color w:val="auto"/>
        </w:rPr>
      </w:pPr>
    </w:p>
    <w:p>
      <w:pPr>
        <w:jc w:val="both"/>
        <w:ind w:firstLine="404"/>
        <w:spacing w:after="0" w:line="287" w:lineRule="auto"/>
        <w:rPr>
          <w:sz w:val="20"/>
          <w:szCs w:val="20"/>
          <w:color w:val="auto"/>
        </w:rPr>
      </w:pPr>
      <w:r>
        <w:rPr>
          <w:rFonts w:ascii="Arial" w:cs="Arial" w:eastAsia="Arial" w:hAnsi="Arial"/>
          <w:sz w:val="14"/>
          <w:szCs w:val="14"/>
          <w:color w:val="auto"/>
        </w:rPr>
        <w:t>Our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spacing w:after="0" w:line="144" w:lineRule="exact"/>
        <w:rPr>
          <w:sz w:val="20"/>
          <w:szCs w:val="20"/>
          <w:color w:val="auto"/>
        </w:rPr>
      </w:pPr>
    </w:p>
    <w:p>
      <w:pPr>
        <w:jc w:val="both"/>
        <w:ind w:firstLine="315"/>
        <w:spacing w:after="0" w:line="319" w:lineRule="auto"/>
        <w:rPr>
          <w:sz w:val="20"/>
          <w:szCs w:val="20"/>
          <w:color w:val="auto"/>
        </w:rPr>
      </w:pPr>
      <w:r>
        <w:rPr>
          <w:rFonts w:ascii="Arial" w:cs="Arial" w:eastAsia="Arial" w:hAnsi="Arial"/>
          <w:sz w:val="13"/>
          <w:szCs w:val="13"/>
          <w:color w:val="auto"/>
        </w:rPr>
        <w:t>From time to time, our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The pre-approval of certain services may be delegated to one or more of the Audit Committee's members, but the decision must be reported to the full Audit Committee at its next scheduled meeting.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5" w:name="page36"/>
    <w:bookmarkEnd w:id="3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PROPOSAL 3 — ADVISORY VOTE TO APPROVE EXECUTIVE COMPENSATION</w:t>
      </w:r>
    </w:p>
    <w:p>
      <w:pPr>
        <w:spacing w:after="0" w:line="192" w:lineRule="exact"/>
        <w:rPr>
          <w:sz w:val="20"/>
          <w:szCs w:val="20"/>
          <w:color w:val="auto"/>
        </w:rPr>
      </w:pPr>
    </w:p>
    <w:p>
      <w:pPr>
        <w:jc w:val="both"/>
        <w:ind w:right="20" w:firstLine="315"/>
        <w:spacing w:after="0" w:line="270" w:lineRule="auto"/>
        <w:rPr>
          <w:sz w:val="20"/>
          <w:szCs w:val="20"/>
          <w:color w:val="auto"/>
        </w:rPr>
      </w:pPr>
      <w:r>
        <w:rPr>
          <w:rFonts w:ascii="Arial" w:cs="Arial" w:eastAsia="Arial" w:hAnsi="Arial"/>
          <w:sz w:val="15"/>
          <w:szCs w:val="15"/>
          <w:color w:val="auto"/>
        </w:rPr>
        <w:t>Our Board has determined to provide our stockholders the opportunity to vote each year to approve, on an advisory basis, the compensation of our named executive officers, as disclosed in this proxy statement.</w:t>
      </w:r>
    </w:p>
    <w:p>
      <w:pPr>
        <w:spacing w:after="0" w:line="153" w:lineRule="exact"/>
        <w:rPr>
          <w:sz w:val="20"/>
          <w:szCs w:val="20"/>
          <w:color w:val="auto"/>
        </w:rPr>
      </w:pPr>
    </w:p>
    <w:p>
      <w:pPr>
        <w:jc w:val="both"/>
        <w:ind w:firstLine="312"/>
        <w:spacing w:after="0" w:line="287" w:lineRule="auto"/>
        <w:rPr>
          <w:sz w:val="20"/>
          <w:szCs w:val="20"/>
          <w:color w:val="auto"/>
        </w:rPr>
      </w:pPr>
      <w:r>
        <w:rPr>
          <w:rFonts w:ascii="Arial" w:cs="Arial" w:eastAsia="Arial" w:hAnsi="Arial"/>
          <w:sz w:val="14"/>
          <w:szCs w:val="14"/>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44"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5"/>
          <w:szCs w:val="15"/>
          <w:color w:val="auto"/>
        </w:rPr>
        <w:t>The "Executive Compensation" section of this proxy statement beginning on page 33, including "Compensation Discussion and Analysis" beginning on page 34, describes in detail our executive compensation programs and the decisions made by the compensation committee and the Board with respect to 2019. Highlights of our executive compensation program include the following:</w:t>
      </w:r>
    </w:p>
    <w:p>
      <w:pPr>
        <w:spacing w:after="0" w:line="172" w:lineRule="exact"/>
        <w:rPr>
          <w:sz w:val="20"/>
          <w:szCs w:val="20"/>
          <w:color w:val="auto"/>
        </w:rPr>
      </w:pPr>
    </w:p>
    <w:p>
      <w:pPr>
        <w:ind w:left="900" w:hanging="45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Pay should be linked to performance;</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Compensation opportunities should be competitive with relevant peer companies;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equity compensation program should align executive interests with those of stockholders; and</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Supplemental benefits and perquisites should be limited and used selectively in specific circumstances to attract and retain executives.</w:t>
      </w:r>
    </w:p>
    <w:p>
      <w:pPr>
        <w:spacing w:after="0" w:line="188" w:lineRule="exact"/>
        <w:rPr>
          <w:sz w:val="20"/>
          <w:szCs w:val="20"/>
          <w:color w:val="auto"/>
        </w:rPr>
      </w:pPr>
    </w:p>
    <w:p>
      <w:pPr>
        <w:jc w:val="both"/>
        <w:ind w:firstLine="354"/>
        <w:spacing w:after="0" w:line="281" w:lineRule="auto"/>
        <w:rPr>
          <w:sz w:val="20"/>
          <w:szCs w:val="20"/>
          <w:color w:val="auto"/>
        </w:rPr>
      </w:pPr>
      <w:r>
        <w:rPr>
          <w:rFonts w:ascii="Arial" w:cs="Arial" w:eastAsia="Arial" w:hAnsi="Arial"/>
          <w:sz w:val="14"/>
          <w:szCs w:val="14"/>
          <w:color w:val="auto"/>
        </w:rPr>
        <w:t>As we describe in the "Compensation Discussion and Analysis" section of this proxy statement, our executive compensation program embodies a pay-for-performance philosophy that supports our business strategy and aligns the interests of our executives with those of our stockholders. Our Board believes this link between compensation and the achievement of our near-and long-term business goals has helped drive our performance over time. At the same time, we believe our program does not encourage excessive risk-taking by management and that our compensation policies and practices are not reasonably likely to have a material adverse effect us.</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5"/>
          <w:szCs w:val="15"/>
          <w:color w:val="auto"/>
        </w:rPr>
        <w:t>Pursuant to Section 14A of the Exchange Act, our Board is asking stockholders to approve, on an advisory basis, the following resolution:</w:t>
      </w:r>
    </w:p>
    <w:p>
      <w:pPr>
        <w:spacing w:after="0" w:line="184" w:lineRule="exact"/>
        <w:rPr>
          <w:sz w:val="20"/>
          <w:szCs w:val="20"/>
          <w:color w:val="auto"/>
        </w:rPr>
      </w:pPr>
    </w:p>
    <w:p>
      <w:pPr>
        <w:jc w:val="both"/>
        <w:ind w:left="440"/>
        <w:spacing w:after="0" w:line="263" w:lineRule="auto"/>
        <w:rPr>
          <w:sz w:val="20"/>
          <w:szCs w:val="20"/>
          <w:color w:val="auto"/>
        </w:rPr>
      </w:pPr>
      <w:r>
        <w:rPr>
          <w:rFonts w:ascii="Arial" w:cs="Arial" w:eastAsia="Arial" w:hAnsi="Arial"/>
          <w:sz w:val="15"/>
          <w:szCs w:val="15"/>
          <w:b w:val="1"/>
          <w:bCs w:val="1"/>
          <w:color w:val="auto"/>
        </w:rPr>
        <w:t>RESOLVED</w:t>
      </w:r>
      <w:r>
        <w:rPr>
          <w:rFonts w:ascii="Arial" w:cs="Arial" w:eastAsia="Arial" w:hAnsi="Arial"/>
          <w:sz w:val="15"/>
          <w:szCs w:val="15"/>
          <w:color w:val="auto"/>
        </w:rPr>
        <w:t>, that the compensation paid to Emergent BioSolutions Inc.'s named executive officers, as disclosed pursuant to the compensation disclosure rules of the Securities and</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Commission, including the compensation discussion and analysis, the compensation tables and any related narrative discussions disclosed in this proxy statement, is hereby approved on an advisory basis.</w:t>
      </w:r>
    </w:p>
    <w:p>
      <w:pPr>
        <w:spacing w:after="0" w:line="158" w:lineRule="exact"/>
        <w:rPr>
          <w:sz w:val="20"/>
          <w:szCs w:val="20"/>
          <w:color w:val="auto"/>
        </w:rPr>
      </w:pPr>
    </w:p>
    <w:p>
      <w:pPr>
        <w:jc w:val="both"/>
        <w:ind w:firstLine="295"/>
        <w:spacing w:after="0" w:line="270" w:lineRule="auto"/>
        <w:rPr>
          <w:sz w:val="20"/>
          <w:szCs w:val="20"/>
          <w:color w:val="auto"/>
        </w:rPr>
      </w:pPr>
      <w:r>
        <w:rPr>
          <w:rFonts w:ascii="Arial" w:cs="Arial" w:eastAsia="Arial" w:hAnsi="Arial"/>
          <w:sz w:val="15"/>
          <w:szCs w:val="15"/>
          <w:color w:val="auto"/>
        </w:rPr>
        <w:t>As an advisory vote, this proposal is not binding. Although the vote is non-binding, our compensation committee and Board value the opinions expressed by our stockholders in their vote on this proposal and will consider the outcome of the vote when making future compensation decisions for our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 and Board Recommendation</w:t>
      </w:r>
    </w:p>
    <w:p>
      <w:pPr>
        <w:spacing w:after="0" w:line="192" w:lineRule="exact"/>
        <w:rPr>
          <w:sz w:val="20"/>
          <w:szCs w:val="20"/>
          <w:color w:val="auto"/>
        </w:rPr>
      </w:pPr>
    </w:p>
    <w:p>
      <w:pPr>
        <w:jc w:val="both"/>
        <w:ind w:firstLine="322"/>
        <w:spacing w:after="0" w:line="260" w:lineRule="auto"/>
        <w:rPr>
          <w:sz w:val="20"/>
          <w:szCs w:val="20"/>
          <w:color w:val="auto"/>
        </w:rPr>
      </w:pPr>
      <w:r>
        <w:rPr>
          <w:rFonts w:ascii="Arial" w:cs="Arial" w:eastAsia="Arial" w:hAnsi="Arial"/>
          <w:sz w:val="15"/>
          <w:szCs w:val="15"/>
          <w:color w:val="auto"/>
        </w:rPr>
        <w:t>Approval of the advisory vote on executive compensation requires the affirmative vote of the majority of the votes cast on the matter at the annual meeting. If you own shares through a bank, broker or other holder of record, you must instruct your bank, broker or other holder of record how to vote on this proposal for your shares to be counted on this proposal. Abstentions and broker non-votes will have no effect on the outcome of the matter.</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5"/>
          <w:szCs w:val="15"/>
          <w:b w:val="1"/>
          <w:bCs w:val="1"/>
          <w:color w:val="auto"/>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2813050</wp:posOffset>
            </wp:positionH>
            <wp:positionV relativeFrom="paragraph">
              <wp:posOffset>126365</wp:posOffset>
            </wp:positionV>
            <wp:extent cx="151701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01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6" w:name="page37"/>
    <w:bookmarkEnd w:id="3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IDENTIFICATION OF EXECUTIVE OFFICERS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Set forth below is information regarding the positions, ages and business experience of each of our current executive officers.</w:t>
      </w:r>
    </w:p>
    <w:p>
      <w:pPr>
        <w:spacing w:after="0" w:line="184"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280" w:type="dxa"/>
            <w:vAlign w:val="bottom"/>
          </w:tcPr>
          <w:p>
            <w:pPr>
              <w:spacing w:after="0"/>
              <w:rPr>
                <w:sz w:val="20"/>
                <w:szCs w:val="20"/>
                <w:color w:val="auto"/>
              </w:rPr>
            </w:pPr>
            <w:r>
              <w:rPr>
                <w:rFonts w:ascii="Arial" w:cs="Arial" w:eastAsia="Arial" w:hAnsi="Arial"/>
                <w:sz w:val="11"/>
                <w:szCs w:val="11"/>
                <w:b w:val="1"/>
                <w:bCs w:val="1"/>
                <w:color w:val="auto"/>
                <w:w w:val="86"/>
              </w:rPr>
              <w:t>Name</w:t>
            </w:r>
          </w:p>
        </w:tc>
        <w:tc>
          <w:tcPr>
            <w:tcW w:w="19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b w:val="1"/>
                <w:bCs w:val="1"/>
                <w:color w:val="auto"/>
              </w:rPr>
              <w:t>Age</w:t>
            </w:r>
          </w:p>
        </w:tc>
        <w:tc>
          <w:tcPr>
            <w:tcW w:w="6580" w:type="dxa"/>
            <w:vAlign w:val="bottom"/>
            <w:gridSpan w:val="2"/>
          </w:tcPr>
          <w:p>
            <w:pPr>
              <w:ind w:left="140"/>
              <w:spacing w:after="0"/>
              <w:rPr>
                <w:sz w:val="20"/>
                <w:szCs w:val="20"/>
                <w:color w:val="auto"/>
              </w:rPr>
            </w:pPr>
            <w:r>
              <w:rPr>
                <w:rFonts w:ascii="Arial" w:cs="Arial" w:eastAsia="Arial" w:hAnsi="Arial"/>
                <w:sz w:val="11"/>
                <w:szCs w:val="11"/>
                <w:b w:val="1"/>
                <w:bCs w:val="1"/>
                <w:color w:val="auto"/>
              </w:rPr>
              <w:t>Position</w:t>
            </w:r>
          </w:p>
        </w:tc>
      </w:tr>
      <w:tr>
        <w:trPr>
          <w:trHeight w:val="20"/>
        </w:trPr>
        <w:tc>
          <w:tcPr>
            <w:tcW w:w="2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r>
      <w:tr>
        <w:trPr>
          <w:trHeight w:val="172"/>
        </w:trPr>
        <w:tc>
          <w:tcPr>
            <w:tcW w:w="22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Fuad El-Hibri</w:t>
            </w:r>
          </w:p>
        </w:tc>
        <w:tc>
          <w:tcPr>
            <w:tcW w:w="3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62</w:t>
            </w:r>
          </w:p>
        </w:tc>
        <w:tc>
          <w:tcPr>
            <w:tcW w:w="6580" w:type="dxa"/>
            <w:vAlign w:val="bottom"/>
            <w:gridSpan w:val="2"/>
            <w:shd w:val="clear" w:color="auto" w:fill="DCDCDE"/>
          </w:tcPr>
          <w:p>
            <w:pPr>
              <w:ind w:left="140"/>
              <w:spacing w:after="0"/>
              <w:rPr>
                <w:sz w:val="20"/>
                <w:szCs w:val="20"/>
                <w:color w:val="auto"/>
              </w:rPr>
            </w:pPr>
            <w:r>
              <w:rPr>
                <w:rFonts w:ascii="Arial" w:cs="Arial" w:eastAsia="Arial" w:hAnsi="Arial"/>
                <w:sz w:val="15"/>
                <w:szCs w:val="15"/>
                <w:color w:val="auto"/>
              </w:rPr>
              <w:t>Executive Chairman</w:t>
            </w:r>
          </w:p>
        </w:tc>
      </w:tr>
      <w:tr>
        <w:trPr>
          <w:trHeight w:val="180"/>
        </w:trPr>
        <w:tc>
          <w:tcPr>
            <w:tcW w:w="2240" w:type="dxa"/>
            <w:vAlign w:val="bottom"/>
            <w:gridSpan w:val="2"/>
          </w:tcPr>
          <w:p>
            <w:pPr>
              <w:spacing w:after="0"/>
              <w:rPr>
                <w:sz w:val="20"/>
                <w:szCs w:val="20"/>
                <w:color w:val="auto"/>
              </w:rPr>
            </w:pPr>
            <w:r>
              <w:rPr>
                <w:rFonts w:ascii="Arial" w:cs="Arial" w:eastAsia="Arial" w:hAnsi="Arial"/>
                <w:sz w:val="15"/>
                <w:szCs w:val="15"/>
                <w:color w:val="auto"/>
              </w:rPr>
              <w:t>Robert G. Kramer</w:t>
            </w:r>
          </w:p>
        </w:tc>
        <w:tc>
          <w:tcPr>
            <w:tcW w:w="300" w:type="dxa"/>
            <w:vAlign w:val="bottom"/>
          </w:tcPr>
          <w:p>
            <w:pPr>
              <w:jc w:val="right"/>
              <w:spacing w:after="0"/>
              <w:rPr>
                <w:sz w:val="20"/>
                <w:szCs w:val="20"/>
                <w:color w:val="auto"/>
              </w:rPr>
            </w:pPr>
            <w:r>
              <w:rPr>
                <w:rFonts w:ascii="Arial" w:cs="Arial" w:eastAsia="Arial" w:hAnsi="Arial"/>
                <w:sz w:val="15"/>
                <w:szCs w:val="15"/>
                <w:color w:val="auto"/>
              </w:rPr>
              <w:t>62</w:t>
            </w:r>
          </w:p>
        </w:tc>
        <w:tc>
          <w:tcPr>
            <w:tcW w:w="6580" w:type="dxa"/>
            <w:vAlign w:val="bottom"/>
            <w:gridSpan w:val="2"/>
          </w:tcPr>
          <w:p>
            <w:pPr>
              <w:ind w:left="140"/>
              <w:spacing w:after="0"/>
              <w:rPr>
                <w:sz w:val="20"/>
                <w:szCs w:val="20"/>
                <w:color w:val="auto"/>
              </w:rPr>
            </w:pPr>
            <w:r>
              <w:rPr>
                <w:rFonts w:ascii="Arial" w:cs="Arial" w:eastAsia="Arial" w:hAnsi="Arial"/>
                <w:sz w:val="15"/>
                <w:szCs w:val="15"/>
                <w:color w:val="auto"/>
              </w:rPr>
              <w:t>President and Chief Executive Officer</w:t>
            </w:r>
          </w:p>
        </w:tc>
      </w:tr>
      <w:tr>
        <w:trPr>
          <w:trHeight w:val="180"/>
        </w:trPr>
        <w:tc>
          <w:tcPr>
            <w:tcW w:w="22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3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56</w:t>
            </w:r>
          </w:p>
        </w:tc>
        <w:tc>
          <w:tcPr>
            <w:tcW w:w="6580" w:type="dxa"/>
            <w:vAlign w:val="bottom"/>
            <w:gridSpan w:val="2"/>
            <w:shd w:val="clear" w:color="auto" w:fill="DCDCDE"/>
          </w:tcPr>
          <w:p>
            <w:pPr>
              <w:ind w:left="140"/>
              <w:spacing w:after="0"/>
              <w:rPr>
                <w:sz w:val="20"/>
                <w:szCs w:val="20"/>
                <w:color w:val="auto"/>
              </w:rPr>
            </w:pPr>
            <w:r>
              <w:rPr>
                <w:rFonts w:ascii="Arial" w:cs="Arial" w:eastAsia="Arial" w:hAnsi="Arial"/>
                <w:sz w:val="15"/>
                <w:szCs w:val="15"/>
                <w:color w:val="auto"/>
              </w:rPr>
              <w:t>Executive Vice President, Chief Financial Officer and Treasurer</w:t>
            </w:r>
          </w:p>
        </w:tc>
      </w:tr>
      <w:tr>
        <w:trPr>
          <w:trHeight w:val="180"/>
        </w:trPr>
        <w:tc>
          <w:tcPr>
            <w:tcW w:w="2240" w:type="dxa"/>
            <w:vAlign w:val="bottom"/>
            <w:gridSpan w:val="2"/>
          </w:tcPr>
          <w:p>
            <w:pPr>
              <w:spacing w:after="0"/>
              <w:rPr>
                <w:sz w:val="20"/>
                <w:szCs w:val="20"/>
                <w:color w:val="auto"/>
              </w:rPr>
            </w:pPr>
            <w:r>
              <w:rPr>
                <w:rFonts w:ascii="Arial" w:cs="Arial" w:eastAsia="Arial" w:hAnsi="Arial"/>
                <w:sz w:val="15"/>
                <w:szCs w:val="15"/>
                <w:color w:val="auto"/>
              </w:rPr>
              <w:t>Adam Havey</w:t>
            </w:r>
          </w:p>
        </w:tc>
        <w:tc>
          <w:tcPr>
            <w:tcW w:w="300" w:type="dxa"/>
            <w:vAlign w:val="bottom"/>
          </w:tcPr>
          <w:p>
            <w:pPr>
              <w:jc w:val="right"/>
              <w:spacing w:after="0"/>
              <w:rPr>
                <w:sz w:val="20"/>
                <w:szCs w:val="20"/>
                <w:color w:val="auto"/>
              </w:rPr>
            </w:pPr>
            <w:r>
              <w:rPr>
                <w:rFonts w:ascii="Arial" w:cs="Arial" w:eastAsia="Arial" w:hAnsi="Arial"/>
                <w:sz w:val="15"/>
                <w:szCs w:val="15"/>
                <w:color w:val="auto"/>
              </w:rPr>
              <w:t>49</w:t>
            </w:r>
          </w:p>
        </w:tc>
        <w:tc>
          <w:tcPr>
            <w:tcW w:w="6580" w:type="dxa"/>
            <w:vAlign w:val="bottom"/>
            <w:gridSpan w:val="2"/>
          </w:tcPr>
          <w:p>
            <w:pPr>
              <w:ind w:left="140"/>
              <w:spacing w:after="0"/>
              <w:rPr>
                <w:sz w:val="20"/>
                <w:szCs w:val="20"/>
                <w:color w:val="auto"/>
              </w:rPr>
            </w:pPr>
            <w:r>
              <w:rPr>
                <w:rFonts w:ascii="Arial" w:cs="Arial" w:eastAsia="Arial" w:hAnsi="Arial"/>
                <w:sz w:val="15"/>
                <w:szCs w:val="15"/>
                <w:color w:val="auto"/>
              </w:rPr>
              <w:t>Executive Vice President, Business Operations</w:t>
            </w:r>
          </w:p>
        </w:tc>
      </w:tr>
      <w:tr>
        <w:trPr>
          <w:trHeight w:val="180"/>
        </w:trPr>
        <w:tc>
          <w:tcPr>
            <w:tcW w:w="22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Atul Saran</w:t>
            </w:r>
          </w:p>
        </w:tc>
        <w:tc>
          <w:tcPr>
            <w:tcW w:w="3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46</w:t>
            </w:r>
          </w:p>
        </w:tc>
        <w:tc>
          <w:tcPr>
            <w:tcW w:w="6580" w:type="dxa"/>
            <w:vAlign w:val="bottom"/>
            <w:gridSpan w:val="2"/>
            <w:shd w:val="clear" w:color="auto" w:fill="DCDCDE"/>
          </w:tcPr>
          <w:p>
            <w:pPr>
              <w:ind w:left="140"/>
              <w:spacing w:after="0"/>
              <w:rPr>
                <w:sz w:val="20"/>
                <w:szCs w:val="20"/>
                <w:color w:val="auto"/>
              </w:rPr>
            </w:pPr>
            <w:r>
              <w:rPr>
                <w:rFonts w:ascii="Arial" w:cs="Arial" w:eastAsia="Arial" w:hAnsi="Arial"/>
                <w:sz w:val="15"/>
                <w:szCs w:val="15"/>
                <w:color w:val="auto"/>
              </w:rPr>
              <w:t>Executive Vice President, Corporate Development, General Counsel and Corporate Secretary</w:t>
            </w:r>
          </w:p>
        </w:tc>
      </w:tr>
      <w:tr>
        <w:trPr>
          <w:trHeight w:val="180"/>
        </w:trPr>
        <w:tc>
          <w:tcPr>
            <w:tcW w:w="2240" w:type="dxa"/>
            <w:vAlign w:val="bottom"/>
            <w:gridSpan w:val="2"/>
          </w:tcPr>
          <w:p>
            <w:pPr>
              <w:spacing w:after="0"/>
              <w:rPr>
                <w:sz w:val="20"/>
                <w:szCs w:val="20"/>
                <w:color w:val="auto"/>
              </w:rPr>
            </w:pPr>
            <w:r>
              <w:rPr>
                <w:rFonts w:ascii="Arial" w:cs="Arial" w:eastAsia="Arial" w:hAnsi="Arial"/>
                <w:sz w:val="15"/>
                <w:szCs w:val="15"/>
                <w:color w:val="auto"/>
              </w:rPr>
              <w:t>Katherine Strei</w:t>
            </w:r>
          </w:p>
        </w:tc>
        <w:tc>
          <w:tcPr>
            <w:tcW w:w="300" w:type="dxa"/>
            <w:vAlign w:val="bottom"/>
          </w:tcPr>
          <w:p>
            <w:pPr>
              <w:jc w:val="right"/>
              <w:spacing w:after="0"/>
              <w:rPr>
                <w:sz w:val="20"/>
                <w:szCs w:val="20"/>
                <w:color w:val="auto"/>
              </w:rPr>
            </w:pPr>
            <w:r>
              <w:rPr>
                <w:rFonts w:ascii="Arial" w:cs="Arial" w:eastAsia="Arial" w:hAnsi="Arial"/>
                <w:sz w:val="15"/>
                <w:szCs w:val="15"/>
                <w:color w:val="auto"/>
              </w:rPr>
              <w:t>58</w:t>
            </w:r>
          </w:p>
        </w:tc>
        <w:tc>
          <w:tcPr>
            <w:tcW w:w="6580" w:type="dxa"/>
            <w:vAlign w:val="bottom"/>
            <w:gridSpan w:val="2"/>
          </w:tcPr>
          <w:p>
            <w:pPr>
              <w:ind w:left="140"/>
              <w:spacing w:after="0"/>
              <w:rPr>
                <w:sz w:val="20"/>
                <w:szCs w:val="20"/>
                <w:color w:val="auto"/>
              </w:rPr>
            </w:pPr>
            <w:r>
              <w:rPr>
                <w:rFonts w:ascii="Arial" w:cs="Arial" w:eastAsia="Arial" w:hAnsi="Arial"/>
                <w:sz w:val="15"/>
                <w:szCs w:val="15"/>
                <w:color w:val="auto"/>
                <w:w w:val="96"/>
              </w:rPr>
              <w:t>Executive Vice President, Human Resources and Communications, Chief Human Resources Officer</w:t>
            </w:r>
          </w:p>
        </w:tc>
      </w:tr>
      <w:tr>
        <w:trPr>
          <w:trHeight w:val="180"/>
        </w:trPr>
        <w:tc>
          <w:tcPr>
            <w:tcW w:w="22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Sean Kirk</w:t>
            </w:r>
          </w:p>
        </w:tc>
        <w:tc>
          <w:tcPr>
            <w:tcW w:w="3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45</w:t>
            </w:r>
          </w:p>
        </w:tc>
        <w:tc>
          <w:tcPr>
            <w:tcW w:w="6580" w:type="dxa"/>
            <w:vAlign w:val="bottom"/>
            <w:gridSpan w:val="2"/>
            <w:shd w:val="clear" w:color="auto" w:fill="DCDCDE"/>
          </w:tcPr>
          <w:p>
            <w:pPr>
              <w:ind w:left="140"/>
              <w:spacing w:after="0"/>
              <w:rPr>
                <w:sz w:val="20"/>
                <w:szCs w:val="20"/>
                <w:color w:val="auto"/>
              </w:rPr>
            </w:pPr>
            <w:r>
              <w:rPr>
                <w:rFonts w:ascii="Arial" w:cs="Arial" w:eastAsia="Arial" w:hAnsi="Arial"/>
                <w:sz w:val="15"/>
                <w:szCs w:val="15"/>
                <w:color w:val="auto"/>
              </w:rPr>
              <w:t>Executive Vice President, Manufacturing and Technical Operations</w:t>
            </w:r>
          </w:p>
        </w:tc>
      </w:tr>
    </w:tbl>
    <w:p>
      <w:pPr>
        <w:spacing w:after="0" w:line="173" w:lineRule="exact"/>
        <w:rPr>
          <w:sz w:val="20"/>
          <w:szCs w:val="20"/>
          <w:color w:val="auto"/>
        </w:rPr>
      </w:pPr>
    </w:p>
    <w:p>
      <w:pPr>
        <w:ind w:left="280"/>
        <w:spacing w:after="0"/>
        <w:tabs>
          <w:tab w:leader="none" w:pos="1320" w:val="left"/>
        </w:tabs>
        <w:rPr>
          <w:sz w:val="20"/>
          <w:szCs w:val="20"/>
          <w:color w:val="auto"/>
        </w:rPr>
      </w:pPr>
      <w:r>
        <w:rPr>
          <w:rFonts w:ascii="Arial" w:cs="Arial" w:eastAsia="Arial" w:hAnsi="Arial"/>
          <w:sz w:val="15"/>
          <w:szCs w:val="15"/>
          <w:b w:val="1"/>
          <w:bCs w:val="1"/>
          <w:i w:val="1"/>
          <w:iCs w:val="1"/>
          <w:color w:val="auto"/>
        </w:rPr>
        <w:t>Fuad El-Hibri.</w:t>
      </w:r>
      <w:r>
        <w:rPr>
          <w:sz w:val="20"/>
          <w:szCs w:val="20"/>
          <w:color w:val="auto"/>
        </w:rPr>
        <w:tab/>
      </w:r>
      <w:r>
        <w:rPr>
          <w:rFonts w:ascii="Arial" w:cs="Arial" w:eastAsia="Arial" w:hAnsi="Arial"/>
          <w:sz w:val="13"/>
          <w:szCs w:val="13"/>
          <w:color w:val="auto"/>
        </w:rPr>
        <w:t>For more information about Mr. El-Hibri, please see his biography under the caption "Directors and Nominees."</w:t>
      </w:r>
    </w:p>
    <w:p>
      <w:pPr>
        <w:spacing w:after="0" w:line="188"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15"/>
          <w:szCs w:val="15"/>
          <w:b w:val="1"/>
          <w:bCs w:val="1"/>
          <w:i w:val="1"/>
          <w:iCs w:val="1"/>
          <w:color w:val="auto"/>
        </w:rPr>
        <w:t>Robert G. Kramer.</w:t>
      </w:r>
      <w:r>
        <w:rPr>
          <w:sz w:val="20"/>
          <w:szCs w:val="20"/>
          <w:color w:val="auto"/>
        </w:rPr>
        <w:tab/>
      </w:r>
      <w:r>
        <w:rPr>
          <w:rFonts w:ascii="Arial" w:cs="Arial" w:eastAsia="Arial" w:hAnsi="Arial"/>
          <w:sz w:val="13"/>
          <w:szCs w:val="13"/>
          <w:color w:val="auto"/>
        </w:rPr>
        <w:t>For more information about Mr. Kramer, please see his biography under the caption "Directors and Nominees."</w:t>
      </w:r>
    </w:p>
    <w:p>
      <w:pPr>
        <w:spacing w:after="0" w:line="188" w:lineRule="exact"/>
        <w:rPr>
          <w:sz w:val="20"/>
          <w:szCs w:val="20"/>
          <w:color w:val="auto"/>
        </w:rPr>
      </w:pPr>
    </w:p>
    <w:p>
      <w:pPr>
        <w:jc w:val="both"/>
        <w:ind w:firstLine="329"/>
        <w:spacing w:after="0" w:line="297" w:lineRule="auto"/>
        <w:rPr>
          <w:sz w:val="20"/>
          <w:szCs w:val="20"/>
          <w:color w:val="auto"/>
        </w:rPr>
      </w:pPr>
      <w:r>
        <w:rPr>
          <w:rFonts w:ascii="Arial" w:cs="Arial" w:eastAsia="Arial" w:hAnsi="Arial"/>
          <w:sz w:val="13"/>
          <w:szCs w:val="13"/>
          <w:b w:val="1"/>
          <w:bCs w:val="1"/>
          <w:i w:val="1"/>
          <w:iCs w:val="1"/>
          <w:color w:val="auto"/>
        </w:rPr>
        <w:t xml:space="preserve">Richard S. Lindahl. </w:t>
      </w:r>
      <w:r>
        <w:rPr>
          <w:rFonts w:ascii="Arial" w:cs="Arial" w:eastAsia="Arial" w:hAnsi="Arial"/>
          <w:sz w:val="13"/>
          <w:szCs w:val="13"/>
          <w:color w:val="auto"/>
        </w:rPr>
        <w:t>Richard S. Lindahl was appointed as our executive vice president, chief financial officer and treasurer in March 2018. Mr. Lindahl has more than two decades of</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financial leadership experience. Prior to joining us, Mr. Lindahl served as chief financial officer of CEB Inc., a best practice insight and technology company, from May 2009 until April 2017 and as its principal accounting officer until July 2015. At CEB, Mr. Lindahl was responsible for managing finance strategy and operations, tax and investor relations initiatives, overseeing the corporate real estate, facilities and procurement functions and serving as chair of its investments and acquisitions committee. From 2006 until 2008, Mr. Lindahl served as senior vice president and treasurer of Sprint Nextel Corporation and from 2005 to 2006, he served as vice president and treasurer of Sprint Nextel. From 1997 until 2005, Mr. Lindahl served in various positions at Nextel Communications, Inc., including as treasurer and in financial planning and analysis roles. Prior to joining Nextel, from 1995 until 1997, Mr. Lindahl held the position of vice president, finance at Pocket Communications, Inc. Before 1995, Mr. Lindahl held various positions at MCI Communications Corp., Deloitte &amp; Touche LLP, and Casher Associates, Inc. Mr. Lindahl earned an M.B.A. from the Darden School at the University of Virginia and a B.A. in computer science from Dartmouth College.</w:t>
      </w:r>
    </w:p>
    <w:p>
      <w:pPr>
        <w:spacing w:after="0" w:line="143" w:lineRule="exact"/>
        <w:rPr>
          <w:sz w:val="20"/>
          <w:szCs w:val="20"/>
          <w:color w:val="auto"/>
        </w:rPr>
      </w:pPr>
    </w:p>
    <w:p>
      <w:pPr>
        <w:jc w:val="both"/>
        <w:ind w:firstLine="328"/>
        <w:spacing w:after="0" w:line="309" w:lineRule="auto"/>
        <w:rPr>
          <w:sz w:val="20"/>
          <w:szCs w:val="20"/>
          <w:color w:val="auto"/>
        </w:rPr>
      </w:pPr>
      <w:r>
        <w:rPr>
          <w:rFonts w:ascii="Arial" w:cs="Arial" w:eastAsia="Arial" w:hAnsi="Arial"/>
          <w:sz w:val="13"/>
          <w:szCs w:val="13"/>
          <w:b w:val="1"/>
          <w:bCs w:val="1"/>
          <w:i w:val="1"/>
          <w:iCs w:val="1"/>
          <w:color w:val="auto"/>
        </w:rPr>
        <w:t xml:space="preserve">Adam Havey. </w:t>
      </w:r>
      <w:r>
        <w:rPr>
          <w:rFonts w:ascii="Arial" w:cs="Arial" w:eastAsia="Arial" w:hAnsi="Arial"/>
          <w:sz w:val="13"/>
          <w:szCs w:val="13"/>
          <w:color w:val="auto"/>
        </w:rPr>
        <w:t>Mr. Havey joined us in 2003 and has served as our executive vice president, business operations since April 2017. He previously served as executive vice president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president, biodefense division from March 2011 to March 2017. Prior to that, Mr. Havey held various roles, including president of Emergent Biodefense Operations Lansing LLC from January 2009 to February 2011, vice president of business operations from November 2007 to December 2008, and senior director of manufacturing development from June 2006 to November 2007. Prior to joining us, Mr. Havey served in product development for Eli Lilly. He received a B.S. degree in chemical engineering from Michigan State University.</w:t>
      </w:r>
    </w:p>
    <w:p>
      <w:pPr>
        <w:spacing w:after="0" w:line="132"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4"/>
          <w:szCs w:val="14"/>
          <w:b w:val="1"/>
          <w:bCs w:val="1"/>
          <w:i w:val="1"/>
          <w:iCs w:val="1"/>
          <w:color w:val="auto"/>
        </w:rPr>
        <w:t xml:space="preserve">Atul Saran. </w:t>
      </w:r>
      <w:r>
        <w:rPr>
          <w:rFonts w:ascii="Arial" w:cs="Arial" w:eastAsia="Arial" w:hAnsi="Arial"/>
          <w:sz w:val="14"/>
          <w:szCs w:val="14"/>
          <w:color w:val="auto"/>
        </w:rPr>
        <w:t>Mr. Saran has served as executive vice president, corporate development and general counsel since May 2017 and was appointed corporate secretary in July 2017. Prior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joining Emergent, Mr. Saran served as senior vice president and general counsel at MacroGenics, Inc., from April 2014 to May 2017. Previously, Mr. Saran served in various leadership roles at AstraZeneca plc ("AstraZeneca"), and MedImmune, LLC ("MedImmune"), from 2003 through 2014, including vice president, corporate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7" w:name="page38"/>
    <w:bookmarkEnd w:id="3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development and ventures at AstraZeneca and chairman of the MedImmune Ventures investment committee from May 2013 to January 2014; senior vice president, corporate development and ventures from January 2011 to May 2013; and positions of increasing responsibility in the MedImmune legal department from 2003 through 2010, culminating as vice president and deputy general counsel. Before his time at MedImmune, Mr. Saran was an associate attorney in the business and finance group at Hogan &amp; Hartson LLP. Mr. Saran is a board member of LogicNets, Inc., a private company. He previously served on the boards of directors for VentiRx Pharmaceuticals, Inc., Xencor, Inc., Inotek Pharmaceuticals, Inc. and Arriva Pharmaceuticals, Inc. Mr. Saran holds a J.D. from the University of Illinois College of Law, an M.B.A from the MIT Sloan School of Management and a B.S. in Biological Sciences from Stanford University.</w:t>
      </w:r>
    </w:p>
    <w:p>
      <w:pPr>
        <w:spacing w:after="0" w:line="167" w:lineRule="exact"/>
        <w:rPr>
          <w:sz w:val="20"/>
          <w:szCs w:val="20"/>
          <w:color w:val="auto"/>
        </w:rPr>
      </w:pPr>
    </w:p>
    <w:p>
      <w:pPr>
        <w:jc w:val="both"/>
        <w:ind w:firstLine="313"/>
        <w:spacing w:after="0" w:line="253" w:lineRule="auto"/>
        <w:rPr>
          <w:sz w:val="20"/>
          <w:szCs w:val="20"/>
          <w:color w:val="auto"/>
        </w:rPr>
      </w:pPr>
      <w:r>
        <w:rPr>
          <w:rFonts w:ascii="Arial" w:cs="Arial" w:eastAsia="Arial" w:hAnsi="Arial"/>
          <w:sz w:val="15"/>
          <w:szCs w:val="15"/>
          <w:b w:val="1"/>
          <w:bCs w:val="1"/>
          <w:i w:val="1"/>
          <w:iCs w:val="1"/>
          <w:color w:val="auto"/>
        </w:rPr>
        <w:t xml:space="preserve">Katherine Strei. </w:t>
      </w:r>
      <w:r>
        <w:rPr>
          <w:rFonts w:ascii="Arial" w:cs="Arial" w:eastAsia="Arial" w:hAnsi="Arial"/>
          <w:sz w:val="15"/>
          <w:szCs w:val="15"/>
          <w:color w:val="auto"/>
        </w:rPr>
        <w:t>Ms. Strei serves as our executive vice president, human resources and communications and chief human resources officer. Ms. Strei joined us in January 2016 and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as executive vice president and chief human resources officer since April 2017. She became executive vice president of corporate communications in March 2018. She previously served as senior vice president and chief human resources officer from January 2016 to March 2017. Prior to joining us, Ms. Strei was an independent consultant, specializing in leadership and organization development from February 2014 to January 2016. Ms. Strei has extensive experience in human resource leadership roles, having previously served as vice president of global leadership and organization development at MedImmune from June 2005 to January 2014, director of executive development at the Federal National Mortgage Association from May 1999 to May 2005, and program director, director of training, as well as corporate manager for ManorCare Health Services from August 1992 to May 1999. Ms. Strei received a B.A. in Sociology from Lawrence University and an M.S. in Organization Development from American University/NTL Institute. Ms. Strei also holds a certificate for Leadership Coaching from Georgetown University.</w:t>
      </w:r>
    </w:p>
    <w:p>
      <w:pPr>
        <w:spacing w:after="0" w:line="168" w:lineRule="exact"/>
        <w:rPr>
          <w:sz w:val="20"/>
          <w:szCs w:val="20"/>
          <w:color w:val="auto"/>
        </w:rPr>
      </w:pPr>
    </w:p>
    <w:p>
      <w:pPr>
        <w:jc w:val="both"/>
        <w:ind w:firstLine="353"/>
        <w:spacing w:after="0" w:line="276" w:lineRule="auto"/>
        <w:rPr>
          <w:sz w:val="20"/>
          <w:szCs w:val="20"/>
          <w:color w:val="auto"/>
        </w:rPr>
      </w:pPr>
      <w:r>
        <w:rPr>
          <w:rFonts w:ascii="Arial" w:cs="Arial" w:eastAsia="Arial" w:hAnsi="Arial"/>
          <w:sz w:val="14"/>
          <w:szCs w:val="14"/>
          <w:b w:val="1"/>
          <w:bCs w:val="1"/>
          <w:i w:val="1"/>
          <w:iCs w:val="1"/>
          <w:color w:val="auto"/>
        </w:rPr>
        <w:t xml:space="preserve">Sean Kirk. </w:t>
      </w:r>
      <w:r>
        <w:rPr>
          <w:rFonts w:ascii="Arial" w:cs="Arial" w:eastAsia="Arial" w:hAnsi="Arial"/>
          <w:sz w:val="14"/>
          <w:szCs w:val="14"/>
          <w:color w:val="auto"/>
        </w:rPr>
        <w:t>Mr. Kirk joined us in 2003 and has served as executive vice president, manufacturing and technical operations since April 2019. Prior to this position, Mr. Kirk has held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various senior leadership roles including senior vice president, manufacturing operations and contract development and manufacturing operations (CDMO) business unit lead from April 2017 to March 2019, senior vice president, biodefense operations from November 2015 to March 2017, senior vice president, biosciences operations from February 2014 to November 2015 and senior vice president, biodefense vaccines and therapeutics development from March 2012 to February 2014. Mr. Kirk also served in multiple roles of increasing responsibility at our manufacturing operations site in Lansing, Michigan. Before joining us, Mr. Kirk worked at Merial, a multinational animal health company, serving in various positions from 1996 to 2001. Mr. Kirk received both an M.B.A. and B.S. in Microbiology from the University of Georgia.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8" w:name="page39"/>
    <w:bookmarkEnd w:id="3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EXECUTIVE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Compensation Processes</w:t>
      </w:r>
    </w:p>
    <w:p>
      <w:pPr>
        <w:spacing w:after="0" w:line="192" w:lineRule="exact"/>
        <w:rPr>
          <w:sz w:val="20"/>
          <w:szCs w:val="20"/>
          <w:color w:val="auto"/>
        </w:rPr>
      </w:pPr>
    </w:p>
    <w:p>
      <w:pPr>
        <w:jc w:val="both"/>
        <w:ind w:firstLine="349"/>
        <w:spacing w:after="0" w:line="297" w:lineRule="auto"/>
        <w:rPr>
          <w:sz w:val="20"/>
          <w:szCs w:val="20"/>
          <w:color w:val="auto"/>
        </w:rPr>
      </w:pPr>
      <w:r>
        <w:rPr>
          <w:rFonts w:ascii="Arial" w:cs="Arial" w:eastAsia="Arial" w:hAnsi="Arial"/>
          <w:sz w:val="13"/>
          <w:szCs w:val="13"/>
          <w:color w:val="auto"/>
        </w:rPr>
        <w:t>The compensation committee has implemented an annual review program for our executive officers under which it determines annual salary increases, annual cash bonus amounts and annual equity awards granted to our executive officers. Our chief executive officer and executive vice president of human resources prepare compensation recommendations regarding the compensation of each of our executive officers, other than the executive chairman of the board and the chief executive officer, and present these recommendations to the compensation committee for approval. The compensation committee evaluates the overall performance of the chief executive officer and the other executive officers other than the executive chairman based on achievement of corporate goals and objectives, achievement of individual goals, performance of job responsibilities and demonstration of behavioral competencies. The compensation committee then makes individual compensation decisions for the chief executive officer and the executive officers other than the executive chairman based on these evaluations and competitive market data. The compensation committee evaluates the overall performance of the executive chairman based on performance of job responsibilities and makes compensation decisions for the executive chairman based on this evaluation and competitive market data for comparable executive positions.</w:t>
      </w:r>
    </w:p>
    <w:p>
      <w:pPr>
        <w:spacing w:after="0" w:line="143" w:lineRule="exact"/>
        <w:rPr>
          <w:sz w:val="20"/>
          <w:szCs w:val="20"/>
          <w:color w:val="auto"/>
        </w:rPr>
      </w:pPr>
    </w:p>
    <w:p>
      <w:pPr>
        <w:jc w:val="both"/>
        <w:ind w:firstLine="370"/>
        <w:spacing w:after="0" w:line="301" w:lineRule="auto"/>
        <w:rPr>
          <w:sz w:val="20"/>
          <w:szCs w:val="20"/>
          <w:color w:val="auto"/>
        </w:rPr>
      </w:pPr>
      <w:r>
        <w:rPr>
          <w:rFonts w:ascii="Arial" w:cs="Arial" w:eastAsia="Arial" w:hAnsi="Arial"/>
          <w:sz w:val="13"/>
          <w:szCs w:val="13"/>
          <w:color w:val="auto"/>
        </w:rPr>
        <w:t>The Board has delegated to our chief executive officer and our executive chairman the authority to grant stock options and RSUs to employees under the Emergent BioSolutions Inc. Stock Incentive Plan. However, neither our chief executive officer nor our executive chairman has authority to grant stock options or RSUs: (i) to himself; (ii) to any other director, executive officer, officer or other person whose compensation is determined by the compensation committee; or (iii) to any person whom the Board or the compensation committee may from time to time designate in writing. In addition, neither the chief executive officer nor the executive chairman has authority to grant, in the aggregate, stock options and RSUs with respect to more than 2,000,000 shares of common stock in any fiscal year or to grant to any person, in any one fiscal year, stock options and RSUs with respect to more than 1,000,000 shares of common stock, in each case as counted against the maximum aggregate number of shares of common stock available for issuance under the Emergent BioSolutions Inc. Stock Incentive Plan.</w:t>
      </w:r>
    </w:p>
    <w:p>
      <w:pPr>
        <w:spacing w:after="0" w:line="137"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4"/>
          <w:szCs w:val="14"/>
          <w:color w:val="auto"/>
        </w:rPr>
        <w:t>The compensation committee has the authority to retain compensation consultants and other outside advisors to assist in the evaluation of executive officer compensation. During 2019, the compensation committee retained Willis Towers Watson as an independent outside compensation consultant to advise the compensation committee on market compensation practices, the implementation of public company compensation programs and policies and to review recommendations from management on compensation matters. The compensation committee met with the compensation consultant seven times in 2019 and two times in early 2020 at the time salary, annual bonus targets and equity award guidelines were being considered for our executive chairman, chief executive officer and other executive officers. Willis Towers Watson performed executive compensation services in support of the compensation committee and also collected competitive market data for specific positions and researched market practices on the compensation plan and design for the company, providing data and advice that the compensation committee considers in making its decisions. The compensation committee considered the factors specified by the SEC regarding the independence of compensation advisors and determined that Willis Towers Watson's services for the compensation committee and the company during 2019 and 2020 have not raised a conflict of interest and that Willis Towers Watson is an independent compensation advisor to the committee and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39" w:name="page40"/>
    <w:bookmarkEnd w:id="3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92" w:lineRule="exact"/>
        <w:rPr>
          <w:sz w:val="20"/>
          <w:szCs w:val="20"/>
          <w:color w:val="auto"/>
        </w:rPr>
      </w:pPr>
    </w:p>
    <w:p>
      <w:pPr>
        <w:jc w:val="both"/>
        <w:ind w:firstLine="355"/>
        <w:spacing w:after="0" w:line="309" w:lineRule="auto"/>
        <w:rPr>
          <w:sz w:val="20"/>
          <w:szCs w:val="20"/>
          <w:color w:val="auto"/>
        </w:rPr>
      </w:pPr>
      <w:r>
        <w:rPr>
          <w:rFonts w:ascii="Arial" w:cs="Arial" w:eastAsia="Arial" w:hAnsi="Arial"/>
          <w:sz w:val="13"/>
          <w:szCs w:val="13"/>
          <w:color w:val="auto"/>
        </w:rPr>
        <w:t>This section discusses the principles underlying our executive compensation programs, policies and decisions and the most important factors relevant to an analysis of these programs, policies and decisions. It provides qualitative information regarding the manner and context in which compensation is earned by, and awarded to, our named executive officers and is intended to place in perspective the data presented in the compensation tables included in this proxy statement. For 2019, our named executive officers, whose compensation is set forth in the 2019 Summary Compensation Table and other compensation tables contained in this proxy statement, and their current positions with the company, are:</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2019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-108585</wp:posOffset>
            </wp:positionV>
            <wp:extent cx="4650740" cy="143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50740" cy="1438275"/>
                    </a:xfrm>
                    <a:prstGeom prst="rect">
                      <a:avLst/>
                    </a:prstGeom>
                    <a:noFill/>
                  </pic:spPr>
                </pic:pic>
              </a:graphicData>
            </a:graphic>
          </wp:anchor>
        </w:drawing>
      </w:r>
    </w:p>
    <w:p>
      <w:pPr>
        <w:ind w:left="2400" w:hanging="292"/>
        <w:spacing w:after="0"/>
        <w:tabs>
          <w:tab w:leader="none" w:pos="240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Fuad El-Hibri — </w:t>
      </w:r>
      <w:r>
        <w:rPr>
          <w:rFonts w:ascii="Arial" w:cs="Arial" w:eastAsia="Arial" w:hAnsi="Arial"/>
          <w:sz w:val="15"/>
          <w:szCs w:val="15"/>
          <w:i w:val="1"/>
          <w:iCs w:val="1"/>
          <w:color w:val="auto"/>
        </w:rPr>
        <w:t>Executive Chairman of the Board of Directors</w:t>
      </w:r>
    </w:p>
    <w:p>
      <w:pPr>
        <w:spacing w:after="0" w:line="132" w:lineRule="exact"/>
        <w:rPr>
          <w:rFonts w:ascii="Arial" w:cs="Arial" w:eastAsia="Arial" w:hAnsi="Arial"/>
          <w:sz w:val="15"/>
          <w:szCs w:val="15"/>
          <w:color w:val="auto"/>
        </w:rPr>
      </w:pPr>
    </w:p>
    <w:p>
      <w:pPr>
        <w:ind w:left="2400" w:hanging="292"/>
        <w:spacing w:after="0"/>
        <w:tabs>
          <w:tab w:leader="none" w:pos="240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Robert G. Kramer — </w:t>
      </w:r>
      <w:r>
        <w:rPr>
          <w:rFonts w:ascii="Arial" w:cs="Arial" w:eastAsia="Arial" w:hAnsi="Arial"/>
          <w:sz w:val="15"/>
          <w:szCs w:val="15"/>
          <w:i w:val="1"/>
          <w:iCs w:val="1"/>
          <w:color w:val="auto"/>
        </w:rPr>
        <w:t>President and Chief Executive Officer</w:t>
      </w:r>
    </w:p>
    <w:p>
      <w:pPr>
        <w:spacing w:after="0" w:line="176" w:lineRule="exact"/>
        <w:rPr>
          <w:rFonts w:ascii="Arial" w:cs="Arial" w:eastAsia="Arial" w:hAnsi="Arial"/>
          <w:sz w:val="15"/>
          <w:szCs w:val="15"/>
          <w:color w:val="auto"/>
        </w:rPr>
      </w:pPr>
    </w:p>
    <w:p>
      <w:pPr>
        <w:ind w:left="2400" w:hanging="292"/>
        <w:spacing w:after="0"/>
        <w:tabs>
          <w:tab w:leader="none" w:pos="240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Richard S. Lindahl — </w:t>
      </w:r>
      <w:r>
        <w:rPr>
          <w:rFonts w:ascii="Arial" w:cs="Arial" w:eastAsia="Arial" w:hAnsi="Arial"/>
          <w:sz w:val="15"/>
          <w:szCs w:val="15"/>
          <w:i w:val="1"/>
          <w:iCs w:val="1"/>
          <w:color w:val="auto"/>
        </w:rPr>
        <w:t>Executive Vice President, Chief Financial Officer and Treasurer</w:t>
      </w:r>
    </w:p>
    <w:p>
      <w:pPr>
        <w:spacing w:after="0" w:line="176" w:lineRule="exact"/>
        <w:rPr>
          <w:rFonts w:ascii="Arial" w:cs="Arial" w:eastAsia="Arial" w:hAnsi="Arial"/>
          <w:sz w:val="15"/>
          <w:szCs w:val="15"/>
          <w:color w:val="auto"/>
        </w:rPr>
      </w:pPr>
    </w:p>
    <w:p>
      <w:pPr>
        <w:ind w:left="2400" w:hanging="292"/>
        <w:spacing w:after="0"/>
        <w:tabs>
          <w:tab w:leader="none" w:pos="240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Adam Havey — </w:t>
      </w:r>
      <w:r>
        <w:rPr>
          <w:rFonts w:ascii="Arial" w:cs="Arial" w:eastAsia="Arial" w:hAnsi="Arial"/>
          <w:sz w:val="15"/>
          <w:szCs w:val="15"/>
          <w:i w:val="1"/>
          <w:iCs w:val="1"/>
          <w:color w:val="auto"/>
        </w:rPr>
        <w:t>Executive Vice President, Business Operations</w:t>
      </w:r>
    </w:p>
    <w:p>
      <w:pPr>
        <w:spacing w:after="0" w:line="176" w:lineRule="exact"/>
        <w:rPr>
          <w:rFonts w:ascii="Arial" w:cs="Arial" w:eastAsia="Arial" w:hAnsi="Arial"/>
          <w:sz w:val="15"/>
          <w:szCs w:val="15"/>
          <w:color w:val="auto"/>
        </w:rPr>
      </w:pPr>
    </w:p>
    <w:p>
      <w:pPr>
        <w:ind w:left="2400" w:hanging="292"/>
        <w:spacing w:after="0"/>
        <w:tabs>
          <w:tab w:leader="none" w:pos="240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Atul Saran — </w:t>
      </w:r>
      <w:r>
        <w:rPr>
          <w:rFonts w:ascii="Arial" w:cs="Arial" w:eastAsia="Arial" w:hAnsi="Arial"/>
          <w:sz w:val="15"/>
          <w:szCs w:val="15"/>
          <w:i w:val="1"/>
          <w:iCs w:val="1"/>
          <w:color w:val="auto"/>
        </w:rPr>
        <w:t>Executive Vice President, Corporate Development, General Counsel and Secretary</w:t>
      </w:r>
    </w:p>
    <w:p>
      <w:pPr>
        <w:spacing w:after="0" w:line="176" w:lineRule="exact"/>
        <w:rPr>
          <w:rFonts w:ascii="Arial" w:cs="Arial" w:eastAsia="Arial" w:hAnsi="Arial"/>
          <w:sz w:val="15"/>
          <w:szCs w:val="15"/>
          <w:color w:val="auto"/>
        </w:rPr>
      </w:pPr>
    </w:p>
    <w:p>
      <w:pPr>
        <w:ind w:left="2400" w:hanging="292"/>
        <w:spacing w:after="0"/>
        <w:tabs>
          <w:tab w:leader="none" w:pos="2400" w:val="left"/>
        </w:tabs>
        <w:numPr>
          <w:ilvl w:val="0"/>
          <w:numId w:val="27"/>
        </w:numPr>
        <w:rPr>
          <w:rFonts w:ascii="Arial" w:cs="Arial" w:eastAsia="Arial" w:hAnsi="Arial"/>
          <w:sz w:val="15"/>
          <w:szCs w:val="15"/>
          <w:color w:val="auto"/>
        </w:rPr>
      </w:pPr>
      <w:r>
        <w:rPr>
          <w:rFonts w:ascii="Arial" w:cs="Arial" w:eastAsia="Arial" w:hAnsi="Arial"/>
          <w:sz w:val="15"/>
          <w:szCs w:val="15"/>
          <w:b w:val="1"/>
          <w:bCs w:val="1"/>
          <w:color w:val="auto"/>
        </w:rPr>
        <w:t xml:space="preserve">Daniel J. Abdun-Nabi — </w:t>
      </w:r>
      <w:r>
        <w:rPr>
          <w:rFonts w:ascii="Arial" w:cs="Arial" w:eastAsia="Arial" w:hAnsi="Arial"/>
          <w:sz w:val="15"/>
          <w:szCs w:val="15"/>
          <w:i w:val="1"/>
          <w:iCs w:val="1"/>
          <w:color w:val="auto"/>
        </w:rPr>
        <w:t>Former Chief Executive Officer</w:t>
      </w:r>
    </w:p>
    <w:p>
      <w:pPr>
        <w:spacing w:after="0" w:line="372" w:lineRule="exact"/>
        <w:rPr>
          <w:sz w:val="20"/>
          <w:szCs w:val="20"/>
          <w:color w:val="auto"/>
        </w:rPr>
      </w:pPr>
    </w:p>
    <w:p>
      <w:pPr>
        <w:jc w:val="both"/>
        <w:ind w:firstLine="338"/>
        <w:spacing w:after="0" w:line="281" w:lineRule="auto"/>
        <w:rPr>
          <w:sz w:val="20"/>
          <w:szCs w:val="20"/>
          <w:color w:val="auto"/>
        </w:rPr>
      </w:pPr>
      <w:r>
        <w:rPr>
          <w:rFonts w:ascii="Arial" w:cs="Arial" w:eastAsia="Arial" w:hAnsi="Arial"/>
          <w:sz w:val="14"/>
          <w:szCs w:val="14"/>
          <w:color w:val="auto"/>
        </w:rPr>
        <w:t>The compensation committee oversees our executive compensation programs. In this role, the compensation committee reviews and approves all compensation decisions relating to our named executive officers. The compensation committee has engaged Willis Towers Watson as its independent compensation consultant to provide competitive compensation data and assist with the implementation of various aspects of our base salary determinations, annual bonus plan, long-term incentive program and other executive compensation decisions from time to time. Willis Towers Watson provides data and advice that the compensation committee considers in making its decisions.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Summary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Strategic Accomplishments and Other Achievements</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In 2019, we achieved the following:</w:t>
      </w:r>
    </w:p>
    <w:p>
      <w:pPr>
        <w:spacing w:after="0" w:line="199" w:lineRule="exact"/>
        <w:rPr>
          <w:sz w:val="20"/>
          <w:szCs w:val="20"/>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Delivered products reaching more than 41 million lives;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Moved six of our product candidate programs to the next stage of advanced development;</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Enhanced three prioritized business and/or governance processes;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Achieved total revenues of $1.1 billion;</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Awarded contracts in 2019 for products and product candidates with over $3 billion in potential revenues over ten years;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Completed the successful transition to our new chief executive officer;</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Completed Adapt Pharma and PaxVax Holding Company Ltd. ("PaxVax") integrations;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Achieved our 2016-2020 strategic plan one year ahead of schedule;</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Developed our 2020-2024 growth strategy (the "2020-2024 Strategic Plan"); and</w:t>
      </w:r>
    </w:p>
    <w:p>
      <w:pPr>
        <w:spacing w:after="0" w:line="199" w:lineRule="exact"/>
        <w:rPr>
          <w:rFonts w:ascii="Arial" w:cs="Arial" w:eastAsia="Arial" w:hAnsi="Arial"/>
          <w:sz w:val="15"/>
          <w:szCs w:val="15"/>
          <w:color w:val="auto"/>
        </w:rPr>
      </w:pPr>
    </w:p>
    <w:p>
      <w:pPr>
        <w:ind w:left="5560" w:right="1640" w:hanging="5119"/>
        <w:spacing w:after="0" w:line="521" w:lineRule="auto"/>
        <w:tabs>
          <w:tab w:leader="none" w:pos="901" w:val="left"/>
        </w:tabs>
        <w:numPr>
          <w:ilvl w:val="0"/>
          <w:numId w:val="28"/>
        </w:numPr>
        <w:rPr>
          <w:rFonts w:ascii="Arial" w:cs="Arial" w:eastAsia="Arial" w:hAnsi="Arial"/>
          <w:sz w:val="15"/>
          <w:szCs w:val="15"/>
          <w:color w:val="auto"/>
        </w:rPr>
      </w:pPr>
      <w:r>
        <w:rPr>
          <w:rFonts w:ascii="Arial" w:cs="Arial" w:eastAsia="Arial" w:hAnsi="Arial"/>
          <w:sz w:val="15"/>
          <w:szCs w:val="15"/>
          <w:color w:val="auto"/>
        </w:rPr>
        <w:t>Developed and began implementation of our employee engagement strategy and set an engagement roadmap linked to our 2020-2024 Strategic Plan.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7160260"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0" w:name="page41"/>
    <w:bookmarkEnd w:id="40"/>
    <w:p>
      <w:pPr>
        <w:ind w:left="1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ind w:left="450"/>
        <w:spacing w:after="0"/>
        <w:rPr>
          <w:sz w:val="20"/>
          <w:szCs w:val="20"/>
          <w:color w:val="auto"/>
        </w:rPr>
      </w:pPr>
      <w:r>
        <w:rPr>
          <w:rFonts w:ascii="Arial" w:cs="Arial" w:eastAsia="Arial" w:hAnsi="Arial"/>
          <w:sz w:val="15"/>
          <w:szCs w:val="15"/>
          <w:b w:val="1"/>
          <w:bCs w:val="1"/>
          <w:color w:val="auto"/>
        </w:rPr>
        <w:t>New Corporate Leadership Structure</w:t>
      </w:r>
    </w:p>
    <w:p>
      <w:pPr>
        <w:spacing w:after="0" w:line="192" w:lineRule="exact"/>
        <w:rPr>
          <w:sz w:val="20"/>
          <w:szCs w:val="20"/>
          <w:color w:val="auto"/>
        </w:rPr>
      </w:pPr>
    </w:p>
    <w:p>
      <w:pPr>
        <w:jc w:val="both"/>
        <w:ind w:left="10" w:firstLine="360"/>
        <w:spacing w:after="0" w:line="270" w:lineRule="auto"/>
        <w:rPr>
          <w:sz w:val="20"/>
          <w:szCs w:val="20"/>
          <w:color w:val="auto"/>
        </w:rPr>
      </w:pPr>
      <w:r>
        <w:rPr>
          <w:rFonts w:ascii="Arial" w:cs="Arial" w:eastAsia="Arial" w:hAnsi="Arial"/>
          <w:sz w:val="15"/>
          <w:szCs w:val="15"/>
          <w:color w:val="auto"/>
        </w:rPr>
        <w:t>Effective April 1, 2019, Robert G. Kramer was promoted to president and chief executive officer. He was previously promoted to president and chief operating officer in March 2018, after having served as executive vice president, administration, chief financial officer and treasurer since 2012.</w:t>
      </w:r>
    </w:p>
    <w:p>
      <w:pPr>
        <w:spacing w:after="0" w:line="153" w:lineRule="exact"/>
        <w:rPr>
          <w:sz w:val="20"/>
          <w:szCs w:val="20"/>
          <w:color w:val="auto"/>
        </w:rPr>
      </w:pPr>
    </w:p>
    <w:p>
      <w:pPr>
        <w:jc w:val="both"/>
        <w:ind w:left="10" w:firstLine="295"/>
        <w:spacing w:after="0" w:line="270" w:lineRule="auto"/>
        <w:rPr>
          <w:sz w:val="20"/>
          <w:szCs w:val="20"/>
          <w:color w:val="auto"/>
        </w:rPr>
      </w:pPr>
      <w:r>
        <w:rPr>
          <w:rFonts w:ascii="Arial" w:cs="Arial" w:eastAsia="Arial" w:hAnsi="Arial"/>
          <w:sz w:val="15"/>
          <w:szCs w:val="15"/>
          <w:color w:val="auto"/>
        </w:rPr>
        <w:t>Daniel J. Abdun-Nabi retired from the company as chief executive officer in April 2019. Mr. Abdun-Nabi continues to serve as a consultant to the company, providing strategic advice and guidance to the company in multiple areas.</w:t>
      </w:r>
    </w:p>
    <w:p>
      <w:pPr>
        <w:spacing w:after="0" w:line="149" w:lineRule="exact"/>
        <w:rPr>
          <w:sz w:val="20"/>
          <w:szCs w:val="20"/>
          <w:color w:val="auto"/>
        </w:rPr>
      </w:pPr>
    </w:p>
    <w:p>
      <w:pPr>
        <w:ind w:left="450"/>
        <w:spacing w:after="0"/>
        <w:rPr>
          <w:sz w:val="20"/>
          <w:szCs w:val="20"/>
          <w:color w:val="auto"/>
        </w:rPr>
      </w:pPr>
      <w:r>
        <w:rPr>
          <w:rFonts w:ascii="Arial" w:cs="Arial" w:eastAsia="Arial" w:hAnsi="Arial"/>
          <w:sz w:val="15"/>
          <w:szCs w:val="15"/>
          <w:b w:val="1"/>
          <w:bCs w:val="1"/>
          <w:color w:val="auto"/>
        </w:rPr>
        <w:t>Highlights of Recent Compensation Decisions and Actions</w:t>
      </w:r>
    </w:p>
    <w:p>
      <w:pPr>
        <w:spacing w:after="0" w:line="192" w:lineRule="exact"/>
        <w:rPr>
          <w:sz w:val="20"/>
          <w:szCs w:val="20"/>
          <w:color w:val="auto"/>
        </w:rPr>
      </w:pPr>
    </w:p>
    <w:p>
      <w:pPr>
        <w:jc w:val="both"/>
        <w:ind w:left="10" w:firstLine="355"/>
        <w:spacing w:after="0" w:line="294" w:lineRule="auto"/>
        <w:rPr>
          <w:sz w:val="20"/>
          <w:szCs w:val="20"/>
          <w:color w:val="auto"/>
        </w:rPr>
      </w:pPr>
      <w:r>
        <w:rPr>
          <w:rFonts w:ascii="Arial" w:cs="Arial" w:eastAsia="Arial" w:hAnsi="Arial"/>
          <w:sz w:val="13"/>
          <w:szCs w:val="13"/>
          <w:i w:val="1"/>
          <w:iCs w:val="1"/>
          <w:color w:val="auto"/>
        </w:rPr>
        <w:t xml:space="preserve">2020-2022 Performance-Based Stock Unit ("PSU") Awards. </w:t>
      </w:r>
      <w:r>
        <w:rPr>
          <w:rFonts w:ascii="Arial" w:cs="Arial" w:eastAsia="Arial" w:hAnsi="Arial"/>
          <w:sz w:val="13"/>
          <w:szCs w:val="13"/>
          <w:color w:val="auto"/>
        </w:rPr>
        <w:t>In February 2020, the compensation committee, with input from Willis Towers Watson, approved grants of PSU awards</w:t>
      </w:r>
      <w:r>
        <w:rPr>
          <w:rFonts w:ascii="Arial" w:cs="Arial" w:eastAsia="Arial" w:hAnsi="Arial"/>
          <w:sz w:val="13"/>
          <w:szCs w:val="13"/>
          <w:i w:val="1"/>
          <w:iCs w:val="1"/>
          <w:color w:val="auto"/>
        </w:rPr>
        <w:t xml:space="preserve"> </w:t>
      </w:r>
      <w:r>
        <w:rPr>
          <w:rFonts w:ascii="Arial" w:cs="Arial" w:eastAsia="Arial" w:hAnsi="Arial"/>
          <w:sz w:val="13"/>
          <w:szCs w:val="13"/>
          <w:color w:val="auto"/>
        </w:rPr>
        <w:t>under the company's Stock Incentive Plan to Messrs. Kramer, Havey, Lindahl and Saran (the "2020-2022 PSUs"). The 2020-2022 PSUs will result in the issuance of a number of shares based</w:t>
      </w:r>
    </w:p>
    <w:p>
      <w:pPr>
        <w:spacing w:after="0" w:line="1" w:lineRule="exact"/>
        <w:rPr>
          <w:sz w:val="20"/>
          <w:szCs w:val="20"/>
          <w:color w:val="auto"/>
        </w:rPr>
      </w:pPr>
    </w:p>
    <w:p>
      <w:pPr>
        <w:jc w:val="both"/>
        <w:ind w:left="10" w:right="20"/>
        <w:spacing w:after="0" w:line="222" w:lineRule="auto"/>
        <w:rPr>
          <w:sz w:val="20"/>
          <w:szCs w:val="20"/>
          <w:color w:val="auto"/>
        </w:rPr>
      </w:pPr>
      <w:r>
        <w:rPr>
          <w:rFonts w:ascii="Arial" w:cs="Arial" w:eastAsia="Arial" w:hAnsi="Arial"/>
          <w:sz w:val="15"/>
          <w:szCs w:val="15"/>
          <w:color w:val="auto"/>
        </w:rPr>
        <w:t>on the level of achievement with respect to Adjusted EBITDA Margin</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calculated on a cumulative basis over the three-year period beginning January 1, 2020 and ending December 31, 2022 (the "Performance Period"). Awards issued under the agreement governing the terms of the 2020-2022 PSUs will vest based on the achievement of the performance objective, as certified by the compensation committee following the end of the Performance Period.</w:t>
      </w:r>
    </w:p>
    <w:p>
      <w:pPr>
        <w:spacing w:after="0" w:line="174" w:lineRule="exact"/>
        <w:rPr>
          <w:sz w:val="20"/>
          <w:szCs w:val="20"/>
          <w:color w:val="auto"/>
        </w:rPr>
      </w:pPr>
    </w:p>
    <w:p>
      <w:pPr>
        <w:jc w:val="both"/>
        <w:ind w:left="10" w:firstLine="365"/>
        <w:spacing w:after="0" w:line="230" w:lineRule="auto"/>
        <w:rPr>
          <w:sz w:val="20"/>
          <w:szCs w:val="20"/>
          <w:color w:val="auto"/>
        </w:rPr>
      </w:pPr>
      <w:r>
        <w:rPr>
          <w:rFonts w:ascii="Arial" w:cs="Arial" w:eastAsia="Arial" w:hAnsi="Arial"/>
          <w:sz w:val="15"/>
          <w:szCs w:val="15"/>
          <w:i w:val="1"/>
          <w:iCs w:val="1"/>
          <w:color w:val="auto"/>
        </w:rPr>
        <w:t xml:space="preserve">2017-2019 PSU Awards. </w:t>
      </w:r>
      <w:r>
        <w:rPr>
          <w:rFonts w:ascii="Arial" w:cs="Arial" w:eastAsia="Arial" w:hAnsi="Arial"/>
          <w:sz w:val="15"/>
          <w:szCs w:val="15"/>
          <w:color w:val="auto"/>
        </w:rPr>
        <w:t>The PSUs granted to Messrs. Abdun-Nabi, Kramer and Havey in February 2017 (the "2017-2019 PSUs") vested this year based on the achievement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goal for the 2019 fiscal year (based on the level of achievement with respect to Adjusted Net Income</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as a percentage of total GAAP revenue for the 2019 fiscal year), as certified by the compensation committee in February 2020. A payout factor of 63.33% was approved after the compensation committee certified that 86.25% of target performance had been achieved.</w:t>
      </w:r>
    </w:p>
    <w:p>
      <w:pPr>
        <w:spacing w:after="0" w:line="175" w:lineRule="exact"/>
        <w:rPr>
          <w:sz w:val="20"/>
          <w:szCs w:val="20"/>
          <w:color w:val="auto"/>
        </w:rPr>
      </w:pPr>
    </w:p>
    <w:p>
      <w:pPr>
        <w:jc w:val="both"/>
        <w:ind w:left="10" w:firstLine="300"/>
        <w:spacing w:after="0" w:line="276" w:lineRule="auto"/>
        <w:rPr>
          <w:sz w:val="20"/>
          <w:szCs w:val="20"/>
          <w:color w:val="auto"/>
        </w:rPr>
      </w:pPr>
      <w:r>
        <w:rPr>
          <w:rFonts w:ascii="Arial" w:cs="Arial" w:eastAsia="Arial" w:hAnsi="Arial"/>
          <w:sz w:val="14"/>
          <w:szCs w:val="14"/>
          <w:i w:val="1"/>
          <w:iCs w:val="1"/>
          <w:color w:val="auto"/>
        </w:rPr>
        <w:t xml:space="preserve">Updates to the Proxy Peer Group. </w:t>
      </w:r>
      <w:r>
        <w:rPr>
          <w:rFonts w:ascii="Arial" w:cs="Arial" w:eastAsia="Arial" w:hAnsi="Arial"/>
          <w:sz w:val="14"/>
          <w:szCs w:val="14"/>
          <w:color w:val="auto"/>
        </w:rPr>
        <w:t>In November 2018, the scope of companies under consideration by the compensation committee for the Proxy Peer Group (as defined below) in 2019</w:t>
      </w:r>
      <w:r>
        <w:rPr>
          <w:rFonts w:ascii="Arial" w:cs="Arial" w:eastAsia="Arial" w:hAnsi="Arial"/>
          <w:sz w:val="14"/>
          <w:szCs w:val="14"/>
          <w:i w:val="1"/>
          <w:iCs w:val="1"/>
          <w:color w:val="auto"/>
        </w:rPr>
        <w:t xml:space="preserve"> </w:t>
      </w:r>
      <w:r>
        <w:rPr>
          <w:rFonts w:ascii="Arial" w:cs="Arial" w:eastAsia="Arial" w:hAnsi="Arial"/>
          <w:sz w:val="14"/>
          <w:szCs w:val="14"/>
          <w:color w:val="auto"/>
        </w:rPr>
        <w:t>was significantly broadened through reliance on wider selection criteria, commensurate with changes to the size and scope of the company's business resulting from merger and acquisition activity, while the prior peer group selection methodology remained largely unchanged. In November 2019, although there once again were no significant changes to the Proxy Peer Group selection methodology used to determine which companies to include in the Proxy Peer Group in 2020, the compensation committee relied upon an increased weighting of biotechnology and pharmaceutical industry companies through reliance upon a different second benchmarking data set recommended by Willis Towers Watson. For further information on both Proxy Peer Groups, see sections titled "2019 Compensation Decisions" and "2020 Compensation Decisions" in the chart below.</w:t>
      </w:r>
    </w:p>
    <w:p>
      <w:pPr>
        <w:spacing w:after="0" w:line="151" w:lineRule="exact"/>
        <w:rPr>
          <w:sz w:val="20"/>
          <w:szCs w:val="20"/>
          <w:color w:val="auto"/>
        </w:rPr>
      </w:pPr>
    </w:p>
    <w:p>
      <w:pPr>
        <w:jc w:val="both"/>
        <w:ind w:left="10" w:firstLine="463"/>
        <w:spacing w:after="0" w:line="270" w:lineRule="auto"/>
        <w:rPr>
          <w:sz w:val="20"/>
          <w:szCs w:val="20"/>
          <w:color w:val="auto"/>
        </w:rPr>
      </w:pPr>
      <w:r>
        <w:rPr>
          <w:rFonts w:ascii="Arial" w:cs="Arial" w:eastAsia="Arial" w:hAnsi="Arial"/>
          <w:sz w:val="15"/>
          <w:szCs w:val="15"/>
          <w:i w:val="1"/>
          <w:iCs w:val="1"/>
          <w:color w:val="auto"/>
        </w:rPr>
        <w:t xml:space="preserve">Competitive Analysis. </w:t>
      </w:r>
      <w:r>
        <w:rPr>
          <w:rFonts w:ascii="Arial" w:cs="Arial" w:eastAsia="Arial" w:hAnsi="Arial"/>
          <w:sz w:val="15"/>
          <w:szCs w:val="15"/>
          <w:color w:val="auto"/>
        </w:rPr>
        <w:t>The compensation committee also extensively reviewed external executive compensation pay data and related trends to ensure the company's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practices continue to align with market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252095</wp:posOffset>
            </wp:positionV>
            <wp:extent cx="187452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74520" cy="698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450" w:hanging="450"/>
        <w:spacing w:after="0" w:line="306" w:lineRule="auto"/>
        <w:tabs>
          <w:tab w:leader="none" w:pos="45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"Adjusted EBITDA Margin" on a cumulative basis is equal the sum of Adjusted EBITDA for each year in the Performance Period divided by the sum of GAAP revenue for each year in the Performance Period. "Adjusted EBITDA" is defined as adjusted earnings before interest, taxes, depreciation and amortization, as reported by the company.</w:t>
      </w:r>
    </w:p>
    <w:p>
      <w:pPr>
        <w:spacing w:after="0" w:line="152" w:lineRule="exact"/>
        <w:rPr>
          <w:rFonts w:ascii="Arial" w:cs="Arial" w:eastAsia="Arial" w:hAnsi="Arial"/>
          <w:sz w:val="14"/>
          <w:szCs w:val="14"/>
          <w:color w:val="auto"/>
        </w:rPr>
      </w:pPr>
    </w:p>
    <w:p>
      <w:pPr>
        <w:jc w:val="both"/>
        <w:ind w:left="450" w:hanging="450"/>
        <w:spacing w:after="0" w:line="287" w:lineRule="auto"/>
        <w:tabs>
          <w:tab w:leader="none" w:pos="45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"Adjusted Net Income" is equal to GAAP net income, excluding acquisition-related costs (transaction and integration), non-cash amortization charges, contingent consideration, impairment charges, exit and disposal costs, and the impact of purchase accounting on inventory step-up (which exclusions are tax-effected utilizing the statutory U.S. federal income tax rate) and the impact of material changes in the U.S. federal income tax rate subsequent to the first year of the performance period.</w:t>
      </w:r>
    </w:p>
    <w:p>
      <w:pPr>
        <w:spacing w:after="0" w:line="144"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60260" cy="196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32" w:right="319" w:bottom="1440" w:gutter="0" w:footer="0" w:header="0"/>
        </w:sectPr>
      </w:pPr>
    </w:p>
    <w:bookmarkStart w:id="41" w:name="page42"/>
    <w:bookmarkEnd w:id="4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Our Approach</w:t>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compensation committee abides by the following philosophy when evaluating executive compensation:</w:t>
      </w:r>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-108585</wp:posOffset>
            </wp:positionV>
            <wp:extent cx="4650740" cy="13881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650740" cy="1388110"/>
                    </a:xfrm>
                    <a:prstGeom prst="rect">
                      <a:avLst/>
                    </a:prstGeom>
                    <a:noFill/>
                  </pic:spPr>
                </pic:pic>
              </a:graphicData>
            </a:graphic>
          </wp:anchor>
        </w:drawing>
      </w:r>
    </w:p>
    <w:p>
      <w:pPr>
        <w:spacing w:after="0" w:line="172" w:lineRule="exact"/>
        <w:rPr>
          <w:sz w:val="20"/>
          <w:szCs w:val="20"/>
          <w:color w:val="auto"/>
        </w:rPr>
      </w:pPr>
    </w:p>
    <w:p>
      <w:pPr>
        <w:ind w:left="2460" w:hanging="284"/>
        <w:spacing w:after="0"/>
        <w:tabs>
          <w:tab w:leader="none" w:pos="2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Support a pay-for-performance culture;</w:t>
      </w:r>
    </w:p>
    <w:p>
      <w:pPr>
        <w:spacing w:after="0" w:line="188" w:lineRule="exact"/>
        <w:rPr>
          <w:rFonts w:ascii="Arial" w:cs="Arial" w:eastAsia="Arial" w:hAnsi="Arial"/>
          <w:sz w:val="15"/>
          <w:szCs w:val="15"/>
          <w:color w:val="auto"/>
        </w:rPr>
      </w:pPr>
    </w:p>
    <w:p>
      <w:pPr>
        <w:ind w:left="2460" w:hanging="284"/>
        <w:spacing w:after="0"/>
        <w:tabs>
          <w:tab w:leader="none" w:pos="2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Focus on achieving well-articulated goals while demonstrating leadership values;</w:t>
      </w:r>
    </w:p>
    <w:p>
      <w:pPr>
        <w:spacing w:after="0" w:line="188" w:lineRule="exact"/>
        <w:rPr>
          <w:rFonts w:ascii="Arial" w:cs="Arial" w:eastAsia="Arial" w:hAnsi="Arial"/>
          <w:sz w:val="15"/>
          <w:szCs w:val="15"/>
          <w:color w:val="auto"/>
        </w:rPr>
      </w:pPr>
    </w:p>
    <w:p>
      <w:pPr>
        <w:ind w:left="2460" w:hanging="284"/>
        <w:spacing w:after="0"/>
        <w:tabs>
          <w:tab w:leader="none" w:pos="2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Make compensation market-competitive to attract and retain top talent;</w:t>
      </w:r>
    </w:p>
    <w:p>
      <w:pPr>
        <w:spacing w:after="0" w:line="188" w:lineRule="exact"/>
        <w:rPr>
          <w:rFonts w:ascii="Arial" w:cs="Arial" w:eastAsia="Arial" w:hAnsi="Arial"/>
          <w:sz w:val="15"/>
          <w:szCs w:val="15"/>
          <w:color w:val="auto"/>
        </w:rPr>
      </w:pPr>
    </w:p>
    <w:p>
      <w:pPr>
        <w:ind w:left="2460" w:hanging="284"/>
        <w:spacing w:after="0"/>
        <w:tabs>
          <w:tab w:leader="none" w:pos="2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Reward individual contributions; and</w:t>
      </w:r>
    </w:p>
    <w:p>
      <w:pPr>
        <w:spacing w:after="0" w:line="188" w:lineRule="exact"/>
        <w:rPr>
          <w:rFonts w:ascii="Arial" w:cs="Arial" w:eastAsia="Arial" w:hAnsi="Arial"/>
          <w:sz w:val="15"/>
          <w:szCs w:val="15"/>
          <w:color w:val="auto"/>
        </w:rPr>
      </w:pPr>
    </w:p>
    <w:p>
      <w:pPr>
        <w:ind w:left="2460" w:hanging="284"/>
        <w:spacing w:after="0"/>
        <w:tabs>
          <w:tab w:leader="none" w:pos="24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Employ disciplined use of equity.</w:t>
      </w:r>
    </w:p>
    <w:p>
      <w:pPr>
        <w:spacing w:after="0" w:line="380" w:lineRule="exact"/>
        <w:rPr>
          <w:sz w:val="20"/>
          <w:szCs w:val="20"/>
          <w:color w:val="auto"/>
        </w:rPr>
      </w:pPr>
    </w:p>
    <w:p>
      <w:pPr>
        <w:jc w:val="both"/>
        <w:ind w:right="20" w:firstLine="423"/>
        <w:spacing w:after="0" w:line="270" w:lineRule="auto"/>
        <w:rPr>
          <w:sz w:val="20"/>
          <w:szCs w:val="20"/>
          <w:color w:val="auto"/>
        </w:rPr>
      </w:pPr>
      <w:r>
        <w:rPr>
          <w:rFonts w:ascii="Arial" w:cs="Arial" w:eastAsia="Arial" w:hAnsi="Arial"/>
          <w:sz w:val="15"/>
          <w:szCs w:val="15"/>
          <w:color w:val="auto"/>
        </w:rPr>
        <w:t>We continue to be committed to the ongoing review and alignment of our programs to ensure pay-for-performance while targeting our overall compensation within a range of the competitive market median.</w:t>
      </w:r>
    </w:p>
    <w:p>
      <w:pPr>
        <w:spacing w:after="0" w:line="15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We also have the following policies, which are applicable to the named executive officers, in furtherance of good governance practices:</w:t>
      </w:r>
    </w:p>
    <w:p>
      <w:pPr>
        <w:spacing w:after="0" w:line="299" w:lineRule="exact"/>
        <w:rPr>
          <w:sz w:val="20"/>
          <w:szCs w:val="20"/>
          <w:color w:val="auto"/>
        </w:rPr>
      </w:pPr>
    </w:p>
    <w:tbl>
      <w:tblPr>
        <w:tblLayout w:type="fixed"/>
        <w:tblInd w:w="1130" w:type="dxa"/>
        <w:tblCellMar>
          <w:top w:w="0" w:type="dxa"/>
          <w:left w:w="0" w:type="dxa"/>
          <w:bottom w:w="0" w:type="dxa"/>
          <w:right w:w="0" w:type="dxa"/>
        </w:tblCellMar>
      </w:tblPr>
      <w:tr>
        <w:trPr>
          <w:trHeight w:val="192"/>
        </w:trPr>
        <w:tc>
          <w:tcPr>
            <w:tcW w:w="360" w:type="dxa"/>
            <w:vAlign w:val="bottom"/>
            <w:tcBorders>
              <w:top w:val="single" w:sz="8" w:color="auto"/>
              <w:left w:val="single" w:sz="8" w:color="auto"/>
              <w:bottom w:val="single" w:sz="8" w:color="auto"/>
            </w:tcBorders>
          </w:tcPr>
          <w:p>
            <w:pPr>
              <w:spacing w:after="0"/>
              <w:rPr>
                <w:sz w:val="16"/>
                <w:szCs w:val="16"/>
                <w:color w:val="auto"/>
              </w:rPr>
            </w:pPr>
          </w:p>
        </w:tc>
        <w:tc>
          <w:tcPr>
            <w:tcW w:w="418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5"/>
                <w:szCs w:val="15"/>
                <w:b w:val="1"/>
                <w:bCs w:val="1"/>
                <w:color w:val="auto"/>
              </w:rPr>
              <w:t>What Emergent Does...</w:t>
            </w:r>
          </w:p>
        </w:tc>
        <w:tc>
          <w:tcPr>
            <w:tcW w:w="300" w:type="dxa"/>
            <w:vAlign w:val="bottom"/>
            <w:tcBorders>
              <w:top w:val="single" w:sz="8" w:color="auto"/>
              <w:bottom w:val="single" w:sz="8" w:color="auto"/>
            </w:tcBorders>
          </w:tcPr>
          <w:p>
            <w:pPr>
              <w:spacing w:after="0"/>
              <w:rPr>
                <w:sz w:val="16"/>
                <w:szCs w:val="16"/>
                <w:color w:val="auto"/>
              </w:rPr>
            </w:pPr>
          </w:p>
        </w:tc>
        <w:tc>
          <w:tcPr>
            <w:tcW w:w="418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5"/>
                <w:szCs w:val="15"/>
                <w:b w:val="1"/>
                <w:bCs w:val="1"/>
                <w:color w:val="auto"/>
              </w:rPr>
              <w:t>What Emergent Does Not Do...</w:t>
            </w:r>
          </w:p>
        </w:tc>
        <w:tc>
          <w:tcPr>
            <w:tcW w:w="0" w:type="dxa"/>
            <w:vAlign w:val="bottom"/>
          </w:tcPr>
          <w:p>
            <w:pPr>
              <w:spacing w:after="0"/>
              <w:rPr>
                <w:sz w:val="1"/>
                <w:szCs w:val="1"/>
                <w:color w:val="auto"/>
              </w:rPr>
            </w:pPr>
          </w:p>
        </w:tc>
      </w:tr>
      <w:tr>
        <w:trPr>
          <w:trHeight w:val="164"/>
        </w:trPr>
        <w:tc>
          <w:tcPr>
            <w:tcW w:w="360" w:type="dxa"/>
            <w:vAlign w:val="bottom"/>
            <w:tcBorders>
              <w:left w:val="single" w:sz="8" w:color="auto"/>
            </w:tcBorders>
          </w:tcPr>
          <w:p>
            <w:pPr>
              <w:ind w:left="180"/>
              <w:spacing w:after="0" w:line="164" w:lineRule="exact"/>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20"/>
              <w:spacing w:after="0" w:line="164" w:lineRule="exact"/>
              <w:rPr>
                <w:sz w:val="20"/>
                <w:szCs w:val="20"/>
                <w:color w:val="auto"/>
              </w:rPr>
            </w:pPr>
            <w:r>
              <w:rPr>
                <w:rFonts w:ascii="Arial" w:cs="Arial" w:eastAsia="Arial" w:hAnsi="Arial"/>
                <w:sz w:val="15"/>
                <w:szCs w:val="15"/>
                <w:color w:val="auto"/>
              </w:rPr>
              <w:t>Stock ownership guidelines;</w:t>
            </w:r>
          </w:p>
        </w:tc>
        <w:tc>
          <w:tcPr>
            <w:tcW w:w="300" w:type="dxa"/>
            <w:vAlign w:val="bottom"/>
          </w:tcPr>
          <w:p>
            <w:pPr>
              <w:ind w:left="120"/>
              <w:spacing w:after="0" w:line="164" w:lineRule="exact"/>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00"/>
              <w:spacing w:after="0" w:line="164" w:lineRule="exact"/>
              <w:rPr>
                <w:sz w:val="20"/>
                <w:szCs w:val="20"/>
                <w:color w:val="auto"/>
              </w:rPr>
            </w:pPr>
            <w:r>
              <w:rPr>
                <w:rFonts w:ascii="Arial" w:cs="Arial" w:eastAsia="Arial" w:hAnsi="Arial"/>
                <w:sz w:val="15"/>
                <w:szCs w:val="15"/>
                <w:color w:val="auto"/>
              </w:rPr>
              <w:t>No single trigger vesting of equity awards in the event of a</w:t>
            </w:r>
          </w:p>
        </w:tc>
        <w:tc>
          <w:tcPr>
            <w:tcW w:w="0" w:type="dxa"/>
            <w:vAlign w:val="bottom"/>
          </w:tcPr>
          <w:p>
            <w:pPr>
              <w:spacing w:after="0"/>
              <w:rPr>
                <w:sz w:val="1"/>
                <w:szCs w:val="1"/>
                <w:color w:val="auto"/>
              </w:rPr>
            </w:pPr>
          </w:p>
        </w:tc>
      </w:tr>
      <w:tr>
        <w:trPr>
          <w:trHeight w:val="187"/>
        </w:trPr>
        <w:tc>
          <w:tcPr>
            <w:tcW w:w="360" w:type="dxa"/>
            <w:vAlign w:val="bottom"/>
            <w:tcBorders>
              <w:left w:val="single" w:sz="8" w:color="auto"/>
            </w:tcBorders>
            <w:vMerge w:val="restart"/>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Compensation recoupment policy;</w:t>
            </w:r>
          </w:p>
        </w:tc>
        <w:tc>
          <w:tcPr>
            <w:tcW w:w="300" w:type="dxa"/>
            <w:vAlign w:val="bottom"/>
          </w:tcPr>
          <w:p>
            <w:pPr>
              <w:spacing w:after="0"/>
              <w:rPr>
                <w:sz w:val="16"/>
                <w:szCs w:val="16"/>
                <w:color w:val="auto"/>
              </w:rPr>
            </w:pP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change in control;</w:t>
            </w: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vMerge w:val="continue"/>
          </w:tcPr>
          <w:p>
            <w:pPr>
              <w:spacing w:after="0"/>
              <w:rPr>
                <w:sz w:val="15"/>
                <w:szCs w:val="15"/>
                <w:color w:val="auto"/>
              </w:rPr>
            </w:pPr>
          </w:p>
        </w:tc>
        <w:tc>
          <w:tcPr>
            <w:tcW w:w="4180" w:type="dxa"/>
            <w:vAlign w:val="bottom"/>
            <w:tcBorders>
              <w:right w:val="single" w:sz="8" w:color="auto"/>
            </w:tcBorders>
            <w:vMerge w:val="continue"/>
          </w:tcPr>
          <w:p>
            <w:pPr>
              <w:spacing w:after="0"/>
              <w:rPr>
                <w:sz w:val="15"/>
                <w:szCs w:val="15"/>
                <w:color w:val="auto"/>
              </w:rPr>
            </w:pPr>
          </w:p>
        </w:tc>
        <w:tc>
          <w:tcPr>
            <w:tcW w:w="30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rPr>
              <w:t>No backdating or repricing of stock options;</w:t>
            </w: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vMerge w:val="restart"/>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Significant weight on performance-based compensation;</w:t>
            </w:r>
          </w:p>
        </w:tc>
        <w:tc>
          <w:tcPr>
            <w:tcW w:w="300" w:type="dxa"/>
            <w:vAlign w:val="bottom"/>
            <w:vMerge w:val="continue"/>
          </w:tcPr>
          <w:p>
            <w:pPr>
              <w:spacing w:after="0"/>
              <w:rPr>
                <w:sz w:val="15"/>
                <w:szCs w:val="15"/>
                <w:color w:val="auto"/>
              </w:rPr>
            </w:pPr>
          </w:p>
        </w:tc>
        <w:tc>
          <w:tcPr>
            <w:tcW w:w="4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vMerge w:val="continue"/>
          </w:tcPr>
          <w:p>
            <w:pPr>
              <w:spacing w:after="0"/>
              <w:rPr>
                <w:sz w:val="15"/>
                <w:szCs w:val="15"/>
                <w:color w:val="auto"/>
              </w:rPr>
            </w:pPr>
          </w:p>
        </w:tc>
        <w:tc>
          <w:tcPr>
            <w:tcW w:w="4180" w:type="dxa"/>
            <w:vAlign w:val="bottom"/>
            <w:tcBorders>
              <w:right w:val="single" w:sz="8" w:color="auto"/>
            </w:tcBorders>
            <w:vMerge w:val="continue"/>
          </w:tcPr>
          <w:p>
            <w:pPr>
              <w:spacing w:after="0"/>
              <w:rPr>
                <w:sz w:val="15"/>
                <w:szCs w:val="15"/>
                <w:color w:val="auto"/>
              </w:rPr>
            </w:pPr>
          </w:p>
        </w:tc>
        <w:tc>
          <w:tcPr>
            <w:tcW w:w="300" w:type="dxa"/>
            <w:vAlign w:val="bottom"/>
            <w:vMerge w:val="restart"/>
          </w:tcPr>
          <w:p>
            <w:pPr>
              <w:ind w:left="12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5"/>
                <w:szCs w:val="15"/>
                <w:color w:val="auto"/>
                <w:w w:val="97"/>
              </w:rPr>
              <w:t>No payment of dividends or dividend equivalents unless equity</w:t>
            </w:r>
          </w:p>
        </w:tc>
        <w:tc>
          <w:tcPr>
            <w:tcW w:w="0" w:type="dxa"/>
            <w:vAlign w:val="bottom"/>
          </w:tcPr>
          <w:p>
            <w:pPr>
              <w:spacing w:after="0"/>
              <w:rPr>
                <w:sz w:val="1"/>
                <w:szCs w:val="1"/>
                <w:color w:val="auto"/>
              </w:rPr>
            </w:pPr>
          </w:p>
        </w:tc>
      </w:tr>
      <w:tr>
        <w:trPr>
          <w:trHeight w:val="174"/>
        </w:trPr>
        <w:tc>
          <w:tcPr>
            <w:tcW w:w="360" w:type="dxa"/>
            <w:vAlign w:val="bottom"/>
            <w:tcBorders>
              <w:left w:val="single" w:sz="8" w:color="auto"/>
            </w:tcBorders>
          </w:tcPr>
          <w:p>
            <w:pPr>
              <w:spacing w:after="0"/>
              <w:rPr>
                <w:sz w:val="15"/>
                <w:szCs w:val="15"/>
                <w:color w:val="auto"/>
              </w:rPr>
            </w:pPr>
          </w:p>
        </w:tc>
        <w:tc>
          <w:tcPr>
            <w:tcW w:w="4180" w:type="dxa"/>
            <w:vAlign w:val="bottom"/>
            <w:tcBorders>
              <w:right w:val="single" w:sz="8" w:color="auto"/>
            </w:tcBorders>
          </w:tcPr>
          <w:p>
            <w:pPr>
              <w:spacing w:after="0"/>
              <w:rPr>
                <w:sz w:val="15"/>
                <w:szCs w:val="15"/>
                <w:color w:val="auto"/>
              </w:rPr>
            </w:pPr>
          </w:p>
        </w:tc>
        <w:tc>
          <w:tcPr>
            <w:tcW w:w="300" w:type="dxa"/>
            <w:vAlign w:val="bottom"/>
            <w:vMerge w:val="continue"/>
          </w:tcPr>
          <w:p>
            <w:pPr>
              <w:spacing w:after="0"/>
              <w:rPr>
                <w:sz w:val="15"/>
                <w:szCs w:val="15"/>
                <w:color w:val="auto"/>
              </w:rPr>
            </w:pPr>
          </w:p>
        </w:tc>
        <w:tc>
          <w:tcPr>
            <w:tcW w:w="41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Change-in-control severance payments and benefits are</w:t>
            </w:r>
          </w:p>
        </w:tc>
        <w:tc>
          <w:tcPr>
            <w:tcW w:w="300" w:type="dxa"/>
            <w:vAlign w:val="bottom"/>
          </w:tcPr>
          <w:p>
            <w:pPr>
              <w:spacing w:after="0"/>
              <w:rPr>
                <w:sz w:val="15"/>
                <w:szCs w:val="15"/>
                <w:color w:val="auto"/>
              </w:rPr>
            </w:pP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awards are earned and/or vested;</w:t>
            </w:r>
          </w:p>
        </w:tc>
        <w:tc>
          <w:tcPr>
            <w:tcW w:w="0" w:type="dxa"/>
            <w:vAlign w:val="bottom"/>
          </w:tcPr>
          <w:p>
            <w:pPr>
              <w:spacing w:after="0"/>
              <w:rPr>
                <w:sz w:val="1"/>
                <w:szCs w:val="1"/>
                <w:color w:val="auto"/>
              </w:rPr>
            </w:pPr>
          </w:p>
        </w:tc>
      </w:tr>
      <w:tr>
        <w:trPr>
          <w:trHeight w:val="180"/>
        </w:trPr>
        <w:tc>
          <w:tcPr>
            <w:tcW w:w="360" w:type="dxa"/>
            <w:vAlign w:val="bottom"/>
            <w:tcBorders>
              <w:left w:val="single" w:sz="8" w:color="auto"/>
            </w:tcBorders>
          </w:tcPr>
          <w:p>
            <w:pPr>
              <w:spacing w:after="0"/>
              <w:rPr>
                <w:sz w:val="15"/>
                <w:szCs w:val="15"/>
                <w:color w:val="auto"/>
              </w:rPr>
            </w:pP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w w:val="96"/>
              </w:rPr>
              <w:t>conditioned upon a "double-trigger" (i.e., change in control and</w:t>
            </w:r>
          </w:p>
        </w:tc>
        <w:tc>
          <w:tcPr>
            <w:tcW w:w="300" w:type="dxa"/>
            <w:vAlign w:val="bottom"/>
          </w:tcPr>
          <w:p>
            <w:pPr>
              <w:spacing w:after="0"/>
              <w:rPr>
                <w:sz w:val="15"/>
                <w:szCs w:val="15"/>
                <w:color w:val="auto"/>
              </w:rPr>
            </w:pPr>
          </w:p>
        </w:tc>
        <w:tc>
          <w:tcPr>
            <w:tcW w:w="4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60" w:type="dxa"/>
            <w:vAlign w:val="bottom"/>
            <w:tcBorders>
              <w:left w:val="single" w:sz="8" w:color="auto"/>
            </w:tcBorders>
          </w:tcPr>
          <w:p>
            <w:pPr>
              <w:spacing w:after="0"/>
              <w:rPr>
                <w:sz w:val="16"/>
                <w:szCs w:val="16"/>
                <w:color w:val="auto"/>
              </w:rPr>
            </w:pP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qualifying termination must both occur);</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No short sales or other individual hedging transactions;</w:t>
            </w:r>
          </w:p>
        </w:tc>
        <w:tc>
          <w:tcPr>
            <w:tcW w:w="0" w:type="dxa"/>
            <w:vAlign w:val="bottom"/>
          </w:tcPr>
          <w:p>
            <w:pPr>
              <w:spacing w:after="0"/>
              <w:rPr>
                <w:sz w:val="1"/>
                <w:szCs w:val="1"/>
                <w:color w:val="auto"/>
              </w:rPr>
            </w:pPr>
          </w:p>
        </w:tc>
      </w:tr>
      <w:tr>
        <w:trPr>
          <w:trHeight w:val="354"/>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w w:val="97"/>
              </w:rPr>
              <w:t>Independent compensation consultant directly engaged by the</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w w:val="94"/>
              </w:rPr>
              <w:t>No tax gross-ups in connection with change in control severance</w:t>
            </w:r>
          </w:p>
        </w:tc>
        <w:tc>
          <w:tcPr>
            <w:tcW w:w="0" w:type="dxa"/>
            <w:vAlign w:val="bottom"/>
          </w:tcPr>
          <w:p>
            <w:pPr>
              <w:spacing w:after="0"/>
              <w:rPr>
                <w:sz w:val="1"/>
                <w:szCs w:val="1"/>
                <w:color w:val="auto"/>
              </w:rPr>
            </w:pPr>
          </w:p>
        </w:tc>
      </w:tr>
      <w:tr>
        <w:trPr>
          <w:trHeight w:val="187"/>
        </w:trPr>
        <w:tc>
          <w:tcPr>
            <w:tcW w:w="360" w:type="dxa"/>
            <w:vAlign w:val="bottom"/>
            <w:tcBorders>
              <w:left w:val="single" w:sz="8" w:color="auto"/>
            </w:tcBorders>
          </w:tcPr>
          <w:p>
            <w:pPr>
              <w:spacing w:after="0"/>
              <w:rPr>
                <w:sz w:val="16"/>
                <w:szCs w:val="16"/>
                <w:color w:val="auto"/>
              </w:rPr>
            </w:pP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compensation committee;</w:t>
            </w:r>
          </w:p>
        </w:tc>
        <w:tc>
          <w:tcPr>
            <w:tcW w:w="300" w:type="dxa"/>
            <w:vAlign w:val="bottom"/>
          </w:tcPr>
          <w:p>
            <w:pPr>
              <w:spacing w:after="0"/>
              <w:rPr>
                <w:sz w:val="16"/>
                <w:szCs w:val="16"/>
                <w:color w:val="auto"/>
              </w:rPr>
            </w:pP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payments and benefits; and</w:t>
            </w:r>
          </w:p>
        </w:tc>
        <w:tc>
          <w:tcPr>
            <w:tcW w:w="0" w:type="dxa"/>
            <w:vAlign w:val="bottom"/>
          </w:tcPr>
          <w:p>
            <w:pPr>
              <w:spacing w:after="0"/>
              <w:rPr>
                <w:sz w:val="1"/>
                <w:szCs w:val="1"/>
                <w:color w:val="auto"/>
              </w:rPr>
            </w:pPr>
          </w:p>
        </w:tc>
      </w:tr>
      <w:tr>
        <w:trPr>
          <w:trHeight w:val="354"/>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Regular competitive benchmarking to ensure compensation</w:t>
            </w:r>
          </w:p>
        </w:tc>
        <w:tc>
          <w:tcPr>
            <w:tcW w:w="300" w:type="dxa"/>
            <w:vAlign w:val="bottom"/>
          </w:tcPr>
          <w:p>
            <w:pPr>
              <w:ind w:left="12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00"/>
              <w:spacing w:after="0"/>
              <w:rPr>
                <w:sz w:val="20"/>
                <w:szCs w:val="20"/>
                <w:color w:val="auto"/>
              </w:rPr>
            </w:pPr>
            <w:r>
              <w:rPr>
                <w:rFonts w:ascii="Arial" w:cs="Arial" w:eastAsia="Arial" w:hAnsi="Arial"/>
                <w:sz w:val="15"/>
                <w:szCs w:val="15"/>
                <w:color w:val="auto"/>
              </w:rPr>
              <w:t>No employment agreements with executive officers.</w:t>
            </w:r>
          </w:p>
        </w:tc>
        <w:tc>
          <w:tcPr>
            <w:tcW w:w="0" w:type="dxa"/>
            <w:vAlign w:val="bottom"/>
          </w:tcPr>
          <w:p>
            <w:pPr>
              <w:spacing w:after="0"/>
              <w:rPr>
                <w:sz w:val="1"/>
                <w:szCs w:val="1"/>
                <w:color w:val="auto"/>
              </w:rPr>
            </w:pPr>
          </w:p>
        </w:tc>
      </w:tr>
      <w:tr>
        <w:trPr>
          <w:trHeight w:val="187"/>
        </w:trPr>
        <w:tc>
          <w:tcPr>
            <w:tcW w:w="360" w:type="dxa"/>
            <w:vAlign w:val="bottom"/>
            <w:tcBorders>
              <w:left w:val="single" w:sz="8" w:color="auto"/>
            </w:tcBorders>
          </w:tcPr>
          <w:p>
            <w:pPr>
              <w:spacing w:after="0"/>
              <w:rPr>
                <w:sz w:val="16"/>
                <w:szCs w:val="16"/>
                <w:color w:val="auto"/>
              </w:rPr>
            </w:pP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aligns to life science practices;</w:t>
            </w:r>
          </w:p>
        </w:tc>
        <w:tc>
          <w:tcPr>
            <w:tcW w:w="300" w:type="dxa"/>
            <w:vAlign w:val="bottom"/>
          </w:tcPr>
          <w:p>
            <w:pPr>
              <w:spacing w:after="0"/>
              <w:rPr>
                <w:sz w:val="16"/>
                <w:szCs w:val="16"/>
                <w:color w:val="auto"/>
              </w:rPr>
            </w:pPr>
          </w:p>
        </w:tc>
        <w:tc>
          <w:tcPr>
            <w:tcW w:w="4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Payout caps in all incentive compensation programs; and</w:t>
            </w:r>
          </w:p>
        </w:tc>
        <w:tc>
          <w:tcPr>
            <w:tcW w:w="300" w:type="dxa"/>
            <w:vAlign w:val="bottom"/>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60" w:type="dxa"/>
            <w:vAlign w:val="bottom"/>
            <w:tcBorders>
              <w:left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418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Annual assessment to review and mitigate risks arising from</w:t>
            </w:r>
          </w:p>
        </w:tc>
        <w:tc>
          <w:tcPr>
            <w:tcW w:w="300" w:type="dxa"/>
            <w:vAlign w:val="bottom"/>
          </w:tcPr>
          <w:p>
            <w:pPr>
              <w:spacing w:after="0"/>
              <w:rPr>
                <w:sz w:val="24"/>
                <w:szCs w:val="24"/>
                <w:color w:val="auto"/>
              </w:rPr>
            </w:pPr>
          </w:p>
        </w:tc>
        <w:tc>
          <w:tcPr>
            <w:tcW w:w="4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60" w:type="dxa"/>
            <w:vAlign w:val="bottom"/>
            <w:tcBorders>
              <w:left w:val="single" w:sz="8" w:color="auto"/>
              <w:bottom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incentive compensation.</w:t>
            </w:r>
          </w:p>
        </w:tc>
        <w:tc>
          <w:tcPr>
            <w:tcW w:w="300" w:type="dxa"/>
            <w:vAlign w:val="bottom"/>
            <w:tcBorders>
              <w:bottom w:val="single" w:sz="8" w:color="auto"/>
            </w:tcBorders>
          </w:tcPr>
          <w:p>
            <w:pPr>
              <w:spacing w:after="0"/>
              <w:rPr>
                <w:sz w:val="16"/>
                <w:szCs w:val="16"/>
                <w:color w:val="auto"/>
              </w:rPr>
            </w:pPr>
          </w:p>
        </w:tc>
        <w:tc>
          <w:tcPr>
            <w:tcW w:w="4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Executive Officers in Determining Executive Compensation</w:t>
      </w:r>
    </w:p>
    <w:p>
      <w:pPr>
        <w:spacing w:after="0" w:line="188" w:lineRule="exact"/>
        <w:rPr>
          <w:sz w:val="20"/>
          <w:szCs w:val="20"/>
          <w:color w:val="auto"/>
        </w:rPr>
      </w:pPr>
    </w:p>
    <w:p>
      <w:pPr>
        <w:jc w:val="both"/>
        <w:ind w:firstLine="333"/>
        <w:spacing w:after="0" w:line="260" w:lineRule="auto"/>
        <w:rPr>
          <w:sz w:val="20"/>
          <w:szCs w:val="20"/>
          <w:color w:val="auto"/>
        </w:rPr>
      </w:pPr>
      <w:r>
        <w:rPr>
          <w:rFonts w:ascii="Arial" w:cs="Arial" w:eastAsia="Arial" w:hAnsi="Arial"/>
          <w:sz w:val="15"/>
          <w:szCs w:val="15"/>
          <w:color w:val="auto"/>
        </w:rPr>
        <w:t>The compensation committee approves all compensation decisions relating to our named executive officers, including our executive chairman and our chief executive officer. As part of this process, our chief executive officer, together with our executive vice president of human resources, prepares compensation recommendations for each of our named executive officers, other than the executive chairman of the board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2" w:name="page43"/>
    <w:bookmarkEnd w:id="4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and the chief executive officer, and presents these recommendations to the compensation committee for approval. Willis Towers Watson assists in this effort, periodically meeting with management to gain input on objectives with respect to executive compensation and assisting the compensation committee in its deliberations. Compensation recommendations for the executive chairman and chief executive officer are developed and approved by the compensation committee based on data and context provided by the executive vice president of human resources and Willis Towers Watson. No named executive officer is present when the committee makes decisions regarding his own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Compensation Principles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Our executive compensation programs are based on four key principles:</w:t>
      </w:r>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15"/>
          <w:szCs w:val="15"/>
          <w:b w:val="1"/>
          <w:bCs w:val="1"/>
          <w:color w:val="auto"/>
        </w:rPr>
        <w:t>Key Executive Compensation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1210310</wp:posOffset>
            </wp:positionH>
            <wp:positionV relativeFrom="paragraph">
              <wp:posOffset>-108585</wp:posOffset>
            </wp:positionV>
            <wp:extent cx="4650740" cy="12738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50740" cy="1273810"/>
                    </a:xfrm>
                    <a:prstGeom prst="rect">
                      <a:avLst/>
                    </a:prstGeom>
                    <a:noFill/>
                  </pic:spPr>
                </pic:pic>
              </a:graphicData>
            </a:graphic>
          </wp:anchor>
        </w:drawing>
      </w:r>
    </w:p>
    <w:p>
      <w:pPr>
        <w:spacing w:after="0" w:line="172" w:lineRule="exact"/>
        <w:rPr>
          <w:sz w:val="20"/>
          <w:szCs w:val="20"/>
          <w:color w:val="auto"/>
        </w:rPr>
      </w:pPr>
    </w:p>
    <w:p>
      <w:pPr>
        <w:ind w:left="2460" w:hanging="284"/>
        <w:spacing w:after="0"/>
        <w:tabs>
          <w:tab w:leader="none" w:pos="2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Pay should be linked to performance;</w:t>
      </w:r>
    </w:p>
    <w:p>
      <w:pPr>
        <w:spacing w:after="0" w:line="188" w:lineRule="exact"/>
        <w:rPr>
          <w:rFonts w:ascii="Arial" w:cs="Arial" w:eastAsia="Arial" w:hAnsi="Arial"/>
          <w:sz w:val="15"/>
          <w:szCs w:val="15"/>
          <w:color w:val="auto"/>
        </w:rPr>
      </w:pPr>
    </w:p>
    <w:p>
      <w:pPr>
        <w:ind w:left="2460" w:hanging="284"/>
        <w:spacing w:after="0"/>
        <w:tabs>
          <w:tab w:leader="none" w:pos="2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Compensation opportunities should be competitive with relevant peer companies;</w:t>
      </w:r>
    </w:p>
    <w:p>
      <w:pPr>
        <w:spacing w:after="0" w:line="188" w:lineRule="exact"/>
        <w:rPr>
          <w:rFonts w:ascii="Arial" w:cs="Arial" w:eastAsia="Arial" w:hAnsi="Arial"/>
          <w:sz w:val="15"/>
          <w:szCs w:val="15"/>
          <w:color w:val="auto"/>
        </w:rPr>
      </w:pPr>
    </w:p>
    <w:p>
      <w:pPr>
        <w:ind w:left="2460" w:hanging="284"/>
        <w:spacing w:after="0"/>
        <w:tabs>
          <w:tab w:leader="none" w:pos="2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equity compensation program should align executive interests with those of stockholders; and</w:t>
      </w:r>
    </w:p>
    <w:p>
      <w:pPr>
        <w:spacing w:after="0" w:line="188" w:lineRule="exact"/>
        <w:rPr>
          <w:rFonts w:ascii="Arial" w:cs="Arial" w:eastAsia="Arial" w:hAnsi="Arial"/>
          <w:sz w:val="15"/>
          <w:szCs w:val="15"/>
          <w:color w:val="auto"/>
        </w:rPr>
      </w:pPr>
    </w:p>
    <w:p>
      <w:pPr>
        <w:ind w:left="2460" w:right="2240" w:hanging="284"/>
        <w:spacing w:after="0" w:line="270" w:lineRule="auto"/>
        <w:tabs>
          <w:tab w:leader="none" w:pos="2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Supplemental benefits and perquisites should be limited and used selectively in specific circumstances to attract and retain executives.</w:t>
      </w:r>
    </w:p>
    <w:p>
      <w:pPr>
        <w:spacing w:after="0" w:line="344"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Pay should be linked to performance.</w:t>
      </w:r>
    </w:p>
    <w:p>
      <w:pPr>
        <w:spacing w:after="0" w:line="188" w:lineRule="exact"/>
        <w:rPr>
          <w:sz w:val="20"/>
          <w:szCs w:val="20"/>
          <w:color w:val="auto"/>
        </w:rPr>
      </w:pPr>
    </w:p>
    <w:p>
      <w:pPr>
        <w:jc w:val="both"/>
        <w:ind w:firstLine="423"/>
        <w:spacing w:after="0" w:line="260" w:lineRule="auto"/>
        <w:rPr>
          <w:sz w:val="20"/>
          <w:szCs w:val="20"/>
          <w:color w:val="auto"/>
        </w:rPr>
      </w:pPr>
      <w:r>
        <w:rPr>
          <w:rFonts w:ascii="Arial" w:cs="Arial" w:eastAsia="Arial" w:hAnsi="Arial"/>
          <w:sz w:val="15"/>
          <w:szCs w:val="15"/>
          <w:color w:val="auto"/>
        </w:rPr>
        <w:t>We believe that a significant portion of each senior executive's compensation should be variable. The performance of our senior executives has a significant impact on the overall performance of our company. To that end, a significant portion of the compensation opportunity provided to our senior executives is variable based on corporate and individual performance. We consider both annual cash bonuses and equity awards to be variable compensation.</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Compensation opportunities should be competitive with relevant peer companies.</w:t>
      </w:r>
    </w:p>
    <w:p>
      <w:pPr>
        <w:spacing w:after="0" w:line="188" w:lineRule="exact"/>
        <w:rPr>
          <w:sz w:val="20"/>
          <w:szCs w:val="20"/>
          <w:color w:val="auto"/>
        </w:rPr>
      </w:pPr>
    </w:p>
    <w:p>
      <w:pPr>
        <w:jc w:val="both"/>
        <w:ind w:firstLine="386"/>
        <w:spacing w:after="0" w:line="255" w:lineRule="auto"/>
        <w:rPr>
          <w:sz w:val="20"/>
          <w:szCs w:val="20"/>
          <w:color w:val="auto"/>
        </w:rPr>
      </w:pPr>
      <w:r>
        <w:rPr>
          <w:rFonts w:ascii="Arial" w:cs="Arial" w:eastAsia="Arial" w:hAnsi="Arial"/>
          <w:sz w:val="15"/>
          <w:szCs w:val="15"/>
          <w:color w:val="auto"/>
        </w:rPr>
        <w:t>The compensation committee reviews compensation levels and designs at comparable companies as part of its decision-making process so it can set total compensation levels that it believes are competitive and aligned with the company's performance. The compensation committee reviews compensation data for executives in comparable roles at life sciences companies using both published compensation surveys and the proxy statements of public companies in its chosen proxy peer group (the "Proxy Peer Group"). The compensation committee generally sets target total direct compensation for our executives to be competitive with the published surveys and Proxy Peer Group, taking into consideration the scope of job responsibilities, individual performance, internal pay equity and other relevant factors.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3" w:name="page44"/>
    <w:bookmarkEnd w:id="4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296"/>
        <w:spacing w:after="0" w:line="276" w:lineRule="auto"/>
        <w:rPr>
          <w:sz w:val="20"/>
          <w:szCs w:val="20"/>
          <w:color w:val="auto"/>
        </w:rPr>
      </w:pPr>
      <w:r>
        <w:rPr>
          <w:rFonts w:ascii="Arial" w:cs="Arial" w:eastAsia="Arial" w:hAnsi="Arial"/>
          <w:sz w:val="14"/>
          <w:szCs w:val="14"/>
          <w:color w:val="auto"/>
        </w:rPr>
        <w:t>Each year, the compensation committee reviews the sources of market compensation data, including both the published compensation surveys and the companies in the Proxy Peer Group. Both the published compensation surveys and the Proxy Peer Group are based on other life sciences companies as this is the primary industry in which the company competes for executive talent. As part of its review, the committee considers specific criteria to assess the comparability of the published compensation surveys and companies in the Proxy Peer Group. In the case of the published compensation surveys, based on the company size parameters available in the surveys, revenues and number of employees are the two primary criteria for including companies in the underlying data sample. In the case of the Proxy Peer Group, we seek companies based on the following criteria: (i) revenue, (ii) market capitalization, (iii) net income, (iv) number of employees and (v) research and development expense.</w:t>
      </w:r>
    </w:p>
    <w:p>
      <w:pPr>
        <w:spacing w:after="0" w:line="151" w:lineRule="exact"/>
        <w:rPr>
          <w:sz w:val="20"/>
          <w:szCs w:val="20"/>
          <w:color w:val="auto"/>
        </w:rPr>
      </w:pPr>
    </w:p>
    <w:p>
      <w:pPr>
        <w:jc w:val="both"/>
        <w:ind w:firstLine="333"/>
        <w:spacing w:after="0" w:line="260" w:lineRule="auto"/>
        <w:rPr>
          <w:sz w:val="20"/>
          <w:szCs w:val="20"/>
          <w:color w:val="auto"/>
        </w:rPr>
      </w:pPr>
      <w:r>
        <w:rPr>
          <w:rFonts w:ascii="Arial" w:cs="Arial" w:eastAsia="Arial" w:hAnsi="Arial"/>
          <w:sz w:val="15"/>
          <w:szCs w:val="15"/>
          <w:color w:val="auto"/>
        </w:rPr>
        <w:t>The following table describes the published compensation surveys, the criteria for selecting companies for the Proxy Peer Group and the companies in the Proxy Peer Group as used by the compensation committee in making 2019 and 2020 compensation decisions (the data described below as it relates to 2019 compensation decisions is referred to herein as the "2019 Survey Data" and the "2020 Survey Data," as it relates to 2020 compensation decisions).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Borders>
              <w:right w:val="single" w:sz="8" w:color="auto"/>
            </w:tcBorders>
          </w:tcPr>
          <w:p>
            <w:pPr>
              <w:spacing w:after="0"/>
              <w:rPr>
                <w:sz w:val="16"/>
                <w:szCs w:val="16"/>
                <w:color w:val="auto"/>
              </w:rPr>
            </w:pPr>
          </w:p>
        </w:tc>
        <w:tc>
          <w:tcPr>
            <w:tcW w:w="1660" w:type="dxa"/>
            <w:vAlign w:val="bottom"/>
            <w:tcBorders>
              <w:top w:val="single" w:sz="8" w:color="auto"/>
              <w:bottom w:val="single" w:sz="8" w:color="auto"/>
              <w:right w:val="single" w:sz="8" w:color="auto"/>
            </w:tcBorders>
          </w:tcPr>
          <w:p>
            <w:pPr>
              <w:spacing w:after="0"/>
              <w:rPr>
                <w:sz w:val="16"/>
                <w:szCs w:val="16"/>
                <w:color w:val="auto"/>
              </w:rPr>
            </w:pPr>
          </w:p>
        </w:tc>
        <w:tc>
          <w:tcPr>
            <w:tcW w:w="36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5"/>
                <w:szCs w:val="15"/>
                <w:b w:val="1"/>
                <w:bCs w:val="1"/>
                <w:color w:val="auto"/>
              </w:rPr>
              <w:t>2019 Compensation Decisions</w:t>
            </w:r>
          </w:p>
        </w:tc>
        <w:tc>
          <w:tcPr>
            <w:tcW w:w="368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5"/>
                <w:szCs w:val="15"/>
                <w:b w:val="1"/>
                <w:bCs w:val="1"/>
                <w:color w:val="auto"/>
              </w:rPr>
              <w:t>2020 Compensation Decisions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ind w:left="260"/>
              <w:spacing w:after="0" w:line="164" w:lineRule="exact"/>
              <w:rPr>
                <w:sz w:val="20"/>
                <w:szCs w:val="20"/>
                <w:color w:val="auto"/>
              </w:rPr>
            </w:pPr>
            <w:r>
              <w:rPr>
                <w:rFonts w:ascii="Arial" w:cs="Arial" w:eastAsia="Arial" w:hAnsi="Arial"/>
                <w:sz w:val="15"/>
                <w:szCs w:val="15"/>
                <w:i w:val="1"/>
                <w:iCs w:val="1"/>
                <w:color w:val="auto"/>
              </w:rPr>
              <w:t>Published</w:t>
            </w:r>
          </w:p>
        </w:tc>
        <w:tc>
          <w:tcPr>
            <w:tcW w:w="3660" w:type="dxa"/>
            <w:vAlign w:val="bottom"/>
            <w:tcBorders>
              <w:right w:val="single" w:sz="8" w:color="auto"/>
            </w:tcBorders>
          </w:tcPr>
          <w:p>
            <w:pPr>
              <w:ind w:left="120"/>
              <w:spacing w:after="0" w:line="164" w:lineRule="exact"/>
              <w:rPr>
                <w:sz w:val="20"/>
                <w:szCs w:val="20"/>
                <w:color w:val="auto"/>
              </w:rPr>
            </w:pPr>
            <w:r>
              <w:rPr>
                <w:rFonts w:ascii="Arial" w:cs="Arial" w:eastAsia="Arial" w:hAnsi="Arial"/>
                <w:sz w:val="15"/>
                <w:szCs w:val="15"/>
                <w:color w:val="auto"/>
              </w:rPr>
              <w:t>Radford Life Sciences:</w:t>
            </w:r>
          </w:p>
        </w:tc>
        <w:tc>
          <w:tcPr>
            <w:tcW w:w="3680" w:type="dxa"/>
            <w:vAlign w:val="bottom"/>
            <w:tcBorders>
              <w:right w:val="single" w:sz="8" w:color="auto"/>
            </w:tcBorders>
          </w:tcPr>
          <w:p>
            <w:pPr>
              <w:ind w:left="140"/>
              <w:spacing w:after="0" w:line="164" w:lineRule="exact"/>
              <w:rPr>
                <w:sz w:val="20"/>
                <w:szCs w:val="20"/>
                <w:color w:val="auto"/>
              </w:rPr>
            </w:pPr>
            <w:r>
              <w:rPr>
                <w:rFonts w:ascii="Arial" w:cs="Arial" w:eastAsia="Arial" w:hAnsi="Arial"/>
                <w:sz w:val="15"/>
                <w:szCs w:val="15"/>
                <w:color w:val="auto"/>
              </w:rPr>
              <w:t>Radford Life Sciences: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ind w:left="260"/>
              <w:spacing w:after="0"/>
              <w:rPr>
                <w:sz w:val="20"/>
                <w:szCs w:val="20"/>
                <w:color w:val="auto"/>
              </w:rPr>
            </w:pPr>
            <w:r>
              <w:rPr>
                <w:rFonts w:ascii="Arial" w:cs="Arial" w:eastAsia="Arial" w:hAnsi="Arial"/>
                <w:sz w:val="15"/>
                <w:szCs w:val="15"/>
                <w:i w:val="1"/>
                <w:iCs w:val="1"/>
                <w:color w:val="auto"/>
              </w:rPr>
              <w:t>Compensation</w:t>
            </w: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ind w:left="260"/>
              <w:spacing w:after="0"/>
              <w:rPr>
                <w:sz w:val="20"/>
                <w:szCs w:val="20"/>
                <w:color w:val="auto"/>
              </w:rPr>
            </w:pPr>
            <w:r>
              <w:rPr>
                <w:rFonts w:ascii="Arial" w:cs="Arial" w:eastAsia="Arial" w:hAnsi="Arial"/>
                <w:sz w:val="15"/>
                <w:szCs w:val="15"/>
                <w:i w:val="1"/>
                <w:iCs w:val="1"/>
                <w:color w:val="auto"/>
              </w:rPr>
              <w:t>Surveys</w:t>
            </w: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Data sample comprised of publicly traded</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Data sample comprised of publicly traded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commercial biopharmaceutical, medical devices</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commercial biopharmaceutical, medical devices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and diagnostics companies with 500 to 5,000</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and diagnostics companies with 500 to 5,000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employees; and</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employees; and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Median revenue of this sample was $619 million.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Median revenue of this sample was $851 million.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Mercer SIRS Life Sciences:</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Willis Towers Watson Pharmaceutical and Health</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5"/>
                <w:szCs w:val="15"/>
                <w:color w:val="auto"/>
              </w:rPr>
              <w:t>—  Data sample comprised of commercial</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Sciences: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vMerge w:val="continue"/>
          </w:tcPr>
          <w:p>
            <w:pPr>
              <w:spacing w:after="0"/>
              <w:rPr>
                <w:sz w:val="15"/>
                <w:szCs w:val="15"/>
                <w:color w:val="auto"/>
              </w:rPr>
            </w:pPr>
          </w:p>
        </w:tc>
        <w:tc>
          <w:tcPr>
            <w:tcW w:w="368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biopharmaceutical, medical devices and</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9"/>
              </w:rPr>
              <w:t>—  Data sample comprised of biopharmaceutical and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diagnostics companies;</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medical equipment companies;</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Where possible, regression data were used to</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Regression data were used to predict the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predict the compensation by those companies</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w w:val="97"/>
              </w:rPr>
              <w:t>compensation by those companies most similar in</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most similar in size to Emergent; and</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size to the company (regression data was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available for all company executive positions);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w w:val="98"/>
              </w:rPr>
              <w:t>—  If no regression data was available, the underlying</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and</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data sample reflected companies with revenues</w:t>
            </w:r>
          </w:p>
        </w:tc>
        <w:tc>
          <w:tcPr>
            <w:tcW w:w="3680" w:type="dxa"/>
            <w:vAlign w:val="bottom"/>
            <w:tcBorders>
              <w:right w:val="single" w:sz="8" w:color="auto"/>
            </w:tcBorders>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from $400 million to $3.5 billion.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Based on advice from Willis Towers Watson, the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compensation committee replaced the Mercer</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w w:val="99"/>
              </w:rPr>
              <w:t>SIRS Life Sciences survey with the Willis Towers</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w w:val="97"/>
              </w:rPr>
              <w:t>Watson survey. The Willis Towers Watson survey</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provides additional information on long-term</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w w:val="99"/>
              </w:rPr>
              <w:t>equity practices and, given the company's recent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w w:val="99"/>
              </w:rPr>
              <w:t>growth, contains companies that are comparable</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366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5"/>
                <w:szCs w:val="15"/>
                <w:color w:val="auto"/>
              </w:rPr>
              <w:t>in size.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60" w:type="dxa"/>
            <w:vAlign w:val="bottom"/>
          </w:tcPr>
          <w:p>
            <w:pPr>
              <w:ind w:left="2760"/>
              <w:spacing w:after="0"/>
              <w:rPr>
                <w:sz w:val="20"/>
                <w:szCs w:val="20"/>
                <w:color w:val="auto"/>
              </w:rPr>
            </w:pPr>
            <w:r>
              <w:rPr>
                <w:rFonts w:ascii="Arial" w:cs="Arial" w:eastAsia="Arial" w:hAnsi="Arial"/>
                <w:sz w:val="15"/>
                <w:szCs w:val="15"/>
                <w:color w:val="auto"/>
              </w:rPr>
              <w:t>38</w:t>
            </w:r>
          </w:p>
        </w:tc>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808080"/>
            </w:tcBorders>
          </w:tcPr>
          <w:p>
            <w:pPr>
              <w:spacing w:after="0"/>
              <w:rPr>
                <w:sz w:val="16"/>
                <w:szCs w:val="16"/>
                <w:color w:val="auto"/>
              </w:rPr>
            </w:pPr>
          </w:p>
        </w:tc>
        <w:tc>
          <w:tcPr>
            <w:tcW w:w="1660" w:type="dxa"/>
            <w:vAlign w:val="bottom"/>
            <w:tcBorders>
              <w:bottom w:val="single" w:sz="8" w:color="808080"/>
            </w:tcBorders>
          </w:tcPr>
          <w:p>
            <w:pPr>
              <w:spacing w:after="0"/>
              <w:rPr>
                <w:sz w:val="16"/>
                <w:szCs w:val="16"/>
                <w:color w:val="auto"/>
              </w:rPr>
            </w:pPr>
          </w:p>
        </w:tc>
        <w:tc>
          <w:tcPr>
            <w:tcW w:w="3660" w:type="dxa"/>
            <w:vAlign w:val="bottom"/>
            <w:tcBorders>
              <w:bottom w:val="single" w:sz="8" w:color="808080"/>
            </w:tcBorders>
          </w:tcPr>
          <w:p>
            <w:pPr>
              <w:spacing w:after="0"/>
              <w:rPr>
                <w:sz w:val="16"/>
                <w:szCs w:val="16"/>
                <w:color w:val="auto"/>
              </w:rPr>
            </w:pPr>
          </w:p>
        </w:tc>
        <w:tc>
          <w:tcPr>
            <w:tcW w:w="368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-12700</wp:posOffset>
            </wp:positionV>
            <wp:extent cx="1270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4" w:name="page45"/>
    <w:bookmarkEnd w:id="4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Borders>
              <w:right w:val="single" w:sz="8" w:color="auto"/>
            </w:tcBorders>
          </w:tcPr>
          <w:p>
            <w:pPr>
              <w:spacing w:after="0"/>
              <w:rPr>
                <w:sz w:val="16"/>
                <w:szCs w:val="16"/>
                <w:color w:val="auto"/>
              </w:rPr>
            </w:pPr>
          </w:p>
        </w:tc>
        <w:tc>
          <w:tcPr>
            <w:tcW w:w="1660" w:type="dxa"/>
            <w:vAlign w:val="bottom"/>
            <w:tcBorders>
              <w:top w:val="single" w:sz="8" w:color="auto"/>
              <w:bottom w:val="single" w:sz="8" w:color="auto"/>
              <w:right w:val="single" w:sz="8" w:color="auto"/>
            </w:tcBorders>
          </w:tcPr>
          <w:p>
            <w:pPr>
              <w:spacing w:after="0"/>
              <w:rPr>
                <w:sz w:val="16"/>
                <w:szCs w:val="16"/>
                <w:color w:val="auto"/>
              </w:rPr>
            </w:pPr>
          </w:p>
        </w:tc>
        <w:tc>
          <w:tcPr>
            <w:tcW w:w="366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5"/>
                <w:szCs w:val="15"/>
                <w:b w:val="1"/>
                <w:bCs w:val="1"/>
                <w:color w:val="auto"/>
              </w:rPr>
              <w:t>2019 Compensation Decisions</w:t>
            </w:r>
          </w:p>
        </w:tc>
        <w:tc>
          <w:tcPr>
            <w:tcW w:w="3680" w:type="dxa"/>
            <w:vAlign w:val="bottom"/>
            <w:tcBorders>
              <w:top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5"/>
                <w:szCs w:val="15"/>
                <w:b w:val="1"/>
                <w:bCs w:val="1"/>
                <w:color w:val="auto"/>
              </w:rPr>
              <w:t>2020 Compensation Decisions</w:t>
            </w:r>
          </w:p>
        </w:tc>
        <w:tc>
          <w:tcPr>
            <w:tcW w:w="1120" w:type="dxa"/>
            <w:vAlign w:val="bottom"/>
          </w:tcPr>
          <w:p>
            <w:pPr>
              <w:spacing w:after="0"/>
              <w:rPr>
                <w:sz w:val="16"/>
                <w:szCs w:val="16"/>
                <w:color w:val="auto"/>
              </w:rPr>
            </w:pPr>
          </w:p>
        </w:tc>
      </w:tr>
      <w:tr>
        <w:trPr>
          <w:trHeight w:val="164"/>
        </w:trPr>
        <w:tc>
          <w:tcPr>
            <w:tcW w:w="114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ind w:left="260"/>
              <w:spacing w:after="0" w:line="164" w:lineRule="exact"/>
              <w:rPr>
                <w:sz w:val="20"/>
                <w:szCs w:val="20"/>
                <w:color w:val="auto"/>
              </w:rPr>
            </w:pPr>
            <w:r>
              <w:rPr>
                <w:rFonts w:ascii="Arial" w:cs="Arial" w:eastAsia="Arial" w:hAnsi="Arial"/>
                <w:sz w:val="15"/>
                <w:szCs w:val="15"/>
                <w:i w:val="1"/>
                <w:iCs w:val="1"/>
                <w:color w:val="auto"/>
              </w:rPr>
              <w:t>Proxy Peer Group</w:t>
            </w:r>
          </w:p>
        </w:tc>
        <w:tc>
          <w:tcPr>
            <w:tcW w:w="3660" w:type="dxa"/>
            <w:vAlign w:val="bottom"/>
            <w:tcBorders>
              <w:right w:val="single" w:sz="8" w:color="auto"/>
            </w:tcBorders>
          </w:tcPr>
          <w:p>
            <w:pPr>
              <w:ind w:left="120"/>
              <w:spacing w:after="0" w:line="164" w:lineRule="exact"/>
              <w:rPr>
                <w:sz w:val="20"/>
                <w:szCs w:val="20"/>
                <w:color w:val="auto"/>
              </w:rPr>
            </w:pPr>
            <w:r>
              <w:rPr>
                <w:rFonts w:ascii="Arial" w:cs="Arial" w:eastAsia="Arial" w:hAnsi="Arial"/>
                <w:sz w:val="15"/>
                <w:szCs w:val="15"/>
                <w:color w:val="auto"/>
              </w:rPr>
              <w:t>Biopharmaceutical, medical device and diagnostic</w:t>
            </w:r>
          </w:p>
        </w:tc>
        <w:tc>
          <w:tcPr>
            <w:tcW w:w="3680" w:type="dxa"/>
            <w:vAlign w:val="bottom"/>
            <w:tcBorders>
              <w:right w:val="single" w:sz="8" w:color="auto"/>
            </w:tcBorders>
          </w:tcPr>
          <w:p>
            <w:pPr>
              <w:ind w:left="140"/>
              <w:spacing w:after="0" w:line="164" w:lineRule="exact"/>
              <w:rPr>
                <w:sz w:val="20"/>
                <w:szCs w:val="20"/>
                <w:color w:val="auto"/>
              </w:rPr>
            </w:pPr>
            <w:r>
              <w:rPr>
                <w:rFonts w:ascii="Arial" w:cs="Arial" w:eastAsia="Arial" w:hAnsi="Arial"/>
                <w:sz w:val="15"/>
                <w:szCs w:val="15"/>
                <w:color w:val="auto"/>
              </w:rPr>
              <w:t>Biopharmaceutical, medical device and diagnostic</w:t>
            </w:r>
          </w:p>
        </w:tc>
        <w:tc>
          <w:tcPr>
            <w:tcW w:w="1120" w:type="dxa"/>
            <w:vAlign w:val="bottom"/>
          </w:tcPr>
          <w:p>
            <w:pPr>
              <w:spacing w:after="0"/>
              <w:rPr>
                <w:sz w:val="14"/>
                <w:szCs w:val="14"/>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ind w:left="260"/>
              <w:spacing w:after="0"/>
              <w:rPr>
                <w:sz w:val="20"/>
                <w:szCs w:val="20"/>
                <w:color w:val="auto"/>
              </w:rPr>
            </w:pPr>
            <w:r>
              <w:rPr>
                <w:rFonts w:ascii="Arial" w:cs="Arial" w:eastAsia="Arial" w:hAnsi="Arial"/>
                <w:sz w:val="15"/>
                <w:szCs w:val="15"/>
                <w:i w:val="1"/>
                <w:iCs w:val="1"/>
                <w:color w:val="auto"/>
              </w:rPr>
              <w:t>Selection Criteria</w:t>
            </w: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companies that generally met three of the following</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companies that generally met three of the following</w:t>
            </w:r>
          </w:p>
        </w:tc>
        <w:tc>
          <w:tcPr>
            <w:tcW w:w="1120" w:type="dxa"/>
            <w:vAlign w:val="bottom"/>
          </w:tcPr>
          <w:p>
            <w:pPr>
              <w:spacing w:after="0"/>
              <w:rPr>
                <w:sz w:val="15"/>
                <w:szCs w:val="15"/>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five criteria:</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five criteria:</w:t>
            </w:r>
          </w:p>
        </w:tc>
        <w:tc>
          <w:tcPr>
            <w:tcW w:w="1120" w:type="dxa"/>
            <w:vAlign w:val="bottom"/>
          </w:tcPr>
          <w:p>
            <w:pPr>
              <w:spacing w:after="0"/>
              <w:rPr>
                <w:sz w:val="16"/>
                <w:szCs w:val="16"/>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Revenues between $400 million and $2.4 billion;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Revenues between $500 million and $3.0 billion.</w:t>
            </w:r>
          </w:p>
        </w:tc>
        <w:tc>
          <w:tcPr>
            <w:tcW w:w="1120" w:type="dxa"/>
            <w:vAlign w:val="bottom"/>
          </w:tcPr>
          <w:p>
            <w:pPr>
              <w:spacing w:after="0"/>
              <w:rPr>
                <w:sz w:val="24"/>
                <w:szCs w:val="24"/>
                <w:color w:val="auto"/>
              </w:rPr>
            </w:pPr>
          </w:p>
        </w:tc>
      </w:tr>
      <w:tr>
        <w:trPr>
          <w:trHeight w:val="354"/>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Market capitalization between $1.3 billion and</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Market capitalization between $1.4 billion and</w:t>
            </w:r>
          </w:p>
        </w:tc>
        <w:tc>
          <w:tcPr>
            <w:tcW w:w="1120" w:type="dxa"/>
            <w:vAlign w:val="bottom"/>
          </w:tcPr>
          <w:p>
            <w:pPr>
              <w:spacing w:after="0"/>
              <w:rPr>
                <w:sz w:val="24"/>
                <w:szCs w:val="24"/>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$7.8 billion;</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$8.5 billion.</w:t>
            </w:r>
          </w:p>
        </w:tc>
        <w:tc>
          <w:tcPr>
            <w:tcW w:w="1120" w:type="dxa"/>
            <w:vAlign w:val="bottom"/>
          </w:tcPr>
          <w:p>
            <w:pPr>
              <w:spacing w:after="0"/>
              <w:rPr>
                <w:sz w:val="16"/>
                <w:szCs w:val="16"/>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Positive net income;</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Positive net income.</w:t>
            </w:r>
          </w:p>
        </w:tc>
        <w:tc>
          <w:tcPr>
            <w:tcW w:w="1120" w:type="dxa"/>
            <w:vAlign w:val="bottom"/>
          </w:tcPr>
          <w:p>
            <w:pPr>
              <w:spacing w:after="0"/>
              <w:rPr>
                <w:sz w:val="24"/>
                <w:szCs w:val="24"/>
                <w:color w:val="auto"/>
              </w:rPr>
            </w:pPr>
          </w:p>
        </w:tc>
      </w:tr>
      <w:tr>
        <w:trPr>
          <w:trHeight w:val="354"/>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  Employee size of 875 to 5,250 full-time</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  Employee size of 850 to 5,100 full-time</w:t>
            </w:r>
          </w:p>
        </w:tc>
        <w:tc>
          <w:tcPr>
            <w:tcW w:w="1120" w:type="dxa"/>
            <w:vAlign w:val="bottom"/>
          </w:tcPr>
          <w:p>
            <w:pPr>
              <w:spacing w:after="0"/>
              <w:rPr>
                <w:sz w:val="24"/>
                <w:szCs w:val="24"/>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employees; and</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employees.</w:t>
            </w:r>
          </w:p>
        </w:tc>
        <w:tc>
          <w:tcPr>
            <w:tcW w:w="1120" w:type="dxa"/>
            <w:vAlign w:val="bottom"/>
          </w:tcPr>
          <w:p>
            <w:pPr>
              <w:spacing w:after="0"/>
              <w:rPr>
                <w:sz w:val="16"/>
                <w:szCs w:val="16"/>
                <w:color w:val="auto"/>
              </w:rPr>
            </w:pPr>
          </w:p>
        </w:tc>
      </w:tr>
      <w:tr>
        <w:trPr>
          <w:trHeight w:val="354"/>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w w:val="98"/>
              </w:rPr>
              <w:t>—  Research and development expense between 5%</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8"/>
              </w:rPr>
              <w:t>—  Research and development expense between 5%</w:t>
            </w:r>
          </w:p>
        </w:tc>
        <w:tc>
          <w:tcPr>
            <w:tcW w:w="1120" w:type="dxa"/>
            <w:vAlign w:val="bottom"/>
          </w:tcPr>
          <w:p>
            <w:pPr>
              <w:spacing w:after="0"/>
              <w:rPr>
                <w:sz w:val="24"/>
                <w:szCs w:val="24"/>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660" w:type="dxa"/>
            <w:vAlign w:val="bottom"/>
            <w:tcBorders>
              <w:right w:val="single" w:sz="8" w:color="auto"/>
            </w:tcBorders>
          </w:tcPr>
          <w:p>
            <w:pPr>
              <w:ind w:left="400"/>
              <w:spacing w:after="0"/>
              <w:rPr>
                <w:sz w:val="20"/>
                <w:szCs w:val="20"/>
                <w:color w:val="auto"/>
              </w:rPr>
            </w:pPr>
            <w:r>
              <w:rPr>
                <w:rFonts w:ascii="Arial" w:cs="Arial" w:eastAsia="Arial" w:hAnsi="Arial"/>
                <w:sz w:val="15"/>
                <w:szCs w:val="15"/>
                <w:color w:val="auto"/>
              </w:rPr>
              <w:t>and 25% of revenue.</w:t>
            </w:r>
          </w:p>
        </w:tc>
        <w:tc>
          <w:tcPr>
            <w:tcW w:w="3680" w:type="dxa"/>
            <w:vAlign w:val="bottom"/>
            <w:tcBorders>
              <w:right w:val="single" w:sz="8" w:color="auto"/>
            </w:tcBorders>
          </w:tcPr>
          <w:p>
            <w:pPr>
              <w:ind w:left="420"/>
              <w:spacing w:after="0"/>
              <w:rPr>
                <w:sz w:val="20"/>
                <w:szCs w:val="20"/>
                <w:color w:val="auto"/>
              </w:rPr>
            </w:pPr>
            <w:r>
              <w:rPr>
                <w:rFonts w:ascii="Arial" w:cs="Arial" w:eastAsia="Arial" w:hAnsi="Arial"/>
                <w:sz w:val="15"/>
                <w:szCs w:val="15"/>
                <w:color w:val="auto"/>
              </w:rPr>
              <w:t>and 25% of revenue;</w:t>
            </w:r>
          </w:p>
        </w:tc>
        <w:tc>
          <w:tcPr>
            <w:tcW w:w="1120" w:type="dxa"/>
            <w:vAlign w:val="bottom"/>
          </w:tcPr>
          <w:p>
            <w:pPr>
              <w:spacing w:after="0"/>
              <w:rPr>
                <w:sz w:val="16"/>
                <w:szCs w:val="16"/>
                <w:color w:val="auto"/>
              </w:rPr>
            </w:pPr>
          </w:p>
        </w:tc>
      </w:tr>
      <w:tr>
        <w:trPr>
          <w:trHeight w:val="354"/>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Based on the advice of Willis Towers Watson, the</w:t>
            </w:r>
          </w:p>
        </w:tc>
        <w:tc>
          <w:tcPr>
            <w:tcW w:w="1120" w:type="dxa"/>
            <w:vAlign w:val="bottom"/>
          </w:tcPr>
          <w:p>
            <w:pPr>
              <w:spacing w:after="0"/>
              <w:rPr>
                <w:sz w:val="24"/>
                <w:szCs w:val="24"/>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9"/>
              </w:rPr>
              <w:t>compensation committee approved the elimination of</w:t>
            </w:r>
          </w:p>
        </w:tc>
        <w:tc>
          <w:tcPr>
            <w:tcW w:w="1120" w:type="dxa"/>
            <w:vAlign w:val="bottom"/>
          </w:tcPr>
          <w:p>
            <w:pPr>
              <w:spacing w:after="0"/>
              <w:rPr>
                <w:sz w:val="15"/>
                <w:szCs w:val="15"/>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5"/>
              </w:rPr>
              <w:t>one company in the 2019 Proxy Peer Group (Repligen)</w:t>
            </w:r>
          </w:p>
        </w:tc>
        <w:tc>
          <w:tcPr>
            <w:tcW w:w="1120" w:type="dxa"/>
            <w:vAlign w:val="bottom"/>
          </w:tcPr>
          <w:p>
            <w:pPr>
              <w:spacing w:after="0"/>
              <w:rPr>
                <w:sz w:val="15"/>
                <w:szCs w:val="15"/>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and the addition of four new companies that met the</w:t>
            </w:r>
          </w:p>
        </w:tc>
        <w:tc>
          <w:tcPr>
            <w:tcW w:w="1120" w:type="dxa"/>
            <w:vAlign w:val="bottom"/>
          </w:tcPr>
          <w:p>
            <w:pPr>
              <w:spacing w:after="0"/>
              <w:rPr>
                <w:sz w:val="15"/>
                <w:szCs w:val="15"/>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screening criteria. Additionally, two companies</w:t>
            </w:r>
          </w:p>
        </w:tc>
        <w:tc>
          <w:tcPr>
            <w:tcW w:w="1120" w:type="dxa"/>
            <w:vAlign w:val="bottom"/>
          </w:tcPr>
          <w:p>
            <w:pPr>
              <w:spacing w:after="0"/>
              <w:rPr>
                <w:sz w:val="15"/>
                <w:szCs w:val="15"/>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7"/>
              </w:rPr>
              <w:t>(Amphastar and Supernus) were below the low end of</w:t>
            </w:r>
          </w:p>
        </w:tc>
        <w:tc>
          <w:tcPr>
            <w:tcW w:w="1120" w:type="dxa"/>
            <w:vAlign w:val="bottom"/>
          </w:tcPr>
          <w:p>
            <w:pPr>
              <w:spacing w:after="0"/>
              <w:rPr>
                <w:sz w:val="15"/>
                <w:szCs w:val="15"/>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w w:val="98"/>
              </w:rPr>
              <w:t>the size-related criteria but were retained in the Proxy</w:t>
            </w:r>
          </w:p>
        </w:tc>
        <w:tc>
          <w:tcPr>
            <w:tcW w:w="1120" w:type="dxa"/>
            <w:vAlign w:val="bottom"/>
          </w:tcPr>
          <w:p>
            <w:pPr>
              <w:spacing w:after="0"/>
              <w:rPr>
                <w:sz w:val="15"/>
                <w:szCs w:val="15"/>
                <w:color w:val="auto"/>
              </w:rPr>
            </w:pPr>
          </w:p>
        </w:tc>
      </w:tr>
      <w:tr>
        <w:trPr>
          <w:trHeight w:val="180"/>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spacing w:after="0"/>
              <w:rPr>
                <w:sz w:val="15"/>
                <w:szCs w:val="15"/>
                <w:color w:val="auto"/>
              </w:rPr>
            </w:pPr>
          </w:p>
        </w:tc>
        <w:tc>
          <w:tcPr>
            <w:tcW w:w="3660" w:type="dxa"/>
            <w:vAlign w:val="bottom"/>
            <w:tcBorders>
              <w:right w:val="single" w:sz="8" w:color="auto"/>
            </w:tcBorders>
          </w:tcPr>
          <w:p>
            <w:pPr>
              <w:spacing w:after="0"/>
              <w:rPr>
                <w:sz w:val="15"/>
                <w:szCs w:val="15"/>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Peer Group for 2020 based on their relevance as</w:t>
            </w:r>
          </w:p>
        </w:tc>
        <w:tc>
          <w:tcPr>
            <w:tcW w:w="1120" w:type="dxa"/>
            <w:vAlign w:val="bottom"/>
          </w:tcPr>
          <w:p>
            <w:pPr>
              <w:spacing w:after="0"/>
              <w:rPr>
                <w:sz w:val="15"/>
                <w:szCs w:val="15"/>
                <w:color w:val="auto"/>
              </w:rPr>
            </w:pPr>
          </w:p>
        </w:tc>
      </w:tr>
      <w:tr>
        <w:trPr>
          <w:trHeight w:val="187"/>
        </w:trPr>
        <w:tc>
          <w:tcPr>
            <w:tcW w:w="1140" w:type="dxa"/>
            <w:vAlign w:val="bottom"/>
            <w:tcBorders>
              <w:right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3660" w:type="dxa"/>
            <w:vAlign w:val="bottom"/>
            <w:tcBorders>
              <w:bottom w:val="single" w:sz="8" w:color="auto"/>
              <w:right w:val="single" w:sz="8" w:color="auto"/>
            </w:tcBorders>
          </w:tcPr>
          <w:p>
            <w:pPr>
              <w:spacing w:after="0"/>
              <w:rPr>
                <w:sz w:val="16"/>
                <w:szCs w:val="16"/>
                <w:color w:val="auto"/>
              </w:rPr>
            </w:pPr>
          </w:p>
        </w:tc>
        <w:tc>
          <w:tcPr>
            <w:tcW w:w="3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color w:val="auto"/>
              </w:rPr>
              <w:t>competitors for executive talent.</w:t>
            </w:r>
          </w:p>
        </w:tc>
        <w:tc>
          <w:tcPr>
            <w:tcW w:w="1120" w:type="dxa"/>
            <w:vAlign w:val="bottom"/>
          </w:tcPr>
          <w:p>
            <w:pPr>
              <w:spacing w:after="0"/>
              <w:rPr>
                <w:sz w:val="16"/>
                <w:szCs w:val="16"/>
                <w:color w:val="auto"/>
              </w:rPr>
            </w:pPr>
          </w:p>
        </w:tc>
      </w:tr>
      <w:tr>
        <w:trPr>
          <w:trHeight w:val="178"/>
        </w:trPr>
        <w:tc>
          <w:tcPr>
            <w:tcW w:w="1140" w:type="dxa"/>
            <w:vAlign w:val="bottom"/>
            <w:tcBorders>
              <w:right w:val="single" w:sz="8" w:color="auto"/>
            </w:tcBorders>
          </w:tcPr>
          <w:p>
            <w:pPr>
              <w:spacing w:after="0"/>
              <w:rPr>
                <w:sz w:val="15"/>
                <w:szCs w:val="15"/>
                <w:color w:val="auto"/>
              </w:rPr>
            </w:pPr>
          </w:p>
        </w:tc>
        <w:tc>
          <w:tcPr>
            <w:tcW w:w="1660" w:type="dxa"/>
            <w:vAlign w:val="bottom"/>
            <w:tcBorders>
              <w:right w:val="single" w:sz="8" w:color="auto"/>
            </w:tcBorders>
          </w:tcPr>
          <w:p>
            <w:pPr>
              <w:ind w:left="260"/>
              <w:spacing w:after="0"/>
              <w:rPr>
                <w:sz w:val="20"/>
                <w:szCs w:val="20"/>
                <w:color w:val="auto"/>
              </w:rPr>
            </w:pPr>
            <w:r>
              <w:rPr>
                <w:rFonts w:ascii="Arial" w:cs="Arial" w:eastAsia="Arial" w:hAnsi="Arial"/>
                <w:sz w:val="15"/>
                <w:szCs w:val="15"/>
                <w:i w:val="1"/>
                <w:iCs w:val="1"/>
                <w:color w:val="auto"/>
              </w:rPr>
              <w:t>Proxy Peer Group</w:t>
            </w: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Akorn,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Akorn, Inc.;</w:t>
            </w:r>
          </w:p>
        </w:tc>
        <w:tc>
          <w:tcPr>
            <w:tcW w:w="1120" w:type="dxa"/>
            <w:vAlign w:val="bottom"/>
          </w:tcPr>
          <w:p>
            <w:pPr>
              <w:spacing w:after="0"/>
              <w:rPr>
                <w:sz w:val="15"/>
                <w:szCs w:val="15"/>
                <w:color w:val="auto"/>
              </w:rPr>
            </w:pPr>
          </w:p>
        </w:tc>
      </w:tr>
      <w:tr>
        <w:trPr>
          <w:trHeight w:val="342"/>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Amneal Pharmaceuticals,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Alkermes plc;*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Amphastar Pharmaceuticals,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Amneal Pharmaceuticals,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Bio-Techne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Amphastar Pharmaceuticals,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Bruker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Bio-Techne Corporation;</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Cambrex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Bruker Corporation;</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Exelixis,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Cambrex Corporation;</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Globus Medical,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Catalent,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Integra LifeSciences Holdings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Exelixis,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Masimo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Globus Medical,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NuVasive,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Integra LifeSciences Holdings Corporation;</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Supernus Pharmaceuticals, Inc.;</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Jazz Pharmaceuticals plc;*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United Therapeutics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Masimo Corporation</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Myriad Genetics, Inc.; and</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Myriad Genetics,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Repligen Corporation.</w:t>
            </w: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NuVasive,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OPKO Health, Inc.;*</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Supernus Pharmaceuticals, Inc.; and</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right w:val="single" w:sz="8" w:color="auto"/>
            </w:tcBorders>
          </w:tcPr>
          <w:p>
            <w:pPr>
              <w:spacing w:after="0"/>
              <w:rPr>
                <w:sz w:val="24"/>
                <w:szCs w:val="24"/>
                <w:color w:val="auto"/>
              </w:rPr>
            </w:pPr>
          </w:p>
        </w:tc>
        <w:tc>
          <w:tcPr>
            <w:tcW w:w="3660" w:type="dxa"/>
            <w:vAlign w:val="bottom"/>
            <w:tcBorders>
              <w:right w:val="single" w:sz="8" w:color="auto"/>
            </w:tcBorders>
          </w:tcPr>
          <w:p>
            <w:pPr>
              <w:spacing w:after="0"/>
              <w:rPr>
                <w:sz w:val="24"/>
                <w:szCs w:val="24"/>
                <w:color w:val="auto"/>
              </w:rPr>
            </w:pPr>
          </w:p>
        </w:tc>
        <w:tc>
          <w:tcPr>
            <w:tcW w:w="3680" w:type="dxa"/>
            <w:vAlign w:val="bottom"/>
            <w:tcBorders>
              <w:right w:val="single" w:sz="8" w:color="auto"/>
            </w:tcBorders>
          </w:tcPr>
          <w:p>
            <w:pPr>
              <w:ind w:left="140"/>
              <w:spacing w:after="0"/>
              <w:rPr>
                <w:sz w:val="20"/>
                <w:szCs w:val="20"/>
                <w:color w:val="auto"/>
              </w:rPr>
            </w:pPr>
            <w:r>
              <w:rPr>
                <w:rFonts w:ascii="Arial" w:cs="Arial" w:eastAsia="Arial" w:hAnsi="Arial"/>
                <w:sz w:val="15"/>
                <w:szCs w:val="15"/>
                <w:color w:val="auto"/>
              </w:rPr>
              <w:t>United Therapeutics Corporation.</w:t>
            </w:r>
          </w:p>
        </w:tc>
        <w:tc>
          <w:tcPr>
            <w:tcW w:w="1120" w:type="dxa"/>
            <w:vAlign w:val="bottom"/>
          </w:tcPr>
          <w:p>
            <w:pPr>
              <w:spacing w:after="0"/>
              <w:rPr>
                <w:sz w:val="24"/>
                <w:szCs w:val="24"/>
                <w:color w:val="auto"/>
              </w:rPr>
            </w:pPr>
          </w:p>
        </w:tc>
      </w:tr>
      <w:tr>
        <w:trPr>
          <w:trHeight w:val="361"/>
        </w:trPr>
        <w:tc>
          <w:tcPr>
            <w:tcW w:w="1140" w:type="dxa"/>
            <w:vAlign w:val="bottom"/>
            <w:tcBorders>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366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5"/>
                <w:szCs w:val="15"/>
                <w:i w:val="1"/>
                <w:iCs w:val="1"/>
                <w:color w:val="auto"/>
              </w:rPr>
              <w:t>* new for 2020</w:t>
            </w:r>
          </w:p>
        </w:tc>
        <w:tc>
          <w:tcPr>
            <w:tcW w:w="1120" w:type="dxa"/>
            <w:vAlign w:val="bottom"/>
          </w:tcPr>
          <w:p>
            <w:pPr>
              <w:spacing w:after="0"/>
              <w:rPr>
                <w:sz w:val="24"/>
                <w:szCs w:val="24"/>
                <w:color w:val="auto"/>
              </w:rPr>
            </w:pPr>
          </w:p>
        </w:tc>
      </w:tr>
      <w:tr>
        <w:trPr>
          <w:trHeight w:val="351"/>
        </w:trPr>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60" w:type="dxa"/>
            <w:vAlign w:val="bottom"/>
          </w:tcPr>
          <w:p>
            <w:pPr>
              <w:ind w:left="2760"/>
              <w:spacing w:after="0"/>
              <w:rPr>
                <w:sz w:val="20"/>
                <w:szCs w:val="20"/>
                <w:color w:val="auto"/>
              </w:rPr>
            </w:pPr>
            <w:r>
              <w:rPr>
                <w:rFonts w:ascii="Arial" w:cs="Arial" w:eastAsia="Arial" w:hAnsi="Arial"/>
                <w:sz w:val="15"/>
                <w:szCs w:val="15"/>
                <w:color w:val="auto"/>
              </w:rPr>
              <w:t>39</w:t>
            </w:r>
          </w:p>
        </w:tc>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8"/>
        </w:trPr>
        <w:tc>
          <w:tcPr>
            <w:tcW w:w="1140" w:type="dxa"/>
            <w:vAlign w:val="bottom"/>
            <w:tcBorders>
              <w:bottom w:val="single" w:sz="8" w:color="808080"/>
            </w:tcBorders>
          </w:tcPr>
          <w:p>
            <w:pPr>
              <w:spacing w:after="0"/>
              <w:rPr>
                <w:sz w:val="16"/>
                <w:szCs w:val="16"/>
                <w:color w:val="auto"/>
              </w:rPr>
            </w:pPr>
          </w:p>
        </w:tc>
        <w:tc>
          <w:tcPr>
            <w:tcW w:w="1660" w:type="dxa"/>
            <w:vAlign w:val="bottom"/>
            <w:tcBorders>
              <w:bottom w:val="single" w:sz="8" w:color="808080"/>
            </w:tcBorders>
          </w:tcPr>
          <w:p>
            <w:pPr>
              <w:spacing w:after="0"/>
              <w:rPr>
                <w:sz w:val="16"/>
                <w:szCs w:val="16"/>
                <w:color w:val="auto"/>
              </w:rPr>
            </w:pPr>
          </w:p>
        </w:tc>
        <w:tc>
          <w:tcPr>
            <w:tcW w:w="3660" w:type="dxa"/>
            <w:vAlign w:val="bottom"/>
            <w:tcBorders>
              <w:bottom w:val="single" w:sz="8" w:color="808080"/>
            </w:tcBorders>
          </w:tcPr>
          <w:p>
            <w:pPr>
              <w:spacing w:after="0"/>
              <w:rPr>
                <w:sz w:val="16"/>
                <w:szCs w:val="16"/>
                <w:color w:val="auto"/>
              </w:rPr>
            </w:pPr>
          </w:p>
        </w:tc>
        <w:tc>
          <w:tcPr>
            <w:tcW w:w="368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-12700</wp:posOffset>
            </wp:positionV>
            <wp:extent cx="1270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5" w:name="page46"/>
    <w:bookmarkEnd w:id="4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9"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4"/>
          <w:szCs w:val="14"/>
          <w:color w:val="auto"/>
        </w:rPr>
        <w:t>In determining pay decisions for 2019 and 2020, Willis Towers Watson utilized the most recent survey data and proxy data available, collecting from each data source each of the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percentiles for the assessed pay elements as additional points of reference for the compensation committee. The compensation committee relied on these data sources to assist in setting base salaries, target bonus percentages, target total cash compensation, long-term incentive award guidelines and target total direct compensation.</w:t>
      </w:r>
    </w:p>
    <w:p>
      <w:pPr>
        <w:spacing w:after="0" w:line="152" w:lineRule="exact"/>
        <w:rPr>
          <w:sz w:val="20"/>
          <w:szCs w:val="20"/>
          <w:color w:val="auto"/>
        </w:rPr>
      </w:pPr>
    </w:p>
    <w:p>
      <w:pPr>
        <w:jc w:val="both"/>
        <w:ind w:firstLine="358"/>
        <w:spacing w:after="0" w:line="299" w:lineRule="auto"/>
        <w:rPr>
          <w:sz w:val="20"/>
          <w:szCs w:val="20"/>
          <w:color w:val="auto"/>
        </w:rPr>
      </w:pPr>
      <w:r>
        <w:rPr>
          <w:rFonts w:ascii="Arial" w:cs="Arial" w:eastAsia="Arial" w:hAnsi="Arial"/>
          <w:sz w:val="13"/>
          <w:szCs w:val="13"/>
          <w:i w:val="1"/>
          <w:iCs w:val="1"/>
          <w:color w:val="auto"/>
        </w:rPr>
        <w:t xml:space="preserve">Executive Chairman Compensation Decisions. </w:t>
      </w:r>
      <w:r>
        <w:rPr>
          <w:rFonts w:ascii="Arial" w:cs="Arial" w:eastAsia="Arial" w:hAnsi="Arial"/>
          <w:sz w:val="13"/>
          <w:szCs w:val="13"/>
          <w:color w:val="auto"/>
        </w:rPr>
        <w:t>In making its compensation decisions for the executive chairman, the compensation committee historically reviewed market data of a</w:t>
      </w:r>
      <w:r>
        <w:rPr>
          <w:rFonts w:ascii="Arial" w:cs="Arial" w:eastAsia="Arial" w:hAnsi="Arial"/>
          <w:sz w:val="13"/>
          <w:szCs w:val="13"/>
          <w:i w:val="1"/>
          <w:iCs w:val="1"/>
          <w:color w:val="auto"/>
        </w:rPr>
        <w:t xml:space="preserve"> </w:t>
      </w:r>
      <w:r>
        <w:rPr>
          <w:rFonts w:ascii="Arial" w:cs="Arial" w:eastAsia="Arial" w:hAnsi="Arial"/>
          <w:sz w:val="13"/>
          <w:szCs w:val="13"/>
          <w:color w:val="auto"/>
        </w:rPr>
        <w:t>broad range of similarly-sized companies from various industries with an executive chairman role. However, that data demonstrated that companies often use very different approaches in determining compensation for the executive chairman position based on company-specific circumstances, which leads to divergent compensation practices across the reference group of companies. Moreover, maintaining a consistent sample of executive chairman compensation data for similarly-sized companies has been challenging. Accordingly, in 2015, the compensation committee determined that it would consider internal parity within the executive team and competitive market data summaries for comparable roles when determining appropriate pay recommendations for the executive chairman, in addition to considering factors such as level of involvement, scope of responsibilities, founder status, equity held and tenure, which had been historically considered. The compensation committee has continued to follow the same procedure in setting compensation for our executive chairman in 2019 and 2020.</w:t>
      </w:r>
    </w:p>
    <w:p>
      <w:pPr>
        <w:spacing w:after="0" w:line="139" w:lineRule="exact"/>
        <w:rPr>
          <w:sz w:val="20"/>
          <w:szCs w:val="20"/>
          <w:color w:val="auto"/>
        </w:rPr>
      </w:pPr>
    </w:p>
    <w:p>
      <w:pPr>
        <w:jc w:val="both"/>
        <w:ind w:firstLine="340"/>
        <w:spacing w:after="0" w:line="270" w:lineRule="auto"/>
        <w:rPr>
          <w:sz w:val="20"/>
          <w:szCs w:val="20"/>
          <w:color w:val="auto"/>
        </w:rPr>
      </w:pPr>
      <w:r>
        <w:rPr>
          <w:rFonts w:ascii="Arial" w:cs="Arial" w:eastAsia="Arial" w:hAnsi="Arial"/>
          <w:sz w:val="15"/>
          <w:szCs w:val="15"/>
          <w:i w:val="1"/>
          <w:iCs w:val="1"/>
          <w:color w:val="auto"/>
        </w:rPr>
        <w:t xml:space="preserve">The equity compensation program should align executive interests with those of stockholders. </w:t>
      </w:r>
      <w:r>
        <w:rPr>
          <w:rFonts w:ascii="Arial" w:cs="Arial" w:eastAsia="Arial" w:hAnsi="Arial"/>
          <w:sz w:val="15"/>
          <w:szCs w:val="15"/>
          <w:color w:val="auto"/>
        </w:rPr>
        <w:t>We believe annual equity awards align the compensation opportunity for our executives</w:t>
      </w:r>
      <w:r>
        <w:rPr>
          <w:rFonts w:ascii="Arial" w:cs="Arial" w:eastAsia="Arial" w:hAnsi="Arial"/>
          <w:sz w:val="15"/>
          <w:szCs w:val="15"/>
          <w:i w:val="1"/>
          <w:iCs w:val="1"/>
          <w:color w:val="auto"/>
        </w:rPr>
        <w:t xml:space="preserve"> </w:t>
      </w:r>
      <w:r>
        <w:rPr>
          <w:rFonts w:ascii="Arial" w:cs="Arial" w:eastAsia="Arial" w:hAnsi="Arial"/>
          <w:sz w:val="15"/>
          <w:szCs w:val="15"/>
          <w:color w:val="auto"/>
        </w:rPr>
        <w:t>with stockholder value creation and encourage participants to focus on long-term company performance.</w:t>
      </w:r>
    </w:p>
    <w:p>
      <w:pPr>
        <w:spacing w:after="0" w:line="153" w:lineRule="exact"/>
        <w:rPr>
          <w:sz w:val="20"/>
          <w:szCs w:val="20"/>
          <w:color w:val="auto"/>
        </w:rPr>
      </w:pPr>
    </w:p>
    <w:p>
      <w:pPr>
        <w:jc w:val="both"/>
        <w:ind w:firstLine="301"/>
        <w:spacing w:after="0" w:line="270" w:lineRule="auto"/>
        <w:rPr>
          <w:sz w:val="20"/>
          <w:szCs w:val="20"/>
          <w:color w:val="auto"/>
        </w:rPr>
      </w:pPr>
      <w:r>
        <w:rPr>
          <w:rFonts w:ascii="Arial" w:cs="Arial" w:eastAsia="Arial" w:hAnsi="Arial"/>
          <w:sz w:val="15"/>
          <w:szCs w:val="15"/>
          <w:color w:val="auto"/>
        </w:rPr>
        <w:t>We grant a mix of PSUs, stock options and RSUs, except for our executive chairman who receives a mix of stock options and RSUs. Our mix of long-term equity vehicles is shown in the following charts.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101600</wp:posOffset>
            </wp:positionV>
            <wp:extent cx="1187450" cy="1080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87450" cy="108013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101600</wp:posOffset>
            </wp:positionV>
            <wp:extent cx="1488440" cy="1080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8844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320"/>
        <w:spacing w:after="0" w:line="260" w:lineRule="auto"/>
        <w:rPr>
          <w:sz w:val="20"/>
          <w:szCs w:val="20"/>
          <w:color w:val="auto"/>
        </w:rPr>
      </w:pPr>
      <w:r>
        <w:rPr>
          <w:rFonts w:ascii="Arial" w:cs="Arial" w:eastAsia="Arial" w:hAnsi="Arial"/>
          <w:sz w:val="15"/>
          <w:szCs w:val="15"/>
          <w:color w:val="auto"/>
        </w:rPr>
        <w:t>Beginning in 2017, we added PSUs to our equity compensation program, a practice we have continued to date. The PSUs weight a portion of annual equity grants on long-term financial performance, in addition to value creation through stock price growth. If a threshold level of finance performance is achieved, PSUs result in the issuance of common shares to the participant according to the below table:</w:t>
      </w:r>
    </w:p>
    <w:p>
      <w:pPr>
        <w:spacing w:after="0" w:line="272" w:lineRule="exact"/>
        <w:rPr>
          <w:sz w:val="20"/>
          <w:szCs w:val="20"/>
          <w:color w:val="auto"/>
        </w:rPr>
      </w:pPr>
    </w:p>
    <w:tbl>
      <w:tblPr>
        <w:tblLayout w:type="fixed"/>
        <w:tblInd w:w="1690" w:type="dxa"/>
        <w:tblCellMar>
          <w:top w:w="0" w:type="dxa"/>
          <w:left w:w="0" w:type="dxa"/>
          <w:bottom w:w="0" w:type="dxa"/>
          <w:right w:w="0" w:type="dxa"/>
        </w:tblCellMar>
      </w:tblPr>
      <w:tr>
        <w:trPr>
          <w:trHeight w:val="192"/>
        </w:trPr>
        <w:tc>
          <w:tcPr>
            <w:tcW w:w="248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1"/>
                <w:szCs w:val="11"/>
                <w:b w:val="1"/>
                <w:bCs w:val="1"/>
                <w:color w:val="auto"/>
              </w:rPr>
              <w:t>Performance Level</w:t>
            </w:r>
          </w:p>
        </w:tc>
        <w:tc>
          <w:tcPr>
            <w:tcW w:w="5420" w:type="dxa"/>
            <w:vAlign w:val="bottom"/>
            <w:tcBorders>
              <w:top w:val="single" w:sz="8" w:color="auto"/>
              <w:bottom w:val="single" w:sz="8" w:color="auto"/>
              <w:right w:val="single" w:sz="8" w:color="auto"/>
            </w:tcBorders>
          </w:tcPr>
          <w:p>
            <w:pPr>
              <w:jc w:val="right"/>
              <w:ind w:right="1450"/>
              <w:spacing w:after="0" w:line="192" w:lineRule="exact"/>
              <w:rPr>
                <w:sz w:val="20"/>
                <w:szCs w:val="20"/>
                <w:color w:val="auto"/>
              </w:rPr>
            </w:pPr>
            <w:r>
              <w:rPr>
                <w:rFonts w:ascii="Arial" w:cs="Arial" w:eastAsia="Arial" w:hAnsi="Arial"/>
                <w:sz w:val="11"/>
                <w:szCs w:val="11"/>
                <w:b w:val="1"/>
                <w:bCs w:val="1"/>
                <w:color w:val="auto"/>
              </w:rPr>
              <w:t>Number of Shares Issued as % of PSUs Granted</w:t>
            </w:r>
            <w:r>
              <w:rPr>
                <w:rFonts w:ascii="Arial" w:cs="Arial" w:eastAsia="Arial" w:hAnsi="Arial"/>
                <w:sz w:val="18"/>
                <w:szCs w:val="18"/>
                <w:b w:val="1"/>
                <w:bCs w:val="1"/>
                <w:color w:val="auto"/>
                <w:vertAlign w:val="superscript"/>
              </w:rPr>
              <w:t>(1)</w:t>
            </w:r>
          </w:p>
        </w:tc>
      </w:tr>
      <w:tr>
        <w:trPr>
          <w:trHeight w:val="172"/>
        </w:trPr>
        <w:tc>
          <w:tcPr>
            <w:tcW w:w="24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Below threshold</w:t>
            </w:r>
          </w:p>
        </w:tc>
        <w:tc>
          <w:tcPr>
            <w:tcW w:w="54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5"/>
                <w:szCs w:val="15"/>
                <w:color w:val="auto"/>
              </w:rPr>
              <w:t>0%</w:t>
            </w:r>
          </w:p>
        </w:tc>
      </w:tr>
      <w:tr>
        <w:trPr>
          <w:trHeight w:val="172"/>
        </w:trPr>
        <w:tc>
          <w:tcPr>
            <w:tcW w:w="24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Threshold</w:t>
            </w:r>
          </w:p>
        </w:tc>
        <w:tc>
          <w:tcPr>
            <w:tcW w:w="54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5"/>
                <w:szCs w:val="15"/>
                <w:color w:val="auto"/>
              </w:rPr>
              <w:t>50%</w:t>
            </w:r>
          </w:p>
        </w:tc>
      </w:tr>
      <w:tr>
        <w:trPr>
          <w:trHeight w:val="172"/>
        </w:trPr>
        <w:tc>
          <w:tcPr>
            <w:tcW w:w="24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Target</w:t>
            </w:r>
          </w:p>
        </w:tc>
        <w:tc>
          <w:tcPr>
            <w:tcW w:w="54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5"/>
                <w:szCs w:val="15"/>
                <w:color w:val="auto"/>
              </w:rPr>
              <w:t>100%</w:t>
            </w:r>
          </w:p>
        </w:tc>
      </w:tr>
      <w:tr>
        <w:trPr>
          <w:trHeight w:val="172"/>
        </w:trPr>
        <w:tc>
          <w:tcPr>
            <w:tcW w:w="248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Maximum</w:t>
            </w:r>
          </w:p>
        </w:tc>
        <w:tc>
          <w:tcPr>
            <w:tcW w:w="542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5"/>
                <w:szCs w:val="15"/>
                <w:color w:val="auto"/>
              </w:rPr>
              <w:t>150%</w:t>
            </w:r>
          </w:p>
        </w:tc>
      </w:tr>
    </w:tbl>
    <w:p>
      <w:pPr>
        <w:spacing w:after="0" w:line="184" w:lineRule="exact"/>
        <w:rPr>
          <w:sz w:val="20"/>
          <w:szCs w:val="20"/>
          <w:color w:val="auto"/>
        </w:rPr>
      </w:pPr>
    </w:p>
    <w:p>
      <w:pPr>
        <w:ind w:left="5560" w:right="960" w:hanging="3880"/>
        <w:spacing w:after="0" w:line="521" w:lineRule="auto"/>
        <w:tabs>
          <w:tab w:leader="none" w:pos="21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Straight line interpolation is used to determine the number of shares issued between the threshold, target and maximum performance levels.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7160260"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6" w:name="page47"/>
    <w:bookmarkEnd w:id="4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62"/>
        <w:spacing w:after="0" w:line="319" w:lineRule="auto"/>
        <w:rPr>
          <w:sz w:val="20"/>
          <w:szCs w:val="20"/>
          <w:color w:val="auto"/>
        </w:rPr>
      </w:pPr>
      <w:r>
        <w:rPr>
          <w:rFonts w:ascii="Arial" w:cs="Arial" w:eastAsia="Arial" w:hAnsi="Arial"/>
          <w:sz w:val="13"/>
          <w:szCs w:val="13"/>
          <w:color w:val="auto"/>
        </w:rPr>
        <w:t>To receive a share issuance, participants must meet the continued service requirements, which include either active employment or continued service as consultant on the date that the compensation committee certifies performance after completion of the performance period. Also, any dividend equivalent payments associated with PSUs are only paid after completion of the performance period and only commensurate with the attainment of the performance goals. No dividend equivalents are paid if the threshold performance goal is not satisfied.</w:t>
      </w:r>
    </w:p>
    <w:p>
      <w:pPr>
        <w:spacing w:after="0" w:line="125" w:lineRule="exact"/>
        <w:rPr>
          <w:sz w:val="20"/>
          <w:szCs w:val="20"/>
          <w:color w:val="auto"/>
        </w:rPr>
      </w:pPr>
    </w:p>
    <w:p>
      <w:pPr>
        <w:jc w:val="both"/>
        <w:ind w:firstLine="361"/>
        <w:spacing w:after="0" w:line="260" w:lineRule="auto"/>
        <w:rPr>
          <w:sz w:val="20"/>
          <w:szCs w:val="20"/>
          <w:color w:val="auto"/>
        </w:rPr>
      </w:pPr>
      <w:r>
        <w:rPr>
          <w:rFonts w:ascii="Arial" w:cs="Arial" w:eastAsia="Arial" w:hAnsi="Arial"/>
          <w:sz w:val="15"/>
          <w:szCs w:val="15"/>
          <w:color w:val="auto"/>
        </w:rPr>
        <w:t>For the 2017 to 2019 performance period, the following table reports the final share issuance for grant recipients (Messrs. Lindahl and Saran were not named executive officers of the company at the time of the 2017-2019 PSU grant). The number of shares issued is based on the company's Adjusted Net Income as a percentage of GAAP revenue performance of 13.8%, which represented 86.3% of the 16.0% target goal.</w:t>
      </w:r>
    </w:p>
    <w:p>
      <w:pPr>
        <w:spacing w:after="0" w:line="148" w:lineRule="exact"/>
        <w:rPr>
          <w:sz w:val="20"/>
          <w:szCs w:val="20"/>
          <w:color w:val="auto"/>
        </w:rPr>
      </w:pPr>
    </w:p>
    <w:tbl>
      <w:tblPr>
        <w:tblLayout w:type="fixed"/>
        <w:tblInd w:w="1690" w:type="dxa"/>
        <w:tblCellMar>
          <w:top w:w="0" w:type="dxa"/>
          <w:left w:w="0" w:type="dxa"/>
          <w:bottom w:w="0" w:type="dxa"/>
          <w:right w:w="0" w:type="dxa"/>
        </w:tblCellMar>
      </w:tblPr>
      <w:tr>
        <w:trPr>
          <w:trHeight w:val="192"/>
        </w:trPr>
        <w:tc>
          <w:tcPr>
            <w:tcW w:w="3600" w:type="dxa"/>
            <w:vAlign w:val="bottom"/>
            <w:tcBorders>
              <w:top w:val="single" w:sz="8" w:color="auto"/>
              <w:left w:val="single" w:sz="8" w:color="auto"/>
              <w:right w:val="single" w:sz="8" w:color="auto"/>
            </w:tcBorders>
          </w:tcPr>
          <w:p>
            <w:pPr>
              <w:spacing w:after="0"/>
              <w:rPr>
                <w:sz w:val="16"/>
                <w:szCs w:val="16"/>
                <w:color w:val="auto"/>
              </w:rPr>
            </w:pPr>
          </w:p>
        </w:tc>
        <w:tc>
          <w:tcPr>
            <w:tcW w:w="1360" w:type="dxa"/>
            <w:vAlign w:val="bottom"/>
            <w:tcBorders>
              <w:top w:val="single" w:sz="8" w:color="auto"/>
              <w:bottom w:val="single" w:sz="8" w:color="auto"/>
              <w:right w:val="single" w:sz="8" w:color="auto"/>
            </w:tcBorders>
            <w:vMerge w:val="restart"/>
          </w:tcPr>
          <w:p>
            <w:pPr>
              <w:jc w:val="center"/>
              <w:ind w:right="15"/>
              <w:spacing w:after="0"/>
              <w:rPr>
                <w:sz w:val="20"/>
                <w:szCs w:val="20"/>
                <w:color w:val="auto"/>
              </w:rPr>
            </w:pPr>
            <w:r>
              <w:rPr>
                <w:rFonts w:ascii="Arial" w:cs="Arial" w:eastAsia="Arial" w:hAnsi="Arial"/>
                <w:sz w:val="11"/>
                <w:szCs w:val="11"/>
                <w:b w:val="1"/>
                <w:bCs w:val="1"/>
                <w:color w:val="auto"/>
                <w:w w:val="92"/>
              </w:rPr>
              <w:t>Number of PSUs</w:t>
            </w:r>
          </w:p>
        </w:tc>
        <w:tc>
          <w:tcPr>
            <w:tcW w:w="2940" w:type="dxa"/>
            <w:vAlign w:val="bottom"/>
            <w:tcBorders>
              <w:top w:val="single" w:sz="8" w:color="auto"/>
              <w:bottom w:val="single" w:sz="8" w:color="auto"/>
              <w:right w:val="single" w:sz="8" w:color="auto"/>
            </w:tcBorders>
            <w:gridSpan w:val="2"/>
          </w:tcPr>
          <w:p>
            <w:pPr>
              <w:jc w:val="right"/>
              <w:ind w:right="774"/>
              <w:spacing w:after="0"/>
              <w:rPr>
                <w:sz w:val="20"/>
                <w:szCs w:val="20"/>
                <w:color w:val="auto"/>
              </w:rPr>
            </w:pPr>
            <w:r>
              <w:rPr>
                <w:rFonts w:ascii="Arial" w:cs="Arial" w:eastAsia="Arial" w:hAnsi="Arial"/>
                <w:sz w:val="11"/>
                <w:szCs w:val="11"/>
                <w:b w:val="1"/>
                <w:bCs w:val="1"/>
                <w:color w:val="auto"/>
              </w:rPr>
              <w:t>Shares Issued Under Award</w:t>
            </w:r>
          </w:p>
        </w:tc>
        <w:tc>
          <w:tcPr>
            <w:tcW w:w="0" w:type="dxa"/>
            <w:vAlign w:val="bottom"/>
          </w:tcPr>
          <w:p>
            <w:pPr>
              <w:spacing w:after="0"/>
              <w:rPr>
                <w:sz w:val="1"/>
                <w:szCs w:val="1"/>
                <w:color w:val="auto"/>
              </w:rPr>
            </w:pPr>
          </w:p>
        </w:tc>
      </w:tr>
      <w:tr>
        <w:trPr>
          <w:trHeight w:val="104"/>
        </w:trPr>
        <w:tc>
          <w:tcPr>
            <w:tcW w:w="3600" w:type="dxa"/>
            <w:vAlign w:val="bottom"/>
            <w:tcBorders>
              <w:left w:val="single" w:sz="8" w:color="auto"/>
              <w:right w:val="single" w:sz="8" w:color="auto"/>
            </w:tcBorders>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600" w:type="dxa"/>
            <w:vAlign w:val="bottom"/>
            <w:tcBorders>
              <w:left w:val="single" w:sz="8" w:color="auto"/>
              <w:right w:val="single" w:sz="8" w:color="auto"/>
            </w:tcBorders>
          </w:tcPr>
          <w:p>
            <w:pPr>
              <w:spacing w:after="0"/>
              <w:rPr>
                <w:sz w:val="10"/>
                <w:szCs w:val="10"/>
                <w:color w:val="auto"/>
              </w:rPr>
            </w:pPr>
          </w:p>
        </w:tc>
        <w:tc>
          <w:tcPr>
            <w:tcW w:w="1360" w:type="dxa"/>
            <w:vAlign w:val="bottom"/>
            <w:tcBorders>
              <w:right w:val="single" w:sz="8" w:color="auto"/>
            </w:tcBorders>
          </w:tcPr>
          <w:p>
            <w:pPr>
              <w:jc w:val="center"/>
              <w:ind w:right="15"/>
              <w:spacing w:after="0" w:line="124" w:lineRule="exact"/>
              <w:rPr>
                <w:sz w:val="20"/>
                <w:szCs w:val="20"/>
                <w:color w:val="auto"/>
              </w:rPr>
            </w:pPr>
            <w:r>
              <w:rPr>
                <w:rFonts w:ascii="Arial" w:cs="Arial" w:eastAsia="Arial" w:hAnsi="Arial"/>
                <w:sz w:val="11"/>
                <w:szCs w:val="11"/>
                <w:b w:val="1"/>
                <w:bCs w:val="1"/>
                <w:color w:val="auto"/>
                <w:w w:val="94"/>
              </w:rPr>
              <w:t>Originally</w:t>
            </w:r>
          </w:p>
        </w:tc>
        <w:tc>
          <w:tcPr>
            <w:tcW w:w="1460" w:type="dxa"/>
            <w:vAlign w:val="bottom"/>
            <w:tcBorders>
              <w:right w:val="single" w:sz="8" w:color="auto"/>
            </w:tcBorders>
          </w:tcPr>
          <w:p>
            <w:pPr>
              <w:jc w:val="right"/>
              <w:ind w:right="255"/>
              <w:spacing w:after="0" w:line="124" w:lineRule="exact"/>
              <w:rPr>
                <w:sz w:val="20"/>
                <w:szCs w:val="20"/>
                <w:color w:val="auto"/>
              </w:rPr>
            </w:pPr>
            <w:r>
              <w:rPr>
                <w:rFonts w:ascii="Arial" w:cs="Arial" w:eastAsia="Arial" w:hAnsi="Arial"/>
                <w:sz w:val="11"/>
                <w:szCs w:val="11"/>
                <w:b w:val="1"/>
                <w:bCs w:val="1"/>
                <w:color w:val="auto"/>
              </w:rPr>
              <w:t>Number of Shares</w:t>
            </w:r>
          </w:p>
        </w:tc>
        <w:tc>
          <w:tcPr>
            <w:tcW w:w="1480" w:type="dxa"/>
            <w:vAlign w:val="bottom"/>
            <w:tcBorders>
              <w:right w:val="single" w:sz="8" w:color="auto"/>
            </w:tcBorders>
          </w:tcPr>
          <w:p>
            <w:pPr>
              <w:jc w:val="right"/>
              <w:ind w:right="454"/>
              <w:spacing w:after="0" w:line="124" w:lineRule="exact"/>
              <w:rPr>
                <w:sz w:val="20"/>
                <w:szCs w:val="20"/>
                <w:color w:val="auto"/>
              </w:rPr>
            </w:pPr>
            <w:r>
              <w:rPr>
                <w:rFonts w:ascii="Arial" w:cs="Arial" w:eastAsia="Arial" w:hAnsi="Arial"/>
                <w:sz w:val="11"/>
                <w:szCs w:val="11"/>
                <w:b w:val="1"/>
                <w:bCs w:val="1"/>
                <w:color w:val="auto"/>
              </w:rPr>
              <w:t>% of PSUs</w:t>
            </w:r>
          </w:p>
        </w:tc>
        <w:tc>
          <w:tcPr>
            <w:tcW w:w="0" w:type="dxa"/>
            <w:vAlign w:val="bottom"/>
          </w:tcPr>
          <w:p>
            <w:pPr>
              <w:spacing w:after="0"/>
              <w:rPr>
                <w:sz w:val="1"/>
                <w:szCs w:val="1"/>
                <w:color w:val="auto"/>
              </w:rPr>
            </w:pPr>
          </w:p>
        </w:tc>
      </w:tr>
      <w:tr>
        <w:trPr>
          <w:trHeight w:val="135"/>
        </w:trPr>
        <w:tc>
          <w:tcPr>
            <w:tcW w:w="3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1"/>
                <w:szCs w:val="11"/>
                <w:b w:val="1"/>
                <w:bCs w:val="1"/>
                <w:color w:val="auto"/>
              </w:rPr>
              <w:t>Grant Recipient</w:t>
            </w:r>
          </w:p>
        </w:tc>
        <w:tc>
          <w:tcPr>
            <w:tcW w:w="1360" w:type="dxa"/>
            <w:vAlign w:val="bottom"/>
            <w:tcBorders>
              <w:bottom w:val="single" w:sz="8" w:color="auto"/>
              <w:right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94"/>
              </w:rPr>
              <w:t>Granted</w:t>
            </w:r>
          </w:p>
        </w:tc>
        <w:tc>
          <w:tcPr>
            <w:tcW w:w="1460" w:type="dxa"/>
            <w:vAlign w:val="bottom"/>
            <w:tcBorders>
              <w:bottom w:val="single" w:sz="8" w:color="auto"/>
              <w:right w:val="single" w:sz="8" w:color="auto"/>
            </w:tcBorders>
          </w:tcPr>
          <w:p>
            <w:pPr>
              <w:jc w:val="right"/>
              <w:ind w:right="295"/>
              <w:spacing w:after="0"/>
              <w:rPr>
                <w:sz w:val="20"/>
                <w:szCs w:val="20"/>
                <w:color w:val="auto"/>
              </w:rPr>
            </w:pPr>
            <w:r>
              <w:rPr>
                <w:rFonts w:ascii="Arial" w:cs="Arial" w:eastAsia="Arial" w:hAnsi="Arial"/>
                <w:sz w:val="11"/>
                <w:szCs w:val="11"/>
                <w:b w:val="1"/>
                <w:bCs w:val="1"/>
                <w:color w:val="auto"/>
              </w:rPr>
              <w:t>Issued (Pre-Tax)</w:t>
            </w:r>
          </w:p>
        </w:tc>
        <w:tc>
          <w:tcPr>
            <w:tcW w:w="1480" w:type="dxa"/>
            <w:vAlign w:val="bottom"/>
            <w:tcBorders>
              <w:bottom w:val="single" w:sz="8" w:color="auto"/>
              <w:right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Originally Granted</w:t>
            </w:r>
          </w:p>
        </w:tc>
        <w:tc>
          <w:tcPr>
            <w:tcW w:w="0" w:type="dxa"/>
            <w:vAlign w:val="bottom"/>
          </w:tcPr>
          <w:p>
            <w:pPr>
              <w:spacing w:after="0"/>
              <w:rPr>
                <w:sz w:val="1"/>
                <w:szCs w:val="1"/>
                <w:color w:val="auto"/>
              </w:rPr>
            </w:pPr>
          </w:p>
        </w:tc>
      </w:tr>
      <w:tr>
        <w:trPr>
          <w:trHeight w:val="172"/>
        </w:trPr>
        <w:tc>
          <w:tcPr>
            <w:tcW w:w="3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Robert G. Kramer</w:t>
            </w:r>
          </w:p>
        </w:tc>
        <w:tc>
          <w:tcPr>
            <w:tcW w:w="13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5"/>
                <w:szCs w:val="15"/>
                <w:color w:val="auto"/>
              </w:rPr>
              <w:t>8,162</w:t>
            </w:r>
          </w:p>
        </w:tc>
        <w:tc>
          <w:tcPr>
            <w:tcW w:w="14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5"/>
                <w:szCs w:val="15"/>
                <w:color w:val="auto"/>
              </w:rPr>
              <w:t>5,169</w:t>
            </w:r>
          </w:p>
        </w:tc>
        <w:tc>
          <w:tcPr>
            <w:tcW w:w="148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172"/>
        </w:trPr>
        <w:tc>
          <w:tcPr>
            <w:tcW w:w="3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Adam Havey</w:t>
            </w:r>
          </w:p>
        </w:tc>
        <w:tc>
          <w:tcPr>
            <w:tcW w:w="13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5"/>
                <w:szCs w:val="15"/>
                <w:color w:val="auto"/>
              </w:rPr>
              <w:t>4,285</w:t>
            </w:r>
          </w:p>
        </w:tc>
        <w:tc>
          <w:tcPr>
            <w:tcW w:w="14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5"/>
                <w:szCs w:val="15"/>
                <w:color w:val="auto"/>
              </w:rPr>
              <w:t>2,714</w:t>
            </w:r>
          </w:p>
        </w:tc>
        <w:tc>
          <w:tcPr>
            <w:tcW w:w="148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r>
        <w:trPr>
          <w:trHeight w:val="172"/>
        </w:trPr>
        <w:tc>
          <w:tcPr>
            <w:tcW w:w="360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5"/>
                <w:szCs w:val="15"/>
                <w:color w:val="auto"/>
              </w:rPr>
              <w:t>Daniel J. Abdun-Nabi</w:t>
            </w:r>
          </w:p>
        </w:tc>
        <w:tc>
          <w:tcPr>
            <w:tcW w:w="13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5"/>
                <w:szCs w:val="15"/>
                <w:color w:val="auto"/>
              </w:rPr>
              <w:t>19,589</w:t>
            </w:r>
          </w:p>
        </w:tc>
        <w:tc>
          <w:tcPr>
            <w:tcW w:w="14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5"/>
                <w:szCs w:val="15"/>
                <w:color w:val="auto"/>
              </w:rPr>
              <w:t>12,406</w:t>
            </w:r>
          </w:p>
        </w:tc>
        <w:tc>
          <w:tcPr>
            <w:tcW w:w="148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5"/>
                <w:szCs w:val="15"/>
                <w:color w:val="auto"/>
              </w:rPr>
              <w:t>63.3%</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5"/>
        <w:spacing w:after="0" w:line="270" w:lineRule="auto"/>
        <w:rPr>
          <w:sz w:val="20"/>
          <w:szCs w:val="20"/>
          <w:color w:val="auto"/>
        </w:rPr>
      </w:pPr>
      <w:r>
        <w:rPr>
          <w:rFonts w:ascii="Arial" w:cs="Arial" w:eastAsia="Arial" w:hAnsi="Arial"/>
          <w:sz w:val="15"/>
          <w:szCs w:val="15"/>
          <w:color w:val="auto"/>
        </w:rPr>
        <w:t>Below is a listing of the outstanding and unvested PSUs granted in 2018 and 2019, the recipients who received the awards, the performance period covered and the performance measure that will be used to determine whether the associated performance goal has been achieved following the end of each performance period.</w:t>
      </w:r>
    </w:p>
    <w:p>
      <w:pPr>
        <w:spacing w:after="0" w:line="264" w:lineRule="exact"/>
        <w:rPr>
          <w:sz w:val="20"/>
          <w:szCs w:val="20"/>
          <w:color w:val="auto"/>
        </w:rPr>
      </w:pPr>
    </w:p>
    <w:tbl>
      <w:tblPr>
        <w:tblLayout w:type="fixed"/>
        <w:tblInd w:w="1690" w:type="dxa"/>
        <w:tblCellMar>
          <w:top w:w="0" w:type="dxa"/>
          <w:left w:w="0" w:type="dxa"/>
          <w:bottom w:w="0" w:type="dxa"/>
          <w:right w:w="0" w:type="dxa"/>
        </w:tblCellMar>
      </w:tblPr>
      <w:tr>
        <w:trPr>
          <w:trHeight w:val="158"/>
        </w:trPr>
        <w:tc>
          <w:tcPr>
            <w:tcW w:w="240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1"/>
                <w:szCs w:val="11"/>
                <w:b w:val="1"/>
                <w:bCs w:val="1"/>
                <w:color w:val="auto"/>
              </w:rPr>
              <w:t>Grant Recipients</w:t>
            </w:r>
          </w:p>
        </w:tc>
        <w:tc>
          <w:tcPr>
            <w:tcW w:w="154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11"/>
                <w:szCs w:val="11"/>
                <w:b w:val="1"/>
                <w:bCs w:val="1"/>
                <w:color w:val="auto"/>
              </w:rPr>
              <w:t>Date of Award</w:t>
            </w:r>
          </w:p>
        </w:tc>
        <w:tc>
          <w:tcPr>
            <w:tcW w:w="186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1"/>
                <w:szCs w:val="11"/>
                <w:b w:val="1"/>
                <w:bCs w:val="1"/>
                <w:color w:val="auto"/>
              </w:rPr>
              <w:t>Performance Period</w:t>
            </w:r>
          </w:p>
        </w:tc>
        <w:tc>
          <w:tcPr>
            <w:tcW w:w="21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1"/>
                <w:szCs w:val="11"/>
                <w:b w:val="1"/>
                <w:bCs w:val="1"/>
                <w:color w:val="auto"/>
              </w:rPr>
              <w:t>Performance Measure</w:t>
            </w:r>
          </w:p>
        </w:tc>
        <w:tc>
          <w:tcPr>
            <w:tcW w:w="0" w:type="dxa"/>
            <w:vAlign w:val="bottom"/>
          </w:tcPr>
          <w:p>
            <w:pPr>
              <w:spacing w:after="0"/>
              <w:rPr>
                <w:sz w:val="1"/>
                <w:szCs w:val="1"/>
                <w:color w:val="auto"/>
              </w:rPr>
            </w:pPr>
          </w:p>
        </w:tc>
      </w:tr>
      <w:tr>
        <w:trPr>
          <w:trHeight w:val="34"/>
        </w:trPr>
        <w:tc>
          <w:tcPr>
            <w:tcW w:w="2400" w:type="dxa"/>
            <w:vAlign w:val="bottom"/>
            <w:tcBorders>
              <w:left w:val="single" w:sz="8" w:color="auto"/>
              <w:bottom w:val="single" w:sz="8" w:color="auto"/>
              <w:right w:val="single" w:sz="8" w:color="auto"/>
            </w:tcBorders>
            <w:vMerge w:val="continue"/>
          </w:tcPr>
          <w:p>
            <w:pPr>
              <w:spacing w:after="0"/>
              <w:rPr>
                <w:sz w:val="2"/>
                <w:szCs w:val="2"/>
                <w:color w:val="auto"/>
              </w:rPr>
            </w:pPr>
          </w:p>
        </w:tc>
        <w:tc>
          <w:tcPr>
            <w:tcW w:w="1540" w:type="dxa"/>
            <w:vAlign w:val="bottom"/>
            <w:tcBorders>
              <w:bottom w:val="single" w:sz="8" w:color="auto"/>
              <w:right w:val="single" w:sz="8" w:color="auto"/>
            </w:tcBorders>
            <w:vMerge w:val="continue"/>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400" w:type="dxa"/>
            <w:vAlign w:val="bottom"/>
            <w:tcBorders>
              <w:left w:val="single" w:sz="8" w:color="auto"/>
              <w:right w:val="single" w:sz="8" w:color="auto"/>
            </w:tcBorders>
          </w:tcPr>
          <w:p>
            <w:pPr>
              <w:ind w:left="460"/>
              <w:spacing w:after="0" w:line="164" w:lineRule="exact"/>
              <w:rPr>
                <w:sz w:val="20"/>
                <w:szCs w:val="20"/>
                <w:color w:val="auto"/>
              </w:rPr>
            </w:pPr>
            <w:r>
              <w:rPr>
                <w:rFonts w:ascii="Arial" w:cs="Arial" w:eastAsia="Arial" w:hAnsi="Arial"/>
                <w:sz w:val="15"/>
                <w:szCs w:val="15"/>
                <w:color w:val="auto"/>
              </w:rPr>
              <w:t>Messrs. Abdun-Nabi,</w:t>
            </w:r>
          </w:p>
        </w:tc>
        <w:tc>
          <w:tcPr>
            <w:tcW w:w="1540" w:type="dxa"/>
            <w:vAlign w:val="bottom"/>
            <w:tcBorders>
              <w:right w:val="single" w:sz="8" w:color="auto"/>
            </w:tcBorders>
          </w:tcPr>
          <w:p>
            <w:pPr>
              <w:ind w:left="140"/>
              <w:spacing w:after="0" w:line="164" w:lineRule="exact"/>
              <w:rPr>
                <w:sz w:val="20"/>
                <w:szCs w:val="20"/>
                <w:color w:val="auto"/>
              </w:rPr>
            </w:pPr>
            <w:r>
              <w:rPr>
                <w:rFonts w:ascii="Arial" w:cs="Arial" w:eastAsia="Arial" w:hAnsi="Arial"/>
                <w:sz w:val="15"/>
                <w:szCs w:val="15"/>
                <w:color w:val="auto"/>
              </w:rPr>
              <w:t>February 2018</w:t>
            </w:r>
          </w:p>
        </w:tc>
        <w:tc>
          <w:tcPr>
            <w:tcW w:w="1860" w:type="dxa"/>
            <w:vAlign w:val="bottom"/>
            <w:tcBorders>
              <w:right w:val="single" w:sz="8" w:color="auto"/>
            </w:tcBorders>
          </w:tcPr>
          <w:p>
            <w:pPr>
              <w:ind w:left="120"/>
              <w:spacing w:after="0" w:line="164" w:lineRule="exact"/>
              <w:rPr>
                <w:sz w:val="20"/>
                <w:szCs w:val="20"/>
                <w:color w:val="auto"/>
              </w:rPr>
            </w:pPr>
            <w:r>
              <w:rPr>
                <w:rFonts w:ascii="Arial" w:cs="Arial" w:eastAsia="Arial" w:hAnsi="Arial"/>
                <w:sz w:val="15"/>
                <w:szCs w:val="15"/>
                <w:color w:val="auto"/>
              </w:rPr>
              <w:t>January 1, 2018 to</w:t>
            </w:r>
          </w:p>
        </w:tc>
        <w:tc>
          <w:tcPr>
            <w:tcW w:w="2100" w:type="dxa"/>
            <w:vAlign w:val="bottom"/>
            <w:tcBorders>
              <w:right w:val="single" w:sz="8" w:color="auto"/>
            </w:tcBorders>
          </w:tcPr>
          <w:p>
            <w:pPr>
              <w:ind w:left="120"/>
              <w:spacing w:after="0" w:line="164" w:lineRule="exact"/>
              <w:rPr>
                <w:sz w:val="20"/>
                <w:szCs w:val="20"/>
                <w:color w:val="auto"/>
              </w:rPr>
            </w:pPr>
            <w:r>
              <w:rPr>
                <w:rFonts w:ascii="Arial" w:cs="Arial" w:eastAsia="Arial" w:hAnsi="Arial"/>
                <w:sz w:val="15"/>
                <w:szCs w:val="15"/>
                <w:color w:val="auto"/>
              </w:rPr>
              <w:t>Adjusted Net Income as</w:t>
            </w: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5"/>
                <w:szCs w:val="15"/>
                <w:color w:val="auto"/>
              </w:rPr>
              <w:t>Kramer, Havey,</w:t>
            </w:r>
          </w:p>
        </w:tc>
        <w:tc>
          <w:tcPr>
            <w:tcW w:w="15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December 31, 2020</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 percentage of GAAP</w:t>
            </w: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5"/>
                <w:szCs w:val="15"/>
                <w:color w:val="auto"/>
              </w:rPr>
              <w:t>Lindahl and Saran</w:t>
            </w:r>
          </w:p>
        </w:tc>
        <w:tc>
          <w:tcPr>
            <w:tcW w:w="15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revenue for the 2020</w:t>
            </w:r>
          </w:p>
        </w:tc>
        <w:tc>
          <w:tcPr>
            <w:tcW w:w="0" w:type="dxa"/>
            <w:vAlign w:val="bottom"/>
          </w:tcPr>
          <w:p>
            <w:pPr>
              <w:spacing w:after="0"/>
              <w:rPr>
                <w:sz w:val="1"/>
                <w:szCs w:val="1"/>
                <w:color w:val="auto"/>
              </w:rPr>
            </w:pPr>
          </w:p>
        </w:tc>
      </w:tr>
      <w:tr>
        <w:trPr>
          <w:trHeight w:val="187"/>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Fiscal Year.</w:t>
            </w:r>
          </w:p>
        </w:tc>
        <w:tc>
          <w:tcPr>
            <w:tcW w:w="0" w:type="dxa"/>
            <w:vAlign w:val="bottom"/>
          </w:tcPr>
          <w:p>
            <w:pPr>
              <w:spacing w:after="0"/>
              <w:rPr>
                <w:sz w:val="1"/>
                <w:szCs w:val="1"/>
                <w:color w:val="auto"/>
              </w:rPr>
            </w:pPr>
          </w:p>
        </w:tc>
      </w:tr>
      <w:tr>
        <w:trPr>
          <w:trHeight w:val="165"/>
        </w:trPr>
        <w:tc>
          <w:tcPr>
            <w:tcW w:w="2400" w:type="dxa"/>
            <w:vAlign w:val="bottom"/>
            <w:tcBorders>
              <w:left w:val="single" w:sz="8" w:color="auto"/>
              <w:right w:val="single" w:sz="8" w:color="auto"/>
            </w:tcBorders>
          </w:tcPr>
          <w:p>
            <w:pPr>
              <w:ind w:left="460"/>
              <w:spacing w:after="0" w:line="165" w:lineRule="exact"/>
              <w:rPr>
                <w:sz w:val="20"/>
                <w:szCs w:val="20"/>
                <w:color w:val="auto"/>
              </w:rPr>
            </w:pPr>
            <w:r>
              <w:rPr>
                <w:rFonts w:ascii="Arial" w:cs="Arial" w:eastAsia="Arial" w:hAnsi="Arial"/>
                <w:sz w:val="15"/>
                <w:szCs w:val="15"/>
                <w:color w:val="auto"/>
              </w:rPr>
              <w:t>Messrs. Kramer,</w:t>
            </w:r>
          </w:p>
        </w:tc>
        <w:tc>
          <w:tcPr>
            <w:tcW w:w="1540" w:type="dxa"/>
            <w:vAlign w:val="bottom"/>
            <w:tcBorders>
              <w:right w:val="single" w:sz="8" w:color="auto"/>
            </w:tcBorders>
          </w:tcPr>
          <w:p>
            <w:pPr>
              <w:ind w:left="140"/>
              <w:spacing w:after="0" w:line="165" w:lineRule="exact"/>
              <w:rPr>
                <w:sz w:val="20"/>
                <w:szCs w:val="20"/>
                <w:color w:val="auto"/>
              </w:rPr>
            </w:pPr>
            <w:r>
              <w:rPr>
                <w:rFonts w:ascii="Arial" w:cs="Arial" w:eastAsia="Arial" w:hAnsi="Arial"/>
                <w:sz w:val="15"/>
                <w:szCs w:val="15"/>
                <w:color w:val="auto"/>
              </w:rPr>
              <w:t>February 2019</w:t>
            </w:r>
          </w:p>
        </w:tc>
        <w:tc>
          <w:tcPr>
            <w:tcW w:w="1860" w:type="dxa"/>
            <w:vAlign w:val="bottom"/>
            <w:tcBorders>
              <w:right w:val="single" w:sz="8" w:color="auto"/>
            </w:tcBorders>
          </w:tcPr>
          <w:p>
            <w:pPr>
              <w:ind w:left="120"/>
              <w:spacing w:after="0" w:line="165" w:lineRule="exact"/>
              <w:rPr>
                <w:sz w:val="20"/>
                <w:szCs w:val="20"/>
                <w:color w:val="auto"/>
              </w:rPr>
            </w:pPr>
            <w:r>
              <w:rPr>
                <w:rFonts w:ascii="Arial" w:cs="Arial" w:eastAsia="Arial" w:hAnsi="Arial"/>
                <w:sz w:val="15"/>
                <w:szCs w:val="15"/>
                <w:color w:val="auto"/>
              </w:rPr>
              <w:t>January 1, 2019 to</w:t>
            </w:r>
          </w:p>
        </w:tc>
        <w:tc>
          <w:tcPr>
            <w:tcW w:w="2100" w:type="dxa"/>
            <w:vAlign w:val="bottom"/>
            <w:tcBorders>
              <w:right w:val="single" w:sz="8" w:color="auto"/>
            </w:tcBorders>
          </w:tcPr>
          <w:p>
            <w:pPr>
              <w:ind w:left="120"/>
              <w:spacing w:after="0" w:line="165" w:lineRule="exact"/>
              <w:rPr>
                <w:sz w:val="20"/>
                <w:szCs w:val="20"/>
                <w:color w:val="auto"/>
              </w:rPr>
            </w:pPr>
            <w:r>
              <w:rPr>
                <w:rFonts w:ascii="Arial" w:cs="Arial" w:eastAsia="Arial" w:hAnsi="Arial"/>
                <w:sz w:val="15"/>
                <w:szCs w:val="15"/>
                <w:color w:val="auto"/>
              </w:rPr>
              <w:t>Adjusted Net Income as</w:t>
            </w: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5"/>
                <w:szCs w:val="15"/>
                <w:color w:val="auto"/>
              </w:rPr>
              <w:t>Havey, Lindahl</w:t>
            </w:r>
          </w:p>
        </w:tc>
        <w:tc>
          <w:tcPr>
            <w:tcW w:w="15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December 31, 2021</w:t>
            </w: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a percentage of GAAP</w:t>
            </w:r>
          </w:p>
        </w:tc>
        <w:tc>
          <w:tcPr>
            <w:tcW w:w="0" w:type="dxa"/>
            <w:vAlign w:val="bottom"/>
          </w:tcPr>
          <w:p>
            <w:pPr>
              <w:spacing w:after="0"/>
              <w:rPr>
                <w:sz w:val="1"/>
                <w:szCs w:val="1"/>
                <w:color w:val="auto"/>
              </w:rPr>
            </w:pPr>
          </w:p>
        </w:tc>
      </w:tr>
      <w:tr>
        <w:trPr>
          <w:trHeight w:val="180"/>
        </w:trPr>
        <w:tc>
          <w:tcPr>
            <w:tcW w:w="240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5"/>
                <w:szCs w:val="15"/>
                <w:color w:val="auto"/>
              </w:rPr>
              <w:t>and Saran</w:t>
            </w:r>
          </w:p>
        </w:tc>
        <w:tc>
          <w:tcPr>
            <w:tcW w:w="1540" w:type="dxa"/>
            <w:vAlign w:val="bottom"/>
            <w:tcBorders>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2100" w:type="dxa"/>
            <w:vAlign w:val="bottom"/>
            <w:tcBorders>
              <w:right w:val="single" w:sz="8" w:color="auto"/>
            </w:tcBorders>
          </w:tcPr>
          <w:p>
            <w:pPr>
              <w:ind w:left="120"/>
              <w:spacing w:after="0"/>
              <w:rPr>
                <w:sz w:val="20"/>
                <w:szCs w:val="20"/>
                <w:color w:val="auto"/>
              </w:rPr>
            </w:pPr>
            <w:r>
              <w:rPr>
                <w:rFonts w:ascii="Arial" w:cs="Arial" w:eastAsia="Arial" w:hAnsi="Arial"/>
                <w:sz w:val="15"/>
                <w:szCs w:val="15"/>
                <w:color w:val="auto"/>
              </w:rPr>
              <w:t>revenue for the 2021</w:t>
            </w:r>
          </w:p>
        </w:tc>
        <w:tc>
          <w:tcPr>
            <w:tcW w:w="0" w:type="dxa"/>
            <w:vAlign w:val="bottom"/>
          </w:tcPr>
          <w:p>
            <w:pPr>
              <w:spacing w:after="0"/>
              <w:rPr>
                <w:sz w:val="1"/>
                <w:szCs w:val="1"/>
                <w:color w:val="auto"/>
              </w:rPr>
            </w:pPr>
          </w:p>
        </w:tc>
      </w:tr>
      <w:tr>
        <w:trPr>
          <w:trHeight w:val="187"/>
        </w:trPr>
        <w:tc>
          <w:tcPr>
            <w:tcW w:w="2400" w:type="dxa"/>
            <w:vAlign w:val="bottom"/>
            <w:tcBorders>
              <w:left w:val="single" w:sz="8" w:color="auto"/>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21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Fiscal Year.</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47"/>
        <w:spacing w:after="0" w:line="309" w:lineRule="auto"/>
        <w:rPr>
          <w:sz w:val="20"/>
          <w:szCs w:val="20"/>
          <w:color w:val="auto"/>
        </w:rPr>
      </w:pPr>
      <w:r>
        <w:rPr>
          <w:rFonts w:ascii="Arial" w:cs="Arial" w:eastAsia="Arial" w:hAnsi="Arial"/>
          <w:sz w:val="13"/>
          <w:szCs w:val="13"/>
          <w:color w:val="auto"/>
        </w:rPr>
        <w:t>In February 2020, all of the named executive officers were granted PSUs for the 2020 to 2022 performance period, except for Mr. El-Hibri (who does not receive PSUs), as previously noted, and Mr. Abdun-Nabi, who is no longer an executive officer of the company. Based on the company's focus on Adjusted EBITDA performance as a key profitability metric that is being communicated externally to stockholders, the compensation committee discontinued its use of Adjusted Net Income as a percentage of GAAP revenue. In its place, the issuance of any shares with respect to the 2020-2022 PSUs will be based on Adjusted EBITDA as a percentage of GAAP revenue and the continued service requirements as previously described.</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Supplemental benefits and perquisites should be limited and used selectively in specific circumstances to attract and retain executives.</w:t>
      </w:r>
    </w:p>
    <w:p>
      <w:pPr>
        <w:spacing w:after="0" w:line="188"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5"/>
          <w:szCs w:val="15"/>
          <w:color w:val="auto"/>
        </w:rPr>
        <w:t>We use supplemental benefits, such as travel expense reimbursement, on a very limited case-by-case basis and only to the extent we consider necessary to attract or retain specific executives.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7" w:name="page48"/>
    <w:bookmarkEnd w:id="4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Elements of Executive Compensation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Compensation for our executives generally consists of the following elements:</w:t>
      </w:r>
    </w:p>
    <w:p>
      <w:pPr>
        <w:spacing w:after="0" w:line="199" w:lineRule="exact"/>
        <w:rPr>
          <w:sz w:val="20"/>
          <w:szCs w:val="20"/>
          <w:color w:val="auto"/>
        </w:rPr>
      </w:pPr>
    </w:p>
    <w:p>
      <w:pPr>
        <w:ind w:left="900" w:hanging="45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 salary;</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Annual cash bonuses;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Equity awards;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Traditional benefits generally available to all employees; and</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Severance and change of control benefits.</w:t>
      </w:r>
    </w:p>
    <w:p>
      <w:pPr>
        <w:spacing w:after="0" w:line="189" w:lineRule="exact"/>
        <w:rPr>
          <w:sz w:val="20"/>
          <w:szCs w:val="20"/>
          <w:color w:val="auto"/>
        </w:rPr>
      </w:pPr>
    </w:p>
    <w:p>
      <w:pPr>
        <w:jc w:val="both"/>
        <w:ind w:firstLine="361"/>
        <w:spacing w:after="0" w:line="279" w:lineRule="auto"/>
        <w:rPr>
          <w:sz w:val="20"/>
          <w:szCs w:val="20"/>
          <w:color w:val="auto"/>
        </w:rPr>
      </w:pPr>
      <w:r>
        <w:rPr>
          <w:rFonts w:ascii="Arial" w:cs="Arial" w:eastAsia="Arial" w:hAnsi="Arial"/>
          <w:sz w:val="13"/>
          <w:szCs w:val="13"/>
          <w:i w:val="1"/>
          <w:iCs w:val="1"/>
          <w:color w:val="auto"/>
        </w:rPr>
        <w:t xml:space="preserve">Base Salary. </w:t>
      </w:r>
      <w:r>
        <w:rPr>
          <w:rFonts w:ascii="Arial" w:cs="Arial" w:eastAsia="Arial" w:hAnsi="Arial"/>
          <w:sz w:val="13"/>
          <w:szCs w:val="13"/>
          <w:color w:val="auto"/>
        </w:rPr>
        <w:t>We generally provide base salaries to our named executive officers within a competitive range of the 50</w:t>
      </w:r>
      <w:r>
        <w:rPr>
          <w:rFonts w:ascii="Arial" w:cs="Arial" w:eastAsia="Arial" w:hAnsi="Arial"/>
          <w:sz w:val="21"/>
          <w:szCs w:val="21"/>
          <w:color w:val="auto"/>
          <w:vertAlign w:val="superscript"/>
        </w:rPr>
        <w:t>th</w:t>
      </w:r>
      <w:r>
        <w:rPr>
          <w:rFonts w:ascii="Arial" w:cs="Arial" w:eastAsia="Arial" w:hAnsi="Arial"/>
          <w:sz w:val="13"/>
          <w:szCs w:val="13"/>
          <w:i w:val="1"/>
          <w:iCs w:val="1"/>
          <w:color w:val="auto"/>
        </w:rPr>
        <w:t xml:space="preserve"> </w:t>
      </w:r>
      <w:r>
        <w:rPr>
          <w:rFonts w:ascii="Arial" w:cs="Arial" w:eastAsia="Arial" w:hAnsi="Arial"/>
          <w:sz w:val="13"/>
          <w:szCs w:val="13"/>
          <w:color w:val="auto"/>
        </w:rPr>
        <w:t>percentile of the applicable survey and proxy data as described</w:t>
      </w:r>
      <w:r>
        <w:rPr>
          <w:rFonts w:ascii="Arial" w:cs="Arial" w:eastAsia="Arial" w:hAnsi="Arial"/>
          <w:sz w:val="13"/>
          <w:szCs w:val="13"/>
          <w:i w:val="1"/>
          <w:iCs w:val="1"/>
          <w:color w:val="auto"/>
        </w:rPr>
        <w:t xml:space="preserve"> </w:t>
      </w:r>
      <w:r>
        <w:rPr>
          <w:rFonts w:ascii="Arial" w:cs="Arial" w:eastAsia="Arial" w:hAnsi="Arial"/>
          <w:sz w:val="13"/>
          <w:szCs w:val="13"/>
          <w:color w:val="auto"/>
        </w:rPr>
        <w:t>above, with the exception of our executive chairman, whose base salary is determined by the range of factors addressed in detail above. While we target the market median, we recognize that the percentile for any given executive may vary below or above market median based on a variety of factors, including the executive's time in the role, scope of responsibilities, individual performance and potential future contributions to our company. In addition, we consider our overall financial performance in making decisions to adjust executive salaries. The compensation committee reviews base salaries at least annually and adjusts such salaries from time to time to realign them with market levels after taking into account individual responsibilities, performance and experience. The factors considered in making a specific adjustment to base salary may relate to a change in the emphasis placed on one or more of the factors that were used to set the initial base salary for a particular named executive officer, or reflect a new factor that arises in the course of our operations.</w:t>
      </w:r>
    </w:p>
    <w:p>
      <w:pPr>
        <w:spacing w:after="0" w:line="15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compensation committee used the information described above in approving the following annual base salaries paid to our named executive officers for 2019 and 2020.</w:t>
      </w:r>
    </w:p>
    <w:p>
      <w:pPr>
        <w:spacing w:after="0" w:line="196"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6"/>
              </w:rPr>
              <w:t>Name</w:t>
            </w:r>
          </w:p>
        </w:tc>
        <w:tc>
          <w:tcPr>
            <w:tcW w:w="448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1"/>
                <w:szCs w:val="11"/>
                <w:b w:val="1"/>
                <w:bCs w:val="1"/>
                <w:color w:val="auto"/>
                <w:w w:val="88"/>
              </w:rPr>
              <w:t>2019 Base Salary</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w w:val="88"/>
              </w:rPr>
              <w:t>2020 Base Salary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1"/>
                <w:szCs w:val="11"/>
                <w:b w:val="1"/>
                <w:bCs w:val="1"/>
                <w:color w:val="auto"/>
                <w:w w:val="90"/>
              </w:rPr>
              <w:t>Increase from 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760" w:type="dxa"/>
            <w:vAlign w:val="bottom"/>
            <w:gridSpan w:val="3"/>
            <w:shd w:val="clear" w:color="auto" w:fill="DCDCDE"/>
          </w:tcPr>
          <w:p>
            <w:pPr>
              <w:spacing w:after="0" w:line="205" w:lineRule="exact"/>
              <w:rPr>
                <w:sz w:val="20"/>
                <w:szCs w:val="20"/>
                <w:color w:val="auto"/>
              </w:rPr>
            </w:pPr>
            <w:r>
              <w:rPr>
                <w:rFonts w:ascii="Arial" w:cs="Arial" w:eastAsia="Arial" w:hAnsi="Arial"/>
                <w:sz w:val="14"/>
                <w:szCs w:val="14"/>
                <w:color w:val="auto"/>
              </w:rPr>
              <w:t>Fuad El-Hibri</w:t>
            </w:r>
            <w:r>
              <w:rPr>
                <w:rFonts w:ascii="Arial" w:cs="Arial" w:eastAsia="Arial" w:hAnsi="Arial"/>
                <w:sz w:val="23"/>
                <w:szCs w:val="23"/>
                <w:color w:val="auto"/>
                <w:vertAlign w:val="superscript"/>
              </w:rPr>
              <w:t>(1)</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1,054,040</w:t>
            </w:r>
          </w:p>
        </w:tc>
        <w:tc>
          <w:tcPr>
            <w:tcW w:w="320" w:type="dxa"/>
            <w:vAlign w:val="bottom"/>
            <w:shd w:val="clear" w:color="auto" w:fill="DCDCDE"/>
          </w:tcPr>
          <w:p>
            <w:pPr>
              <w:spacing w:after="0"/>
              <w:rPr>
                <w:sz w:val="17"/>
                <w:szCs w:val="17"/>
                <w:color w:val="auto"/>
              </w:rPr>
            </w:pPr>
          </w:p>
        </w:tc>
        <w:tc>
          <w:tcPr>
            <w:tcW w:w="200" w:type="dxa"/>
            <w:vAlign w:val="bottom"/>
            <w:shd w:val="clear" w:color="auto" w:fill="DCDCDE"/>
          </w:tcPr>
          <w:p>
            <w:pPr>
              <w:spacing w:after="0"/>
              <w:rPr>
                <w:sz w:val="17"/>
                <w:szCs w:val="17"/>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1,085,677</w:t>
            </w:r>
          </w:p>
        </w:tc>
        <w:tc>
          <w:tcPr>
            <w:tcW w:w="80" w:type="dxa"/>
            <w:vAlign w:val="bottom"/>
            <w:shd w:val="clear" w:color="auto" w:fill="DCDCDE"/>
          </w:tcPr>
          <w:p>
            <w:pPr>
              <w:spacing w:after="0"/>
              <w:rPr>
                <w:sz w:val="17"/>
                <w:szCs w:val="17"/>
                <w:color w:val="auto"/>
              </w:rPr>
            </w:pPr>
          </w:p>
        </w:tc>
        <w:tc>
          <w:tcPr>
            <w:tcW w:w="60" w:type="dxa"/>
            <w:vAlign w:val="bottom"/>
            <w:shd w:val="clear" w:color="auto" w:fill="DCDCDE"/>
          </w:tcPr>
          <w:p>
            <w:pPr>
              <w:spacing w:after="0"/>
              <w:rPr>
                <w:sz w:val="17"/>
                <w:szCs w:val="17"/>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31,637</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1"/>
              </w:rPr>
              <w:t>(4)</w:t>
            </w:r>
          </w:p>
        </w:tc>
        <w:tc>
          <w:tcPr>
            <w:tcW w:w="0" w:type="dxa"/>
            <w:vAlign w:val="bottom"/>
          </w:tcPr>
          <w:p>
            <w:pPr>
              <w:spacing w:after="0"/>
              <w:rPr>
                <w:sz w:val="1"/>
                <w:szCs w:val="1"/>
                <w:color w:val="auto"/>
              </w:rPr>
            </w:pPr>
          </w:p>
        </w:tc>
      </w:tr>
      <w:tr>
        <w:trPr>
          <w:trHeight w:val="207"/>
        </w:trPr>
        <w:tc>
          <w:tcPr>
            <w:tcW w:w="4760" w:type="dxa"/>
            <w:vAlign w:val="bottom"/>
            <w:gridSpan w:val="3"/>
          </w:tcPr>
          <w:p>
            <w:pPr>
              <w:spacing w:after="0" w:line="207" w:lineRule="exact"/>
              <w:rPr>
                <w:sz w:val="20"/>
                <w:szCs w:val="20"/>
                <w:color w:val="auto"/>
              </w:rPr>
            </w:pPr>
            <w:r>
              <w:rPr>
                <w:rFonts w:ascii="Arial" w:cs="Arial" w:eastAsia="Arial" w:hAnsi="Arial"/>
                <w:sz w:val="14"/>
                <w:szCs w:val="14"/>
                <w:color w:val="auto"/>
              </w:rPr>
              <w:t>Robert G. Kramer</w:t>
            </w:r>
            <w:r>
              <w:rPr>
                <w:rFonts w:ascii="Arial" w:cs="Arial" w:eastAsia="Arial" w:hAnsi="Arial"/>
                <w:sz w:val="23"/>
                <w:szCs w:val="23"/>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line="207" w:lineRule="exact"/>
              <w:rPr>
                <w:sz w:val="20"/>
                <w:szCs w:val="20"/>
                <w:color w:val="auto"/>
              </w:rPr>
            </w:pPr>
            <w:r>
              <w:rPr>
                <w:rFonts w:ascii="Arial" w:cs="Arial" w:eastAsia="Arial" w:hAnsi="Arial"/>
                <w:sz w:val="14"/>
                <w:szCs w:val="14"/>
                <w:color w:val="auto"/>
              </w:rPr>
              <w:t>556,213</w:t>
            </w:r>
            <w:r>
              <w:rPr>
                <w:rFonts w:ascii="Arial" w:cs="Arial" w:eastAsia="Arial" w:hAnsi="Arial"/>
                <w:sz w:val="23"/>
                <w:szCs w:val="23"/>
                <w:color w:val="auto"/>
                <w:vertAlign w:val="superscript"/>
              </w:rPr>
              <w:t>(2)</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875,014</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175,011</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line="188" w:lineRule="exact"/>
              <w:rPr>
                <w:sz w:val="20"/>
                <w:szCs w:val="20"/>
                <w:color w:val="auto"/>
              </w:rPr>
            </w:pPr>
            <w:r>
              <w:rPr>
                <w:rFonts w:ascii="Arial" w:cs="Arial" w:eastAsia="Arial" w:hAnsi="Arial"/>
                <w:sz w:val="13"/>
                <w:szCs w:val="13"/>
                <w:color w:val="auto"/>
              </w:rPr>
              <w:t>700,003</w:t>
            </w:r>
            <w:r>
              <w:rPr>
                <w:rFonts w:ascii="Arial" w:cs="Arial" w:eastAsia="Arial" w:hAnsi="Arial"/>
                <w:sz w:val="21"/>
                <w:szCs w:val="21"/>
                <w:color w:val="auto"/>
                <w:vertAlign w:val="superscript"/>
              </w:rPr>
              <w:t>(3)</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60" w:type="dxa"/>
            <w:vAlign w:val="bottom"/>
            <w:gridSpan w:val="3"/>
            <w:shd w:val="clear" w:color="auto" w:fill="DCDCDE"/>
          </w:tcPr>
          <w:p>
            <w:pPr>
              <w:spacing w:after="0" w:line="214" w:lineRule="exact"/>
              <w:rPr>
                <w:sz w:val="20"/>
                <w:szCs w:val="20"/>
                <w:color w:val="auto"/>
              </w:rPr>
            </w:pPr>
            <w:r>
              <w:rPr>
                <w:rFonts w:ascii="Arial" w:cs="Arial" w:eastAsia="Arial" w:hAnsi="Arial"/>
                <w:sz w:val="15"/>
                <w:szCs w:val="15"/>
                <w:color w:val="auto"/>
              </w:rPr>
              <w:t>Richard S. Lindahl</w:t>
            </w:r>
            <w:r>
              <w:rPr>
                <w:rFonts w:ascii="Arial" w:cs="Arial" w:eastAsia="Arial" w:hAnsi="Arial"/>
                <w:sz w:val="24"/>
                <w:szCs w:val="24"/>
                <w:color w:val="auto"/>
                <w:vertAlign w:val="superscript"/>
              </w:rPr>
              <w:t>(1)</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CDCDE"/>
          </w:tcPr>
          <w:p>
            <w:pPr>
              <w:jc w:val="right"/>
              <w:ind w:right="320"/>
              <w:spacing w:after="0"/>
              <w:rPr>
                <w:sz w:val="20"/>
                <w:szCs w:val="20"/>
                <w:color w:val="auto"/>
              </w:rPr>
            </w:pPr>
            <w:r>
              <w:rPr>
                <w:rFonts w:ascii="Arial" w:cs="Arial" w:eastAsia="Arial" w:hAnsi="Arial"/>
                <w:sz w:val="15"/>
                <w:szCs w:val="15"/>
                <w:color w:val="auto"/>
              </w:rPr>
              <w:t>515,029</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550,014</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34,985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60" w:type="dxa"/>
            <w:vAlign w:val="bottom"/>
            <w:gridSpan w:val="3"/>
          </w:tcPr>
          <w:p>
            <w:pPr>
              <w:spacing w:after="0" w:line="214" w:lineRule="exact"/>
              <w:rPr>
                <w:sz w:val="20"/>
                <w:szCs w:val="20"/>
                <w:color w:val="auto"/>
              </w:rPr>
            </w:pPr>
            <w:r>
              <w:rPr>
                <w:rFonts w:ascii="Arial" w:cs="Arial" w:eastAsia="Arial" w:hAnsi="Arial"/>
                <w:sz w:val="15"/>
                <w:szCs w:val="15"/>
                <w:color w:val="auto"/>
              </w:rPr>
              <w:t>Adam Havey</w:t>
            </w:r>
            <w:r>
              <w:rPr>
                <w:rFonts w:ascii="Arial" w:cs="Arial" w:eastAsia="Arial" w:hAnsi="Arial"/>
                <w:sz w:val="24"/>
                <w:szCs w:val="24"/>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20"/>
              <w:spacing w:after="0"/>
              <w:rPr>
                <w:sz w:val="20"/>
                <w:szCs w:val="20"/>
                <w:color w:val="auto"/>
              </w:rPr>
            </w:pPr>
            <w:r>
              <w:rPr>
                <w:rFonts w:ascii="Arial" w:cs="Arial" w:eastAsia="Arial" w:hAnsi="Arial"/>
                <w:sz w:val="15"/>
                <w:szCs w:val="15"/>
                <w:color w:val="auto"/>
              </w:rPr>
              <w:t>484,120</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530,005</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45,885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60" w:type="dxa"/>
            <w:vAlign w:val="bottom"/>
            <w:gridSpan w:val="3"/>
            <w:shd w:val="clear" w:color="auto" w:fill="DCDCDE"/>
          </w:tcPr>
          <w:p>
            <w:pPr>
              <w:spacing w:after="0" w:line="214" w:lineRule="exact"/>
              <w:rPr>
                <w:sz w:val="20"/>
                <w:szCs w:val="20"/>
                <w:color w:val="auto"/>
              </w:rPr>
            </w:pPr>
            <w:r>
              <w:rPr>
                <w:rFonts w:ascii="Arial" w:cs="Arial" w:eastAsia="Arial" w:hAnsi="Arial"/>
                <w:sz w:val="15"/>
                <w:szCs w:val="15"/>
                <w:color w:val="auto"/>
              </w:rPr>
              <w:t>Atul Saran</w:t>
            </w:r>
            <w:r>
              <w:rPr>
                <w:rFonts w:ascii="Arial" w:cs="Arial" w:eastAsia="Arial" w:hAnsi="Arial"/>
                <w:sz w:val="24"/>
                <w:szCs w:val="24"/>
                <w:color w:val="auto"/>
                <w:vertAlign w:val="superscript"/>
              </w:rPr>
              <w:t>(1)</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DCDCDE"/>
          </w:tcPr>
          <w:p>
            <w:pPr>
              <w:jc w:val="right"/>
              <w:ind w:right="320"/>
              <w:spacing w:after="0"/>
              <w:rPr>
                <w:sz w:val="20"/>
                <w:szCs w:val="20"/>
                <w:color w:val="auto"/>
              </w:rPr>
            </w:pPr>
            <w:r>
              <w:rPr>
                <w:rFonts w:ascii="Arial" w:cs="Arial" w:eastAsia="Arial" w:hAnsi="Arial"/>
                <w:sz w:val="15"/>
                <w:szCs w:val="15"/>
                <w:color w:val="auto"/>
              </w:rPr>
              <w:t>503,963</w:t>
            </w:r>
          </w:p>
        </w:tc>
        <w:tc>
          <w:tcPr>
            <w:tcW w:w="28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530,005</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6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line="271" w:lineRule="exact"/>
              <w:rPr>
                <w:sz w:val="20"/>
                <w:szCs w:val="20"/>
                <w:color w:val="auto"/>
              </w:rPr>
            </w:pPr>
            <w:r>
              <w:rPr>
                <w:rFonts w:ascii="Arial" w:cs="Arial" w:eastAsia="Arial" w:hAnsi="Arial"/>
                <w:sz w:val="15"/>
                <w:szCs w:val="15"/>
                <w:color w:val="auto"/>
              </w:rPr>
              <w:t>838,552</w:t>
            </w:r>
            <w:r>
              <w:rPr>
                <w:rFonts w:ascii="Arial" w:cs="Arial" w:eastAsia="Arial" w:hAnsi="Arial"/>
                <w:sz w:val="24"/>
                <w:szCs w:val="24"/>
                <w:color w:val="auto"/>
                <w:vertAlign w:val="superscript"/>
              </w:rPr>
              <w:t>(5)</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5"/>
                <w:szCs w:val="15"/>
                <w:color w:val="auto"/>
              </w:rPr>
              <w:t>N/A</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N/A</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560" w:hanging="443"/>
        <w:spacing w:after="0" w:line="270" w:lineRule="auto"/>
        <w:tabs>
          <w:tab w:leader="none" w:pos="15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2020 Base salary reflects: a 3% merit increase over 2019 for Mr. El-Hibri; a 25% increase for Mr. Kramer; a 7% increase for Mr. Lindahl; a 9% increase for Mr. Havey; and a 5% increase for Mr. Saran.</w:t>
      </w:r>
    </w:p>
    <w:p>
      <w:pPr>
        <w:spacing w:after="0" w:line="164" w:lineRule="exact"/>
        <w:rPr>
          <w:rFonts w:ascii="Arial" w:cs="Arial" w:eastAsia="Arial" w:hAnsi="Arial"/>
          <w:sz w:val="15"/>
          <w:szCs w:val="15"/>
          <w:color w:val="auto"/>
        </w:rPr>
      </w:pPr>
    </w:p>
    <w:p>
      <w:pPr>
        <w:ind w:left="1560" w:hanging="443"/>
        <w:spacing w:after="0" w:line="270" w:lineRule="auto"/>
        <w:tabs>
          <w:tab w:leader="none" w:pos="15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Mr. Kramer's full year 2019 base salary as president and chief operating officer, which was prorated for the period from January 1, 2019 to March 31, 2019.</w:t>
      </w:r>
    </w:p>
    <w:p>
      <w:pPr>
        <w:spacing w:after="0" w:line="175" w:lineRule="exact"/>
        <w:rPr>
          <w:rFonts w:ascii="Arial" w:cs="Arial" w:eastAsia="Arial" w:hAnsi="Arial"/>
          <w:sz w:val="15"/>
          <w:szCs w:val="15"/>
          <w:color w:val="auto"/>
        </w:rPr>
      </w:pPr>
    </w:p>
    <w:p>
      <w:pPr>
        <w:ind w:left="1560" w:hanging="443"/>
        <w:spacing w:after="0" w:line="270" w:lineRule="auto"/>
        <w:tabs>
          <w:tab w:leader="none" w:pos="15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Mr. Kramer's full year 2019 base salary as president and chief executive officer, which was prorated for the period from April 1, 2019 to December 31, 2019.</w:t>
      </w:r>
    </w:p>
    <w:p>
      <w:pPr>
        <w:spacing w:after="0" w:line="164" w:lineRule="exact"/>
        <w:rPr>
          <w:rFonts w:ascii="Arial" w:cs="Arial" w:eastAsia="Arial" w:hAnsi="Arial"/>
          <w:sz w:val="15"/>
          <w:szCs w:val="15"/>
          <w:color w:val="auto"/>
        </w:rPr>
      </w:pPr>
    </w:p>
    <w:p>
      <w:pPr>
        <w:ind w:left="1560" w:hanging="443"/>
        <w:spacing w:after="0" w:line="270" w:lineRule="auto"/>
        <w:tabs>
          <w:tab w:leader="none" w:pos="15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the difference between Mr. Kramer's 2019 base salary as president and chief executive officer (which was prorated for the period from April 1, 2019 to December 31, 2019) and his 2020 base salary.</w:t>
      </w:r>
    </w:p>
    <w:p>
      <w:pPr>
        <w:spacing w:after="0" w:line="164" w:lineRule="exact"/>
        <w:rPr>
          <w:rFonts w:ascii="Arial" w:cs="Arial" w:eastAsia="Arial" w:hAnsi="Arial"/>
          <w:sz w:val="15"/>
          <w:szCs w:val="15"/>
          <w:color w:val="auto"/>
        </w:rPr>
      </w:pPr>
    </w:p>
    <w:p>
      <w:pPr>
        <w:ind w:left="1560" w:hanging="443"/>
        <w:spacing w:after="0"/>
        <w:tabs>
          <w:tab w:leader="none" w:pos="15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Mr. Abdun-Nabi's full year 2019 base salary, which was prorated through his retirement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8" w:name="page49"/>
    <w:bookmarkEnd w:id="4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04"/>
        <w:spacing w:after="0" w:line="257" w:lineRule="auto"/>
        <w:rPr>
          <w:sz w:val="20"/>
          <w:szCs w:val="20"/>
          <w:color w:val="auto"/>
        </w:rPr>
      </w:pPr>
      <w:r>
        <w:rPr>
          <w:rFonts w:ascii="Arial" w:cs="Arial" w:eastAsia="Arial" w:hAnsi="Arial"/>
          <w:sz w:val="15"/>
          <w:szCs w:val="15"/>
          <w:i w:val="1"/>
          <w:iCs w:val="1"/>
          <w:color w:val="auto"/>
        </w:rPr>
        <w:t xml:space="preserve">Annual Cash Bonuses. </w:t>
      </w:r>
      <w:r>
        <w:rPr>
          <w:rFonts w:ascii="Arial" w:cs="Arial" w:eastAsia="Arial" w:hAnsi="Arial"/>
          <w:sz w:val="15"/>
          <w:szCs w:val="15"/>
          <w:color w:val="auto"/>
        </w:rPr>
        <w:t>The compensation committee has the authority under our annual bonus plan for executive officers to award annual cash bonuses to our executives. Each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other than our executive chairman, is eligible for an annual bonus, which is intended to motivate and compensate each executive for achieving financial and operational goals and individual performance objectives. The amount of annual bonuses that are payable under this plan is reviewed and approved by the compensation committee each year. Our Annual Bonus Plan utilizes a formulaic approach. Bonus amounts are determined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107950</wp:posOffset>
            </wp:positionV>
            <wp:extent cx="4657725" cy="501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657725"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409"/>
        <w:spacing w:after="0" w:line="233" w:lineRule="auto"/>
        <w:rPr>
          <w:sz w:val="20"/>
          <w:szCs w:val="20"/>
          <w:color w:val="auto"/>
        </w:rPr>
      </w:pPr>
      <w:r>
        <w:rPr>
          <w:rFonts w:ascii="Arial" w:cs="Arial" w:eastAsia="Arial" w:hAnsi="Arial"/>
          <w:sz w:val="15"/>
          <w:szCs w:val="15"/>
          <w:color w:val="auto"/>
        </w:rPr>
        <w:t>The philosophy of the compensation committee is to set bonus targets at approximately the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as measured against the applicable survey data and proxy peer data. No participant may earn a bonus of more than 150% of target under the annual bonus plan. The corporate factor may range from 0 to 1.5, based on our achievement of corporate goals determined by the compensation committee, and the individual factor may range from 0 to 1.5, based on an evaluation of each participant's performance of day-to-day responsibilities, behavioral competencies, and achievement of individual goals determined by the compensation committee. The compensation committee may also award discretionary bonuses outside of the framework of the bonus plan.</w:t>
      </w:r>
    </w:p>
    <w:p>
      <w:pPr>
        <w:spacing w:after="0" w:line="177" w:lineRule="exact"/>
        <w:rPr>
          <w:sz w:val="20"/>
          <w:szCs w:val="20"/>
          <w:color w:val="auto"/>
        </w:rPr>
      </w:pPr>
    </w:p>
    <w:p>
      <w:pPr>
        <w:jc w:val="both"/>
        <w:ind w:firstLine="371"/>
        <w:spacing w:after="0" w:line="304" w:lineRule="auto"/>
        <w:rPr>
          <w:sz w:val="20"/>
          <w:szCs w:val="20"/>
          <w:color w:val="auto"/>
        </w:rPr>
      </w:pPr>
      <w:r>
        <w:rPr>
          <w:rFonts w:ascii="Arial" w:cs="Arial" w:eastAsia="Arial" w:hAnsi="Arial"/>
          <w:sz w:val="13"/>
          <w:szCs w:val="13"/>
          <w:color w:val="auto"/>
        </w:rPr>
        <w:t>In January 2020, the compensation committee met to determine the corporate factor to be applied to bonuses paid for 2019 performance. As outlined in the table below, the company accomplished at or above target performance against each of the operational goals, except one, which indicates that the company's executive team performed well during 2019. Accordingly, the compensation committee approved a corporate factor of 1.05. The individual goals of the named executive officers that participated in the annual bonus plan in 2019 were the same as the corporate goals, so the individual factor was 1.05. In reviewing our performance against goals set for 2019, the committee considered both financial and non-financial achievement of goals. In its deliberations, the committee considered the factors outlined in the table below and determined that we had achieved 105% of our overall targets.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49" w:name="page50"/>
    <w:bookmarkEnd w:id="4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compensation committee reviewed our primary 2019 corporate goals and assessed the degree to which we achieved those goals, as follows:</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46"/>
        </w:trPr>
        <w:tc>
          <w:tcPr>
            <w:tcW w:w="5060" w:type="dxa"/>
            <w:vAlign w:val="bottom"/>
          </w:tcPr>
          <w:p>
            <w:pPr>
              <w:ind w:left="1980"/>
              <w:spacing w:after="0"/>
              <w:rPr>
                <w:sz w:val="20"/>
                <w:szCs w:val="20"/>
                <w:color w:val="auto"/>
              </w:rPr>
            </w:pPr>
            <w:r>
              <w:rPr>
                <w:rFonts w:ascii="Arial" w:cs="Arial" w:eastAsia="Arial" w:hAnsi="Arial"/>
                <w:sz w:val="11"/>
                <w:szCs w:val="11"/>
                <w:b w:val="1"/>
                <w:bCs w:val="1"/>
                <w:color w:val="auto"/>
              </w:rPr>
              <w:t>2019 Corporate Goal</w:t>
            </w:r>
          </w:p>
        </w:tc>
        <w:tc>
          <w:tcPr>
            <w:tcW w:w="1280" w:type="dxa"/>
            <w:vAlign w:val="bottom"/>
          </w:tcPr>
          <w:p>
            <w:pPr>
              <w:jc w:val="center"/>
              <w:ind w:right="64"/>
              <w:spacing w:after="0"/>
              <w:rPr>
                <w:sz w:val="20"/>
                <w:szCs w:val="20"/>
                <w:color w:val="auto"/>
              </w:rPr>
            </w:pPr>
            <w:r>
              <w:rPr>
                <w:rFonts w:ascii="Arial" w:cs="Arial" w:eastAsia="Arial" w:hAnsi="Arial"/>
                <w:sz w:val="11"/>
                <w:szCs w:val="11"/>
                <w:b w:val="1"/>
                <w:bCs w:val="1"/>
                <w:color w:val="auto"/>
                <w:w w:val="93"/>
              </w:rPr>
              <w:t>Rating</w:t>
            </w:r>
          </w:p>
        </w:tc>
        <w:tc>
          <w:tcPr>
            <w:tcW w:w="300" w:type="dxa"/>
            <w:vAlign w:val="bottom"/>
          </w:tcPr>
          <w:p>
            <w:pPr>
              <w:spacing w:after="0"/>
              <w:rPr>
                <w:sz w:val="12"/>
                <w:szCs w:val="12"/>
                <w:color w:val="auto"/>
              </w:rPr>
            </w:pPr>
          </w:p>
        </w:tc>
        <w:tc>
          <w:tcPr>
            <w:tcW w:w="4620" w:type="dxa"/>
            <w:vAlign w:val="bottom"/>
          </w:tcPr>
          <w:p>
            <w:pPr>
              <w:ind w:left="940"/>
              <w:spacing w:after="0"/>
              <w:rPr>
                <w:sz w:val="20"/>
                <w:szCs w:val="20"/>
                <w:color w:val="auto"/>
              </w:rPr>
            </w:pPr>
            <w:r>
              <w:rPr>
                <w:rFonts w:ascii="Arial" w:cs="Arial" w:eastAsia="Arial" w:hAnsi="Arial"/>
                <w:sz w:val="11"/>
                <w:szCs w:val="11"/>
                <w:b w:val="1"/>
                <w:bCs w:val="1"/>
                <w:color w:val="auto"/>
              </w:rPr>
              <w:t>Details of Performance Against Corporate Goal</w:t>
            </w:r>
          </w:p>
        </w:tc>
      </w:tr>
      <w:tr>
        <w:trPr>
          <w:trHeight w:val="45"/>
        </w:trPr>
        <w:tc>
          <w:tcPr>
            <w:tcW w:w="50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r>
      <w:tr>
        <w:trPr>
          <w:trHeight w:val="115"/>
        </w:trPr>
        <w:tc>
          <w:tcPr>
            <w:tcW w:w="5060" w:type="dxa"/>
            <w:vAlign w:val="bottom"/>
            <w:tcBorders>
              <w:left w:val="single" w:sz="8" w:color="auto"/>
              <w:bottom w:val="single" w:sz="8" w:color="auto"/>
              <w:right w:val="single" w:sz="8" w:color="auto"/>
            </w:tcBorders>
            <w:shd w:val="clear" w:color="auto" w:fill="DCDCDE"/>
          </w:tcPr>
          <w:p>
            <w:pPr>
              <w:ind w:left="240"/>
              <w:spacing w:after="0" w:line="115" w:lineRule="exact"/>
              <w:rPr>
                <w:sz w:val="20"/>
                <w:szCs w:val="20"/>
                <w:color w:val="auto"/>
              </w:rPr>
            </w:pPr>
            <w:r>
              <w:rPr>
                <w:rFonts w:ascii="Arial" w:cs="Arial" w:eastAsia="Arial" w:hAnsi="Arial"/>
                <w:sz w:val="11"/>
                <w:szCs w:val="11"/>
                <w:color w:val="auto"/>
              </w:rPr>
              <w:t>Reach 37.5 million patients through on-market and procured products.</w:t>
            </w:r>
          </w:p>
        </w:tc>
        <w:tc>
          <w:tcPr>
            <w:tcW w:w="1280" w:type="dxa"/>
            <w:vAlign w:val="bottom"/>
            <w:tcBorders>
              <w:bottom w:val="single" w:sz="8" w:color="auto"/>
              <w:right w:val="single" w:sz="8" w:color="auto"/>
            </w:tcBorders>
            <w:shd w:val="clear" w:color="auto" w:fill="DCDCDE"/>
          </w:tcPr>
          <w:p>
            <w:pPr>
              <w:jc w:val="center"/>
              <w:ind w:right="64"/>
              <w:spacing w:after="0" w:line="115" w:lineRule="exact"/>
              <w:rPr>
                <w:sz w:val="20"/>
                <w:szCs w:val="20"/>
                <w:color w:val="auto"/>
              </w:rPr>
            </w:pPr>
            <w:r>
              <w:rPr>
                <w:rFonts w:ascii="Arial" w:cs="Arial" w:eastAsia="Arial" w:hAnsi="Arial"/>
                <w:sz w:val="11"/>
                <w:szCs w:val="11"/>
                <w:color w:val="auto"/>
                <w:w w:val="85"/>
              </w:rPr>
              <w:t>Exceeds</w:t>
            </w:r>
          </w:p>
        </w:tc>
        <w:tc>
          <w:tcPr>
            <w:tcW w:w="300" w:type="dxa"/>
            <w:vAlign w:val="bottom"/>
            <w:tcBorders>
              <w:bottom w:val="single" w:sz="8" w:color="auto"/>
            </w:tcBorders>
            <w:shd w:val="clear" w:color="auto" w:fill="DCDCDE"/>
          </w:tcPr>
          <w:p>
            <w:pPr>
              <w:ind w:left="140"/>
              <w:spacing w:after="0" w:line="115" w:lineRule="exact"/>
              <w:rPr>
                <w:sz w:val="20"/>
                <w:szCs w:val="20"/>
                <w:color w:val="auto"/>
              </w:rPr>
            </w:pPr>
            <w:r>
              <w:rPr>
                <w:rFonts w:ascii="Arial" w:cs="Arial" w:eastAsia="Arial" w:hAnsi="Arial"/>
                <w:sz w:val="11"/>
                <w:szCs w:val="11"/>
                <w:color w:val="auto"/>
              </w:rPr>
              <w:t>•</w:t>
            </w:r>
          </w:p>
        </w:tc>
        <w:tc>
          <w:tcPr>
            <w:tcW w:w="4620" w:type="dxa"/>
            <w:vAlign w:val="bottom"/>
            <w:tcBorders>
              <w:bottom w:val="single" w:sz="8" w:color="auto"/>
              <w:right w:val="single" w:sz="8" w:color="auto"/>
            </w:tcBorders>
            <w:shd w:val="clear" w:color="auto" w:fill="DCDCDE"/>
          </w:tcPr>
          <w:p>
            <w:pPr>
              <w:ind w:left="120"/>
              <w:spacing w:after="0" w:line="115" w:lineRule="exact"/>
              <w:rPr>
                <w:sz w:val="20"/>
                <w:szCs w:val="20"/>
                <w:color w:val="auto"/>
              </w:rPr>
            </w:pPr>
            <w:r>
              <w:rPr>
                <w:rFonts w:ascii="Arial" w:cs="Arial" w:eastAsia="Arial" w:hAnsi="Arial"/>
                <w:sz w:val="11"/>
                <w:szCs w:val="11"/>
                <w:color w:val="auto"/>
              </w:rPr>
              <w:t>Delivered products and product candidates reaching more than 41 million lives.</w:t>
            </w:r>
          </w:p>
        </w:tc>
      </w:tr>
      <w:tr>
        <w:trPr>
          <w:trHeight w:val="136"/>
        </w:trPr>
        <w:tc>
          <w:tcPr>
            <w:tcW w:w="50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1"/>
                <w:szCs w:val="11"/>
                <w:color w:val="auto"/>
              </w:rPr>
              <w:t>Progress four innovative product candidates to advanced development.</w:t>
            </w:r>
          </w:p>
        </w:tc>
        <w:tc>
          <w:tcPr>
            <w:tcW w:w="1280" w:type="dxa"/>
            <w:vAlign w:val="bottom"/>
            <w:tcBorders>
              <w:right w:val="single" w:sz="8" w:color="auto"/>
            </w:tcBorders>
          </w:tcPr>
          <w:p>
            <w:pPr>
              <w:jc w:val="center"/>
              <w:ind w:right="64"/>
              <w:spacing w:after="0"/>
              <w:rPr>
                <w:sz w:val="20"/>
                <w:szCs w:val="20"/>
                <w:color w:val="auto"/>
              </w:rPr>
            </w:pPr>
            <w:r>
              <w:rPr>
                <w:rFonts w:ascii="Arial" w:cs="Arial" w:eastAsia="Arial" w:hAnsi="Arial"/>
                <w:sz w:val="11"/>
                <w:szCs w:val="11"/>
                <w:color w:val="auto"/>
                <w:w w:val="85"/>
              </w:rPr>
              <w:t>Exceeds</w:t>
            </w: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Moved six product candidate programs to the next stage of advanced development.</w:t>
            </w:r>
          </w:p>
        </w:tc>
      </w:tr>
      <w:tr>
        <w:trPr>
          <w:trHeight w:val="36"/>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r>
        <w:trPr>
          <w:trHeight w:val="115"/>
        </w:trPr>
        <w:tc>
          <w:tcPr>
            <w:tcW w:w="5060" w:type="dxa"/>
            <w:vAlign w:val="bottom"/>
            <w:tcBorders>
              <w:left w:val="single" w:sz="8" w:color="auto"/>
              <w:right w:val="single" w:sz="8" w:color="auto"/>
            </w:tcBorders>
            <w:shd w:val="clear" w:color="auto" w:fill="DCDCDE"/>
          </w:tcPr>
          <w:p>
            <w:pPr>
              <w:ind w:left="240"/>
              <w:spacing w:after="0" w:line="115" w:lineRule="exact"/>
              <w:rPr>
                <w:sz w:val="20"/>
                <w:szCs w:val="20"/>
                <w:color w:val="auto"/>
              </w:rPr>
            </w:pPr>
            <w:r>
              <w:rPr>
                <w:rFonts w:ascii="Arial" w:cs="Arial" w:eastAsia="Arial" w:hAnsi="Arial"/>
                <w:sz w:val="11"/>
                <w:szCs w:val="11"/>
                <w:color w:val="auto"/>
              </w:rPr>
              <w:t>Enhance three prioritized business and/or governance</w:t>
            </w:r>
          </w:p>
        </w:tc>
        <w:tc>
          <w:tcPr>
            <w:tcW w:w="1280" w:type="dxa"/>
            <w:vAlign w:val="bottom"/>
            <w:tcBorders>
              <w:right w:val="single" w:sz="8" w:color="auto"/>
            </w:tcBorders>
            <w:shd w:val="clear" w:color="auto" w:fill="DCDCDE"/>
          </w:tcPr>
          <w:p>
            <w:pPr>
              <w:jc w:val="center"/>
              <w:ind w:right="64"/>
              <w:spacing w:after="0" w:line="115" w:lineRule="exact"/>
              <w:rPr>
                <w:sz w:val="20"/>
                <w:szCs w:val="20"/>
                <w:color w:val="auto"/>
              </w:rPr>
            </w:pPr>
            <w:r>
              <w:rPr>
                <w:rFonts w:ascii="Arial" w:cs="Arial" w:eastAsia="Arial" w:hAnsi="Arial"/>
                <w:sz w:val="11"/>
                <w:szCs w:val="11"/>
                <w:color w:val="auto"/>
                <w:w w:val="93"/>
              </w:rPr>
              <w:t>Meets</w:t>
            </w:r>
          </w:p>
        </w:tc>
        <w:tc>
          <w:tcPr>
            <w:tcW w:w="300" w:type="dxa"/>
            <w:vAlign w:val="bottom"/>
            <w:shd w:val="clear" w:color="auto" w:fill="DCDCDE"/>
          </w:tcPr>
          <w:p>
            <w:pPr>
              <w:ind w:left="140"/>
              <w:spacing w:after="0" w:line="115" w:lineRule="exact"/>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shd w:val="clear" w:color="auto" w:fill="DCDCDE"/>
          </w:tcPr>
          <w:p>
            <w:pPr>
              <w:ind w:left="120"/>
              <w:spacing w:after="0" w:line="115" w:lineRule="exact"/>
              <w:rPr>
                <w:sz w:val="20"/>
                <w:szCs w:val="20"/>
                <w:color w:val="auto"/>
              </w:rPr>
            </w:pPr>
            <w:r>
              <w:rPr>
                <w:rFonts w:ascii="Arial" w:cs="Arial" w:eastAsia="Arial" w:hAnsi="Arial"/>
                <w:sz w:val="11"/>
                <w:szCs w:val="11"/>
                <w:color w:val="auto"/>
              </w:rPr>
              <w:t>Developed commercial pricing committee;</w:t>
            </w:r>
          </w:p>
        </w:tc>
      </w:tr>
      <w:tr>
        <w:trPr>
          <w:trHeight w:val="225"/>
        </w:trPr>
        <w:tc>
          <w:tcPr>
            <w:tcW w:w="5060" w:type="dxa"/>
            <w:vAlign w:val="bottom"/>
            <w:tcBorders>
              <w:left w:val="single" w:sz="8" w:color="auto"/>
              <w:right w:val="single" w:sz="8" w:color="auto"/>
            </w:tcBorders>
            <w:shd w:val="clear" w:color="auto" w:fill="DCDCDE"/>
          </w:tcPr>
          <w:p>
            <w:pPr>
              <w:ind w:left="240"/>
              <w:spacing w:after="0"/>
              <w:rPr>
                <w:sz w:val="20"/>
                <w:szCs w:val="20"/>
                <w:color w:val="auto"/>
              </w:rPr>
            </w:pPr>
            <w:r>
              <w:rPr>
                <w:rFonts w:ascii="Arial" w:cs="Arial" w:eastAsia="Arial" w:hAnsi="Arial"/>
                <w:sz w:val="11"/>
                <w:szCs w:val="11"/>
                <w:color w:val="auto"/>
              </w:rPr>
              <w:t>processes to ensure scalability and effectiveness.</w:t>
            </w:r>
          </w:p>
        </w:tc>
        <w:tc>
          <w:tcPr>
            <w:tcW w:w="1280" w:type="dxa"/>
            <w:vAlign w:val="bottom"/>
            <w:tcBorders>
              <w:right w:val="single" w:sz="8" w:color="auto"/>
            </w:tcBorders>
            <w:shd w:val="clear" w:color="auto" w:fill="DCDCDE"/>
          </w:tcPr>
          <w:p>
            <w:pPr>
              <w:spacing w:after="0"/>
              <w:rPr>
                <w:sz w:val="19"/>
                <w:szCs w:val="19"/>
                <w:color w:val="auto"/>
              </w:rPr>
            </w:pPr>
          </w:p>
        </w:tc>
        <w:tc>
          <w:tcPr>
            <w:tcW w:w="300" w:type="dxa"/>
            <w:vAlign w:val="bottom"/>
            <w:shd w:val="clear" w:color="auto" w:fill="DCDCDE"/>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shd w:val="clear" w:color="auto" w:fill="DCDCDE"/>
          </w:tcPr>
          <w:p>
            <w:pPr>
              <w:ind w:left="120"/>
              <w:spacing w:after="0"/>
              <w:rPr>
                <w:sz w:val="20"/>
                <w:szCs w:val="20"/>
                <w:color w:val="auto"/>
              </w:rPr>
            </w:pPr>
            <w:r>
              <w:rPr>
                <w:rFonts w:ascii="Arial" w:cs="Arial" w:eastAsia="Arial" w:hAnsi="Arial"/>
                <w:sz w:val="11"/>
                <w:szCs w:val="11"/>
                <w:color w:val="auto"/>
              </w:rPr>
              <w:t>Developed integrated planning approach linking strategic plan to annual plan, resource</w:t>
            </w:r>
          </w:p>
        </w:tc>
      </w:tr>
      <w:tr>
        <w:trPr>
          <w:trHeight w:val="124"/>
        </w:trPr>
        <w:tc>
          <w:tcPr>
            <w:tcW w:w="5060" w:type="dxa"/>
            <w:vAlign w:val="bottom"/>
            <w:tcBorders>
              <w:left w:val="single" w:sz="8" w:color="auto"/>
              <w:right w:val="single" w:sz="8" w:color="auto"/>
            </w:tcBorders>
            <w:shd w:val="clear" w:color="auto" w:fill="DCDCDE"/>
          </w:tcPr>
          <w:p>
            <w:pPr>
              <w:spacing w:after="0"/>
              <w:rPr>
                <w:sz w:val="10"/>
                <w:szCs w:val="10"/>
                <w:color w:val="auto"/>
              </w:rPr>
            </w:pPr>
          </w:p>
        </w:tc>
        <w:tc>
          <w:tcPr>
            <w:tcW w:w="1280" w:type="dxa"/>
            <w:vAlign w:val="bottom"/>
            <w:tcBorders>
              <w:right w:val="single" w:sz="8" w:color="auto"/>
            </w:tcBorders>
            <w:shd w:val="clear" w:color="auto" w:fill="DCDCDE"/>
          </w:tcPr>
          <w:p>
            <w:pPr>
              <w:spacing w:after="0"/>
              <w:rPr>
                <w:sz w:val="10"/>
                <w:szCs w:val="10"/>
                <w:color w:val="auto"/>
              </w:rPr>
            </w:pPr>
          </w:p>
        </w:tc>
        <w:tc>
          <w:tcPr>
            <w:tcW w:w="300" w:type="dxa"/>
            <w:vAlign w:val="bottom"/>
            <w:shd w:val="clear" w:color="auto" w:fill="DCDCDE"/>
          </w:tcPr>
          <w:p>
            <w:pPr>
              <w:spacing w:after="0"/>
              <w:rPr>
                <w:sz w:val="10"/>
                <w:szCs w:val="10"/>
                <w:color w:val="auto"/>
              </w:rPr>
            </w:pPr>
          </w:p>
        </w:tc>
        <w:tc>
          <w:tcPr>
            <w:tcW w:w="4620" w:type="dxa"/>
            <w:vAlign w:val="bottom"/>
            <w:tcBorders>
              <w:right w:val="single" w:sz="8" w:color="auto"/>
            </w:tcBorders>
            <w:shd w:val="clear" w:color="auto" w:fill="DCDCDE"/>
          </w:tcPr>
          <w:p>
            <w:pPr>
              <w:ind w:left="120"/>
              <w:spacing w:after="0" w:line="124" w:lineRule="exact"/>
              <w:rPr>
                <w:sz w:val="20"/>
                <w:szCs w:val="20"/>
                <w:color w:val="auto"/>
              </w:rPr>
            </w:pPr>
            <w:r>
              <w:rPr>
                <w:rFonts w:ascii="Arial" w:cs="Arial" w:eastAsia="Arial" w:hAnsi="Arial"/>
                <w:sz w:val="11"/>
                <w:szCs w:val="11"/>
                <w:color w:val="auto"/>
              </w:rPr>
              <w:t>planning and budgeting; and</w:t>
            </w:r>
          </w:p>
        </w:tc>
      </w:tr>
      <w:tr>
        <w:trPr>
          <w:trHeight w:val="248"/>
        </w:trPr>
        <w:tc>
          <w:tcPr>
            <w:tcW w:w="5060" w:type="dxa"/>
            <w:vAlign w:val="bottom"/>
            <w:tcBorders>
              <w:left w:val="single" w:sz="8" w:color="auto"/>
              <w:bottom w:val="single" w:sz="8" w:color="auto"/>
              <w:right w:val="single" w:sz="8" w:color="auto"/>
            </w:tcBorders>
            <w:shd w:val="clear" w:color="auto" w:fill="DCDCDE"/>
          </w:tcPr>
          <w:p>
            <w:pPr>
              <w:spacing w:after="0"/>
              <w:rPr>
                <w:sz w:val="21"/>
                <w:szCs w:val="21"/>
                <w:color w:val="auto"/>
              </w:rPr>
            </w:pPr>
          </w:p>
        </w:tc>
        <w:tc>
          <w:tcPr>
            <w:tcW w:w="1280" w:type="dxa"/>
            <w:vAlign w:val="bottom"/>
            <w:tcBorders>
              <w:bottom w:val="single" w:sz="8" w:color="auto"/>
              <w:right w:val="single" w:sz="8" w:color="auto"/>
            </w:tcBorders>
            <w:shd w:val="clear" w:color="auto" w:fill="DCDCDE"/>
          </w:tcPr>
          <w:p>
            <w:pPr>
              <w:spacing w:after="0"/>
              <w:rPr>
                <w:sz w:val="21"/>
                <w:szCs w:val="21"/>
                <w:color w:val="auto"/>
              </w:rPr>
            </w:pPr>
          </w:p>
        </w:tc>
        <w:tc>
          <w:tcPr>
            <w:tcW w:w="300" w:type="dxa"/>
            <w:vAlign w:val="bottom"/>
            <w:tcBorders>
              <w:bottom w:val="single" w:sz="8" w:color="auto"/>
            </w:tcBorders>
            <w:shd w:val="clear" w:color="auto" w:fill="DCDCDE"/>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bottom w:val="single" w:sz="8" w:color="auto"/>
              <w:right w:val="single" w:sz="8" w:color="auto"/>
            </w:tcBorders>
            <w:shd w:val="clear" w:color="auto" w:fill="DCDCDE"/>
          </w:tcPr>
          <w:p>
            <w:pPr>
              <w:ind w:left="120"/>
              <w:spacing w:after="0"/>
              <w:rPr>
                <w:sz w:val="20"/>
                <w:szCs w:val="20"/>
                <w:color w:val="auto"/>
              </w:rPr>
            </w:pPr>
            <w:r>
              <w:rPr>
                <w:rFonts w:ascii="Arial" w:cs="Arial" w:eastAsia="Arial" w:hAnsi="Arial"/>
                <w:sz w:val="11"/>
                <w:szCs w:val="11"/>
                <w:color w:val="auto"/>
              </w:rPr>
              <w:t>Improved timekeeping on-time performance.</w:t>
            </w:r>
          </w:p>
        </w:tc>
      </w:tr>
      <w:tr>
        <w:trPr>
          <w:trHeight w:val="136"/>
        </w:trPr>
        <w:tc>
          <w:tcPr>
            <w:tcW w:w="50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1"/>
                <w:szCs w:val="11"/>
                <w:color w:val="auto"/>
              </w:rPr>
              <w:t>Develop employee engagement strategy and execute 2019 plan.</w:t>
            </w:r>
          </w:p>
        </w:tc>
        <w:tc>
          <w:tcPr>
            <w:tcW w:w="1280" w:type="dxa"/>
            <w:vAlign w:val="bottom"/>
            <w:tcBorders>
              <w:right w:val="single" w:sz="8" w:color="auto"/>
            </w:tcBorders>
          </w:tcPr>
          <w:p>
            <w:pPr>
              <w:jc w:val="center"/>
              <w:ind w:right="64"/>
              <w:spacing w:after="0"/>
              <w:rPr>
                <w:sz w:val="20"/>
                <w:szCs w:val="20"/>
                <w:color w:val="auto"/>
              </w:rPr>
            </w:pPr>
            <w:r>
              <w:rPr>
                <w:rFonts w:ascii="Arial" w:cs="Arial" w:eastAsia="Arial" w:hAnsi="Arial"/>
                <w:sz w:val="11"/>
                <w:szCs w:val="11"/>
                <w:color w:val="auto"/>
                <w:w w:val="93"/>
              </w:rPr>
              <w:t>Meets</w:t>
            </w: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Achieved targeted participation rate in inaugural survey;</w:t>
            </w:r>
          </w:p>
        </w:tc>
      </w:tr>
      <w:tr>
        <w:trPr>
          <w:trHeight w:val="239"/>
        </w:trPr>
        <w:tc>
          <w:tcPr>
            <w:tcW w:w="5060" w:type="dxa"/>
            <w:vAlign w:val="bottom"/>
            <w:tcBorders>
              <w:left w:val="single" w:sz="8" w:color="auto"/>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Delivered comprehensive education at all levels; and</w:t>
            </w:r>
          </w:p>
        </w:tc>
      </w:tr>
      <w:tr>
        <w:trPr>
          <w:trHeight w:val="248"/>
        </w:trPr>
        <w:tc>
          <w:tcPr>
            <w:tcW w:w="5060" w:type="dxa"/>
            <w:vAlign w:val="bottom"/>
            <w:tcBorders>
              <w:left w:val="single" w:sz="8" w:color="auto"/>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Set Engagement Roadmap &amp; Strategy linked to 2020-2024 Strategic Plan.</w:t>
            </w:r>
          </w:p>
        </w:tc>
      </w:tr>
      <w:tr>
        <w:trPr>
          <w:trHeight w:val="45"/>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r>
        <w:trPr>
          <w:trHeight w:val="115"/>
        </w:trPr>
        <w:tc>
          <w:tcPr>
            <w:tcW w:w="5060" w:type="dxa"/>
            <w:vAlign w:val="bottom"/>
            <w:tcBorders>
              <w:left w:val="single" w:sz="8" w:color="auto"/>
              <w:bottom w:val="single" w:sz="8" w:color="auto"/>
              <w:right w:val="single" w:sz="8" w:color="auto"/>
            </w:tcBorders>
            <w:shd w:val="clear" w:color="auto" w:fill="DCDCDE"/>
          </w:tcPr>
          <w:p>
            <w:pPr>
              <w:ind w:left="240"/>
              <w:spacing w:after="0" w:line="115" w:lineRule="exact"/>
              <w:rPr>
                <w:sz w:val="20"/>
                <w:szCs w:val="20"/>
                <w:color w:val="auto"/>
              </w:rPr>
            </w:pPr>
            <w:r>
              <w:rPr>
                <w:rFonts w:ascii="Arial" w:cs="Arial" w:eastAsia="Arial" w:hAnsi="Arial"/>
                <w:sz w:val="11"/>
                <w:szCs w:val="11"/>
                <w:color w:val="auto"/>
              </w:rPr>
              <w:t>Achieve total revenues of $1.1 billion.</w:t>
            </w:r>
          </w:p>
        </w:tc>
        <w:tc>
          <w:tcPr>
            <w:tcW w:w="1280" w:type="dxa"/>
            <w:vAlign w:val="bottom"/>
            <w:tcBorders>
              <w:bottom w:val="single" w:sz="8" w:color="auto"/>
              <w:right w:val="single" w:sz="8" w:color="auto"/>
            </w:tcBorders>
            <w:shd w:val="clear" w:color="auto" w:fill="DCDCDE"/>
          </w:tcPr>
          <w:p>
            <w:pPr>
              <w:jc w:val="center"/>
              <w:ind w:right="64"/>
              <w:spacing w:after="0" w:line="115" w:lineRule="exact"/>
              <w:rPr>
                <w:sz w:val="20"/>
                <w:szCs w:val="20"/>
                <w:color w:val="auto"/>
              </w:rPr>
            </w:pPr>
            <w:r>
              <w:rPr>
                <w:rFonts w:ascii="Arial" w:cs="Arial" w:eastAsia="Arial" w:hAnsi="Arial"/>
                <w:sz w:val="11"/>
                <w:szCs w:val="11"/>
                <w:color w:val="auto"/>
                <w:w w:val="93"/>
              </w:rPr>
              <w:t>Meets</w:t>
            </w:r>
          </w:p>
        </w:tc>
        <w:tc>
          <w:tcPr>
            <w:tcW w:w="300" w:type="dxa"/>
            <w:vAlign w:val="bottom"/>
            <w:tcBorders>
              <w:bottom w:val="single" w:sz="8" w:color="auto"/>
            </w:tcBorders>
            <w:shd w:val="clear" w:color="auto" w:fill="DCDCDE"/>
          </w:tcPr>
          <w:p>
            <w:pPr>
              <w:ind w:left="140"/>
              <w:spacing w:after="0" w:line="115" w:lineRule="exact"/>
              <w:rPr>
                <w:sz w:val="20"/>
                <w:szCs w:val="20"/>
                <w:color w:val="auto"/>
              </w:rPr>
            </w:pPr>
            <w:r>
              <w:rPr>
                <w:rFonts w:ascii="Arial" w:cs="Arial" w:eastAsia="Arial" w:hAnsi="Arial"/>
                <w:sz w:val="11"/>
                <w:szCs w:val="11"/>
                <w:color w:val="auto"/>
              </w:rPr>
              <w:t>•</w:t>
            </w:r>
          </w:p>
        </w:tc>
        <w:tc>
          <w:tcPr>
            <w:tcW w:w="4620" w:type="dxa"/>
            <w:vAlign w:val="bottom"/>
            <w:tcBorders>
              <w:bottom w:val="single" w:sz="8" w:color="auto"/>
              <w:right w:val="single" w:sz="8" w:color="auto"/>
            </w:tcBorders>
            <w:shd w:val="clear" w:color="auto" w:fill="DCDCDE"/>
          </w:tcPr>
          <w:p>
            <w:pPr>
              <w:ind w:left="120"/>
              <w:spacing w:after="0" w:line="115" w:lineRule="exact"/>
              <w:rPr>
                <w:sz w:val="20"/>
                <w:szCs w:val="20"/>
                <w:color w:val="auto"/>
              </w:rPr>
            </w:pPr>
            <w:r>
              <w:rPr>
                <w:rFonts w:ascii="Arial" w:cs="Arial" w:eastAsia="Arial" w:hAnsi="Arial"/>
                <w:sz w:val="11"/>
                <w:szCs w:val="11"/>
                <w:color w:val="auto"/>
              </w:rPr>
              <w:t>Achieved total revenues of $1.1 billion.</w:t>
            </w:r>
          </w:p>
        </w:tc>
      </w:tr>
      <w:tr>
        <w:trPr>
          <w:trHeight w:val="136"/>
        </w:trPr>
        <w:tc>
          <w:tcPr>
            <w:tcW w:w="506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1"/>
                <w:szCs w:val="11"/>
                <w:color w:val="auto"/>
              </w:rPr>
              <w:t>Achieve Adjusted Net Income of $179 million.</w:t>
            </w:r>
          </w:p>
        </w:tc>
        <w:tc>
          <w:tcPr>
            <w:tcW w:w="1280" w:type="dxa"/>
            <w:vAlign w:val="bottom"/>
            <w:tcBorders>
              <w:right w:val="single" w:sz="8" w:color="auto"/>
            </w:tcBorders>
          </w:tcPr>
          <w:p>
            <w:pPr>
              <w:jc w:val="center"/>
              <w:ind w:right="64"/>
              <w:spacing w:after="0"/>
              <w:rPr>
                <w:sz w:val="20"/>
                <w:szCs w:val="20"/>
                <w:color w:val="auto"/>
              </w:rPr>
            </w:pPr>
            <w:r>
              <w:rPr>
                <w:rFonts w:ascii="Arial" w:cs="Arial" w:eastAsia="Arial" w:hAnsi="Arial"/>
                <w:sz w:val="11"/>
                <w:szCs w:val="11"/>
                <w:color w:val="auto"/>
                <w:w w:val="92"/>
              </w:rPr>
              <w:t>Does Not Meet</w:t>
            </w:r>
          </w:p>
        </w:tc>
        <w:tc>
          <w:tcPr>
            <w:tcW w:w="300" w:type="dxa"/>
            <w:vAlign w:val="bottom"/>
          </w:tcPr>
          <w:p>
            <w:pPr>
              <w:ind w:left="140"/>
              <w:spacing w:after="0"/>
              <w:rPr>
                <w:sz w:val="20"/>
                <w:szCs w:val="20"/>
                <w:color w:val="auto"/>
              </w:rPr>
            </w:pPr>
            <w:r>
              <w:rPr>
                <w:rFonts w:ascii="Arial" w:cs="Arial" w:eastAsia="Arial" w:hAnsi="Arial"/>
                <w:sz w:val="11"/>
                <w:szCs w:val="11"/>
                <w:color w:val="auto"/>
              </w:rPr>
              <w:t>•</w:t>
            </w:r>
          </w:p>
        </w:tc>
        <w:tc>
          <w:tcPr>
            <w:tcW w:w="4620" w:type="dxa"/>
            <w:vAlign w:val="bottom"/>
            <w:tcBorders>
              <w:right w:val="single" w:sz="8" w:color="auto"/>
            </w:tcBorders>
          </w:tcPr>
          <w:p>
            <w:pPr>
              <w:ind w:left="120"/>
              <w:spacing w:after="0"/>
              <w:rPr>
                <w:sz w:val="20"/>
                <w:szCs w:val="20"/>
                <w:color w:val="auto"/>
              </w:rPr>
            </w:pPr>
            <w:r>
              <w:rPr>
                <w:rFonts w:ascii="Arial" w:cs="Arial" w:eastAsia="Arial" w:hAnsi="Arial"/>
                <w:sz w:val="11"/>
                <w:szCs w:val="11"/>
                <w:color w:val="auto"/>
              </w:rPr>
              <w:t>Achieved Adjusted Net Income of $152 million.</w:t>
            </w:r>
          </w:p>
        </w:tc>
      </w:tr>
      <w:tr>
        <w:trPr>
          <w:trHeight w:val="36"/>
        </w:trPr>
        <w:tc>
          <w:tcPr>
            <w:tcW w:w="5060" w:type="dxa"/>
            <w:vAlign w:val="bottom"/>
            <w:tcBorders>
              <w:left w:val="single" w:sz="8" w:color="auto"/>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620" w:type="dxa"/>
            <w:vAlign w:val="bottom"/>
            <w:tcBorders>
              <w:bottom w:val="single" w:sz="8" w:color="auto"/>
              <w:right w:val="single" w:sz="8" w:color="auto"/>
            </w:tcBorders>
          </w:tcPr>
          <w:p>
            <w:pPr>
              <w:spacing w:after="0"/>
              <w:rPr>
                <w:sz w:val="3"/>
                <w:szCs w:val="3"/>
                <w:color w:val="auto"/>
              </w:rPr>
            </w:pPr>
          </w:p>
        </w:tc>
      </w:tr>
    </w:tbl>
    <w:p>
      <w:pPr>
        <w:spacing w:after="0" w:line="173" w:lineRule="exact"/>
        <w:rPr>
          <w:sz w:val="20"/>
          <w:szCs w:val="20"/>
          <w:color w:val="auto"/>
        </w:rPr>
      </w:pPr>
    </w:p>
    <w:p>
      <w:pPr>
        <w:jc w:val="both"/>
        <w:ind w:firstLine="428"/>
        <w:spacing w:after="0" w:line="306" w:lineRule="auto"/>
        <w:rPr>
          <w:sz w:val="20"/>
          <w:szCs w:val="20"/>
          <w:color w:val="auto"/>
        </w:rPr>
      </w:pPr>
      <w:r>
        <w:rPr>
          <w:rFonts w:ascii="Arial" w:cs="Arial" w:eastAsia="Arial" w:hAnsi="Arial"/>
          <w:sz w:val="14"/>
          <w:szCs w:val="14"/>
          <w:color w:val="auto"/>
        </w:rPr>
        <w:t>In reviewing our performance against goals set for 2019, the compensation committee also considered, among other things, the following key accomplishments, as well as certain performance areas not fully meeting expectations (collectively, the "Primary Factors Driving Performance"), which applied to all bonus eligible named executive officers: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5"/>
          <w:szCs w:val="15"/>
          <w:i w:val="1"/>
          <w:iCs w:val="1"/>
          <w:u w:val="single" w:color="auto"/>
          <w:color w:val="auto"/>
        </w:rPr>
        <w:t>Key Accomplishments</w:t>
      </w:r>
      <w:r>
        <w:rPr>
          <w:rFonts w:ascii="Arial" w:cs="Arial" w:eastAsia="Arial" w:hAnsi="Arial"/>
          <w:sz w:val="15"/>
          <w:szCs w:val="15"/>
          <w:i w:val="1"/>
          <w:iCs w:val="1"/>
          <w:color w:val="auto"/>
        </w:rPr>
        <w:t>:</w:t>
      </w:r>
    </w:p>
    <w:p>
      <w:pPr>
        <w:spacing w:after="0" w:line="199" w:lineRule="exact"/>
        <w:rPr>
          <w:sz w:val="20"/>
          <w:szCs w:val="20"/>
          <w:color w:val="auto"/>
        </w:rPr>
      </w:pPr>
    </w:p>
    <w:p>
      <w:pPr>
        <w:ind w:left="900" w:hanging="45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Corporate performance at/above target 2019 goals in all areas with exception of Adjusted Net Income (discussed above);</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Successful chief executive officer transition; appointed and aligned efforts of new leadership team;</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Completion of Adapt Pharma and PaxVax integrations;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Contracts awarded in 2019 for products and product candidates with over $3 billion in potential revenues over ten years (ACAM, AV7909, BAT, VIG, RSDL); and</w:t>
      </w:r>
    </w:p>
    <w:p>
      <w:pPr>
        <w:spacing w:after="0" w:line="222" w:lineRule="exact"/>
        <w:rPr>
          <w:rFonts w:ascii="Arial" w:cs="Arial" w:eastAsia="Arial" w:hAnsi="Arial"/>
          <w:sz w:val="14"/>
          <w:szCs w:val="14"/>
          <w:color w:val="auto"/>
        </w:rPr>
      </w:pPr>
    </w:p>
    <w:p>
      <w:pPr>
        <w:ind w:left="900" w:hanging="459"/>
        <w:spacing w:after="0"/>
        <w:tabs>
          <w:tab w:leader="none" w:pos="9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Achieved 2016-2020 strategic plan one year ahead of schedule; developed 2020-2024 Strategic Plan.</w:t>
      </w:r>
    </w:p>
    <w:p>
      <w:pPr>
        <w:spacing w:after="0" w:line="188"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5"/>
          <w:szCs w:val="15"/>
          <w:i w:val="1"/>
          <w:iCs w:val="1"/>
          <w:color w:val="auto"/>
        </w:rPr>
        <w:t xml:space="preserve">Equity Awards. </w:t>
      </w:r>
      <w:r>
        <w:rPr>
          <w:rFonts w:ascii="Arial" w:cs="Arial" w:eastAsia="Arial" w:hAnsi="Arial"/>
          <w:sz w:val="15"/>
          <w:szCs w:val="15"/>
          <w:color w:val="auto"/>
        </w:rPr>
        <w:t>Stock options, RSUs and PSUs serve as the forms of long-term incentive compensation for our named executive officers, except for our executive chairman, who only</w:t>
      </w:r>
      <w:r>
        <w:rPr>
          <w:rFonts w:ascii="Arial" w:cs="Arial" w:eastAsia="Arial" w:hAnsi="Arial"/>
          <w:sz w:val="15"/>
          <w:szCs w:val="15"/>
          <w:i w:val="1"/>
          <w:iCs w:val="1"/>
          <w:color w:val="auto"/>
        </w:rPr>
        <w:t xml:space="preserve"> </w:t>
      </w:r>
      <w:r>
        <w:rPr>
          <w:rFonts w:ascii="Arial" w:cs="Arial" w:eastAsia="Arial" w:hAnsi="Arial"/>
          <w:sz w:val="15"/>
          <w:szCs w:val="15"/>
          <w:color w:val="auto"/>
        </w:rPr>
        <w:t>receives stock options and RSUs. PSUs were included beginning in 2017 to provide a long-term performance-based element to the mix of annual equity grants. All stock option, RSU and PSU grants to named executive officers are approved by the compensation committee.</w:t>
      </w:r>
    </w:p>
    <w:p>
      <w:pPr>
        <w:spacing w:after="0" w:line="161" w:lineRule="exact"/>
        <w:rPr>
          <w:sz w:val="20"/>
          <w:szCs w:val="20"/>
          <w:color w:val="auto"/>
        </w:rPr>
      </w:pPr>
    </w:p>
    <w:p>
      <w:pPr>
        <w:jc w:val="both"/>
        <w:ind w:firstLine="312"/>
        <w:spacing w:after="0" w:line="260" w:lineRule="auto"/>
        <w:rPr>
          <w:sz w:val="20"/>
          <w:szCs w:val="20"/>
          <w:color w:val="auto"/>
        </w:rPr>
      </w:pPr>
      <w:r>
        <w:rPr>
          <w:rFonts w:ascii="Arial" w:cs="Arial" w:eastAsia="Arial" w:hAnsi="Arial"/>
          <w:sz w:val="15"/>
          <w:szCs w:val="15"/>
          <w:color w:val="auto"/>
        </w:rPr>
        <w:t>Equity awards to named executive officers in 2019 were determined using a combination of the 2019 Survey Data and peer proxy data, as applicable. The survey and proxy data set forth a dollar value for the amount of equity grants that we may make to named executive officers. Target equity award values are intended to align with the market median, but actual grants may be positioned above or below based on individual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0" w:name="page51"/>
    <w:bookmarkEnd w:id="5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following calculations form the basis for the number of stock options, RSUs and PSUs granted to our named executive officers in 2019:</w:t>
      </w:r>
    </w:p>
    <w:p>
      <w:pPr>
        <w:spacing w:after="0" w:line="199" w:lineRule="exact"/>
        <w:rPr>
          <w:sz w:val="20"/>
          <w:szCs w:val="20"/>
          <w:color w:val="auto"/>
        </w:rPr>
      </w:pPr>
    </w:p>
    <w:p>
      <w:pPr>
        <w:ind w:left="900" w:right="20" w:hanging="459"/>
        <w:spacing w:after="0" w:line="270"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number of options is equal to 50% of the total desired long-term incentive value divided by 50% of the closing price of our common stock on the NYSE one day prior to the date of grant.</w:t>
      </w:r>
    </w:p>
    <w:p>
      <w:pPr>
        <w:spacing w:after="0" w:line="175" w:lineRule="exact"/>
        <w:rPr>
          <w:rFonts w:ascii="Arial" w:cs="Arial" w:eastAsia="Arial" w:hAnsi="Arial"/>
          <w:sz w:val="15"/>
          <w:szCs w:val="15"/>
          <w:color w:val="auto"/>
        </w:rPr>
      </w:pPr>
    </w:p>
    <w:p>
      <w:pPr>
        <w:ind w:left="900" w:hanging="459"/>
        <w:spacing w:after="0" w:line="270"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number of RSUs is equal to 25% (50% in the case of our executive chairman) of the desired long-term incentive value divided by the closing price of our common stock on the NYSE one day prior to the date of grant.</w:t>
      </w:r>
    </w:p>
    <w:p>
      <w:pPr>
        <w:spacing w:after="0" w:line="164" w:lineRule="exact"/>
        <w:rPr>
          <w:rFonts w:ascii="Arial" w:cs="Arial" w:eastAsia="Arial" w:hAnsi="Arial"/>
          <w:sz w:val="15"/>
          <w:szCs w:val="15"/>
          <w:color w:val="auto"/>
        </w:rPr>
      </w:pPr>
    </w:p>
    <w:p>
      <w:pPr>
        <w:jc w:val="both"/>
        <w:ind w:left="900" w:hanging="459"/>
        <w:spacing w:after="0" w:line="257" w:lineRule="auto"/>
        <w:tabs>
          <w:tab w:leader="none" w:pos="9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For named executive officers, other than our executive chairman, the target number of PSUs is equal to 25% of the desired long-term incentive value divided by the closing price of our common stock on the NYSE one day prior to the date of grant. The actual number of units awarded will depend on the level of performance achieved under the terms of the PSU agreement. </w:t>
      </w:r>
      <w:r>
        <w:rPr>
          <w:rFonts w:ascii="Arial" w:cs="Arial" w:eastAsia="Arial" w:hAnsi="Arial"/>
          <w:sz w:val="15"/>
          <w:szCs w:val="15"/>
          <w:i w:val="1"/>
          <w:iCs w:val="1"/>
          <w:color w:val="auto"/>
        </w:rPr>
        <w:t>See</w:t>
      </w:r>
      <w:r>
        <w:rPr>
          <w:rFonts w:ascii="Arial" w:cs="Arial" w:eastAsia="Arial" w:hAnsi="Arial"/>
          <w:sz w:val="15"/>
          <w:szCs w:val="15"/>
          <w:color w:val="auto"/>
        </w:rPr>
        <w:t xml:space="preserve"> prior discussion of the PSUs under the section titled "The equity compensation program should align executive interests with those of stockholders." Our executive chairman does not receive PSU grants.</w:t>
      </w:r>
    </w:p>
    <w:p>
      <w:pPr>
        <w:spacing w:after="0" w:line="163"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5"/>
          <w:szCs w:val="15"/>
          <w:color w:val="auto"/>
        </w:rPr>
        <w:t>We generally make an equity grant on the third trading day following the release of our financial results for the most recently completed fiscal quarter to executives who have been hired or promoted since the occurrence of the last equity grant. If circumstances warrant, we also may make equity grants at various other points throughout the year. The compensation committee makes all awards to executive officers, while our chief executive officer, chief financial officer, and executive chairman have been authorized to make awards to eligible employees other than executive officers.</w:t>
      </w:r>
    </w:p>
    <w:p>
      <w:pPr>
        <w:spacing w:after="0" w:line="163" w:lineRule="exact"/>
        <w:rPr>
          <w:sz w:val="20"/>
          <w:szCs w:val="20"/>
          <w:color w:val="auto"/>
        </w:rPr>
      </w:pPr>
    </w:p>
    <w:p>
      <w:pPr>
        <w:jc w:val="both"/>
        <w:ind w:firstLine="305"/>
        <w:spacing w:after="0" w:line="257" w:lineRule="auto"/>
        <w:rPr>
          <w:sz w:val="20"/>
          <w:szCs w:val="20"/>
          <w:color w:val="auto"/>
        </w:rPr>
      </w:pPr>
      <w:r>
        <w:rPr>
          <w:rFonts w:ascii="Arial" w:cs="Arial" w:eastAsia="Arial" w:hAnsi="Arial"/>
          <w:sz w:val="15"/>
          <w:szCs w:val="15"/>
          <w:color w:val="auto"/>
        </w:rPr>
        <w:t>The exercise price of all stock options we grant is equal to the fair market value of our common stock on the date of grant, which we consider to be the closing sales price of our common stock on the NYSE on the trading day immediately preceding the date of grant. Stock options and RSUs vest in three equal annual installments beginning on the day prior to the one-year anniversary of the date of grant and stock options have a seven-year term. The vesting feature of our stock option and RSUs awards is intended to aid in executive retention by providing an incentive to our executives to remain in our employ during the vesting period.</w:t>
      </w:r>
    </w:p>
    <w:p>
      <w:pPr>
        <w:spacing w:after="0" w:line="163" w:lineRule="exact"/>
        <w:rPr>
          <w:sz w:val="20"/>
          <w:szCs w:val="20"/>
          <w:color w:val="auto"/>
        </w:rPr>
      </w:pPr>
    </w:p>
    <w:p>
      <w:pPr>
        <w:jc w:val="both"/>
        <w:ind w:firstLine="308"/>
        <w:spacing w:after="0" w:line="319" w:lineRule="auto"/>
        <w:rPr>
          <w:sz w:val="20"/>
          <w:szCs w:val="20"/>
          <w:color w:val="auto"/>
        </w:rPr>
      </w:pPr>
      <w:r>
        <w:rPr>
          <w:rFonts w:ascii="Arial" w:cs="Arial" w:eastAsia="Arial" w:hAnsi="Arial"/>
          <w:sz w:val="13"/>
          <w:szCs w:val="13"/>
          <w:color w:val="auto"/>
        </w:rPr>
        <w:t>The compensation committee reviews all components of each executive's compensation when determining equity awards to ensure that an executive's total compensation conforms to our overall philosophy and objectives. The compensation committee may consider the value of previously granted equity awards in making future grants, but a significant amount of value represented by previous awards or a significant level of stock ownership will not necessarily cause the committee to forego making, or reduce the amount of, any future award.</w:t>
      </w:r>
    </w:p>
    <w:p>
      <w:pPr>
        <w:spacing w:after="0" w:line="125" w:lineRule="exact"/>
        <w:rPr>
          <w:sz w:val="20"/>
          <w:szCs w:val="20"/>
          <w:color w:val="auto"/>
        </w:rPr>
      </w:pPr>
    </w:p>
    <w:p>
      <w:pPr>
        <w:jc w:val="both"/>
        <w:ind w:firstLine="385"/>
        <w:spacing w:after="0" w:line="274" w:lineRule="auto"/>
        <w:rPr>
          <w:sz w:val="20"/>
          <w:szCs w:val="20"/>
          <w:color w:val="auto"/>
        </w:rPr>
      </w:pPr>
      <w:r>
        <w:rPr>
          <w:rFonts w:ascii="Arial" w:cs="Arial" w:eastAsia="Arial" w:hAnsi="Arial"/>
          <w:sz w:val="14"/>
          <w:szCs w:val="14"/>
          <w:color w:val="auto"/>
        </w:rPr>
        <w:t>With stock options, executives are rewarded if our stock price increases above the exercise price of the stock option. We believe that stock option awards are an effective method of motivating executives to manage our company in a manner that is consistent with the long-term interests of our stockholders. We believe that RSUs are another effective tool for motivating, retaining and incentivizing executives, particularly when used in combination with stock option awards. The stock ownership opportunities afforded by RSUs align motivation of executives with the goals of stockholders even in situations where declines in our stock price diminish the retentive or incentivizing effects of stock options. In addition, we believe that stock options and RSUs are simple for participants to understand and have engaged in training to ensure that these forms of equity-based compensation are familiar to our executives. The compensation committee introduced PSUs to the overall long-term incentive mix for named executive officers other than the executive chairman in 2017 in order to further align their interests with the long-term interests of our stockholders. The compensation committee has reviewed and will continue to monitor market trends with respect to equity incentives and may periodically evaluate the appropriateness of other forms of equity-based compensation.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1" w:name="page52"/>
    <w:bookmarkEnd w:id="5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83"/>
        <w:spacing w:after="0" w:line="257" w:lineRule="auto"/>
        <w:rPr>
          <w:sz w:val="20"/>
          <w:szCs w:val="20"/>
          <w:color w:val="auto"/>
        </w:rPr>
      </w:pPr>
      <w:r>
        <w:rPr>
          <w:rFonts w:ascii="Arial" w:cs="Arial" w:eastAsia="Arial" w:hAnsi="Arial"/>
          <w:sz w:val="15"/>
          <w:szCs w:val="15"/>
          <w:i w:val="1"/>
          <w:iCs w:val="1"/>
          <w:color w:val="auto"/>
        </w:rPr>
        <w:t xml:space="preserve">Benefits. </w:t>
      </w:r>
      <w:r>
        <w:rPr>
          <w:rFonts w:ascii="Arial" w:cs="Arial" w:eastAsia="Arial" w:hAnsi="Arial"/>
          <w:sz w:val="15"/>
          <w:szCs w:val="15"/>
          <w:color w:val="auto"/>
        </w:rPr>
        <w:t>We maintain broad-based benefits that are generally available to all employees, including health insurance, life and disability insurance, dental insurance and a 401(k) plan.</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Executives are eligible to participate in all of our employee benefit plans, in each case on the same basis as other employees. We provide a matching contribution for each 401(k) plan participant of 50% of the participant's elective deferrals for the year up to 6% of the participant's eligible compensation, subject to IRS limitations. The matching contribution is fully and immediately vested.</w:t>
      </w:r>
    </w:p>
    <w:p>
      <w:pPr>
        <w:spacing w:after="0" w:line="163" w:lineRule="exact"/>
        <w:rPr>
          <w:sz w:val="20"/>
          <w:szCs w:val="20"/>
          <w:color w:val="auto"/>
        </w:rPr>
      </w:pPr>
    </w:p>
    <w:p>
      <w:pPr>
        <w:jc w:val="both"/>
        <w:ind w:firstLine="315"/>
        <w:spacing w:after="0" w:line="296" w:lineRule="auto"/>
        <w:rPr>
          <w:sz w:val="20"/>
          <w:szCs w:val="20"/>
          <w:color w:val="auto"/>
        </w:rPr>
      </w:pPr>
      <w:r>
        <w:rPr>
          <w:rFonts w:ascii="Arial" w:cs="Arial" w:eastAsia="Arial" w:hAnsi="Arial"/>
          <w:sz w:val="13"/>
          <w:szCs w:val="13"/>
          <w:i w:val="1"/>
          <w:iCs w:val="1"/>
          <w:color w:val="auto"/>
        </w:rPr>
        <w:t xml:space="preserve">Executive Severance Arrangements. </w:t>
      </w:r>
      <w:r>
        <w:rPr>
          <w:rFonts w:ascii="Arial" w:cs="Arial" w:eastAsia="Arial" w:hAnsi="Arial"/>
          <w:sz w:val="13"/>
          <w:szCs w:val="13"/>
          <w:color w:val="auto"/>
        </w:rPr>
        <w:t>Compensation for our named executive officers includes severance and change of control arrangements, which are reflected in our Second Amended</w:t>
      </w:r>
      <w:r>
        <w:rPr>
          <w:rFonts w:ascii="Arial" w:cs="Arial" w:eastAsia="Arial" w:hAnsi="Arial"/>
          <w:sz w:val="13"/>
          <w:szCs w:val="13"/>
          <w:i w:val="1"/>
          <w:iCs w:val="1"/>
          <w:color w:val="auto"/>
        </w:rPr>
        <w:t xml:space="preserve"> </w:t>
      </w:r>
      <w:r>
        <w:rPr>
          <w:rFonts w:ascii="Arial" w:cs="Arial" w:eastAsia="Arial" w:hAnsi="Arial"/>
          <w:sz w:val="13"/>
          <w:szCs w:val="13"/>
          <w:color w:val="auto"/>
        </w:rPr>
        <w:t>and Restated Senior Management Severance Plan (the "Senior Management Severance Plan") effective July 16, 2015, which applies broadly to any employee of the company with the title of chief executive officer, president, executive vice president, senior vice president or vice president who has been designated to participate by the Board or, with the authorization of the Board, by the chief executive officer of the company. In addition, our executive chairman remains a participant in the plan subject to the payout and benefit levels described under "— Executive Compensation — Payments Upon Termination or Change of Control." Our Senior Management Severance Plan provides for payments and benefits as a result of involuntary termination without cause or termination of employment in particular circumstances in connection with a change of control. The compensation committee periodically reviews benchmarking data to evaluate whether the benefits to be received by each executive continue to be competitive compared to our updated Proxy Peer Group. The Senior Management Severance Plan is designed based on our understanding of market practice at comparable companies for similarly situated executives and in a manner that we believe is likely to attract and help retain high quality executive talent. The Senior Management Severance Plan is described in greater detail under "— Executive Compensation — Payments Upon Termination or Change of Control."</w:t>
      </w:r>
    </w:p>
    <w:p>
      <w:pPr>
        <w:spacing w:after="0" w:line="143" w:lineRule="exact"/>
        <w:rPr>
          <w:sz w:val="20"/>
          <w:szCs w:val="20"/>
          <w:color w:val="auto"/>
        </w:rPr>
      </w:pPr>
    </w:p>
    <w:p>
      <w:pPr>
        <w:jc w:val="both"/>
        <w:ind w:firstLine="397"/>
        <w:spacing w:after="0" w:line="275" w:lineRule="auto"/>
        <w:rPr>
          <w:sz w:val="20"/>
          <w:szCs w:val="20"/>
          <w:color w:val="auto"/>
        </w:rPr>
      </w:pPr>
      <w:r>
        <w:rPr>
          <w:rFonts w:ascii="Arial" w:cs="Arial" w:eastAsia="Arial" w:hAnsi="Arial"/>
          <w:sz w:val="14"/>
          <w:szCs w:val="14"/>
          <w:color w:val="auto"/>
        </w:rPr>
        <w:t>In making its decision to adopt the Senior Management Severance Plan, the compensation committee considered the views of Willis Towers Watson that the program was generally consistent with market practice, as well as information on the potential costs associated with the program. The triggers for benefits are based on the compensation committee's view of market practice and the compensation committee's view that some level of income continuation should be provided in the event a named executive officer's employment is terminated without cause or by the executive with good reason as those terms are defined in the Senior Management Severance Plan. The plan provides for "double-trigger" rather than "single-trigger" equity acceleration upon a change of control because the compensation committee believes that, based on its view of market practice, the vesting of outstanding equity awards should accelerate only if the executive is terminated without cause or leaves for good reason following a change of control. The plan does not provide any payments or benefits in the case of termination by an executive without good reason or in the case of termination for cause.</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u w:val="single" w:color="auto"/>
          <w:color w:val="auto"/>
        </w:rPr>
        <w:t>2019 Compensation Mix</w:t>
      </w:r>
    </w:p>
    <w:p>
      <w:pPr>
        <w:spacing w:after="0" w:line="192" w:lineRule="exact"/>
        <w:rPr>
          <w:sz w:val="20"/>
          <w:szCs w:val="20"/>
          <w:color w:val="auto"/>
        </w:rPr>
      </w:pPr>
    </w:p>
    <w:p>
      <w:pPr>
        <w:jc w:val="both"/>
        <w:ind w:firstLine="391"/>
        <w:spacing w:after="0" w:line="270" w:lineRule="auto"/>
        <w:rPr>
          <w:sz w:val="20"/>
          <w:szCs w:val="20"/>
          <w:color w:val="auto"/>
        </w:rPr>
      </w:pPr>
      <w:r>
        <w:rPr>
          <w:rFonts w:ascii="Arial" w:cs="Arial" w:eastAsia="Arial" w:hAnsi="Arial"/>
          <w:sz w:val="15"/>
          <w:szCs w:val="15"/>
          <w:color w:val="auto"/>
        </w:rPr>
        <w:t>The following pie charts set forth information regarding the actual mix of compensation for 2019 for our executive chairman, chief executive officer and our 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101600</wp:posOffset>
            </wp:positionV>
            <wp:extent cx="4636135" cy="1101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636135" cy="110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2" w:name="page53"/>
    <w:bookmarkEnd w:id="5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right="20" w:firstLine="330"/>
        <w:spacing w:after="0" w:line="270" w:lineRule="auto"/>
        <w:rPr>
          <w:sz w:val="20"/>
          <w:szCs w:val="20"/>
          <w:color w:val="auto"/>
        </w:rPr>
      </w:pPr>
      <w:r>
        <w:rPr>
          <w:rFonts w:ascii="Arial" w:cs="Arial" w:eastAsia="Arial" w:hAnsi="Arial"/>
          <w:sz w:val="15"/>
          <w:szCs w:val="15"/>
          <w:color w:val="auto"/>
        </w:rPr>
        <w:t>The annual cash bonus in the chart immediately above is based on cash bonuses actually paid for 2019 performance. The target value delivered by long-term equity-based awards in the chart above is calculated based on a modified Black-Scholes model as described further in the "Equity Awards" discussion.</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Elements of 2020 Executive Compensation Decisions.</w:t>
      </w:r>
    </w:p>
    <w:p>
      <w:pPr>
        <w:spacing w:after="0" w:line="188" w:lineRule="exact"/>
        <w:rPr>
          <w:sz w:val="20"/>
          <w:szCs w:val="20"/>
          <w:color w:val="auto"/>
        </w:rPr>
      </w:pPr>
    </w:p>
    <w:p>
      <w:pPr>
        <w:jc w:val="both"/>
        <w:ind w:firstLine="406"/>
        <w:spacing w:after="0" w:line="306" w:lineRule="auto"/>
        <w:rPr>
          <w:sz w:val="20"/>
          <w:szCs w:val="20"/>
          <w:color w:val="auto"/>
        </w:rPr>
      </w:pPr>
      <w:r>
        <w:rPr>
          <w:rFonts w:ascii="Arial" w:cs="Arial" w:eastAsia="Arial" w:hAnsi="Arial"/>
          <w:sz w:val="14"/>
          <w:szCs w:val="14"/>
          <w:color w:val="auto"/>
        </w:rPr>
        <w:t>The following sections set forth a detailed discussion of specific compensation committee decisions made in the first quarter of 2020 regarding the award of bonuses to our named executive officers for fiscal year 2019 performance, the award of equity grants in February 2020 and the establishment of base salaries and target bonuses for fiscal 2020.</w:t>
      </w:r>
    </w:p>
    <w:p>
      <w:pPr>
        <w:spacing w:after="0" w:line="130"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5"/>
          <w:szCs w:val="15"/>
          <w:b w:val="1"/>
          <w:bCs w:val="1"/>
          <w:i w:val="1"/>
          <w:iCs w:val="1"/>
          <w:color w:val="auto"/>
        </w:rPr>
        <w:t xml:space="preserve">Fuad El-Hibri. </w:t>
      </w:r>
      <w:r>
        <w:rPr>
          <w:rFonts w:ascii="Arial" w:cs="Arial" w:eastAsia="Arial" w:hAnsi="Arial"/>
          <w:sz w:val="15"/>
          <w:szCs w:val="15"/>
          <w:color w:val="auto"/>
        </w:rPr>
        <w:t>Mr. El-Hibri serves as our executive chairman. In this role, Mr. El-Hibri is not eligible for an annual cash bonus. In February 2020, the compensation committee evaluated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El-Hibri's 2019 performance and referenced the 2020 executive chairman compensation primary factors for the purpose of determining his 2020 base salary and 2020 equity award, consisting of the following:</w:t>
      </w:r>
    </w:p>
    <w:p>
      <w:pPr>
        <w:spacing w:after="0" w:line="172" w:lineRule="exact"/>
        <w:rPr>
          <w:sz w:val="20"/>
          <w:szCs w:val="20"/>
          <w:color w:val="auto"/>
        </w:rPr>
      </w:pPr>
    </w:p>
    <w:p>
      <w:pPr>
        <w:ind w:left="900" w:hanging="45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Board leadership and direction, including the annual board retreat and operations of the board and its committees;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Maintenance of critical external relationships, including with Congressional and business leaders;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Merger and acquisitions transaction guidance, including involvement in negotiations and due diligence planning;</w:t>
      </w:r>
    </w:p>
    <w:p>
      <w:pPr>
        <w:spacing w:after="0" w:line="199" w:lineRule="exact"/>
        <w:rPr>
          <w:rFonts w:ascii="Arial" w:cs="Arial" w:eastAsia="Arial" w:hAnsi="Arial"/>
          <w:sz w:val="15"/>
          <w:szCs w:val="15"/>
          <w:color w:val="auto"/>
        </w:rPr>
      </w:pPr>
    </w:p>
    <w:p>
      <w:pPr>
        <w:ind w:left="900" w:hanging="459"/>
        <w:spacing w:after="0" w:line="270"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Support for the executive team, including mentoring and advising the chief executive officer team (senior executives) on strategy, business development, and management culture; and</w:t>
      </w:r>
    </w:p>
    <w:p>
      <w:pPr>
        <w:spacing w:after="0" w:line="175" w:lineRule="exact"/>
        <w:rPr>
          <w:rFonts w:ascii="Arial" w:cs="Arial" w:eastAsia="Arial" w:hAnsi="Arial"/>
          <w:sz w:val="15"/>
          <w:szCs w:val="15"/>
          <w:color w:val="auto"/>
        </w:rPr>
      </w:pPr>
    </w:p>
    <w:p>
      <w:pPr>
        <w:ind w:left="900" w:hanging="459"/>
        <w:spacing w:after="0"/>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Guidance and support for seamless transition to our new chief executive officer in 2019.</w:t>
      </w:r>
    </w:p>
    <w:p>
      <w:pPr>
        <w:spacing w:after="0" w:line="188" w:lineRule="exact"/>
        <w:rPr>
          <w:sz w:val="20"/>
          <w:szCs w:val="20"/>
          <w:color w:val="auto"/>
        </w:rPr>
      </w:pPr>
    </w:p>
    <w:p>
      <w:pPr>
        <w:jc w:val="both"/>
        <w:ind w:right="20" w:firstLine="435"/>
        <w:spacing w:after="0" w:line="260" w:lineRule="auto"/>
        <w:rPr>
          <w:sz w:val="20"/>
          <w:szCs w:val="20"/>
          <w:color w:val="auto"/>
        </w:rPr>
      </w:pPr>
      <w:r>
        <w:rPr>
          <w:rFonts w:ascii="Arial" w:cs="Arial" w:eastAsia="Arial" w:hAnsi="Arial"/>
          <w:sz w:val="15"/>
          <w:szCs w:val="15"/>
          <w:color w:val="auto"/>
        </w:rPr>
        <w:t>Because maintaining a consistent sample of executive chairman compensation data for similarly-sized companies is challenging, as previously noted, the compensation committee continued to focus on internal parity within the executive team when determining appropriate pay recommendations for Mr. El-Hibri. However, a summary of competitive market data for comparable roles was provided for the compensation committee's reference as well.</w:t>
      </w:r>
    </w:p>
    <w:p>
      <w:pPr>
        <w:spacing w:after="0" w:line="161" w:lineRule="exact"/>
        <w:rPr>
          <w:sz w:val="20"/>
          <w:szCs w:val="20"/>
          <w:color w:val="auto"/>
        </w:rPr>
      </w:pPr>
    </w:p>
    <w:p>
      <w:pPr>
        <w:jc w:val="both"/>
        <w:ind w:firstLine="380"/>
        <w:spacing w:after="0" w:line="306" w:lineRule="auto"/>
        <w:rPr>
          <w:sz w:val="20"/>
          <w:szCs w:val="20"/>
          <w:color w:val="auto"/>
        </w:rPr>
      </w:pPr>
      <w:r>
        <w:rPr>
          <w:rFonts w:ascii="Arial" w:cs="Arial" w:eastAsia="Arial" w:hAnsi="Arial"/>
          <w:sz w:val="14"/>
          <w:szCs w:val="14"/>
          <w:color w:val="auto"/>
        </w:rPr>
        <w:t>Based on its evaluation of Mr. El-Hibri's 2019 performance and reference to the executive chairman compensation factors, the compensation committee increased Mr. El-Hibri's base salary from $1,054,040 to $1,085,677, a 3% increase, and approved an equity award of $2.4 million to Mr. El-Hibri, which was granted on February 25, 2020.</w:t>
      </w:r>
    </w:p>
    <w:p>
      <w:pPr>
        <w:spacing w:after="0" w:line="130" w:lineRule="exact"/>
        <w:rPr>
          <w:sz w:val="20"/>
          <w:szCs w:val="20"/>
          <w:color w:val="auto"/>
        </w:rPr>
      </w:pPr>
    </w:p>
    <w:p>
      <w:pPr>
        <w:jc w:val="both"/>
        <w:ind w:firstLine="304"/>
        <w:spacing w:after="0" w:line="276" w:lineRule="auto"/>
        <w:rPr>
          <w:sz w:val="20"/>
          <w:szCs w:val="20"/>
          <w:color w:val="auto"/>
        </w:rPr>
      </w:pPr>
      <w:r>
        <w:rPr>
          <w:rFonts w:ascii="Arial" w:cs="Arial" w:eastAsia="Arial" w:hAnsi="Arial"/>
          <w:sz w:val="14"/>
          <w:szCs w:val="14"/>
          <w:b w:val="1"/>
          <w:bCs w:val="1"/>
          <w:i w:val="1"/>
          <w:iCs w:val="1"/>
          <w:color w:val="auto"/>
        </w:rPr>
        <w:t xml:space="preserve">Robert G. Kramer. </w:t>
      </w:r>
      <w:r>
        <w:rPr>
          <w:rFonts w:ascii="Arial" w:cs="Arial" w:eastAsia="Arial" w:hAnsi="Arial"/>
          <w:sz w:val="14"/>
          <w:szCs w:val="14"/>
          <w:color w:val="auto"/>
        </w:rPr>
        <w:t>Mr. Kramer serves as our president and chief executive officer, a position he assumed on April 1, 2019. On January 2, 2019, the company promoted Mr. Kramer to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role of president and chief executive officer, effective as of April 1, 2019. At that time, the compensation committee, with input from Willis Towers Watson, approved an increase in Mr. Kramer's annual base salary to $556,213, effective January 1, 2019, and to $700,003 upon the commencement of his service as chief executive officer; and an increase of Mr. Kramer's target annual cash bonus percentage relating to his service as chief executive officer to 85% of his base salary, which also took effect on April 1, 2019. As chief executive officer, he became eligible for elevated severance and change in control benefits under the Senior Management Severance Plan. Mr. Kramer's fiscal year 2019 performance was evaluated by the compensation committee taking into consideration the Primary Factors Driving Performance, among other factors.</w:t>
      </w:r>
    </w:p>
    <w:p>
      <w:pPr>
        <w:spacing w:after="0" w:line="151" w:lineRule="exact"/>
        <w:rPr>
          <w:sz w:val="20"/>
          <w:szCs w:val="20"/>
          <w:color w:val="auto"/>
        </w:rPr>
      </w:pPr>
    </w:p>
    <w:p>
      <w:pPr>
        <w:jc w:val="both"/>
        <w:ind w:firstLine="365"/>
        <w:spacing w:after="0" w:line="281" w:lineRule="auto"/>
        <w:rPr>
          <w:sz w:val="20"/>
          <w:szCs w:val="20"/>
          <w:color w:val="auto"/>
        </w:rPr>
      </w:pPr>
      <w:r>
        <w:rPr>
          <w:rFonts w:ascii="Arial" w:cs="Arial" w:eastAsia="Arial" w:hAnsi="Arial"/>
          <w:sz w:val="14"/>
          <w:szCs w:val="14"/>
          <w:color w:val="auto"/>
        </w:rPr>
        <w:t>Based on its evaluation of corporate performance as indicated by the corporate factor, the compensation committee determined to award Mr. Kramer a cash bonus of $557,108 for his contributions to our performance in 2019, which was 105% of his 2019 annual incentive target opportunity, consisting of the following prorated amounts: $82,289 (60% of his base salary for the period January 1, 2019 through March 31, 2019) and $448,290 (85% of his base salary for the period April 1, 2019 through December 31, 2019) due to functioning as president and chief operating officer for the first three months of 2019 and president and chief executive officer for the remainder of the year, respectively.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3" w:name="page54"/>
    <w:bookmarkEnd w:id="5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50"/>
        <w:spacing w:after="0" w:line="291" w:lineRule="auto"/>
        <w:rPr>
          <w:sz w:val="20"/>
          <w:szCs w:val="20"/>
          <w:color w:val="auto"/>
        </w:rPr>
      </w:pPr>
      <w:r>
        <w:rPr>
          <w:rFonts w:ascii="Arial" w:cs="Arial" w:eastAsia="Arial" w:hAnsi="Arial"/>
          <w:sz w:val="13"/>
          <w:szCs w:val="13"/>
          <w:color w:val="auto"/>
        </w:rPr>
        <w:t>Based on his performance evaluation and the market data from the 2020 Survey Data and peer proxy data, in February 2020, the compensation committee increased Mr. Kramer's base salary as president and chief executive officer from $700,003 to $875,014, which reflects a 25% merit increase on an annualized basis; determined to increase his target annual cash bonus percentage to 100% of base salary; and approved an equity award of $4.1 million, which was granted to Mr. Kramer on February 25, 2020. Willis Towers Watson's recommendations for Mr. Kramer's salary as chief executive officer reflect a combination of market data and the company's historical practice. The following table represents Mr. Kramer's total direct compensation</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5"/>
          <w:szCs w:val="15"/>
          <w:color w:val="auto"/>
        </w:rPr>
        <w:t>for 2019 and 2020 as compared to the 2020 Survey Data and peer proxy data and the market median range. The table reports a composite 25</w:t>
      </w:r>
      <w:r>
        <w:rPr>
          <w:rFonts w:ascii="Arial" w:cs="Arial" w:eastAsia="Arial" w:hAnsi="Arial"/>
          <w:sz w:val="24"/>
          <w:szCs w:val="24"/>
          <w:color w:val="auto"/>
          <w:vertAlign w:val="superscript"/>
        </w:rPr>
        <w:t>th</w:t>
      </w:r>
      <w:r>
        <w:rPr>
          <w:rFonts w:ascii="Arial" w:cs="Arial" w:eastAsia="Arial" w:hAnsi="Arial"/>
          <w:sz w:val="15"/>
          <w:szCs w:val="15"/>
          <w:color w:val="auto"/>
        </w:rPr>
        <w: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75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based on all three sources by averaging the lowest and highest 25</w:t>
      </w:r>
      <w:r>
        <w:rPr>
          <w:rFonts w:ascii="Arial" w:cs="Arial" w:eastAsia="Arial" w:hAnsi="Arial"/>
          <w:sz w:val="24"/>
          <w:szCs w:val="24"/>
          <w:color w:val="auto"/>
          <w:vertAlign w:val="superscript"/>
        </w:rPr>
        <w:t>th</w:t>
      </w:r>
      <w:r>
        <w:rPr>
          <w:rFonts w:ascii="Arial" w:cs="Arial" w:eastAsia="Arial" w:hAnsi="Arial"/>
          <w:sz w:val="15"/>
          <w:szCs w:val="15"/>
          <w:color w:val="auto"/>
        </w:rPr>
        <w:t>, 50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and 75</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percentile observation amongst the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52705</wp:posOffset>
            </wp:positionV>
            <wp:extent cx="4893945" cy="1524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93945" cy="1524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327"/>
        <w:spacing w:after="0" w:line="287" w:lineRule="auto"/>
        <w:rPr>
          <w:sz w:val="20"/>
          <w:szCs w:val="20"/>
          <w:color w:val="auto"/>
        </w:rPr>
      </w:pPr>
      <w:r>
        <w:rPr>
          <w:rFonts w:ascii="Arial" w:cs="Arial" w:eastAsia="Arial" w:hAnsi="Arial"/>
          <w:sz w:val="14"/>
          <w:szCs w:val="14"/>
          <w:b w:val="1"/>
          <w:bCs w:val="1"/>
          <w:i w:val="1"/>
          <w:iCs w:val="1"/>
          <w:color w:val="auto"/>
        </w:rPr>
        <w:t xml:space="preserve">Richard S. Lindahl. </w:t>
      </w:r>
      <w:r>
        <w:rPr>
          <w:rFonts w:ascii="Arial" w:cs="Arial" w:eastAsia="Arial" w:hAnsi="Arial"/>
          <w:sz w:val="14"/>
          <w:szCs w:val="14"/>
          <w:color w:val="auto"/>
        </w:rPr>
        <w:t>Mr. Lindahl serves as our executive vice president, chief financial officer and treasurer, as well as our chief accounting officer. In February 2019, the compensation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referenced a combination of the 2019 Survey Data and peer proxy data in approving a target annual cash bonus percentage for Mr. Lindahl of 55% of base salary. In February 2020, the compensation committee evaluated Mr. Lindahl's performance taking into consideration the Primary Factors Driving Performance, among other factors.</w:t>
      </w:r>
    </w:p>
    <w:p>
      <w:pPr>
        <w:spacing w:after="0" w:line="144" w:lineRule="exact"/>
        <w:rPr>
          <w:sz w:val="20"/>
          <w:szCs w:val="20"/>
          <w:color w:val="auto"/>
        </w:rPr>
      </w:pPr>
    </w:p>
    <w:p>
      <w:pPr>
        <w:jc w:val="both"/>
        <w:ind w:firstLine="365"/>
        <w:spacing w:after="0" w:line="270"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Lindahl a cash bonus of $297,429 for his contributions to our performance in 2019, which was 105% of his 2019 annual incentive target opportunity.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4" w:name="page55"/>
    <w:bookmarkEnd w:id="5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44"/>
        <w:spacing w:after="0" w:line="279" w:lineRule="auto"/>
        <w:rPr>
          <w:sz w:val="20"/>
          <w:szCs w:val="20"/>
          <w:color w:val="auto"/>
        </w:rPr>
      </w:pPr>
      <w:r>
        <w:rPr>
          <w:rFonts w:ascii="Arial" w:cs="Arial" w:eastAsia="Arial" w:hAnsi="Arial"/>
          <w:sz w:val="13"/>
          <w:szCs w:val="13"/>
          <w:color w:val="auto"/>
        </w:rPr>
        <w:t>Based on the performance evaluation and the market data from the 2020 Survey Data and peer proxy data, in February 2020, the compensation committee increased Mr. Lindahl's base salary from $515,029 to $550,014, which reflects a 7% merit increase, determined to increase his target annual cash bonus percentage to 60% of base salary and approved an equity award of $1.5 million to Mr. Lindahl, which was granted on February 25, 2020. The increase in base salary, coupled with the consistent target annual cash bonus percentage to base salary and equity award, resulted in Mr. Lindahl's total direct compensation remaining within a competitive range around market median aligned with our stated compensation philosophy. The following table represents Mr. Lindahl's total direct compensation for 2019 and 2020 as compared to the 2020 Survey Data and peer proxy data and the market median range. The table reports a composite 25</w:t>
      </w:r>
      <w:r>
        <w:rPr>
          <w:rFonts w:ascii="Arial" w:cs="Arial" w:eastAsia="Arial" w:hAnsi="Arial"/>
          <w:sz w:val="21"/>
          <w:szCs w:val="21"/>
          <w:color w:val="auto"/>
          <w:vertAlign w:val="superscript"/>
        </w:rPr>
        <w:t>th</w:t>
      </w:r>
      <w:r>
        <w:rPr>
          <w:rFonts w:ascii="Arial" w:cs="Arial" w:eastAsia="Arial" w:hAnsi="Arial"/>
          <w:sz w:val="13"/>
          <w:szCs w:val="13"/>
          <w:color w:val="auto"/>
        </w:rPr>
        <w:t>, 50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75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based on all three sources by averaging the lowest and highest 25</w:t>
      </w:r>
      <w:r>
        <w:rPr>
          <w:rFonts w:ascii="Arial" w:cs="Arial" w:eastAsia="Arial" w:hAnsi="Arial"/>
          <w:sz w:val="21"/>
          <w:szCs w:val="21"/>
          <w:color w:val="auto"/>
          <w:vertAlign w:val="superscript"/>
        </w:rPr>
        <w:t>th</w:t>
      </w:r>
      <w:r>
        <w:rPr>
          <w:rFonts w:ascii="Arial" w:cs="Arial" w:eastAsia="Arial" w:hAnsi="Arial"/>
          <w:sz w:val="13"/>
          <w:szCs w:val="13"/>
          <w:color w:val="auto"/>
        </w:rPr>
        <w:t>, 50</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and 75</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percentile observation amongst the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29845</wp:posOffset>
            </wp:positionV>
            <wp:extent cx="4893945" cy="1438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93945" cy="143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0" w:firstLine="338"/>
        <w:spacing w:after="0" w:line="260" w:lineRule="auto"/>
        <w:rPr>
          <w:sz w:val="20"/>
          <w:szCs w:val="20"/>
          <w:color w:val="auto"/>
        </w:rPr>
      </w:pPr>
      <w:r>
        <w:rPr>
          <w:rFonts w:ascii="Arial" w:cs="Arial" w:eastAsia="Arial" w:hAnsi="Arial"/>
          <w:sz w:val="15"/>
          <w:szCs w:val="15"/>
          <w:b w:val="1"/>
          <w:bCs w:val="1"/>
          <w:i w:val="1"/>
          <w:iCs w:val="1"/>
          <w:color w:val="auto"/>
        </w:rPr>
        <w:t xml:space="preserve">Adam Havey. </w:t>
      </w:r>
      <w:r>
        <w:rPr>
          <w:rFonts w:ascii="Arial" w:cs="Arial" w:eastAsia="Arial" w:hAnsi="Arial"/>
          <w:sz w:val="15"/>
          <w:szCs w:val="15"/>
          <w:color w:val="auto"/>
        </w:rPr>
        <w:t>Mr. Havey serves as our executive vice president, business operations. In February 2019, the compensation committee referenced a combination of the 2019 Survey Data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peer proxy data in approving a target annual cash bonus percentage for Mr. Havey of 55% of base salary. In February 2020, the compensation committee evaluated Mr. Havey's performance taking into consideration the Primary Factors Driving Performance, among other factors.</w:t>
      </w:r>
    </w:p>
    <w:p>
      <w:pPr>
        <w:spacing w:after="0" w:line="16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Havey a cash bonus of $279,579 for his contributions to our performance in 2019, which was 105% of his 2019 annual incentive target opportunity.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3"/>
          <w:szCs w:val="13"/>
          <w:color w:val="auto"/>
        </w:rPr>
        <w:t>Based on the performance evaluation and the market data from the 2020 Survey Data and peer proxy data, in February 2020, the compensation committee increased Mr. Havey's 2020 base salary from $484,120 to $530,005, which reflects a 9% merit increase, determined to increase his target annual cash bonus percentage to 60% of base salary and approved an equity award of $1.4 million, which was granted on February 25, 2020. The increase in base salary, coupled with the consistent target annual cash bonus percentage to base salary and equity award, resulted in Mr. Havey's total direct compensation remaining within a competitive range around market median aligned with our stated compensation philosophy. The following table represents</w:t>
      </w:r>
    </w:p>
    <w:p>
      <w:pPr>
        <w:spacing w:after="0" w:line="2" w:lineRule="exact"/>
        <w:rPr>
          <w:sz w:val="20"/>
          <w:szCs w:val="20"/>
          <w:color w:val="auto"/>
        </w:rPr>
      </w:pPr>
    </w:p>
    <w:p>
      <w:pPr>
        <w:jc w:val="both"/>
        <w:spacing w:after="0" w:line="332" w:lineRule="auto"/>
        <w:rPr>
          <w:sz w:val="20"/>
          <w:szCs w:val="20"/>
          <w:color w:val="auto"/>
        </w:rPr>
      </w:pPr>
      <w:r>
        <w:rPr>
          <w:rFonts w:ascii="Arial" w:cs="Arial" w:eastAsia="Arial" w:hAnsi="Arial"/>
          <w:sz w:val="14"/>
          <w:szCs w:val="14"/>
          <w:color w:val="auto"/>
        </w:rPr>
        <w:t>Mr. Havey's total direct compensation for 2019 and 2020 as compared to the 2020 Survey Data and peer proxy data and the market median range. The table reports a composite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based on all three sources by averaging the lowest and highest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observation amongst the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13335</wp:posOffset>
            </wp:positionV>
            <wp:extent cx="4893945" cy="1488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93945" cy="148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439"/>
        <w:spacing w:after="0" w:line="287" w:lineRule="auto"/>
        <w:rPr>
          <w:sz w:val="20"/>
          <w:szCs w:val="20"/>
          <w:color w:val="auto"/>
        </w:rPr>
      </w:pPr>
      <w:r>
        <w:rPr>
          <w:rFonts w:ascii="Arial" w:cs="Arial" w:eastAsia="Arial" w:hAnsi="Arial"/>
          <w:sz w:val="14"/>
          <w:szCs w:val="14"/>
          <w:b w:val="1"/>
          <w:bCs w:val="1"/>
          <w:i w:val="1"/>
          <w:iCs w:val="1"/>
          <w:color w:val="auto"/>
        </w:rPr>
        <w:t xml:space="preserve">Atul Saran. </w:t>
      </w:r>
      <w:r>
        <w:rPr>
          <w:rFonts w:ascii="Arial" w:cs="Arial" w:eastAsia="Arial" w:hAnsi="Arial"/>
          <w:sz w:val="14"/>
          <w:szCs w:val="14"/>
          <w:color w:val="auto"/>
        </w:rPr>
        <w:t>Mr. Saran serves as our executive vice president, corporate development, general counsel and secretary. In February 2019, the compensation committee referenced 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combination of the 2019 Survey Data and peer proxy data in approving a target annual cash bonus percentage for Mr. Saran of 50% of base salary. In February 2020, the compensation committee evaluated Mr. Saran's performance taking into consideration the Primary Factors Driving Performance, among other factors.</w:t>
      </w:r>
    </w:p>
    <w:p>
      <w:pPr>
        <w:spacing w:after="0" w:line="144" w:lineRule="exact"/>
        <w:rPr>
          <w:sz w:val="20"/>
          <w:szCs w:val="20"/>
          <w:color w:val="auto"/>
        </w:rPr>
      </w:pPr>
    </w:p>
    <w:p>
      <w:pPr>
        <w:jc w:val="both"/>
        <w:ind w:right="20" w:firstLine="391"/>
        <w:spacing w:after="0" w:line="270" w:lineRule="auto"/>
        <w:rPr>
          <w:sz w:val="20"/>
          <w:szCs w:val="20"/>
          <w:color w:val="auto"/>
        </w:rPr>
      </w:pPr>
      <w:r>
        <w:rPr>
          <w:rFonts w:ascii="Arial" w:cs="Arial" w:eastAsia="Arial" w:hAnsi="Arial"/>
          <w:sz w:val="15"/>
          <w:szCs w:val="15"/>
          <w:color w:val="auto"/>
        </w:rPr>
        <w:t>Based on its evaluation of corporate performance as indicated by the corporate factor, the compensation committee determined to award Mr. Saran a cash bonus of $293,567 for his contributions to our performance in 2019, which was 105% of his 2019 annual incentive target opportunity.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298"/>
        <w:spacing w:after="0" w:line="291" w:lineRule="auto"/>
        <w:rPr>
          <w:sz w:val="20"/>
          <w:szCs w:val="20"/>
          <w:color w:val="auto"/>
        </w:rPr>
      </w:pPr>
      <w:r>
        <w:rPr>
          <w:rFonts w:ascii="Arial" w:cs="Arial" w:eastAsia="Arial" w:hAnsi="Arial"/>
          <w:sz w:val="13"/>
          <w:szCs w:val="13"/>
          <w:color w:val="auto"/>
        </w:rPr>
        <w:t>Based on the performance evaluation and the market data from the 2020 Survey Data and peer proxy data, in February 2020, the compensation committee increased Mr. Saran's 2020 base salary from $503,963 to $530,005, which reflects a 5% merit increase, determined to increase his target annual cash bonus percentage to 60% of base salary and approved an equity award of $1.4 million, which was granted on February 25, 2020. The slight increase in base salary, coupled with the consistent target annual cash bonus percentage to base salary and equity award, resulted in Mr. Saran's total direct compensation remaining within a competitive range around market median aligned with our stated compensation philosophy. The following table represents</w:t>
      </w:r>
    </w:p>
    <w:p>
      <w:pPr>
        <w:spacing w:after="0" w:line="2" w:lineRule="exact"/>
        <w:rPr>
          <w:sz w:val="20"/>
          <w:szCs w:val="20"/>
          <w:color w:val="auto"/>
        </w:rPr>
      </w:pPr>
    </w:p>
    <w:p>
      <w:pPr>
        <w:jc w:val="both"/>
        <w:spacing w:after="0" w:line="332" w:lineRule="auto"/>
        <w:rPr>
          <w:sz w:val="20"/>
          <w:szCs w:val="20"/>
          <w:color w:val="auto"/>
        </w:rPr>
      </w:pPr>
      <w:r>
        <w:rPr>
          <w:rFonts w:ascii="Arial" w:cs="Arial" w:eastAsia="Arial" w:hAnsi="Arial"/>
          <w:sz w:val="14"/>
          <w:szCs w:val="14"/>
          <w:color w:val="auto"/>
        </w:rPr>
        <w:t>Mr. Saran's total direct compensation for 2019 and 2020 as compared to the 2020 Survey Data and peer proxy data and the market median range. The table reports a composite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based on all three sources by averaging the lowest and highest 25</w:t>
      </w:r>
      <w:r>
        <w:rPr>
          <w:rFonts w:ascii="Arial" w:cs="Arial" w:eastAsia="Arial" w:hAnsi="Arial"/>
          <w:sz w:val="23"/>
          <w:szCs w:val="23"/>
          <w:color w:val="auto"/>
          <w:vertAlign w:val="superscript"/>
        </w:rPr>
        <w:t>th</w:t>
      </w:r>
      <w:r>
        <w:rPr>
          <w:rFonts w:ascii="Arial" w:cs="Arial" w:eastAsia="Arial" w:hAnsi="Arial"/>
          <w:sz w:val="14"/>
          <w:szCs w:val="14"/>
          <w:color w:val="auto"/>
        </w:rPr>
        <w:t>, 50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and 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observation amongst the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13335</wp:posOffset>
            </wp:positionV>
            <wp:extent cx="4893945" cy="1459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93945" cy="145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304"/>
        <w:spacing w:after="0" w:line="278" w:lineRule="auto"/>
        <w:rPr>
          <w:sz w:val="20"/>
          <w:szCs w:val="20"/>
          <w:color w:val="auto"/>
        </w:rPr>
      </w:pPr>
      <w:r>
        <w:rPr>
          <w:rFonts w:ascii="Arial" w:cs="Arial" w:eastAsia="Arial" w:hAnsi="Arial"/>
          <w:sz w:val="14"/>
          <w:szCs w:val="14"/>
          <w:b w:val="1"/>
          <w:bCs w:val="1"/>
          <w:i w:val="1"/>
          <w:iCs w:val="1"/>
          <w:color w:val="auto"/>
        </w:rPr>
        <w:t xml:space="preserve">Daniel J. Abdun-Nabi. </w:t>
      </w:r>
      <w:r>
        <w:rPr>
          <w:rFonts w:ascii="Arial" w:cs="Arial" w:eastAsia="Arial" w:hAnsi="Arial"/>
          <w:sz w:val="14"/>
          <w:szCs w:val="14"/>
          <w:color w:val="auto"/>
        </w:rPr>
        <w:t>Mr. Abdun-Nabi served as our chief executive officer until his retirement on April 1, 2019 (the "Retirement Date"). On January 2, 2019, the company entered into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 retirement agreement with Mr. Abdun-Nabi (the "Retirement Agreement"), providing for his retirement and separation from employment with the company. The Retirement Agreement provided that the compensation committee would consider a potential increase in Mr. Abdun-Nabi's base salary effective January 1, 2019, as well as a potential pro rata 2019 bonus to Mr. Abdun-Nabi relating to his services during his transition to retirement. He received a nominal increase to his base salary in 2019, raising it from $830,394 to $838,552 on annual basis and was paid a pro rata bonus of $195,394 for service as chief executive officer prior to his retirement.</w:t>
      </w:r>
    </w:p>
    <w:p>
      <w:pPr>
        <w:spacing w:after="0" w:line="149" w:lineRule="exact"/>
        <w:rPr>
          <w:sz w:val="20"/>
          <w:szCs w:val="20"/>
          <w:color w:val="auto"/>
        </w:rPr>
      </w:pPr>
    </w:p>
    <w:p>
      <w:pPr>
        <w:jc w:val="both"/>
        <w:ind w:firstLine="293"/>
        <w:spacing w:after="0" w:line="281" w:lineRule="auto"/>
        <w:rPr>
          <w:sz w:val="20"/>
          <w:szCs w:val="20"/>
          <w:color w:val="auto"/>
        </w:rPr>
      </w:pPr>
      <w:r>
        <w:rPr>
          <w:rFonts w:ascii="Arial" w:cs="Arial" w:eastAsia="Arial" w:hAnsi="Arial"/>
          <w:sz w:val="14"/>
          <w:szCs w:val="14"/>
          <w:color w:val="auto"/>
        </w:rPr>
        <w:t>In connection with Mr. Abdun-Nabi's retirement, the company and Mr. Abdun-Nabi also entered into a Consulting Agreement under which the company agreed to engage Mr. Abdun-Nabi as a consultant effective as of April 1, 2019 (the "Consulting Agreement Date"). As there was no break in service between the Retirement Date and the commencement of Mr. Abdun-Nabi's engagement as a consultant to the company, during the term of the Consulting Agreement outstanding and unvested equity awards granted by the company to Mr. Abdun-Nabi will continue to vest and be exercisable in accordance with the applicable equity plans and award agreements as long as he remains a consultant to the company.</w:t>
      </w:r>
    </w:p>
    <w:p>
      <w:pPr>
        <w:spacing w:after="0" w:line="147" w:lineRule="exact"/>
        <w:rPr>
          <w:sz w:val="20"/>
          <w:szCs w:val="20"/>
          <w:color w:val="auto"/>
        </w:rPr>
      </w:pPr>
    </w:p>
    <w:p>
      <w:pPr>
        <w:jc w:val="both"/>
        <w:ind w:firstLine="295"/>
        <w:spacing w:after="0" w:line="309" w:lineRule="auto"/>
        <w:rPr>
          <w:sz w:val="20"/>
          <w:szCs w:val="20"/>
          <w:color w:val="auto"/>
        </w:rPr>
      </w:pPr>
      <w:r>
        <w:rPr>
          <w:rFonts w:ascii="Arial" w:cs="Arial" w:eastAsia="Arial" w:hAnsi="Arial"/>
          <w:sz w:val="13"/>
          <w:szCs w:val="13"/>
          <w:color w:val="auto"/>
        </w:rPr>
        <w:t>Under the Consulting Agreement, Mr. Abdun-Nabi agreed to continue to provide strategic advice and guidance at a level of approximately 40 hours per month. Mr. Abdun-Nabi receives a monthly cash consulting fee equal to 25% of the sum of (i) his monthly base salary rate as in effect as of the Retirement Date and (ii) his target bonus rate as in effect as of the Retirement Date (pro-rated to reflect the monthly rate). However, if Mr. Abdun-Nabi's services performed at the company's request exceed the anticipated 40 hours per month, the Board of Directors, in its sole discretion, may elect to provide Mr. Abdun-Nabi with additional fees or other compensation on such terms and with such conditions as the board may determine.</w:t>
      </w:r>
    </w:p>
    <w:p>
      <w:pPr>
        <w:spacing w:after="0" w:line="132"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5"/>
          <w:szCs w:val="15"/>
          <w:color w:val="auto"/>
        </w:rPr>
        <w:t>Furthermore, effective on the Retirement Date, Mr. Abdun-Nabi was awarded an RSU with a total value at grant of $100,000 (based on the closing price per share of the company's common stock on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7" w:name="page58"/>
    <w:bookmarkEnd w:id="5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Retirement Date), which award vested in full on the first anniversary of the Consulting Agreement Date. Effective as of the first anniversary of the Consulting Agreement Date (the "Second Award Grant Date"), Mr. Abdun-Nabi also received a second RSU award with a total value at grant of $100,000, based on the closing price per share of the company's common stock on the Second Award Grant Date, which award will vest in full on the second anniversary of the Consulting Agreement Date, subject to Mr. Abdun-Nabi's continued service as a consultant to the company and the terms and conditions of the award agreement.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Consideration of Say-on-Pay Vote Results</w:t>
      </w:r>
    </w:p>
    <w:p>
      <w:pPr>
        <w:spacing w:after="0" w:line="18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5"/>
          <w:szCs w:val="15"/>
          <w:color w:val="auto"/>
        </w:rPr>
        <w:t>Our Board of Directors and compensation committee recognize the importance of receiving regular input from our stockholders on important issues such as our executive compensation. Accordingly, for the past eight years, our company has provided stockholders with the opportunity to vote on the executive compensation of our named executive officers on an annual basis, a frequency which was approved by stockholders at our 2011 and 2017 annual meetings.</w:t>
      </w:r>
    </w:p>
    <w:p>
      <w:pPr>
        <w:spacing w:after="0" w:line="161" w:lineRule="exact"/>
        <w:rPr>
          <w:sz w:val="20"/>
          <w:szCs w:val="20"/>
          <w:color w:val="auto"/>
        </w:rPr>
      </w:pPr>
    </w:p>
    <w:p>
      <w:pPr>
        <w:jc w:val="both"/>
        <w:ind w:firstLine="296"/>
        <w:spacing w:after="0" w:line="299" w:lineRule="auto"/>
        <w:rPr>
          <w:sz w:val="20"/>
          <w:szCs w:val="20"/>
          <w:color w:val="auto"/>
        </w:rPr>
      </w:pPr>
      <w:r>
        <w:rPr>
          <w:rFonts w:ascii="Arial" w:cs="Arial" w:eastAsia="Arial" w:hAnsi="Arial"/>
          <w:sz w:val="13"/>
          <w:szCs w:val="13"/>
          <w:color w:val="auto"/>
        </w:rPr>
        <w:t>At our 2019 annual meeting, we conducted our annual non-binding stockholder advisory vote on executive compensation, or "say-on-pay." Our stockholders approved our 2018 executive compensation, with more than 90% of voting stockholders casting their vote in favor of the say-on-pay resolution. Because most of the significant 2019 compensation decisions had already been made at the time of the vote, the committee primarily considered the results of the 2019 say-on-pay vote relating to 2018 executive compensation along with other factors when making executive compensation decisions for 2020. In making executive compensation decisions for 2020, the committee's main considerations included our stockholders' support for our executive compensation program and the committee's satisfaction with the 2019 pay mix and levels. In light of the overwhelmingly positive outcome of the 2019 say-on-pay vote, the committee continued its use of performance-based equity for named executive officers in 2020 in order to continue to align the interests of our executives with the long-term interests of our stockholders. The committee intends to continue to consider our stockholders' views when making executive compensation decisions in the future.</w:t>
      </w:r>
    </w:p>
    <w:p>
      <w:pPr>
        <w:spacing w:after="0" w:line="139"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Other Executive Compensation Practices</w:t>
      </w:r>
    </w:p>
    <w:p>
      <w:pPr>
        <w:spacing w:after="0" w:line="188" w:lineRule="exact"/>
        <w:rPr>
          <w:sz w:val="20"/>
          <w:szCs w:val="20"/>
          <w:color w:val="auto"/>
        </w:rPr>
      </w:pPr>
    </w:p>
    <w:p>
      <w:pPr>
        <w:jc w:val="both"/>
        <w:ind w:firstLine="315"/>
        <w:spacing w:after="0" w:line="260" w:lineRule="auto"/>
        <w:rPr>
          <w:sz w:val="20"/>
          <w:szCs w:val="20"/>
          <w:color w:val="auto"/>
        </w:rPr>
      </w:pPr>
      <w:r>
        <w:rPr>
          <w:rFonts w:ascii="Arial" w:cs="Arial" w:eastAsia="Arial" w:hAnsi="Arial"/>
          <w:sz w:val="15"/>
          <w:szCs w:val="15"/>
          <w:i w:val="1"/>
          <w:iCs w:val="1"/>
          <w:color w:val="auto"/>
        </w:rPr>
        <w:t xml:space="preserve">Stock Ownership Requirements and Hedging Policies. </w:t>
      </w:r>
      <w:r>
        <w:rPr>
          <w:rFonts w:ascii="Arial" w:cs="Arial" w:eastAsia="Arial" w:hAnsi="Arial"/>
          <w:sz w:val="15"/>
          <w:szCs w:val="15"/>
          <w:color w:val="auto"/>
        </w:rPr>
        <w:t>Because we believe it is important for executives to have an equity stake in our company to help align their interests with those of</w:t>
      </w:r>
      <w:r>
        <w:rPr>
          <w:rFonts w:ascii="Arial" w:cs="Arial" w:eastAsia="Arial" w:hAnsi="Arial"/>
          <w:sz w:val="15"/>
          <w:szCs w:val="15"/>
          <w:i w:val="1"/>
          <w:iCs w:val="1"/>
          <w:color w:val="auto"/>
        </w:rPr>
        <w:t xml:space="preserve"> </w:t>
      </w:r>
      <w:r>
        <w:rPr>
          <w:rFonts w:ascii="Arial" w:cs="Arial" w:eastAsia="Arial" w:hAnsi="Arial"/>
          <w:sz w:val="15"/>
          <w:szCs w:val="15"/>
          <w:color w:val="auto"/>
        </w:rPr>
        <w:t>our stockholders, we have formal stock ownership requirements for our directors and executive officers. Directors and executive officers must directly or indirectly hold stock or RSUs in our company with a value equal to the amounts set forth in the table below.</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35"/>
        </w:trPr>
        <w:tc>
          <w:tcPr>
            <w:tcW w:w="4740" w:type="dxa"/>
            <w:vAlign w:val="bottom"/>
            <w:gridSpan w:val="4"/>
          </w:tcPr>
          <w:p>
            <w:pPr>
              <w:spacing w:after="0"/>
              <w:rPr>
                <w:sz w:val="20"/>
                <w:szCs w:val="20"/>
                <w:color w:val="auto"/>
              </w:rPr>
            </w:pPr>
            <w:r>
              <w:rPr>
                <w:rFonts w:ascii="Arial" w:cs="Arial" w:eastAsia="Arial" w:hAnsi="Arial"/>
                <w:sz w:val="11"/>
                <w:szCs w:val="11"/>
                <w:b w:val="1"/>
                <w:bCs w:val="1"/>
                <w:color w:val="auto"/>
              </w:rPr>
              <w:t>Position</w:t>
            </w:r>
          </w:p>
        </w:tc>
        <w:tc>
          <w:tcPr>
            <w:tcW w:w="3720" w:type="dxa"/>
            <w:vAlign w:val="bottom"/>
            <w:gridSpan w:val="2"/>
          </w:tcPr>
          <w:p>
            <w:pPr>
              <w:spacing w:after="0"/>
              <w:rPr>
                <w:sz w:val="20"/>
                <w:szCs w:val="20"/>
                <w:color w:val="auto"/>
              </w:rPr>
            </w:pPr>
            <w:r>
              <w:rPr>
                <w:rFonts w:ascii="Arial" w:cs="Arial" w:eastAsia="Arial" w:hAnsi="Arial"/>
                <w:sz w:val="11"/>
                <w:szCs w:val="11"/>
                <w:b w:val="1"/>
                <w:bCs w:val="1"/>
                <w:color w:val="auto"/>
              </w:rPr>
              <w:t>Requirement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Non-employee Directors</w:t>
            </w:r>
          </w:p>
        </w:tc>
        <w:tc>
          <w:tcPr>
            <w:tcW w:w="3720" w:type="dxa"/>
            <w:vAlign w:val="bottom"/>
            <w:gridSpan w:val="2"/>
            <w:shd w:val="clear" w:color="auto" w:fill="DCDCDE"/>
          </w:tcPr>
          <w:p>
            <w:pPr>
              <w:spacing w:after="0" w:line="205" w:lineRule="exact"/>
              <w:rPr>
                <w:sz w:val="20"/>
                <w:szCs w:val="20"/>
                <w:color w:val="auto"/>
              </w:rPr>
            </w:pPr>
            <w:r>
              <w:rPr>
                <w:rFonts w:ascii="Arial" w:cs="Arial" w:eastAsia="Arial" w:hAnsi="Arial"/>
                <w:sz w:val="14"/>
                <w:szCs w:val="14"/>
                <w:color w:val="auto"/>
              </w:rPr>
              <w:t>Three times Board annual retainer fees</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5"/>
                <w:szCs w:val="15"/>
                <w:color w:val="auto"/>
              </w:rPr>
              <w:t>Chief Executive Officer</w:t>
            </w:r>
          </w:p>
        </w:tc>
        <w:tc>
          <w:tcPr>
            <w:tcW w:w="3720" w:type="dxa"/>
            <w:vAlign w:val="bottom"/>
            <w:gridSpan w:val="2"/>
          </w:tcPr>
          <w:p>
            <w:pPr>
              <w:spacing w:after="0" w:line="214" w:lineRule="exact"/>
              <w:rPr>
                <w:sz w:val="20"/>
                <w:szCs w:val="20"/>
                <w:color w:val="auto"/>
              </w:rPr>
            </w:pPr>
            <w:r>
              <w:rPr>
                <w:rFonts w:ascii="Arial" w:cs="Arial" w:eastAsia="Arial" w:hAnsi="Arial"/>
                <w:sz w:val="15"/>
                <w:szCs w:val="15"/>
                <w:color w:val="auto"/>
              </w:rPr>
              <w:t>Three times base salary</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Other Executive Officers</w:t>
            </w:r>
          </w:p>
        </w:tc>
        <w:tc>
          <w:tcPr>
            <w:tcW w:w="372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One times base salary</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0" w:hanging="458"/>
        <w:spacing w:after="0"/>
        <w:tabs>
          <w:tab w:leader="none" w:pos="1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Annual retainer fees exclude meeting fees, committee retainers, committee chair retainers and lead independent director fees.</w:t>
      </w:r>
    </w:p>
    <w:p>
      <w:pPr>
        <w:spacing w:after="0" w:line="210" w:lineRule="exact"/>
        <w:rPr>
          <w:rFonts w:ascii="Arial" w:cs="Arial" w:eastAsia="Arial" w:hAnsi="Arial"/>
          <w:sz w:val="15"/>
          <w:szCs w:val="15"/>
          <w:color w:val="auto"/>
        </w:rPr>
      </w:pPr>
    </w:p>
    <w:p>
      <w:pPr>
        <w:ind w:left="1800" w:hanging="458"/>
        <w:spacing w:after="0"/>
        <w:tabs>
          <w:tab w:leader="none" w:pos="18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Only applies once if the chief executive officer is also a member of the Board of Directors.</w:t>
      </w:r>
    </w:p>
    <w:p>
      <w:pPr>
        <w:spacing w:after="0" w:line="188" w:lineRule="exact"/>
        <w:rPr>
          <w:sz w:val="20"/>
          <w:szCs w:val="20"/>
          <w:color w:val="auto"/>
        </w:rPr>
      </w:pPr>
    </w:p>
    <w:p>
      <w:pPr>
        <w:jc w:val="both"/>
        <w:ind w:firstLine="326"/>
        <w:spacing w:after="0" w:line="257" w:lineRule="auto"/>
        <w:rPr>
          <w:sz w:val="20"/>
          <w:szCs w:val="20"/>
          <w:color w:val="auto"/>
        </w:rPr>
      </w:pPr>
      <w:r>
        <w:rPr>
          <w:rFonts w:ascii="Arial" w:cs="Arial" w:eastAsia="Arial" w:hAnsi="Arial"/>
          <w:sz w:val="15"/>
          <w:szCs w:val="15"/>
          <w:color w:val="auto"/>
        </w:rPr>
        <w:t>Covered persons under the policy have until five years from becoming a covered person to satisfy the ownership requirements. Until these ownership requirements are satisfied, covered persons must retain 50% of after-tax shares after vesting of RSUs or exercise of stock options. Our insider trading policy prohibits our directors and executive officers from entering into derivative transactions such as puts, calls, or short sales of our common stock, among many other actions. We provide training and distribute periodic reminders to our directors and executive officers regarding this policy.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8" w:name="page59"/>
    <w:bookmarkEnd w:id="5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firstLine="338"/>
        <w:spacing w:after="0" w:line="270" w:lineRule="auto"/>
        <w:rPr>
          <w:sz w:val="20"/>
          <w:szCs w:val="20"/>
          <w:color w:val="auto"/>
        </w:rPr>
      </w:pPr>
      <w:r>
        <w:rPr>
          <w:rFonts w:ascii="Arial" w:cs="Arial" w:eastAsia="Arial" w:hAnsi="Arial"/>
          <w:sz w:val="15"/>
          <w:szCs w:val="15"/>
          <w:i w:val="1"/>
          <w:iCs w:val="1"/>
          <w:color w:val="auto"/>
        </w:rPr>
        <w:t xml:space="preserve">Compensation Recovery Policy. </w:t>
      </w:r>
      <w:r>
        <w:rPr>
          <w:rFonts w:ascii="Arial" w:cs="Arial" w:eastAsia="Arial" w:hAnsi="Arial"/>
          <w:sz w:val="15"/>
          <w:szCs w:val="15"/>
          <w:color w:val="auto"/>
        </w:rPr>
        <w:t>In 2011, we adopted a compensation recovery policy pursuant to which certain incentive-based compensation can be recouped from a current or former</w:t>
      </w:r>
      <w:r>
        <w:rPr>
          <w:rFonts w:ascii="Arial" w:cs="Arial" w:eastAsia="Arial" w:hAnsi="Arial"/>
          <w:sz w:val="15"/>
          <w:szCs w:val="15"/>
          <w:i w:val="1"/>
          <w:iCs w:val="1"/>
          <w:color w:val="auto"/>
        </w:rPr>
        <w:t xml:space="preserve"> </w:t>
      </w:r>
      <w:r>
        <w:rPr>
          <w:rFonts w:ascii="Arial" w:cs="Arial" w:eastAsia="Arial" w:hAnsi="Arial"/>
          <w:sz w:val="15"/>
          <w:szCs w:val="15"/>
          <w:color w:val="auto"/>
        </w:rPr>
        <w:t>executive if the Board of Directors determines that:</w:t>
      </w:r>
    </w:p>
    <w:p>
      <w:pPr>
        <w:spacing w:after="0" w:line="164" w:lineRule="exact"/>
        <w:rPr>
          <w:sz w:val="20"/>
          <w:szCs w:val="20"/>
          <w:color w:val="auto"/>
        </w:rPr>
      </w:pPr>
    </w:p>
    <w:p>
      <w:pPr>
        <w:ind w:left="900" w:hanging="459"/>
        <w:spacing w:after="0" w:line="270"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Such compensation has been awarded or received by such executive based on financial results that were achieved or operating metrics that were satisfied as a result of fraudulent or illegal conduct;</w:t>
      </w:r>
    </w:p>
    <w:p>
      <w:pPr>
        <w:spacing w:after="0" w:line="175" w:lineRule="exact"/>
        <w:rPr>
          <w:rFonts w:ascii="Arial" w:cs="Arial" w:eastAsia="Arial" w:hAnsi="Arial"/>
          <w:sz w:val="15"/>
          <w:szCs w:val="15"/>
          <w:color w:val="auto"/>
        </w:rPr>
      </w:pPr>
    </w:p>
    <w:p>
      <w:pPr>
        <w:ind w:left="900" w:hanging="459"/>
        <w:spacing w:after="0"/>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Certain restatements of our financial results are required due to material noncompliance with financial reporting requirements by such executive; or</w:t>
      </w:r>
    </w:p>
    <w:p>
      <w:pPr>
        <w:spacing w:after="0" w:line="199" w:lineRule="exact"/>
        <w:rPr>
          <w:rFonts w:ascii="Arial" w:cs="Arial" w:eastAsia="Arial" w:hAnsi="Arial"/>
          <w:sz w:val="15"/>
          <w:szCs w:val="15"/>
          <w:color w:val="auto"/>
        </w:rPr>
      </w:pPr>
    </w:p>
    <w:p>
      <w:pPr>
        <w:ind w:left="900" w:right="20" w:hanging="459"/>
        <w:spacing w:after="0" w:line="270"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Such executive engaged in intentional misconduct that contributed in any material respect to improper accounting or incorrect financial data resulting in a restatement of our financial results.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5"/>
          <w:szCs w:val="15"/>
          <w:i w:val="1"/>
          <w:iCs w:val="1"/>
          <w:color w:val="auto"/>
        </w:rPr>
        <w:t>Tax and Accounting Considerations.</w:t>
      </w:r>
    </w:p>
    <w:p>
      <w:pPr>
        <w:spacing w:after="0" w:line="188" w:lineRule="exact"/>
        <w:rPr>
          <w:sz w:val="20"/>
          <w:szCs w:val="20"/>
          <w:color w:val="auto"/>
        </w:rPr>
      </w:pPr>
    </w:p>
    <w:p>
      <w:pPr>
        <w:jc w:val="both"/>
        <w:ind w:firstLine="302"/>
        <w:spacing w:after="0" w:line="274" w:lineRule="auto"/>
        <w:rPr>
          <w:sz w:val="20"/>
          <w:szCs w:val="20"/>
          <w:color w:val="auto"/>
        </w:rPr>
      </w:pPr>
      <w:r>
        <w:rPr>
          <w:rFonts w:ascii="Arial" w:cs="Arial" w:eastAsia="Arial" w:hAnsi="Arial"/>
          <w:sz w:val="14"/>
          <w:szCs w:val="14"/>
          <w:color w:val="auto"/>
        </w:rPr>
        <w:t>Section 162(m) of the Internal Revenue Code of 1986, as amended (the "Code") generally disallows a tax deduction for compensation in excess of $1.0 million paid in any taxable year to a company's chief executive officer, chief financial officer and other officers whose compensation is required to be reported to the company's stockholders pursuant to the Exchange Act by reason of being among its three highest compensated officers. For taxable years beginning on or before December 31, 2017, certain compensation, including compensation paid to our chief financial officer and qualified performance-based compensation, was not subject to the deduction limitations. Pursuant to the Tax Cuts and Jobs Act, signed into law on December 22, 2017 (the "Tax Act"), subject to certain transition rules, for taxable years beginning after December 31, 2017, the deduction limitation under Section 162(m) was expanded to apply to compensation in excess of $1.0 million paid in any taxable year to our chief financial officer, and the performance-based compensation exception to the deduction limitations under Section 162(m) is no longer available. As a result, for taxable years beginning after December 31, 2017, all compensation in excess of $1.0 million paid to the specified executives will not be deductible, unless grandfathered under transition guidance.</w:t>
      </w:r>
    </w:p>
    <w:p>
      <w:pPr>
        <w:spacing w:after="0" w:line="152" w:lineRule="exact"/>
        <w:rPr>
          <w:sz w:val="20"/>
          <w:szCs w:val="20"/>
          <w:color w:val="auto"/>
        </w:rPr>
      </w:pPr>
    </w:p>
    <w:p>
      <w:pPr>
        <w:jc w:val="both"/>
        <w:ind w:firstLine="330"/>
        <w:spacing w:after="0" w:line="274" w:lineRule="auto"/>
        <w:rPr>
          <w:sz w:val="20"/>
          <w:szCs w:val="20"/>
          <w:color w:val="auto"/>
        </w:rPr>
      </w:pPr>
      <w:r>
        <w:rPr>
          <w:rFonts w:ascii="Arial" w:cs="Arial" w:eastAsia="Arial" w:hAnsi="Arial"/>
          <w:sz w:val="14"/>
          <w:szCs w:val="14"/>
          <w:color w:val="auto"/>
        </w:rPr>
        <w:t>Sections 280G and 4999 of the Code impose certain adverse tax consequences on compensation treated as excess parachute payments. An executive is treated as having received excess parachute payments if such executive receives compensatory payments or benefits that are contingent on a change-in-control, and the aggregate amount of such payments and benefits equals or exceeds three times the executive's base amount (which is generally such executive's average compensation from us over the five years prior to the change-of-control). The portion of the payments and benefits in excess of one times base amount is treated as excess parachute payments and are subject to a 20% excise tax, in addition to any applicable federal income and employment taxes. Also, our compensation deduction in respect of the executive's excess parachute payments is disallowed. If we were to undergo a change-of-control, certain amounts received by our executives (for example, certain severance payments and amounts attributable to the accelerated vesting of stock options, RSUs and PSUs) could be excess parachute payments under Sections 280G and 4999 of the Code. As discussed below under "Payments Upon Termination or Change of Control" we do not provide executive officers with tax gross up payments in the event that Sections 280G and 4999 apply to their compensatory payments.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59" w:name="page60"/>
    <w:bookmarkEnd w:id="5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COMPENSATION COMMITTEE REPORT</w:t>
      </w:r>
    </w:p>
    <w:p>
      <w:pPr>
        <w:spacing w:after="0" w:line="192" w:lineRule="exact"/>
        <w:rPr>
          <w:sz w:val="20"/>
          <w:szCs w:val="20"/>
          <w:color w:val="auto"/>
        </w:rPr>
      </w:pPr>
    </w:p>
    <w:p>
      <w:pPr>
        <w:jc w:val="both"/>
        <w:ind w:firstLine="304"/>
        <w:spacing w:after="0" w:line="260" w:lineRule="auto"/>
        <w:rPr>
          <w:sz w:val="20"/>
          <w:szCs w:val="20"/>
          <w:color w:val="auto"/>
        </w:rPr>
      </w:pPr>
      <w:r>
        <w:rPr>
          <w:rFonts w:ascii="Arial" w:cs="Arial" w:eastAsia="Arial" w:hAnsi="Arial"/>
          <w:sz w:val="15"/>
          <w:szCs w:val="15"/>
          <w:i w:val="1"/>
          <w:iCs w:val="1"/>
          <w:color w:val="auto"/>
        </w:rPr>
        <w:t>The information contained in this report shall not be deemed to be "soliciting material" or "filed" with the SEC or subject to the liabilities of Section 18 of the Securities Exchange Act of 1934 (the "Exchange Act"), except to the extent that Emergent BioSolutions Inc. specifically incorporates it by reference into a document filed under the Securities Act of 1933 or the Exchange Act.</w:t>
      </w:r>
    </w:p>
    <w:p>
      <w:pPr>
        <w:spacing w:after="0" w:line="161" w:lineRule="exact"/>
        <w:rPr>
          <w:sz w:val="20"/>
          <w:szCs w:val="20"/>
          <w:color w:val="auto"/>
        </w:rPr>
      </w:pPr>
    </w:p>
    <w:p>
      <w:pPr>
        <w:ind w:right="20" w:firstLine="310"/>
        <w:spacing w:after="0" w:line="348" w:lineRule="auto"/>
        <w:rPr>
          <w:sz w:val="20"/>
          <w:szCs w:val="20"/>
          <w:color w:val="auto"/>
        </w:rPr>
      </w:pPr>
      <w:r>
        <w:rPr>
          <w:rFonts w:ascii="Arial" w:cs="Arial" w:eastAsia="Arial" w:hAnsi="Arial"/>
          <w:sz w:val="13"/>
          <w:szCs w:val="13"/>
          <w:color w:val="auto"/>
        </w:rPr>
        <w:t>The compensation committee has reviewed and discussed the Compensation Discussion and Analysis required by Item 402(b) of Regulation S-K with management. Based on this review and discussion, the compensation committee has recommended to the Board of Directors that the Compensation Discussion and Analysis be included in this proxy statement.</w:t>
      </w:r>
    </w:p>
    <w:p>
      <w:pPr>
        <w:spacing w:after="0" w:line="107"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By the Compensation Committee of the</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Board of Directors of Emergent BioSolutions Inc.</w:t>
      </w:r>
    </w:p>
    <w:p>
      <w:pPr>
        <w:spacing w:after="0" w:line="204"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Dr. Sue Bailey</w:t>
      </w:r>
    </w:p>
    <w:p>
      <w:pPr>
        <w:spacing w:after="0" w:line="14"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Jerome M. Hauer, Ph.D.</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General George A. Joulwan</w:t>
      </w:r>
    </w:p>
    <w:p>
      <w:pPr>
        <w:spacing w:after="0" w:line="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Louis W. Sullivan, M.D., Chairperson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2" w:lineRule="exact"/>
        <w:rPr>
          <w:sz w:val="20"/>
          <w:szCs w:val="20"/>
          <w:color w:val="auto"/>
        </w:rPr>
      </w:pPr>
    </w:p>
    <w:p>
      <w:pPr>
        <w:ind w:firstLine="311"/>
        <w:spacing w:after="0" w:line="270" w:lineRule="auto"/>
        <w:rPr>
          <w:sz w:val="20"/>
          <w:szCs w:val="20"/>
          <w:color w:val="auto"/>
        </w:rPr>
      </w:pPr>
      <w:r>
        <w:rPr>
          <w:rFonts w:ascii="Arial" w:cs="Arial" w:eastAsia="Arial" w:hAnsi="Arial"/>
          <w:sz w:val="15"/>
          <w:szCs w:val="15"/>
          <w:color w:val="auto"/>
        </w:rPr>
        <w:t>No member of the compensation committee was at any time during 2019, or formerly, an officer or employee of the company or any of our direct or indirect subsidiaries, and no member of the compensation committee had any relationship with us during 2019 requiring disclosure under Item 404 of Regulation S-K.</w:t>
      </w:r>
    </w:p>
    <w:p>
      <w:pPr>
        <w:spacing w:after="0" w:line="153" w:lineRule="exact"/>
        <w:rPr>
          <w:sz w:val="20"/>
          <w:szCs w:val="20"/>
          <w:color w:val="auto"/>
        </w:rPr>
      </w:pPr>
    </w:p>
    <w:p>
      <w:pPr>
        <w:ind w:firstLine="312"/>
        <w:spacing w:after="0" w:line="270" w:lineRule="auto"/>
        <w:rPr>
          <w:sz w:val="20"/>
          <w:szCs w:val="20"/>
          <w:color w:val="auto"/>
        </w:rPr>
      </w:pPr>
      <w:r>
        <w:rPr>
          <w:rFonts w:ascii="Arial" w:cs="Arial" w:eastAsia="Arial" w:hAnsi="Arial"/>
          <w:sz w:val="15"/>
          <w:szCs w:val="15"/>
          <w:color w:val="auto"/>
        </w:rPr>
        <w:t>In addition, none of the members of the compensation committee has or had any relationship with us during fiscal 2019 that requires disclosure in accordance with the applicable rules of the SEC relating to compensation committee interlocks and insider participation.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0" w:name="page61"/>
    <w:bookmarkEnd w:id="6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2019 SUMMARY COMPENSATION TABLE</w:t>
      </w:r>
    </w:p>
    <w:p>
      <w:pPr>
        <w:spacing w:after="0" w:line="192" w:lineRule="exact"/>
        <w:rPr>
          <w:sz w:val="20"/>
          <w:szCs w:val="20"/>
          <w:color w:val="auto"/>
        </w:rPr>
      </w:pPr>
    </w:p>
    <w:p>
      <w:pPr>
        <w:jc w:val="both"/>
        <w:ind w:right="20" w:firstLine="298"/>
        <w:spacing w:after="0" w:line="260" w:lineRule="auto"/>
        <w:rPr>
          <w:sz w:val="20"/>
          <w:szCs w:val="20"/>
          <w:color w:val="auto"/>
        </w:rPr>
      </w:pPr>
      <w:r>
        <w:rPr>
          <w:rFonts w:ascii="Arial" w:cs="Arial" w:eastAsia="Arial" w:hAnsi="Arial"/>
          <w:sz w:val="15"/>
          <w:szCs w:val="15"/>
          <w:color w:val="auto"/>
        </w:rPr>
        <w:t>The following table sets forth information for the fiscal years ended December 31, 2019, 2018 and 2017 regarding the compensation of our chief executive officers, chief financial officer, and our three other most highly compensated executive officers in the fiscal year ended December 31, 2019. We refer to these individuals throughout this proxy statement as our "named executive officers."</w:t>
      </w:r>
    </w:p>
    <w:p>
      <w:pPr>
        <w:spacing w:after="0" w:line="154"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center"/>
              <w:ind w:right="9"/>
              <w:spacing w:after="0"/>
              <w:rPr>
                <w:sz w:val="20"/>
                <w:szCs w:val="20"/>
                <w:color w:val="auto"/>
              </w:rPr>
            </w:pPr>
            <w:r>
              <w:rPr>
                <w:rFonts w:ascii="Arial" w:cs="Arial" w:eastAsia="Arial" w:hAnsi="Arial"/>
                <w:sz w:val="11"/>
                <w:szCs w:val="11"/>
                <w:b w:val="1"/>
                <w:bCs w:val="1"/>
                <w:color w:val="auto"/>
                <w:w w:val="90"/>
              </w:rPr>
              <w:t>Non-equity</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0"/>
        </w:trPr>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ind w:left="120"/>
              <w:spacing w:after="0" w:line="121" w:lineRule="exact"/>
              <w:rPr>
                <w:sz w:val="20"/>
                <w:szCs w:val="20"/>
                <w:color w:val="auto"/>
              </w:rPr>
            </w:pPr>
            <w:r>
              <w:rPr>
                <w:rFonts w:ascii="Arial" w:cs="Arial" w:eastAsia="Arial" w:hAnsi="Arial"/>
                <w:sz w:val="11"/>
                <w:szCs w:val="11"/>
                <w:b w:val="1"/>
                <w:bCs w:val="1"/>
                <w:color w:val="auto"/>
              </w:rPr>
              <w:t>Stock</w:t>
            </w:r>
          </w:p>
        </w:tc>
        <w:tc>
          <w:tcPr>
            <w:tcW w:w="100" w:type="dxa"/>
            <w:vAlign w:val="bottom"/>
          </w:tcPr>
          <w:p>
            <w:pPr>
              <w:spacing w:after="0"/>
              <w:rPr>
                <w:sz w:val="10"/>
                <w:szCs w:val="10"/>
                <w:color w:val="auto"/>
              </w:rPr>
            </w:pPr>
          </w:p>
        </w:tc>
        <w:tc>
          <w:tcPr>
            <w:tcW w:w="76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Option</w:t>
            </w:r>
          </w:p>
        </w:tc>
        <w:tc>
          <w:tcPr>
            <w:tcW w:w="80" w:type="dxa"/>
            <w:vAlign w:val="bottom"/>
          </w:tcPr>
          <w:p>
            <w:pPr>
              <w:spacing w:after="0"/>
              <w:rPr>
                <w:sz w:val="10"/>
                <w:szCs w:val="10"/>
                <w:color w:val="auto"/>
              </w:rPr>
            </w:pPr>
          </w:p>
        </w:tc>
        <w:tc>
          <w:tcPr>
            <w:tcW w:w="880" w:type="dxa"/>
            <w:vAlign w:val="bottom"/>
          </w:tcPr>
          <w:p>
            <w:pPr>
              <w:jc w:val="center"/>
              <w:ind w:right="9"/>
              <w:spacing w:after="0" w:line="121" w:lineRule="exact"/>
              <w:rPr>
                <w:sz w:val="20"/>
                <w:szCs w:val="20"/>
                <w:color w:val="auto"/>
              </w:rPr>
            </w:pPr>
            <w:r>
              <w:rPr>
                <w:rFonts w:ascii="Arial" w:cs="Arial" w:eastAsia="Arial" w:hAnsi="Arial"/>
                <w:sz w:val="11"/>
                <w:szCs w:val="11"/>
                <w:b w:val="1"/>
                <w:bCs w:val="1"/>
                <w:color w:val="auto"/>
                <w:w w:val="91"/>
              </w:rPr>
              <w:t>Incentive Plan</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ind w:right="249"/>
              <w:spacing w:after="0" w:line="121" w:lineRule="exact"/>
              <w:rPr>
                <w:sz w:val="20"/>
                <w:szCs w:val="20"/>
                <w:color w:val="auto"/>
              </w:rPr>
            </w:pPr>
            <w:r>
              <w:rPr>
                <w:rFonts w:ascii="Arial" w:cs="Arial" w:eastAsia="Arial" w:hAnsi="Arial"/>
                <w:sz w:val="11"/>
                <w:szCs w:val="11"/>
                <w:b w:val="1"/>
                <w:bCs w:val="1"/>
                <w:color w:val="auto"/>
              </w:rPr>
              <w:t>All 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1"/>
        </w:trPr>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1"/>
              </w:rPr>
              <w:t>Name and Principal Position</w:t>
            </w:r>
          </w:p>
        </w:tc>
        <w:tc>
          <w:tcPr>
            <w:tcW w:w="1520" w:type="dxa"/>
            <w:vAlign w:val="bottom"/>
          </w:tcPr>
          <w:p>
            <w:pPr>
              <w:spacing w:after="0"/>
              <w:rPr>
                <w:sz w:val="14"/>
                <w:szCs w:val="14"/>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Year</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68"/>
              <w:spacing w:after="0" w:line="161" w:lineRule="exact"/>
              <w:rPr>
                <w:sz w:val="20"/>
                <w:szCs w:val="20"/>
                <w:color w:val="auto"/>
              </w:rPr>
            </w:pPr>
            <w:r>
              <w:rPr>
                <w:rFonts w:ascii="Arial" w:cs="Arial" w:eastAsia="Arial" w:hAnsi="Arial"/>
                <w:sz w:val="11"/>
                <w:szCs w:val="11"/>
                <w:b w:val="1"/>
                <w:bCs w:val="1"/>
                <w:color w:val="auto"/>
                <w:w w:val="92"/>
              </w:rPr>
              <w:t>Salary</w:t>
            </w:r>
            <w:r>
              <w:rPr>
                <w:rFonts w:ascii="Arial" w:cs="Arial" w:eastAsia="Arial" w:hAnsi="Arial"/>
                <w:sz w:val="18"/>
                <w:szCs w:val="18"/>
                <w:b w:val="1"/>
                <w:bCs w:val="1"/>
                <w:color w:val="auto"/>
                <w:w w:val="92"/>
                <w:vertAlign w:val="superscript"/>
              </w:rPr>
              <w:t>(1)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9"/>
              <w:spacing w:after="0" w:line="161" w:lineRule="exact"/>
              <w:rPr>
                <w:sz w:val="20"/>
                <w:szCs w:val="20"/>
                <w:color w:val="auto"/>
              </w:rPr>
            </w:pPr>
            <w:r>
              <w:rPr>
                <w:rFonts w:ascii="Arial" w:cs="Arial" w:eastAsia="Arial" w:hAnsi="Arial"/>
                <w:sz w:val="11"/>
                <w:szCs w:val="11"/>
                <w:b w:val="1"/>
                <w:bCs w:val="1"/>
                <w:color w:val="auto"/>
                <w:w w:val="88"/>
              </w:rPr>
              <w:t>Awards</w:t>
            </w:r>
            <w:r>
              <w:rPr>
                <w:rFonts w:ascii="Arial" w:cs="Arial" w:eastAsia="Arial" w:hAnsi="Arial"/>
                <w:sz w:val="18"/>
                <w:szCs w:val="18"/>
                <w:b w:val="1"/>
                <w:bCs w:val="1"/>
                <w:color w:val="auto"/>
                <w:w w:val="88"/>
                <w:vertAlign w:val="superscript"/>
              </w:rPr>
              <w:t>(2)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9"/>
              <w:spacing w:after="0" w:line="161" w:lineRule="exact"/>
              <w:rPr>
                <w:sz w:val="20"/>
                <w:szCs w:val="20"/>
                <w:color w:val="auto"/>
              </w:rPr>
            </w:pPr>
            <w:r>
              <w:rPr>
                <w:rFonts w:ascii="Arial" w:cs="Arial" w:eastAsia="Arial" w:hAnsi="Arial"/>
                <w:sz w:val="11"/>
                <w:szCs w:val="11"/>
                <w:b w:val="1"/>
                <w:bCs w:val="1"/>
                <w:color w:val="auto"/>
                <w:w w:val="88"/>
              </w:rPr>
              <w:t>Awards</w:t>
            </w:r>
            <w:r>
              <w:rPr>
                <w:rFonts w:ascii="Arial" w:cs="Arial" w:eastAsia="Arial" w:hAnsi="Arial"/>
                <w:sz w:val="18"/>
                <w:szCs w:val="18"/>
                <w:b w:val="1"/>
                <w:bCs w:val="1"/>
                <w:color w:val="auto"/>
                <w:w w:val="88"/>
                <w:vertAlign w:val="superscript"/>
              </w:rPr>
              <w:t>(3)</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
              <w:spacing w:after="0" w:line="161" w:lineRule="exact"/>
              <w:rPr>
                <w:sz w:val="20"/>
                <w:szCs w:val="20"/>
                <w:color w:val="auto"/>
              </w:rPr>
            </w:pPr>
            <w:r>
              <w:rPr>
                <w:rFonts w:ascii="Arial" w:cs="Arial" w:eastAsia="Arial" w:hAnsi="Arial"/>
                <w:sz w:val="11"/>
                <w:szCs w:val="11"/>
                <w:b w:val="1"/>
                <w:bCs w:val="1"/>
                <w:color w:val="auto"/>
                <w:w w:val="87"/>
              </w:rPr>
              <w:t>Compensation</w:t>
            </w:r>
            <w:r>
              <w:rPr>
                <w:rFonts w:ascii="Arial" w:cs="Arial" w:eastAsia="Arial" w:hAnsi="Arial"/>
                <w:sz w:val="18"/>
                <w:szCs w:val="18"/>
                <w:b w:val="1"/>
                <w:bCs w:val="1"/>
                <w:color w:val="auto"/>
                <w:w w:val="87"/>
                <w:vertAlign w:val="superscript"/>
              </w:rPr>
              <w:t>(4)</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
              <w:spacing w:after="0" w:line="161" w:lineRule="exact"/>
              <w:rPr>
                <w:sz w:val="20"/>
                <w:szCs w:val="20"/>
                <w:color w:val="auto"/>
              </w:rPr>
            </w:pPr>
            <w:r>
              <w:rPr>
                <w:rFonts w:ascii="Arial" w:cs="Arial" w:eastAsia="Arial" w:hAnsi="Arial"/>
                <w:sz w:val="11"/>
                <w:szCs w:val="11"/>
                <w:b w:val="1"/>
                <w:bCs w:val="1"/>
                <w:color w:val="auto"/>
                <w:w w:val="85"/>
              </w:rPr>
              <w:t>Compensation</w:t>
            </w:r>
            <w:r>
              <w:rPr>
                <w:rFonts w:ascii="Arial" w:cs="Arial" w:eastAsia="Arial" w:hAnsi="Arial"/>
                <w:sz w:val="18"/>
                <w:szCs w:val="18"/>
                <w:b w:val="1"/>
                <w:bCs w:val="1"/>
                <w:color w:val="auto"/>
                <w:w w:val="85"/>
                <w:vertAlign w:val="superscript"/>
              </w:rPr>
              <w:t>(5)(6)</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1"/>
                <w:szCs w:val="11"/>
                <w:b w:val="1"/>
                <w:bCs w:val="1"/>
                <w:color w:val="auto"/>
              </w:rPr>
              <w:t>Total</w:t>
            </w:r>
          </w:p>
        </w:tc>
        <w:tc>
          <w:tcPr>
            <w:tcW w:w="20" w:type="dxa"/>
            <w:vAlign w:val="bottom"/>
          </w:tcPr>
          <w:p>
            <w:pPr>
              <w:spacing w:after="0"/>
              <w:rPr>
                <w:sz w:val="14"/>
                <w:szCs w:val="14"/>
                <w:color w:val="auto"/>
              </w:rPr>
            </w:pPr>
          </w:p>
        </w:tc>
      </w:tr>
      <w:tr>
        <w:trPr>
          <w:trHeight w:val="172"/>
        </w:trPr>
        <w:tc>
          <w:tcPr>
            <w:tcW w:w="29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360" w:type="dxa"/>
            <w:vAlign w:val="bottom"/>
            <w:shd w:val="clear" w:color="auto" w:fill="DCDCDE"/>
          </w:tcPr>
          <w:p>
            <w:pPr>
              <w:ind w:left="80"/>
              <w:spacing w:after="0"/>
              <w:rPr>
                <w:sz w:val="20"/>
                <w:szCs w:val="20"/>
                <w:color w:val="auto"/>
              </w:rPr>
            </w:pPr>
            <w:r>
              <w:rPr>
                <w:rFonts w:ascii="Arial" w:cs="Arial" w:eastAsia="Arial" w:hAnsi="Arial"/>
                <w:sz w:val="15"/>
                <w:szCs w:val="15"/>
                <w:color w:val="auto"/>
                <w:w w:val="77"/>
              </w:rPr>
              <w:t>2019</w:t>
            </w:r>
          </w:p>
        </w:tc>
        <w:tc>
          <w:tcPr>
            <w:tcW w:w="140" w:type="dxa"/>
            <w:vAlign w:val="bottom"/>
            <w:shd w:val="clear" w:color="auto" w:fill="DCDCDE"/>
          </w:tcPr>
          <w:p>
            <w:pPr>
              <w:spacing w:after="0"/>
              <w:rPr>
                <w:sz w:val="14"/>
                <w:szCs w:val="14"/>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1,131,577</w:t>
            </w:r>
          </w:p>
        </w:tc>
        <w:tc>
          <w:tcPr>
            <w:tcW w:w="140" w:type="dxa"/>
            <w:vAlign w:val="bottom"/>
            <w:shd w:val="clear" w:color="auto" w:fill="DCDCDE"/>
          </w:tcPr>
          <w:p>
            <w:pPr>
              <w:spacing w:after="0"/>
              <w:rPr>
                <w:sz w:val="14"/>
                <w:szCs w:val="14"/>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9"/>
              </w:rPr>
              <w:t>1,099,949</w:t>
            </w:r>
          </w:p>
        </w:tc>
        <w:tc>
          <w:tcPr>
            <w:tcW w:w="120" w:type="dxa"/>
            <w:vAlign w:val="bottom"/>
            <w:shd w:val="clear" w:color="auto" w:fill="DCDCDE"/>
          </w:tcPr>
          <w:p>
            <w:pPr>
              <w:spacing w:after="0"/>
              <w:rPr>
                <w:sz w:val="14"/>
                <w:szCs w:val="14"/>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773,813</w:t>
            </w:r>
          </w:p>
        </w:tc>
        <w:tc>
          <w:tcPr>
            <w:tcW w:w="14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4,723</w:t>
            </w:r>
          </w:p>
        </w:tc>
        <w:tc>
          <w:tcPr>
            <w:tcW w:w="120" w:type="dxa"/>
            <w:vAlign w:val="bottom"/>
            <w:shd w:val="clear" w:color="auto" w:fill="DCDCDE"/>
          </w:tcPr>
          <w:p>
            <w:pPr>
              <w:spacing w:after="0"/>
              <w:rPr>
                <w:sz w:val="14"/>
                <w:szCs w:val="14"/>
                <w:color w:val="auto"/>
              </w:rPr>
            </w:pPr>
          </w:p>
        </w:tc>
        <w:tc>
          <w:tcPr>
            <w:tcW w:w="12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3,010,062</w:t>
            </w:r>
          </w:p>
        </w:tc>
        <w:tc>
          <w:tcPr>
            <w:tcW w:w="20" w:type="dxa"/>
            <w:vAlign w:val="bottom"/>
          </w:tcPr>
          <w:p>
            <w:pPr>
              <w:spacing w:after="0"/>
              <w:rPr>
                <w:sz w:val="14"/>
                <w:szCs w:val="14"/>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Executive Chairman of</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1,047,031</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957,456</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957,481</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8,250</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2,970,218</w:t>
            </w:r>
          </w:p>
        </w:tc>
        <w:tc>
          <w:tcPr>
            <w:tcW w:w="20" w:type="dxa"/>
            <w:vAlign w:val="bottom"/>
          </w:tcPr>
          <w:p>
            <w:pPr>
              <w:spacing w:after="0"/>
              <w:rPr>
                <w:sz w:val="15"/>
                <w:szCs w:val="15"/>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the Board of Directors</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2017</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1,023,954</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899,971</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635,307</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8,250</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2,567,482</w:t>
            </w:r>
          </w:p>
        </w:tc>
        <w:tc>
          <w:tcPr>
            <w:tcW w:w="20" w:type="dxa"/>
            <w:vAlign w:val="bottom"/>
          </w:tcPr>
          <w:p>
            <w:pPr>
              <w:spacing w:after="0"/>
              <w:rPr>
                <w:sz w:val="15"/>
                <w:szCs w:val="15"/>
                <w:color w:val="auto"/>
              </w:rPr>
            </w:pPr>
          </w:p>
        </w:tc>
      </w:tr>
      <w:tr>
        <w:trPr>
          <w:trHeight w:val="376"/>
        </w:trPr>
        <w:tc>
          <w:tcPr>
            <w:tcW w:w="2900" w:type="dxa"/>
            <w:vAlign w:val="bottom"/>
            <w:gridSpan w:val="3"/>
          </w:tcPr>
          <w:p>
            <w:pPr>
              <w:spacing w:after="0"/>
              <w:rPr>
                <w:sz w:val="20"/>
                <w:szCs w:val="20"/>
                <w:color w:val="auto"/>
              </w:rPr>
            </w:pPr>
            <w:r>
              <w:rPr>
                <w:rFonts w:ascii="Arial" w:cs="Arial" w:eastAsia="Arial" w:hAnsi="Arial"/>
                <w:sz w:val="15"/>
                <w:szCs w:val="15"/>
                <w:color w:val="auto"/>
              </w:rPr>
              <w:t>Robert G. Kramer</w:t>
            </w:r>
            <w:r>
              <w:rPr>
                <w:rFonts w:ascii="Arial" w:cs="Arial" w:eastAsia="Arial" w:hAnsi="Arial"/>
                <w:sz w:val="24"/>
                <w:szCs w:val="24"/>
                <w:color w:val="auto"/>
                <w:vertAlign w:val="superscript"/>
              </w:rPr>
              <w:t>(7)</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678,021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1,439,958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w w:val="89"/>
              </w:rPr>
              <w:t>1,012,999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557,108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5,735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3,693,821</w:t>
            </w:r>
          </w:p>
        </w:tc>
      </w:tr>
      <w:tr>
        <w:trPr>
          <w:trHeight w:val="180"/>
        </w:trPr>
        <w:tc>
          <w:tcPr>
            <w:tcW w:w="2900" w:type="dxa"/>
            <w:vAlign w:val="bottom"/>
            <w:gridSpan w:val="3"/>
          </w:tcPr>
          <w:p>
            <w:pPr>
              <w:ind w:left="140"/>
              <w:spacing w:after="0"/>
              <w:rPr>
                <w:sz w:val="20"/>
                <w:szCs w:val="20"/>
                <w:color w:val="auto"/>
              </w:rPr>
            </w:pPr>
            <w:r>
              <w:rPr>
                <w:rFonts w:ascii="Arial" w:cs="Arial" w:eastAsia="Arial" w:hAnsi="Arial"/>
                <w:sz w:val="15"/>
                <w:szCs w:val="15"/>
                <w:color w:val="auto"/>
              </w:rPr>
              <w:t>President and Chief</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549,047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649,930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649,980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538,807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8,983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2,396,747</w:t>
            </w:r>
          </w:p>
        </w:tc>
      </w:tr>
      <w:tr>
        <w:trPr>
          <w:trHeight w:val="187"/>
        </w:trPr>
        <w:tc>
          <w:tcPr>
            <w:tcW w:w="2900" w:type="dxa"/>
            <w:vAlign w:val="bottom"/>
            <w:gridSpan w:val="3"/>
          </w:tcPr>
          <w:p>
            <w:pPr>
              <w:ind w:left="140"/>
              <w:spacing w:after="0"/>
              <w:rPr>
                <w:sz w:val="20"/>
                <w:szCs w:val="20"/>
                <w:color w:val="auto"/>
              </w:rPr>
            </w:pPr>
            <w:r>
              <w:rPr>
                <w:rFonts w:ascii="Arial" w:cs="Arial" w:eastAsia="Arial" w:hAnsi="Arial"/>
                <w:sz w:val="15"/>
                <w:szCs w:val="15"/>
                <w:color w:val="auto"/>
              </w:rPr>
              <w:t>Executive Officer</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510,107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499,973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331,054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362,254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8,983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1,712,371</w:t>
            </w:r>
          </w:p>
        </w:tc>
      </w:tr>
      <w:tr>
        <w:trPr>
          <w:trHeight w:val="384"/>
        </w:trPr>
        <w:tc>
          <w:tcPr>
            <w:tcW w:w="29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r>
              <w:rPr>
                <w:rFonts w:ascii="Arial" w:cs="Arial" w:eastAsia="Arial" w:hAnsi="Arial"/>
                <w:sz w:val="24"/>
                <w:szCs w:val="24"/>
                <w:color w:val="auto"/>
                <w:vertAlign w:val="superscript"/>
              </w:rPr>
              <w:t>(8)</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514,826</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619,984</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436,154</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297,429</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9,104</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1,877,496</w:t>
            </w:r>
          </w:p>
        </w:tc>
        <w:tc>
          <w:tcPr>
            <w:tcW w:w="20" w:type="dxa"/>
            <w:vAlign w:val="bottom"/>
          </w:tcPr>
          <w:p>
            <w:pPr>
              <w:spacing w:after="0"/>
              <w:rPr>
                <w:sz w:val="24"/>
                <w:szCs w:val="24"/>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Executive Vice President,</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365,393</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557,438</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351,101</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330,007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8,514</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1,612,453</w:t>
            </w:r>
          </w:p>
        </w:tc>
        <w:tc>
          <w:tcPr>
            <w:tcW w:w="20" w:type="dxa"/>
            <w:vAlign w:val="bottom"/>
          </w:tcPr>
          <w:p>
            <w:pPr>
              <w:spacing w:after="0"/>
              <w:rPr>
                <w:sz w:val="15"/>
                <w:szCs w:val="15"/>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Chief Financial Officer and Treasurer</w:t>
            </w:r>
          </w:p>
        </w:tc>
        <w:tc>
          <w:tcPr>
            <w:tcW w:w="3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0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10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00" w:type="dxa"/>
            <w:vAlign w:val="bottom"/>
            <w:shd w:val="clear" w:color="auto" w:fill="DCDCDE"/>
          </w:tcPr>
          <w:p>
            <w:pPr>
              <w:spacing w:after="0"/>
              <w:rPr>
                <w:sz w:val="15"/>
                <w:szCs w:val="15"/>
                <w:color w:val="auto"/>
              </w:rPr>
            </w:pPr>
          </w:p>
        </w:tc>
        <w:tc>
          <w:tcPr>
            <w:tcW w:w="20" w:type="dxa"/>
            <w:vAlign w:val="bottom"/>
          </w:tcPr>
          <w:p>
            <w:pPr>
              <w:spacing w:after="0"/>
              <w:rPr>
                <w:sz w:val="15"/>
                <w:szCs w:val="15"/>
                <w:color w:val="auto"/>
              </w:rPr>
            </w:pPr>
          </w:p>
        </w:tc>
      </w:tr>
      <w:tr>
        <w:trPr>
          <w:trHeight w:val="353"/>
        </w:trPr>
        <w:tc>
          <w:tcPr>
            <w:tcW w:w="290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484,120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619,984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436,154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279,579</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25,530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1,845,367</w:t>
            </w:r>
          </w:p>
        </w:tc>
      </w:tr>
      <w:tr>
        <w:trPr>
          <w:trHeight w:val="180"/>
        </w:trPr>
        <w:tc>
          <w:tcPr>
            <w:tcW w:w="2900" w:type="dxa"/>
            <w:vAlign w:val="bottom"/>
            <w:gridSpan w:val="3"/>
          </w:tcPr>
          <w:p>
            <w:pPr>
              <w:ind w:left="140"/>
              <w:spacing w:after="0"/>
              <w:rPr>
                <w:sz w:val="20"/>
                <w:szCs w:val="20"/>
                <w:color w:val="auto"/>
              </w:rPr>
            </w:pPr>
            <w:r>
              <w:rPr>
                <w:rFonts w:ascii="Arial" w:cs="Arial" w:eastAsia="Arial" w:hAnsi="Arial"/>
                <w:sz w:val="15"/>
                <w:szCs w:val="15"/>
                <w:color w:val="auto"/>
              </w:rPr>
              <w:t>Executive Vice President,</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480,728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499,974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359,784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310,212</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8,383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1,659,081</w:t>
            </w:r>
          </w:p>
        </w:tc>
      </w:tr>
      <w:tr>
        <w:trPr>
          <w:trHeight w:val="187"/>
        </w:trPr>
        <w:tc>
          <w:tcPr>
            <w:tcW w:w="2900" w:type="dxa"/>
            <w:vAlign w:val="bottom"/>
            <w:gridSpan w:val="3"/>
          </w:tcPr>
          <w:p>
            <w:pPr>
              <w:ind w:left="140"/>
              <w:spacing w:after="0"/>
              <w:rPr>
                <w:sz w:val="20"/>
                <w:szCs w:val="20"/>
                <w:color w:val="auto"/>
              </w:rPr>
            </w:pPr>
            <w:r>
              <w:rPr>
                <w:rFonts w:ascii="Arial" w:cs="Arial" w:eastAsia="Arial" w:hAnsi="Arial"/>
                <w:sz w:val="15"/>
                <w:szCs w:val="15"/>
                <w:color w:val="auto"/>
              </w:rPr>
              <w:t>Business Operations</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448,842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262,499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173,794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264,177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8,983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1,158,295</w:t>
            </w:r>
          </w:p>
        </w:tc>
      </w:tr>
      <w:tr>
        <w:trPr>
          <w:trHeight w:val="384"/>
        </w:trPr>
        <w:tc>
          <w:tcPr>
            <w:tcW w:w="290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r>
              <w:rPr>
                <w:rFonts w:ascii="Arial" w:cs="Arial" w:eastAsia="Arial" w:hAnsi="Arial"/>
                <w:sz w:val="24"/>
                <w:szCs w:val="24"/>
                <w:color w:val="auto"/>
                <w:vertAlign w:val="superscript"/>
              </w:rPr>
              <w:t>(9)</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503,774</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619,984</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436,154</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293,567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9,500</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1,862,979</w:t>
            </w:r>
          </w:p>
        </w:tc>
        <w:tc>
          <w:tcPr>
            <w:tcW w:w="20" w:type="dxa"/>
            <w:vAlign w:val="bottom"/>
          </w:tcPr>
          <w:p>
            <w:pPr>
              <w:spacing w:after="0"/>
              <w:rPr>
                <w:sz w:val="24"/>
                <w:szCs w:val="24"/>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Executive Vice President,</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2018</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488,730</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527,475</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379,572</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293,567</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8,683</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1,698,027</w:t>
            </w:r>
          </w:p>
        </w:tc>
        <w:tc>
          <w:tcPr>
            <w:tcW w:w="20" w:type="dxa"/>
            <w:vAlign w:val="bottom"/>
          </w:tcPr>
          <w:p>
            <w:pPr>
              <w:spacing w:after="0"/>
              <w:rPr>
                <w:sz w:val="15"/>
                <w:szCs w:val="15"/>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Corporate Development,</w:t>
            </w:r>
          </w:p>
        </w:tc>
        <w:tc>
          <w:tcPr>
            <w:tcW w:w="500" w:type="dxa"/>
            <w:vAlign w:val="bottom"/>
            <w:gridSpan w:val="2"/>
            <w:shd w:val="clear" w:color="auto" w:fill="DCDCDE"/>
          </w:tcPr>
          <w:p>
            <w:pPr>
              <w:ind w:left="80"/>
              <w:spacing w:after="0"/>
              <w:rPr>
                <w:sz w:val="20"/>
                <w:szCs w:val="20"/>
                <w:color w:val="auto"/>
              </w:rPr>
            </w:pPr>
            <w:r>
              <w:rPr>
                <w:rFonts w:ascii="Arial" w:cs="Arial" w:eastAsia="Arial" w:hAnsi="Arial"/>
                <w:sz w:val="15"/>
                <w:szCs w:val="15"/>
                <w:color w:val="auto"/>
              </w:rPr>
              <w:t>2017</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283,179</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462,457</w:t>
            </w: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239,976</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180,380</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54,562</w:t>
            </w:r>
          </w:p>
        </w:tc>
        <w:tc>
          <w:tcPr>
            <w:tcW w:w="2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86"/>
              </w:rPr>
              <w:t>1,220,554</w:t>
            </w:r>
          </w:p>
        </w:tc>
        <w:tc>
          <w:tcPr>
            <w:tcW w:w="20" w:type="dxa"/>
            <w:vAlign w:val="bottom"/>
          </w:tcPr>
          <w:p>
            <w:pPr>
              <w:spacing w:after="0"/>
              <w:rPr>
                <w:sz w:val="15"/>
                <w:szCs w:val="15"/>
                <w:color w:val="auto"/>
              </w:rPr>
            </w:pPr>
          </w:p>
        </w:tc>
      </w:tr>
      <w:tr>
        <w:trPr>
          <w:trHeight w:val="180"/>
        </w:trPr>
        <w:tc>
          <w:tcPr>
            <w:tcW w:w="2900" w:type="dxa"/>
            <w:vAlign w:val="bottom"/>
            <w:gridSpan w:val="3"/>
            <w:shd w:val="clear" w:color="auto" w:fill="DCDCDE"/>
          </w:tcPr>
          <w:p>
            <w:pPr>
              <w:ind w:left="140"/>
              <w:spacing w:after="0"/>
              <w:rPr>
                <w:sz w:val="20"/>
                <w:szCs w:val="20"/>
                <w:color w:val="auto"/>
              </w:rPr>
            </w:pPr>
            <w:r>
              <w:rPr>
                <w:rFonts w:ascii="Arial" w:cs="Arial" w:eastAsia="Arial" w:hAnsi="Arial"/>
                <w:sz w:val="15"/>
                <w:szCs w:val="15"/>
                <w:color w:val="auto"/>
              </w:rPr>
              <w:t>General Counsel and Secretary</w:t>
            </w:r>
          </w:p>
        </w:tc>
        <w:tc>
          <w:tcPr>
            <w:tcW w:w="3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0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100" w:type="dxa"/>
            <w:vAlign w:val="bottom"/>
            <w:shd w:val="clear" w:color="auto" w:fill="DCDCDE"/>
          </w:tcPr>
          <w:p>
            <w:pPr>
              <w:spacing w:after="0"/>
              <w:rPr>
                <w:sz w:val="15"/>
                <w:szCs w:val="15"/>
                <w:color w:val="auto"/>
              </w:rPr>
            </w:pPr>
          </w:p>
        </w:tc>
        <w:tc>
          <w:tcPr>
            <w:tcW w:w="6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8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10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00" w:type="dxa"/>
            <w:vAlign w:val="bottom"/>
            <w:shd w:val="clear" w:color="auto" w:fill="DCDCDE"/>
          </w:tcPr>
          <w:p>
            <w:pPr>
              <w:spacing w:after="0"/>
              <w:rPr>
                <w:sz w:val="15"/>
                <w:szCs w:val="15"/>
                <w:color w:val="auto"/>
              </w:rPr>
            </w:pPr>
          </w:p>
        </w:tc>
        <w:tc>
          <w:tcPr>
            <w:tcW w:w="20" w:type="dxa"/>
            <w:vAlign w:val="bottom"/>
          </w:tcPr>
          <w:p>
            <w:pPr>
              <w:spacing w:after="0"/>
              <w:rPr>
                <w:sz w:val="15"/>
                <w:szCs w:val="15"/>
                <w:color w:val="auto"/>
              </w:rPr>
            </w:pPr>
          </w:p>
        </w:tc>
      </w:tr>
      <w:tr>
        <w:trPr>
          <w:trHeight w:val="376"/>
        </w:trPr>
        <w:tc>
          <w:tcPr>
            <w:tcW w:w="2900" w:type="dxa"/>
            <w:vAlign w:val="bottom"/>
            <w:gridSpan w:val="3"/>
          </w:tcPr>
          <w:p>
            <w:pPr>
              <w:spacing w:after="0"/>
              <w:rPr>
                <w:sz w:val="20"/>
                <w:szCs w:val="20"/>
                <w:color w:val="auto"/>
              </w:rPr>
            </w:pPr>
            <w:r>
              <w:rPr>
                <w:rFonts w:ascii="Arial" w:cs="Arial" w:eastAsia="Arial" w:hAnsi="Arial"/>
                <w:sz w:val="15"/>
                <w:szCs w:val="15"/>
                <w:color w:val="auto"/>
              </w:rPr>
              <w:t>Daniel J. Abdun-Nabi</w:t>
            </w:r>
            <w:r>
              <w:rPr>
                <w:rFonts w:ascii="Arial" w:cs="Arial" w:eastAsia="Arial" w:hAnsi="Arial"/>
                <w:sz w:val="24"/>
                <w:szCs w:val="24"/>
                <w:color w:val="auto"/>
                <w:vertAlign w:val="superscript"/>
              </w:rPr>
              <w:t>(10)</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300,231</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195,394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37,698</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633,322</w:t>
            </w:r>
          </w:p>
        </w:tc>
      </w:tr>
      <w:tr>
        <w:trPr>
          <w:trHeight w:val="180"/>
        </w:trPr>
        <w:tc>
          <w:tcPr>
            <w:tcW w:w="2900" w:type="dxa"/>
            <w:vAlign w:val="bottom"/>
            <w:gridSpan w:val="3"/>
          </w:tcPr>
          <w:p>
            <w:pPr>
              <w:ind w:left="140"/>
              <w:spacing w:after="0"/>
              <w:rPr>
                <w:sz w:val="20"/>
                <w:szCs w:val="20"/>
                <w:color w:val="auto"/>
              </w:rPr>
            </w:pPr>
            <w:r>
              <w:rPr>
                <w:rFonts w:ascii="Arial" w:cs="Arial" w:eastAsia="Arial" w:hAnsi="Arial"/>
                <w:sz w:val="15"/>
                <w:szCs w:val="15"/>
                <w:color w:val="auto"/>
              </w:rPr>
              <w:t>Former Chief Executive</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829,160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1,327,473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955,226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980,394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8,683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4,100,936</w:t>
            </w:r>
          </w:p>
        </w:tc>
      </w:tr>
      <w:tr>
        <w:trPr>
          <w:trHeight w:val="187"/>
        </w:trPr>
        <w:tc>
          <w:tcPr>
            <w:tcW w:w="2900" w:type="dxa"/>
            <w:vAlign w:val="bottom"/>
            <w:gridSpan w:val="3"/>
          </w:tcPr>
          <w:p>
            <w:pPr>
              <w:ind w:left="140"/>
              <w:spacing w:after="0"/>
              <w:rPr>
                <w:sz w:val="20"/>
                <w:szCs w:val="20"/>
                <w:color w:val="auto"/>
              </w:rPr>
            </w:pPr>
            <w:r>
              <w:rPr>
                <w:rFonts w:ascii="Arial" w:cs="Arial" w:eastAsia="Arial" w:hAnsi="Arial"/>
                <w:sz w:val="15"/>
                <w:szCs w:val="15"/>
                <w:color w:val="auto"/>
              </w:rPr>
              <w:t>Officer</w:t>
            </w:r>
          </w:p>
        </w:tc>
        <w:tc>
          <w:tcPr>
            <w:tcW w:w="500" w:type="dxa"/>
            <w:vAlign w:val="bottom"/>
            <w:gridSpan w:val="2"/>
          </w:tcPr>
          <w:p>
            <w:pPr>
              <w:ind w:left="80"/>
              <w:spacing w:after="0"/>
              <w:rPr>
                <w:sz w:val="20"/>
                <w:szCs w:val="20"/>
                <w:color w:val="auto"/>
              </w:rPr>
            </w:pPr>
            <w:r>
              <w:rPr>
                <w:rFonts w:ascii="Arial" w:cs="Arial" w:eastAsia="Arial" w:hAnsi="Arial"/>
                <w:sz w:val="15"/>
                <w:szCs w:val="15"/>
                <w:color w:val="auto"/>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819,029</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w w:val="89"/>
              </w:rPr>
              <w:t>1,199,992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847,072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806,208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8,983</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w w:val="86"/>
              </w:rPr>
              <w:t>3,681,284</w:t>
            </w:r>
          </w:p>
        </w:tc>
      </w:tr>
      <w:tr>
        <w:trPr>
          <w:trHeight w:val="91"/>
        </w:trPr>
        <w:tc>
          <w:tcPr>
            <w:tcW w:w="6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4" w:lineRule="exact"/>
        <w:rPr>
          <w:sz w:val="20"/>
          <w:szCs w:val="20"/>
          <w:color w:val="auto"/>
        </w:rPr>
      </w:pPr>
    </w:p>
    <w:p>
      <w:pPr>
        <w:ind w:left="1560" w:right="20" w:hanging="443"/>
        <w:spacing w:after="0" w:line="270" w:lineRule="auto"/>
        <w:tabs>
          <w:tab w:leader="none" w:pos="15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Includes amounts deferred at the direction of the named executive officer to our 401(k) plan over 26 pay periods and amounts paid to such executive officer for accrued and unused paid time off.</w:t>
      </w:r>
    </w:p>
    <w:p>
      <w:pPr>
        <w:spacing w:after="0" w:line="175" w:lineRule="exact"/>
        <w:rPr>
          <w:rFonts w:ascii="Arial" w:cs="Arial" w:eastAsia="Arial" w:hAnsi="Arial"/>
          <w:sz w:val="15"/>
          <w:szCs w:val="15"/>
          <w:color w:val="auto"/>
        </w:rPr>
      </w:pPr>
    </w:p>
    <w:p>
      <w:pPr>
        <w:jc w:val="both"/>
        <w:ind w:left="1560" w:hanging="443"/>
        <w:spacing w:after="0" w:line="276" w:lineRule="auto"/>
        <w:tabs>
          <w:tab w:leader="none" w:pos="15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amounts included in the "Stock Awards" column reflect the grant date fair value of RSU awards and PSU awards granted to the named executive officers in the fiscal years indicated, calculated in accordance with SEC rules. For 2019, compensation included in Stock Awards included the following amounts for PSUs for Mr. Kramer, Mr. Lindahl, Mr. Havey and Mr. Saran, respectively: $719,979, $309,992, $309,992, and $309,992. For a discussion of our valuation assumptions, see Note 2 to our consolidated financial statements included in our Annual Report on Form 10-K for the year ended December 31, 2019. The grant date value of the PSU awards in 2019, assuming that the highest level of performance conditions would have been achieved (150% of the grant amount) for Mr. Kramer, Mr. Lindahl, Mr. Havey and Mr. Saran, is: $1,079,969, $465,018, $465,018, and $465,018, respectively.</w:t>
      </w:r>
    </w:p>
    <w:p>
      <w:pPr>
        <w:spacing w:after="0" w:line="162" w:lineRule="exact"/>
        <w:rPr>
          <w:rFonts w:ascii="Arial" w:cs="Arial" w:eastAsia="Arial" w:hAnsi="Arial"/>
          <w:sz w:val="14"/>
          <w:szCs w:val="14"/>
          <w:color w:val="auto"/>
        </w:rPr>
      </w:pPr>
    </w:p>
    <w:p>
      <w:pPr>
        <w:jc w:val="both"/>
        <w:ind w:left="1560" w:right="20" w:hanging="443"/>
        <w:spacing w:after="0" w:line="260" w:lineRule="auto"/>
        <w:tabs>
          <w:tab w:leader="none" w:pos="15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amounts in the "Option Awards" column reflect grant date fair value of stock option awards granted to the named executive officers in the fiscal years indicated, calculated in accordance with SEC rules. For a discussion of our valuation assumptions, see Note 2 to our consolidated financial statements included in our Annual Report on Form 10-K for the year ended December 31, 2019.</w:t>
      </w:r>
    </w:p>
    <w:p>
      <w:pPr>
        <w:spacing w:after="0" w:line="171" w:lineRule="exact"/>
        <w:rPr>
          <w:rFonts w:ascii="Arial" w:cs="Arial" w:eastAsia="Arial" w:hAnsi="Arial"/>
          <w:sz w:val="15"/>
          <w:szCs w:val="15"/>
          <w:color w:val="auto"/>
        </w:rPr>
      </w:pPr>
    </w:p>
    <w:p>
      <w:pPr>
        <w:jc w:val="both"/>
        <w:ind w:left="1560" w:hanging="443"/>
        <w:spacing w:after="0" w:line="257" w:lineRule="auto"/>
        <w:tabs>
          <w:tab w:leader="none" w:pos="15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amounts reported in the "Non-Equity Incentive Plan Compensation" column reflect the amounts earned by the named executive officers under the company's Annual Bonus Plan for Executive Officers. Please see the "Annual Cash Bonuses" discussion in the "Compensation Discussion and Analysis" section of the proxy statement beginning on page 43. In certain prior years, these amounts were disclosed under the heading "Bonus" but have always represented non-equity incentive plan compensation under the Annual Bonus Plan for Executive Officers.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1" w:name="page62"/>
    <w:bookmarkEnd w:id="6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99" w:lineRule="exact"/>
        <w:rPr>
          <w:sz w:val="20"/>
          <w:szCs w:val="20"/>
          <w:color w:val="auto"/>
        </w:rPr>
      </w:pPr>
    </w:p>
    <w:p>
      <w:pPr>
        <w:jc w:val="both"/>
        <w:ind w:left="1560" w:hanging="443"/>
        <w:spacing w:after="0" w:line="260" w:lineRule="auto"/>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For 2019, represents 401(k) plan matching contributions and life insurance premiums for all except for Mr. El-Hibri, who only receives 401(k) matching contributions. For 2019, this amount also includes the payment of $17,913 to Mr. Havey for unused vacation time, consistent with company policy. For 2017, this amount also includes a $50,000 signing bonus for Mr. Saran.</w:t>
      </w:r>
    </w:p>
    <w:p>
      <w:pPr>
        <w:spacing w:after="0" w:line="183" w:lineRule="exact"/>
        <w:rPr>
          <w:rFonts w:ascii="Arial" w:cs="Arial" w:eastAsia="Arial" w:hAnsi="Arial"/>
          <w:sz w:val="15"/>
          <w:szCs w:val="15"/>
          <w:color w:val="auto"/>
        </w:rPr>
      </w:pPr>
    </w:p>
    <w:p>
      <w:pPr>
        <w:jc w:val="both"/>
        <w:ind w:left="1560" w:hanging="443"/>
        <w:spacing w:after="0" w:line="319" w:lineRule="auto"/>
        <w:tabs>
          <w:tab w:leader="none" w:pos="1560" w:val="left"/>
        </w:tabs>
        <w:numPr>
          <w:ilvl w:val="0"/>
          <w:numId w:val="41"/>
        </w:numPr>
        <w:rPr>
          <w:rFonts w:ascii="Arial" w:cs="Arial" w:eastAsia="Arial" w:hAnsi="Arial"/>
          <w:sz w:val="13"/>
          <w:szCs w:val="13"/>
          <w:color w:val="auto"/>
        </w:rPr>
      </w:pPr>
      <w:r>
        <w:rPr>
          <w:rFonts w:ascii="Arial" w:cs="Arial" w:eastAsia="Arial" w:hAnsi="Arial"/>
          <w:sz w:val="13"/>
          <w:szCs w:val="13"/>
          <w:color w:val="auto"/>
        </w:rPr>
        <w:t>For 2019, in recognition of Mr. Abdun-Nabi's 14 years of service to the company and, in particular, the significant value generated for stockholders during his seven-year tenure as chief executive officer, this amount includes awards by the compensation committee of non-cash items of appreciation valued at approximately $19,946 and a cash award of approximately $12,941 to offset liability from the non-cash items to the extent such non-cash items would be deemed taxable.</w:t>
      </w:r>
    </w:p>
    <w:p>
      <w:pPr>
        <w:spacing w:after="0" w:line="136" w:lineRule="exact"/>
        <w:rPr>
          <w:rFonts w:ascii="Arial" w:cs="Arial" w:eastAsia="Arial" w:hAnsi="Arial"/>
          <w:sz w:val="13"/>
          <w:szCs w:val="13"/>
          <w:color w:val="auto"/>
        </w:rPr>
      </w:pPr>
    </w:p>
    <w:p>
      <w:pPr>
        <w:ind w:left="1560" w:hanging="443"/>
        <w:spacing w:after="0" w:line="270" w:lineRule="auto"/>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Mr. Kramer previously held the positions of executive vice president and chief operating officer from March 2018 to March 2019, and executive vice president, administration, chief financial officer and treasurer from September 2012 to March 2018.</w:t>
      </w:r>
    </w:p>
    <w:p>
      <w:pPr>
        <w:spacing w:after="0" w:line="164" w:lineRule="exact"/>
        <w:rPr>
          <w:rFonts w:ascii="Arial" w:cs="Arial" w:eastAsia="Arial" w:hAnsi="Arial"/>
          <w:sz w:val="15"/>
          <w:szCs w:val="15"/>
          <w:color w:val="auto"/>
        </w:rPr>
      </w:pPr>
    </w:p>
    <w:p>
      <w:pPr>
        <w:ind w:left="1560" w:hanging="443"/>
        <w:spacing w:after="0"/>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Mr. Lindahl was hired in March 2018. Accordingly, his 2018 base salary represents partial year compensation.</w:t>
      </w:r>
    </w:p>
    <w:p>
      <w:pPr>
        <w:spacing w:after="0" w:line="210" w:lineRule="exact"/>
        <w:rPr>
          <w:rFonts w:ascii="Arial" w:cs="Arial" w:eastAsia="Arial" w:hAnsi="Arial"/>
          <w:sz w:val="15"/>
          <w:szCs w:val="15"/>
          <w:color w:val="auto"/>
        </w:rPr>
      </w:pPr>
    </w:p>
    <w:p>
      <w:pPr>
        <w:ind w:left="1560" w:hanging="443"/>
        <w:spacing w:after="0"/>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Mr. Saran was hired in May 2017. Accordingly, his 2017 base salary represents partial year compensation.</w:t>
      </w:r>
    </w:p>
    <w:p>
      <w:pPr>
        <w:spacing w:after="0" w:line="199" w:lineRule="exact"/>
        <w:rPr>
          <w:rFonts w:ascii="Arial" w:cs="Arial" w:eastAsia="Arial" w:hAnsi="Arial"/>
          <w:sz w:val="15"/>
          <w:szCs w:val="15"/>
          <w:color w:val="auto"/>
        </w:rPr>
      </w:pPr>
    </w:p>
    <w:p>
      <w:pPr>
        <w:ind w:left="1560" w:hanging="443"/>
        <w:spacing w:after="0"/>
        <w:tabs>
          <w:tab w:leader="none" w:pos="15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For 2019, the "Stock Awards" column reflects a $100,000 award of RSU's granted to Mr. Abdun-Nabi in connection with his retirement.</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Employment Agreements/Separation Arrangements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During fiscal 2019, none of our named executive officers had an employment agreement with us.</w:t>
      </w:r>
    </w:p>
    <w:p>
      <w:pPr>
        <w:spacing w:after="0" w:line="188" w:lineRule="exact"/>
        <w:rPr>
          <w:sz w:val="20"/>
          <w:szCs w:val="20"/>
          <w:color w:val="auto"/>
        </w:rPr>
      </w:pPr>
    </w:p>
    <w:p>
      <w:pPr>
        <w:jc w:val="both"/>
        <w:ind w:firstLine="303"/>
        <w:spacing w:after="0" w:line="260" w:lineRule="auto"/>
        <w:rPr>
          <w:sz w:val="20"/>
          <w:szCs w:val="20"/>
          <w:color w:val="auto"/>
        </w:rPr>
      </w:pPr>
      <w:r>
        <w:rPr>
          <w:rFonts w:ascii="Arial" w:cs="Arial" w:eastAsia="Arial" w:hAnsi="Arial"/>
          <w:sz w:val="15"/>
          <w:szCs w:val="15"/>
          <w:color w:val="auto"/>
        </w:rPr>
        <w:t>During fiscal 2019, except for Mr. Abdun-Nabi, each of our named executive officers was eligible for severance benefits pursuant to the Senior Management Severance Plan for the entire year, as summarized under "— Payments Upon Termination or Change of Control." Mr. Abdun-Nabi's participation in the Senior Management Severance Plan ended upon the termination of his employment with the company.</w:t>
      </w:r>
    </w:p>
    <w:p>
      <w:pPr>
        <w:spacing w:after="0" w:line="16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5"/>
          <w:szCs w:val="15"/>
          <w:color w:val="auto"/>
        </w:rPr>
        <w:t>On an annual basis, the compensation committee determines salary increases, cash bonus amounts and equity awards for our named executive officers. In addition, the compensation committee determines target annual cash bonuses as a percentage of each named executive officer's annual base salary. We do not have any formal or informal policy for the amount of executive salary and bonus in proportion to total compensation.</w:t>
      </w:r>
    </w:p>
    <w:p>
      <w:pPr>
        <w:spacing w:after="0" w:line="337"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PAY RATIO DISCLOSURE</w:t>
      </w:r>
    </w:p>
    <w:p>
      <w:pPr>
        <w:spacing w:after="0" w:line="192" w:lineRule="exact"/>
        <w:rPr>
          <w:sz w:val="20"/>
          <w:szCs w:val="20"/>
          <w:color w:val="auto"/>
        </w:rPr>
      </w:pPr>
    </w:p>
    <w:p>
      <w:pPr>
        <w:jc w:val="both"/>
        <w:ind w:firstLine="423"/>
        <w:spacing w:after="0" w:line="270" w:lineRule="auto"/>
        <w:rPr>
          <w:sz w:val="20"/>
          <w:szCs w:val="20"/>
          <w:color w:val="auto"/>
        </w:rPr>
      </w:pPr>
      <w:r>
        <w:rPr>
          <w:rFonts w:ascii="Arial" w:cs="Arial" w:eastAsia="Arial" w:hAnsi="Arial"/>
          <w:sz w:val="15"/>
          <w:szCs w:val="15"/>
          <w:color w:val="auto"/>
        </w:rPr>
        <w:t>In August 2015, the SEC adopted a rule requiring disclosure of the ratio of the chief executive officer's annual total compensation to the total annual compensation of the median employee.</w:t>
      </w:r>
    </w:p>
    <w:p>
      <w:pPr>
        <w:spacing w:after="0" w:line="153"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5"/>
          <w:szCs w:val="15"/>
          <w:color w:val="auto"/>
        </w:rPr>
        <w:t>Mr. Kramer was appointed as our chief executive officer effective April 1, 2019 and, therefore, held that position for approximately nine months during fiscal 2019. As permitted by Regulation S-K, for purposes of determining the CEO pay ratio, we (i) annualized Mr. Kramer's fiscal 2019 cash compensation as president and chief executive officer and (ii) excluded the compensation he earned in fiscal 2019 as president and chief operating officer from his total annual compensation for fiscal 2019, resulting in total annual compensation for him, for purposes of determining the CEO Pay Ratio, of $3.783,448.</w:t>
      </w:r>
    </w:p>
    <w:p>
      <w:pPr>
        <w:spacing w:after="0" w:line="163"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5"/>
          <w:szCs w:val="15"/>
          <w:color w:val="auto"/>
        </w:rPr>
        <w:t>In determining the median employee, a list of all full-time and part-time employees, exclusive of Mr. Kramer, was prepared based on active employees included in the company's payroll system as of December 31, 2019. Salaries and wages were annualized for those employees who were not employed for the full year of 2019. Salaries and wages were ranked from lowest to highest, and the compensation (base pay, plus bonus) of the median employee was selected from the list. The total annual compensation of the median employee was then calculated in the same manner as the total compensation disclosed for Mr. Kramer as described above.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7"/>
        </w:trPr>
        <w:tc>
          <w:tcPr>
            <w:tcW w:w="7980" w:type="dxa"/>
            <w:vAlign w:val="bottom"/>
            <w:gridSpan w:val="3"/>
          </w:tcPr>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61"/>
        </w:trPr>
        <w:tc>
          <w:tcPr>
            <w:tcW w:w="7980" w:type="dxa"/>
            <w:vAlign w:val="bottom"/>
            <w:gridSpan w:val="3"/>
          </w:tcPr>
          <w:p>
            <w:pPr>
              <w:ind w:left="280"/>
              <w:spacing w:after="0"/>
              <w:rPr>
                <w:sz w:val="20"/>
                <w:szCs w:val="20"/>
                <w:color w:val="auto"/>
              </w:rPr>
            </w:pPr>
            <w:r>
              <w:rPr>
                <w:rFonts w:ascii="Arial" w:cs="Arial" w:eastAsia="Arial" w:hAnsi="Arial"/>
                <w:sz w:val="15"/>
                <w:szCs w:val="15"/>
                <w:color w:val="auto"/>
              </w:rPr>
              <w:t>The ratio of compensation of our chief executive officer to the median employee's compensation is as follows:</w:t>
            </w:r>
          </w:p>
        </w:tc>
        <w:tc>
          <w:tcPr>
            <w:tcW w:w="1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1"/>
        </w:trPr>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0"/>
        </w:trPr>
        <w:tc>
          <w:tcPr>
            <w:tcW w:w="1120" w:type="dxa"/>
            <w:vAlign w:val="bottom"/>
          </w:tcPr>
          <w:p>
            <w:pPr>
              <w:spacing w:after="0"/>
              <w:rPr>
                <w:sz w:val="15"/>
                <w:szCs w:val="15"/>
                <w:color w:val="auto"/>
              </w:rPr>
            </w:pPr>
          </w:p>
        </w:tc>
        <w:tc>
          <w:tcPr>
            <w:tcW w:w="686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Annual total compensation of Robert G. Kramer, Chief Executive Officer</w:t>
            </w:r>
          </w:p>
        </w:tc>
        <w:tc>
          <w:tcPr>
            <w:tcW w:w="13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3,783,448</w:t>
            </w:r>
          </w:p>
        </w:tc>
      </w:tr>
      <w:tr>
        <w:trPr>
          <w:trHeight w:val="214"/>
        </w:trPr>
        <w:tc>
          <w:tcPr>
            <w:tcW w:w="1120" w:type="dxa"/>
            <w:vAlign w:val="bottom"/>
          </w:tcPr>
          <w:p>
            <w:pPr>
              <w:spacing w:after="0"/>
              <w:rPr>
                <w:sz w:val="18"/>
                <w:szCs w:val="18"/>
                <w:color w:val="auto"/>
              </w:rPr>
            </w:pPr>
          </w:p>
        </w:tc>
        <w:tc>
          <w:tcPr>
            <w:tcW w:w="6860" w:type="dxa"/>
            <w:vAlign w:val="bottom"/>
            <w:gridSpan w:val="2"/>
          </w:tcPr>
          <w:p>
            <w:pPr>
              <w:spacing w:after="0" w:line="214" w:lineRule="exact"/>
              <w:rPr>
                <w:sz w:val="20"/>
                <w:szCs w:val="20"/>
                <w:color w:val="auto"/>
              </w:rPr>
            </w:pPr>
            <w:r>
              <w:rPr>
                <w:rFonts w:ascii="Arial" w:cs="Arial" w:eastAsia="Arial" w:hAnsi="Arial"/>
                <w:sz w:val="15"/>
                <w:szCs w:val="15"/>
                <w:color w:val="auto"/>
              </w:rPr>
              <w:t>Annual total compensation of the median employee</w:t>
            </w:r>
            <w:r>
              <w:rPr>
                <w:rFonts w:ascii="Arial" w:cs="Arial" w:eastAsia="Arial" w:hAnsi="Arial"/>
                <w:sz w:val="24"/>
                <w:szCs w:val="24"/>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104,315</w:t>
            </w:r>
          </w:p>
        </w:tc>
      </w:tr>
      <w:tr>
        <w:trPr>
          <w:trHeight w:val="180"/>
        </w:trPr>
        <w:tc>
          <w:tcPr>
            <w:tcW w:w="1120" w:type="dxa"/>
            <w:vAlign w:val="bottom"/>
          </w:tcPr>
          <w:p>
            <w:pPr>
              <w:spacing w:after="0"/>
              <w:rPr>
                <w:sz w:val="15"/>
                <w:szCs w:val="15"/>
                <w:color w:val="auto"/>
              </w:rPr>
            </w:pPr>
          </w:p>
        </w:tc>
        <w:tc>
          <w:tcPr>
            <w:tcW w:w="686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Ratio of Chief Executive Officer to median employee compensation</w:t>
            </w:r>
          </w:p>
        </w:tc>
        <w:tc>
          <w:tcPr>
            <w:tcW w:w="1380" w:type="dxa"/>
            <w:vAlign w:val="bottom"/>
            <w:shd w:val="clear" w:color="auto" w:fill="DCDCDE"/>
          </w:tcPr>
          <w:p>
            <w:pPr>
              <w:spacing w:after="0"/>
              <w:rPr>
                <w:sz w:val="15"/>
                <w:szCs w:val="15"/>
                <w:color w:val="auto"/>
              </w:rPr>
            </w:pP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36:1</w:t>
            </w:r>
          </w:p>
        </w:tc>
      </w:tr>
      <w:tr>
        <w:trPr>
          <w:trHeight w:val="90"/>
        </w:trPr>
        <w:tc>
          <w:tcPr>
            <w:tcW w:w="1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58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640" w:type="dxa"/>
            <w:vAlign w:val="bottom"/>
          </w:tcPr>
          <w:p>
            <w:pPr>
              <w:spacing w:after="0"/>
              <w:rPr>
                <w:sz w:val="7"/>
                <w:szCs w:val="7"/>
                <w:color w:val="auto"/>
              </w:rPr>
            </w:pPr>
          </w:p>
        </w:tc>
      </w:tr>
    </w:tbl>
    <w:p>
      <w:pPr>
        <w:spacing w:after="0" w:line="184" w:lineRule="exact"/>
        <w:rPr>
          <w:sz w:val="20"/>
          <w:szCs w:val="20"/>
          <w:color w:val="auto"/>
        </w:rPr>
      </w:pPr>
    </w:p>
    <w:p>
      <w:pPr>
        <w:ind w:left="1560" w:hanging="443"/>
        <w:spacing w:after="0"/>
        <w:tabs>
          <w:tab w:leader="none" w:pos="15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Annual total compensation of the median employee consisted of base pay, bonus (paid in 2020, but earned in 2019) and 401(k) match (where applicable).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2019 GRANTS OF PLAN-BASED AWARDS</w:t>
      </w:r>
    </w:p>
    <w:p>
      <w:pPr>
        <w:spacing w:after="0" w:line="192" w:lineRule="exact"/>
        <w:rPr>
          <w:sz w:val="20"/>
          <w:szCs w:val="20"/>
          <w:color w:val="auto"/>
        </w:rPr>
      </w:pPr>
    </w:p>
    <w:p>
      <w:pPr>
        <w:ind w:firstLine="390"/>
        <w:spacing w:after="0" w:line="270" w:lineRule="auto"/>
        <w:rPr>
          <w:sz w:val="20"/>
          <w:szCs w:val="20"/>
          <w:color w:val="auto"/>
        </w:rPr>
      </w:pPr>
      <w:r>
        <w:rPr>
          <w:rFonts w:ascii="Arial" w:cs="Arial" w:eastAsia="Arial" w:hAnsi="Arial"/>
          <w:sz w:val="15"/>
          <w:szCs w:val="15"/>
          <w:color w:val="auto"/>
        </w:rPr>
        <w:t>The following table sets forth information regarding each grant of an award made to each named executive officer during the fiscal year ended December 31, 2019, under any plan, contract, authorization or arrangement pursuant to which cash, securities, similar instruments or other property may be received.</w:t>
      </w:r>
    </w:p>
    <w:p>
      <w:pPr>
        <w:spacing w:after="0" w:line="147"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spacing w:after="0"/>
              <w:rPr>
                <w:sz w:val="20"/>
                <w:szCs w:val="20"/>
                <w:color w:val="auto"/>
              </w:rPr>
            </w:pPr>
            <w:r>
              <w:rPr>
                <w:rFonts w:ascii="Arial" w:cs="Arial" w:eastAsia="Arial" w:hAnsi="Arial"/>
                <w:sz w:val="11"/>
                <w:szCs w:val="11"/>
                <w:b w:val="1"/>
                <w:bCs w:val="1"/>
                <w:color w:val="auto"/>
                <w:w w:val="91"/>
              </w:rPr>
              <w:t>Estimated Future Payouts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0" w:type="dxa"/>
            <w:vAlign w:val="bottom"/>
            <w:gridSpan w:val="5"/>
          </w:tcPr>
          <w:p>
            <w:pPr>
              <w:jc w:val="center"/>
              <w:spacing w:after="0" w:line="124" w:lineRule="exact"/>
              <w:rPr>
                <w:sz w:val="20"/>
                <w:szCs w:val="20"/>
                <w:color w:val="auto"/>
              </w:rPr>
            </w:pPr>
            <w:r>
              <w:rPr>
                <w:rFonts w:ascii="Arial" w:cs="Arial" w:eastAsia="Arial" w:hAnsi="Arial"/>
                <w:sz w:val="11"/>
                <w:szCs w:val="11"/>
                <w:b w:val="1"/>
                <w:bCs w:val="1"/>
                <w:color w:val="auto"/>
                <w:w w:val="93"/>
              </w:rPr>
              <w:t>Under Equity Incentive</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1"/>
                <w:szCs w:val="11"/>
                <w:b w:val="1"/>
                <w:bCs w:val="1"/>
                <w:color w:val="auto"/>
                <w:w w:val="90"/>
              </w:rPr>
              <w:t>Plan Awards</w:t>
            </w: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center"/>
              <w:ind w:right="140"/>
              <w:spacing w:after="0"/>
              <w:rPr>
                <w:sz w:val="20"/>
                <w:szCs w:val="20"/>
                <w:color w:val="auto"/>
              </w:rPr>
            </w:pPr>
            <w:r>
              <w:rPr>
                <w:rFonts w:ascii="Arial" w:cs="Arial" w:eastAsia="Arial" w:hAnsi="Arial"/>
                <w:sz w:val="11"/>
                <w:szCs w:val="11"/>
                <w:b w:val="1"/>
                <w:bCs w:val="1"/>
                <w:color w:val="auto"/>
                <w:w w:val="89"/>
              </w:rPr>
              <w:t>Closing</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center"/>
              <w:ind w:right="140"/>
              <w:spacing w:after="0" w:line="124" w:lineRule="exact"/>
              <w:rPr>
                <w:sz w:val="20"/>
                <w:szCs w:val="20"/>
                <w:color w:val="auto"/>
              </w:rPr>
            </w:pPr>
            <w:r>
              <w:rPr>
                <w:rFonts w:ascii="Arial" w:cs="Arial" w:eastAsia="Arial" w:hAnsi="Arial"/>
                <w:sz w:val="11"/>
                <w:szCs w:val="11"/>
                <w:b w:val="1"/>
                <w:bCs w:val="1"/>
                <w:color w:val="auto"/>
                <w:w w:val="89"/>
              </w:rPr>
              <w:t>Price of</w:t>
            </w:r>
          </w:p>
        </w:tc>
        <w:tc>
          <w:tcPr>
            <w:tcW w:w="80" w:type="dxa"/>
            <w:vAlign w:val="bottom"/>
          </w:tcPr>
          <w:p>
            <w:pPr>
              <w:spacing w:after="0"/>
              <w:rPr>
                <w:sz w:val="10"/>
                <w:szCs w:val="10"/>
                <w:color w:val="auto"/>
              </w:rPr>
            </w:pPr>
          </w:p>
        </w:tc>
        <w:tc>
          <w:tcPr>
            <w:tcW w:w="640" w:type="dxa"/>
            <w:vAlign w:val="bottom"/>
          </w:tcPr>
          <w:p>
            <w:pPr>
              <w:jc w:val="center"/>
              <w:ind w:right="11"/>
              <w:spacing w:after="0" w:line="124" w:lineRule="exact"/>
              <w:rPr>
                <w:sz w:val="20"/>
                <w:szCs w:val="20"/>
                <w:color w:val="auto"/>
              </w:rPr>
            </w:pPr>
            <w:r>
              <w:rPr>
                <w:rFonts w:ascii="Arial" w:cs="Arial" w:eastAsia="Arial" w:hAnsi="Arial"/>
                <w:sz w:val="11"/>
                <w:szCs w:val="11"/>
                <w:b w:val="1"/>
                <w:bCs w:val="1"/>
                <w:color w:val="auto"/>
                <w:w w:val="99"/>
              </w:rPr>
              <w:t>Grant Date</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2"/>
              </w:rPr>
              <w:t>Exercise</w:t>
            </w:r>
          </w:p>
        </w:tc>
        <w:tc>
          <w:tcPr>
            <w:tcW w:w="80" w:type="dxa"/>
            <w:vAlign w:val="bottom"/>
          </w:tcPr>
          <w:p>
            <w:pPr>
              <w:spacing w:after="0"/>
              <w:rPr>
                <w:sz w:val="10"/>
                <w:szCs w:val="10"/>
                <w:color w:val="auto"/>
              </w:rPr>
            </w:pPr>
          </w:p>
        </w:tc>
        <w:tc>
          <w:tcPr>
            <w:tcW w:w="820" w:type="dxa"/>
            <w:vAlign w:val="bottom"/>
            <w:gridSpan w:val="3"/>
          </w:tcPr>
          <w:p>
            <w:pPr>
              <w:jc w:val="center"/>
              <w:ind w:right="160"/>
              <w:spacing w:after="0" w:line="124" w:lineRule="exact"/>
              <w:rPr>
                <w:sz w:val="20"/>
                <w:szCs w:val="20"/>
                <w:color w:val="auto"/>
              </w:rPr>
            </w:pPr>
            <w:r>
              <w:rPr>
                <w:rFonts w:ascii="Arial" w:cs="Arial" w:eastAsia="Arial" w:hAnsi="Arial"/>
                <w:sz w:val="11"/>
                <w:szCs w:val="11"/>
                <w:b w:val="1"/>
                <w:bCs w:val="1"/>
                <w:color w:val="auto"/>
                <w:w w:val="95"/>
              </w:rPr>
              <w:t>Option</w:t>
            </w:r>
          </w:p>
        </w:tc>
        <w:tc>
          <w:tcPr>
            <w:tcW w:w="80" w:type="dxa"/>
            <w:vAlign w:val="bottom"/>
          </w:tcPr>
          <w:p>
            <w:pPr>
              <w:spacing w:after="0"/>
              <w:rPr>
                <w:sz w:val="10"/>
                <w:szCs w:val="10"/>
                <w:color w:val="auto"/>
              </w:rPr>
            </w:pPr>
          </w:p>
        </w:tc>
        <w:tc>
          <w:tcPr>
            <w:tcW w:w="640" w:type="dxa"/>
            <w:vAlign w:val="bottom"/>
          </w:tcPr>
          <w:p>
            <w:pPr>
              <w:jc w:val="center"/>
              <w:ind w:right="11"/>
              <w:spacing w:after="0" w:line="124"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4"/>
              </w:rPr>
              <w:t>Number of</w:t>
            </w:r>
          </w:p>
        </w:tc>
        <w:tc>
          <w:tcPr>
            <w:tcW w:w="8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56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4"/>
              </w:rPr>
              <w:t>Price of</w:t>
            </w:r>
          </w:p>
        </w:tc>
        <w:tc>
          <w:tcPr>
            <w:tcW w:w="80" w:type="dxa"/>
            <w:vAlign w:val="bottom"/>
          </w:tcPr>
          <w:p>
            <w:pPr>
              <w:spacing w:after="0"/>
              <w:rPr>
                <w:sz w:val="10"/>
                <w:szCs w:val="10"/>
                <w:color w:val="auto"/>
              </w:rPr>
            </w:pPr>
          </w:p>
        </w:tc>
        <w:tc>
          <w:tcPr>
            <w:tcW w:w="820" w:type="dxa"/>
            <w:vAlign w:val="bottom"/>
            <w:gridSpan w:val="3"/>
          </w:tcPr>
          <w:p>
            <w:pPr>
              <w:jc w:val="center"/>
              <w:ind w:right="140"/>
              <w:spacing w:after="0" w:line="124" w:lineRule="exact"/>
              <w:rPr>
                <w:sz w:val="20"/>
                <w:szCs w:val="20"/>
                <w:color w:val="auto"/>
              </w:rPr>
            </w:pPr>
            <w:r>
              <w:rPr>
                <w:rFonts w:ascii="Arial" w:cs="Arial" w:eastAsia="Arial" w:hAnsi="Arial"/>
                <w:sz w:val="11"/>
                <w:szCs w:val="11"/>
                <w:b w:val="1"/>
                <w:bCs w:val="1"/>
                <w:color w:val="auto"/>
                <w:w w:val="92"/>
              </w:rPr>
              <w:t>Awards on</w:t>
            </w:r>
          </w:p>
        </w:tc>
        <w:tc>
          <w:tcPr>
            <w:tcW w:w="80" w:type="dxa"/>
            <w:vAlign w:val="bottom"/>
          </w:tcPr>
          <w:p>
            <w:pPr>
              <w:spacing w:after="0"/>
              <w:rPr>
                <w:sz w:val="10"/>
                <w:szCs w:val="10"/>
                <w:color w:val="auto"/>
              </w:rPr>
            </w:pPr>
          </w:p>
        </w:tc>
        <w:tc>
          <w:tcPr>
            <w:tcW w:w="640" w:type="dxa"/>
            <w:vAlign w:val="bottom"/>
          </w:tcPr>
          <w:p>
            <w:pPr>
              <w:jc w:val="center"/>
              <w:ind w:right="11"/>
              <w:spacing w:after="0" w:line="124" w:lineRule="exact"/>
              <w:rPr>
                <w:sz w:val="20"/>
                <w:szCs w:val="20"/>
                <w:color w:val="auto"/>
              </w:rPr>
            </w:pPr>
            <w:r>
              <w:rPr>
                <w:rFonts w:ascii="Arial" w:cs="Arial" w:eastAsia="Arial" w:hAnsi="Arial"/>
                <w:sz w:val="11"/>
                <w:szCs w:val="11"/>
                <w:b w:val="1"/>
                <w:bCs w:val="1"/>
                <w:color w:val="auto"/>
                <w:w w:val="93"/>
              </w:rPr>
              <w:t>Value of</w:t>
            </w:r>
          </w:p>
        </w:tc>
        <w:tc>
          <w:tcPr>
            <w:tcW w:w="0" w:type="dxa"/>
            <w:vAlign w:val="bottom"/>
          </w:tcPr>
          <w:p>
            <w:pPr>
              <w:spacing w:after="0"/>
              <w:rPr>
                <w:sz w:val="1"/>
                <w:szCs w:val="1"/>
                <w:color w:val="auto"/>
              </w:rPr>
            </w:pPr>
          </w:p>
        </w:tc>
      </w:tr>
      <w:tr>
        <w:trPr>
          <w:trHeight w:val="124"/>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1"/>
              </w:rPr>
              <w:t>Shares of</w:t>
            </w:r>
          </w:p>
        </w:tc>
        <w:tc>
          <w:tcPr>
            <w:tcW w:w="8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1"/>
              </w:rPr>
              <w:t>Securities</w:t>
            </w:r>
          </w:p>
        </w:tc>
        <w:tc>
          <w:tcPr>
            <w:tcW w:w="80" w:type="dxa"/>
            <w:vAlign w:val="bottom"/>
          </w:tcPr>
          <w:p>
            <w:pPr>
              <w:spacing w:after="0"/>
              <w:rPr>
                <w:sz w:val="10"/>
                <w:szCs w:val="10"/>
                <w:color w:val="auto"/>
              </w:rPr>
            </w:pPr>
          </w:p>
        </w:tc>
        <w:tc>
          <w:tcPr>
            <w:tcW w:w="56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5"/>
              </w:rPr>
              <w:t>Option</w:t>
            </w:r>
          </w:p>
        </w:tc>
        <w:tc>
          <w:tcPr>
            <w:tcW w:w="80" w:type="dxa"/>
            <w:vAlign w:val="bottom"/>
          </w:tcPr>
          <w:p>
            <w:pPr>
              <w:spacing w:after="0"/>
              <w:rPr>
                <w:sz w:val="10"/>
                <w:szCs w:val="10"/>
                <w:color w:val="auto"/>
              </w:rPr>
            </w:pPr>
          </w:p>
        </w:tc>
        <w:tc>
          <w:tcPr>
            <w:tcW w:w="820" w:type="dxa"/>
            <w:vAlign w:val="bottom"/>
            <w:gridSpan w:val="3"/>
          </w:tcPr>
          <w:p>
            <w:pPr>
              <w:jc w:val="center"/>
              <w:ind w:right="140"/>
              <w:spacing w:after="0" w:line="124" w:lineRule="exact"/>
              <w:rPr>
                <w:sz w:val="20"/>
                <w:szCs w:val="20"/>
                <w:color w:val="auto"/>
              </w:rPr>
            </w:pPr>
            <w:r>
              <w:rPr>
                <w:rFonts w:ascii="Arial" w:cs="Arial" w:eastAsia="Arial" w:hAnsi="Arial"/>
                <w:sz w:val="11"/>
                <w:szCs w:val="11"/>
                <w:b w:val="1"/>
                <w:bCs w:val="1"/>
                <w:color w:val="auto"/>
                <w:w w:val="88"/>
              </w:rPr>
              <w:t>date of</w:t>
            </w:r>
          </w:p>
        </w:tc>
        <w:tc>
          <w:tcPr>
            <w:tcW w:w="80" w:type="dxa"/>
            <w:vAlign w:val="bottom"/>
          </w:tcPr>
          <w:p>
            <w:pPr>
              <w:spacing w:after="0"/>
              <w:rPr>
                <w:sz w:val="10"/>
                <w:szCs w:val="10"/>
                <w:color w:val="auto"/>
              </w:rPr>
            </w:pPr>
          </w:p>
        </w:tc>
        <w:tc>
          <w:tcPr>
            <w:tcW w:w="640" w:type="dxa"/>
            <w:vAlign w:val="bottom"/>
          </w:tcPr>
          <w:p>
            <w:pPr>
              <w:jc w:val="center"/>
              <w:ind w:right="11"/>
              <w:spacing w:after="0" w:line="124" w:lineRule="exact"/>
              <w:rPr>
                <w:sz w:val="20"/>
                <w:szCs w:val="20"/>
                <w:color w:val="auto"/>
              </w:rPr>
            </w:pPr>
            <w:r>
              <w:rPr>
                <w:rFonts w:ascii="Arial" w:cs="Arial" w:eastAsia="Arial" w:hAnsi="Arial"/>
                <w:sz w:val="11"/>
                <w:szCs w:val="11"/>
                <w:b w:val="1"/>
                <w:bCs w:val="1"/>
                <w:color w:val="auto"/>
                <w:w w:val="91"/>
              </w:rPr>
              <w:t>Stock and</w:t>
            </w:r>
          </w:p>
        </w:tc>
        <w:tc>
          <w:tcPr>
            <w:tcW w:w="0" w:type="dxa"/>
            <w:vAlign w:val="bottom"/>
          </w:tcPr>
          <w:p>
            <w:pPr>
              <w:spacing w:after="0"/>
              <w:rPr>
                <w:sz w:val="1"/>
                <w:szCs w:val="1"/>
                <w:color w:val="auto"/>
              </w:rPr>
            </w:pPr>
          </w:p>
        </w:tc>
      </w:tr>
      <w:tr>
        <w:trPr>
          <w:trHeight w:val="120"/>
        </w:trPr>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0"/>
              </w:rPr>
              <w:t>Stock or</w:t>
            </w:r>
          </w:p>
        </w:tc>
        <w:tc>
          <w:tcPr>
            <w:tcW w:w="80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Underlying</w:t>
            </w:r>
          </w:p>
        </w:tc>
        <w:tc>
          <w:tcPr>
            <w:tcW w:w="80" w:type="dxa"/>
            <w:vAlign w:val="bottom"/>
          </w:tcPr>
          <w:p>
            <w:pPr>
              <w:spacing w:after="0"/>
              <w:rPr>
                <w:sz w:val="10"/>
                <w:szCs w:val="10"/>
                <w:color w:val="auto"/>
              </w:rPr>
            </w:pPr>
          </w:p>
        </w:tc>
        <w:tc>
          <w:tcPr>
            <w:tcW w:w="56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5"/>
              </w:rPr>
              <w:t>Awards</w:t>
            </w:r>
          </w:p>
        </w:tc>
        <w:tc>
          <w:tcPr>
            <w:tcW w:w="80" w:type="dxa"/>
            <w:vAlign w:val="bottom"/>
          </w:tcPr>
          <w:p>
            <w:pPr>
              <w:spacing w:after="0"/>
              <w:rPr>
                <w:sz w:val="10"/>
                <w:szCs w:val="10"/>
                <w:color w:val="auto"/>
              </w:rPr>
            </w:pPr>
          </w:p>
        </w:tc>
        <w:tc>
          <w:tcPr>
            <w:tcW w:w="820" w:type="dxa"/>
            <w:vAlign w:val="bottom"/>
            <w:gridSpan w:val="3"/>
          </w:tcPr>
          <w:p>
            <w:pPr>
              <w:jc w:val="center"/>
              <w:ind w:right="140"/>
              <w:spacing w:after="0" w:line="121" w:lineRule="exact"/>
              <w:rPr>
                <w:sz w:val="20"/>
                <w:szCs w:val="20"/>
                <w:color w:val="auto"/>
              </w:rPr>
            </w:pPr>
            <w:r>
              <w:rPr>
                <w:rFonts w:ascii="Arial" w:cs="Arial" w:eastAsia="Arial" w:hAnsi="Arial"/>
                <w:sz w:val="11"/>
                <w:szCs w:val="11"/>
                <w:b w:val="1"/>
                <w:bCs w:val="1"/>
                <w:color w:val="auto"/>
                <w:w w:val="95"/>
              </w:rPr>
              <w:t>Grant</w:t>
            </w:r>
          </w:p>
        </w:tc>
        <w:tc>
          <w:tcPr>
            <w:tcW w:w="8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81"/>
        </w:trPr>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Name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Grant Date</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Threshold</w:t>
            </w:r>
          </w:p>
        </w:tc>
        <w:tc>
          <w:tcPr>
            <w:tcW w:w="14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5"/>
              </w:rPr>
              <w:t>Target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Maximum</w:t>
            </w:r>
          </w:p>
        </w:tc>
        <w:tc>
          <w:tcPr>
            <w:tcW w:w="120" w:type="dxa"/>
            <w:vAlign w:val="bottom"/>
          </w:tcPr>
          <w:p>
            <w:pPr>
              <w:spacing w:after="0"/>
              <w:rPr>
                <w:sz w:val="15"/>
                <w:szCs w:val="15"/>
                <w:color w:val="auto"/>
              </w:rPr>
            </w:pPr>
          </w:p>
        </w:tc>
        <w:tc>
          <w:tcPr>
            <w:tcW w:w="780" w:type="dxa"/>
            <w:vAlign w:val="bottom"/>
            <w:gridSpan w:val="2"/>
          </w:tcPr>
          <w:p>
            <w:pPr>
              <w:jc w:val="center"/>
              <w:ind w:right="120"/>
              <w:spacing w:after="0" w:line="161" w:lineRule="exact"/>
              <w:rPr>
                <w:sz w:val="20"/>
                <w:szCs w:val="20"/>
                <w:color w:val="auto"/>
              </w:rPr>
            </w:pPr>
            <w:r>
              <w:rPr>
                <w:rFonts w:ascii="Arial" w:cs="Arial" w:eastAsia="Arial" w:hAnsi="Arial"/>
                <w:sz w:val="11"/>
                <w:szCs w:val="11"/>
                <w:b w:val="1"/>
                <w:bCs w:val="1"/>
                <w:color w:val="auto"/>
                <w:w w:val="90"/>
              </w:rPr>
              <w:t>Units</w:t>
            </w:r>
            <w:r>
              <w:rPr>
                <w:rFonts w:ascii="Arial" w:cs="Arial" w:eastAsia="Arial" w:hAnsi="Arial"/>
                <w:sz w:val="18"/>
                <w:szCs w:val="18"/>
                <w:b w:val="1"/>
                <w:bCs w:val="1"/>
                <w:color w:val="auto"/>
                <w:w w:val="90"/>
                <w:vertAlign w:val="superscript"/>
              </w:rPr>
              <w:t>(1)</w:t>
            </w:r>
          </w:p>
        </w:tc>
        <w:tc>
          <w:tcPr>
            <w:tcW w:w="800" w:type="dxa"/>
            <w:vAlign w:val="bottom"/>
            <w:gridSpan w:val="2"/>
          </w:tcPr>
          <w:p>
            <w:pPr>
              <w:jc w:val="center"/>
              <w:ind w:right="120"/>
              <w:spacing w:after="0" w:line="161" w:lineRule="exact"/>
              <w:rPr>
                <w:sz w:val="20"/>
                <w:szCs w:val="20"/>
                <w:color w:val="auto"/>
              </w:rPr>
            </w:pPr>
            <w:r>
              <w:rPr>
                <w:rFonts w:ascii="Arial" w:cs="Arial" w:eastAsia="Arial" w:hAnsi="Arial"/>
                <w:sz w:val="11"/>
                <w:szCs w:val="11"/>
                <w:b w:val="1"/>
                <w:bCs w:val="1"/>
                <w:color w:val="auto"/>
                <w:w w:val="85"/>
              </w:rPr>
              <w:t>Options</w:t>
            </w:r>
            <w:r>
              <w:rPr>
                <w:rFonts w:ascii="Arial" w:cs="Arial" w:eastAsia="Arial" w:hAnsi="Arial"/>
                <w:sz w:val="18"/>
                <w:szCs w:val="18"/>
                <w:b w:val="1"/>
                <w:bCs w:val="1"/>
                <w:color w:val="auto"/>
                <w:w w:val="85"/>
                <w:vertAlign w:val="superscript"/>
              </w:rPr>
              <w:t>(2)</w:t>
            </w:r>
          </w:p>
        </w:tc>
        <w:tc>
          <w:tcPr>
            <w:tcW w:w="80" w:type="dxa"/>
            <w:vAlign w:val="bottom"/>
          </w:tcPr>
          <w:p>
            <w:pPr>
              <w:spacing w:after="0"/>
              <w:rPr>
                <w:sz w:val="15"/>
                <w:szCs w:val="15"/>
                <w:color w:val="auto"/>
              </w:rPr>
            </w:pPr>
          </w:p>
        </w:tc>
        <w:tc>
          <w:tcPr>
            <w:tcW w:w="560" w:type="dxa"/>
            <w:vAlign w:val="bottom"/>
            <w:gridSpan w:val="2"/>
          </w:tcPr>
          <w:p>
            <w:pPr>
              <w:jc w:val="center"/>
              <w:ind w:right="140"/>
              <w:spacing w:after="0" w:line="161" w:lineRule="exact"/>
              <w:rPr>
                <w:sz w:val="20"/>
                <w:szCs w:val="20"/>
                <w:color w:val="auto"/>
              </w:rPr>
            </w:pPr>
            <w:r>
              <w:rPr>
                <w:rFonts w:ascii="Arial" w:cs="Arial" w:eastAsia="Arial" w:hAnsi="Arial"/>
                <w:sz w:val="11"/>
                <w:szCs w:val="11"/>
                <w:b w:val="1"/>
                <w:bCs w:val="1"/>
                <w:color w:val="auto"/>
                <w:w w:val="86"/>
              </w:rPr>
              <w:t>($/sh)</w:t>
            </w:r>
            <w:r>
              <w:rPr>
                <w:rFonts w:ascii="Arial" w:cs="Arial" w:eastAsia="Arial" w:hAnsi="Arial"/>
                <w:sz w:val="18"/>
                <w:szCs w:val="18"/>
                <w:b w:val="1"/>
                <w:bCs w:val="1"/>
                <w:color w:val="auto"/>
                <w:w w:val="86"/>
                <w:vertAlign w:val="superscript"/>
              </w:rPr>
              <w:t>(3)</w:t>
            </w:r>
          </w:p>
        </w:tc>
        <w:tc>
          <w:tcPr>
            <w:tcW w:w="32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tcPr>
          <w:p>
            <w:pPr>
              <w:jc w:val="right"/>
              <w:ind w:right="300"/>
              <w:spacing w:after="0" w:line="161" w:lineRule="exact"/>
              <w:rPr>
                <w:sz w:val="20"/>
                <w:szCs w:val="20"/>
                <w:color w:val="auto"/>
              </w:rPr>
            </w:pPr>
            <w:r>
              <w:rPr>
                <w:rFonts w:ascii="Arial" w:cs="Arial" w:eastAsia="Arial" w:hAnsi="Arial"/>
                <w:sz w:val="11"/>
                <w:szCs w:val="11"/>
                <w:b w:val="1"/>
                <w:bCs w:val="1"/>
                <w:color w:val="auto"/>
                <w:w w:val="75"/>
              </w:rPr>
              <w:t>/sh)</w:t>
            </w:r>
            <w:r>
              <w:rPr>
                <w:rFonts w:ascii="Arial" w:cs="Arial" w:eastAsia="Arial" w:hAnsi="Arial"/>
                <w:sz w:val="18"/>
                <w:szCs w:val="18"/>
                <w:b w:val="1"/>
                <w:bCs w:val="1"/>
                <w:color w:val="auto"/>
                <w:w w:val="75"/>
                <w:vertAlign w:val="superscript"/>
              </w:rPr>
              <w:t>(4)</w:t>
            </w:r>
          </w:p>
        </w:tc>
        <w:tc>
          <w:tcPr>
            <w:tcW w:w="80" w:type="dxa"/>
            <w:vAlign w:val="bottom"/>
          </w:tcPr>
          <w:p>
            <w:pPr>
              <w:spacing w:after="0"/>
              <w:rPr>
                <w:sz w:val="15"/>
                <w:szCs w:val="15"/>
                <w:color w:val="auto"/>
              </w:rPr>
            </w:pPr>
          </w:p>
        </w:tc>
        <w:tc>
          <w:tcPr>
            <w:tcW w:w="640" w:type="dxa"/>
            <w:vAlign w:val="bottom"/>
          </w:tcPr>
          <w:p>
            <w:pPr>
              <w:jc w:val="center"/>
              <w:ind w:right="11"/>
              <w:spacing w:after="0" w:line="161" w:lineRule="exact"/>
              <w:rPr>
                <w:sz w:val="20"/>
                <w:szCs w:val="20"/>
                <w:color w:val="auto"/>
              </w:rPr>
            </w:pPr>
            <w:r>
              <w:rPr>
                <w:rFonts w:ascii="Arial" w:cs="Arial" w:eastAsia="Arial" w:hAnsi="Arial"/>
                <w:sz w:val="11"/>
                <w:szCs w:val="11"/>
                <w:b w:val="1"/>
                <w:bCs w:val="1"/>
                <w:color w:val="auto"/>
                <w:w w:val="88"/>
              </w:rPr>
              <w:t>Awards</w:t>
            </w:r>
            <w:r>
              <w:rPr>
                <w:rFonts w:ascii="Arial" w:cs="Arial" w:eastAsia="Arial" w:hAnsi="Arial"/>
                <w:sz w:val="18"/>
                <w:szCs w:val="18"/>
                <w:b w:val="1"/>
                <w:bCs w:val="1"/>
                <w:color w:val="auto"/>
                <w:w w:val="88"/>
                <w:vertAlign w:val="superscript"/>
              </w:rPr>
              <w:t>(5)</w:t>
            </w:r>
          </w:p>
        </w:tc>
        <w:tc>
          <w:tcPr>
            <w:tcW w:w="0" w:type="dxa"/>
            <w:vAlign w:val="bottom"/>
          </w:tcPr>
          <w:p>
            <w:pPr>
              <w:spacing w:after="0"/>
              <w:rPr>
                <w:sz w:val="1"/>
                <w:szCs w:val="1"/>
                <w:color w:val="auto"/>
              </w:rPr>
            </w:pPr>
          </w:p>
        </w:tc>
      </w:tr>
      <w:tr>
        <w:trPr>
          <w:trHeight w:val="152"/>
        </w:trPr>
        <w:tc>
          <w:tcPr>
            <w:tcW w:w="280" w:type="dxa"/>
            <w:vAlign w:val="bottom"/>
            <w:tcBorders>
              <w:top w:val="single" w:sz="8" w:color="auto"/>
            </w:tcBorders>
            <w:shd w:val="clear" w:color="auto" w:fill="DCDCDE"/>
          </w:tcPr>
          <w:p>
            <w:pPr>
              <w:spacing w:after="0" w:line="151" w:lineRule="exact"/>
              <w:rPr>
                <w:sz w:val="20"/>
                <w:szCs w:val="20"/>
                <w:color w:val="auto"/>
              </w:rPr>
            </w:pPr>
            <w:r>
              <w:rPr>
                <w:rFonts w:ascii="Arial" w:cs="Arial" w:eastAsia="Arial" w:hAnsi="Arial"/>
                <w:sz w:val="15"/>
                <w:szCs w:val="15"/>
                <w:color w:val="auto"/>
                <w:w w:val="75"/>
              </w:rPr>
              <w:t>Fuad</w:t>
            </w:r>
          </w:p>
        </w:tc>
        <w:tc>
          <w:tcPr>
            <w:tcW w:w="1660" w:type="dxa"/>
            <w:vAlign w:val="bottom"/>
            <w:tcBorders>
              <w:top w:val="single" w:sz="8" w:color="DCDCDE"/>
            </w:tcBorders>
            <w:gridSpan w:val="2"/>
            <w:shd w:val="clear" w:color="auto" w:fill="DCDCDE"/>
          </w:tcPr>
          <w:p>
            <w:pPr>
              <w:ind w:left="40"/>
              <w:spacing w:after="0" w:line="151" w:lineRule="exact"/>
              <w:rPr>
                <w:sz w:val="20"/>
                <w:szCs w:val="20"/>
                <w:color w:val="auto"/>
              </w:rPr>
            </w:pPr>
            <w:r>
              <w:rPr>
                <w:rFonts w:ascii="Arial" w:cs="Arial" w:eastAsia="Arial" w:hAnsi="Arial"/>
                <w:sz w:val="15"/>
                <w:szCs w:val="15"/>
                <w:color w:val="auto"/>
              </w:rPr>
              <w:t>El-Hibri</w:t>
            </w:r>
          </w:p>
        </w:tc>
        <w:tc>
          <w:tcPr>
            <w:tcW w:w="140" w:type="dxa"/>
            <w:vAlign w:val="bottom"/>
            <w:tcBorders>
              <w:top w:val="single" w:sz="8" w:color="DCDCDE"/>
            </w:tcBorders>
            <w:shd w:val="clear" w:color="auto" w:fill="DCDCDE"/>
          </w:tcPr>
          <w:p>
            <w:pPr>
              <w:spacing w:after="0"/>
              <w:rPr>
                <w:sz w:val="13"/>
                <w:szCs w:val="13"/>
                <w:color w:val="auto"/>
              </w:rPr>
            </w:pPr>
          </w:p>
        </w:tc>
        <w:tc>
          <w:tcPr>
            <w:tcW w:w="600" w:type="dxa"/>
            <w:vAlign w:val="bottom"/>
            <w:tcBorders>
              <w:top w:val="single" w:sz="8" w:color="auto"/>
            </w:tcBorders>
            <w:shd w:val="clear" w:color="auto" w:fill="DCDCDE"/>
          </w:tcPr>
          <w:p>
            <w:pPr>
              <w:jc w:val="center"/>
              <w:spacing w:after="0" w:line="151" w:lineRule="exact"/>
              <w:rPr>
                <w:sz w:val="20"/>
                <w:szCs w:val="20"/>
                <w:color w:val="auto"/>
              </w:rPr>
            </w:pPr>
            <w:r>
              <w:rPr>
                <w:rFonts w:ascii="Arial" w:cs="Arial" w:eastAsia="Arial" w:hAnsi="Arial"/>
                <w:sz w:val="15"/>
                <w:szCs w:val="15"/>
                <w:color w:val="auto"/>
                <w:w w:val="89"/>
              </w:rPr>
              <w:t>2/26/2019</w:t>
            </w:r>
          </w:p>
        </w:tc>
        <w:tc>
          <w:tcPr>
            <w:tcW w:w="140" w:type="dxa"/>
            <w:vAlign w:val="bottom"/>
            <w:tcBorders>
              <w:top w:val="single" w:sz="8" w:color="DCDCDE"/>
            </w:tcBorders>
            <w:shd w:val="clear" w:color="auto" w:fill="DCDCDE"/>
          </w:tcPr>
          <w:p>
            <w:pPr>
              <w:spacing w:after="0"/>
              <w:rPr>
                <w:sz w:val="13"/>
                <w:szCs w:val="13"/>
                <w:color w:val="auto"/>
              </w:rPr>
            </w:pPr>
          </w:p>
        </w:tc>
        <w:tc>
          <w:tcPr>
            <w:tcW w:w="62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DCDCDE"/>
            </w:tcBorders>
            <w:shd w:val="clear" w:color="auto" w:fill="DCDCDE"/>
          </w:tcPr>
          <w:p>
            <w:pPr>
              <w:spacing w:after="0"/>
              <w:rPr>
                <w:sz w:val="13"/>
                <w:szCs w:val="13"/>
                <w:color w:val="auto"/>
              </w:rPr>
            </w:pPr>
          </w:p>
        </w:tc>
        <w:tc>
          <w:tcPr>
            <w:tcW w:w="68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DCDCDE"/>
            </w:tcBorders>
            <w:shd w:val="clear" w:color="auto" w:fill="DCDCDE"/>
          </w:tcPr>
          <w:p>
            <w:pPr>
              <w:spacing w:after="0"/>
              <w:rPr>
                <w:sz w:val="13"/>
                <w:szCs w:val="13"/>
                <w:color w:val="auto"/>
              </w:rPr>
            </w:pPr>
          </w:p>
        </w:tc>
        <w:tc>
          <w:tcPr>
            <w:tcW w:w="62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DCDCDE"/>
            </w:tcBorders>
            <w:shd w:val="clear" w:color="auto" w:fill="DCDCDE"/>
          </w:tcPr>
          <w:p>
            <w:pPr>
              <w:spacing w:after="0"/>
              <w:rPr>
                <w:sz w:val="13"/>
                <w:szCs w:val="13"/>
                <w:color w:val="auto"/>
              </w:rPr>
            </w:pPr>
          </w:p>
        </w:tc>
        <w:tc>
          <w:tcPr>
            <w:tcW w:w="64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18,029</w:t>
            </w:r>
          </w:p>
        </w:tc>
        <w:tc>
          <w:tcPr>
            <w:tcW w:w="140" w:type="dxa"/>
            <w:vAlign w:val="bottom"/>
            <w:tcBorders>
              <w:top w:val="single" w:sz="8" w:color="DCDCDE"/>
            </w:tcBorders>
            <w:shd w:val="clear" w:color="auto" w:fill="DCDCDE"/>
          </w:tcPr>
          <w:p>
            <w:pPr>
              <w:spacing w:after="0"/>
              <w:rPr>
                <w:sz w:val="13"/>
                <w:szCs w:val="13"/>
                <w:color w:val="auto"/>
              </w:rPr>
            </w:pPr>
          </w:p>
        </w:tc>
        <w:tc>
          <w:tcPr>
            <w:tcW w:w="660" w:type="dxa"/>
            <w:vAlign w:val="bottom"/>
            <w:tcBorders>
              <w:top w:val="single" w:sz="8" w:color="auto"/>
            </w:tcBorders>
            <w:shd w:val="clear" w:color="auto" w:fill="DCDCDE"/>
          </w:tcPr>
          <w:p>
            <w:pPr>
              <w:ind w:left="520"/>
              <w:spacing w:after="0" w:line="151" w:lineRule="exact"/>
              <w:rPr>
                <w:sz w:val="20"/>
                <w:szCs w:val="20"/>
                <w:color w:val="auto"/>
              </w:rPr>
            </w:pPr>
            <w:r>
              <w:rPr>
                <w:rFonts w:ascii="Arial" w:cs="Arial" w:eastAsia="Arial" w:hAnsi="Arial"/>
                <w:sz w:val="15"/>
                <w:szCs w:val="15"/>
                <w:color w:val="auto"/>
                <w:w w:val="79"/>
              </w:rPr>
              <w:t>—</w:t>
            </w:r>
          </w:p>
        </w:tc>
        <w:tc>
          <w:tcPr>
            <w:tcW w:w="14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w:t>
            </w:r>
          </w:p>
        </w:tc>
        <w:tc>
          <w:tcPr>
            <w:tcW w:w="6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DCDCDE"/>
            </w:tcBorders>
            <w:shd w:val="clear" w:color="auto" w:fill="DCDCDE"/>
          </w:tcPr>
          <w:p>
            <w:pPr>
              <w:spacing w:after="0"/>
              <w:rPr>
                <w:sz w:val="13"/>
                <w:szCs w:val="13"/>
                <w:color w:val="auto"/>
              </w:rPr>
            </w:pPr>
          </w:p>
        </w:tc>
        <w:tc>
          <w:tcPr>
            <w:tcW w:w="240" w:type="dxa"/>
            <w:vAlign w:val="bottom"/>
            <w:tcBorders>
              <w:top w:val="single" w:sz="8" w:color="auto"/>
            </w:tcBorders>
            <w:shd w:val="clear" w:color="auto" w:fill="DCDCDE"/>
          </w:tcPr>
          <w:p>
            <w:pPr>
              <w:jc w:val="right"/>
              <w:ind w:right="124"/>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auto"/>
            </w:tcBorders>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w w:val="92"/>
              </w:rPr>
              <w:t>1,099,949</w:t>
            </w:r>
          </w:p>
        </w:tc>
        <w:tc>
          <w:tcPr>
            <w:tcW w:w="0" w:type="dxa"/>
            <w:vAlign w:val="bottom"/>
          </w:tcPr>
          <w:p>
            <w:pPr>
              <w:spacing w:after="0"/>
              <w:rPr>
                <w:sz w:val="1"/>
                <w:szCs w:val="1"/>
                <w:color w:val="auto"/>
              </w:rPr>
            </w:pPr>
          </w:p>
        </w:tc>
      </w:tr>
      <w:tr>
        <w:trPr>
          <w:trHeight w:val="180"/>
        </w:trPr>
        <w:tc>
          <w:tcPr>
            <w:tcW w:w="280" w:type="dxa"/>
            <w:vAlign w:val="bottom"/>
            <w:shd w:val="clear" w:color="auto" w:fill="DCDCDE"/>
          </w:tcPr>
          <w:p>
            <w:pPr>
              <w:spacing w:after="0"/>
              <w:rPr>
                <w:sz w:val="15"/>
                <w:szCs w:val="15"/>
                <w:color w:val="auto"/>
              </w:rPr>
            </w:pPr>
          </w:p>
        </w:tc>
        <w:tc>
          <w:tcPr>
            <w:tcW w:w="40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CDCDE"/>
          </w:tcPr>
          <w:p>
            <w:pPr>
              <w:spacing w:after="0"/>
              <w:rPr>
                <w:sz w:val="15"/>
                <w:szCs w:val="15"/>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36,053</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61.01</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57.98</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773,813</w:t>
            </w:r>
          </w:p>
        </w:tc>
        <w:tc>
          <w:tcPr>
            <w:tcW w:w="0" w:type="dxa"/>
            <w:vAlign w:val="bottom"/>
          </w:tcPr>
          <w:p>
            <w:pPr>
              <w:spacing w:after="0"/>
              <w:rPr>
                <w:sz w:val="1"/>
                <w:szCs w:val="1"/>
                <w:color w:val="auto"/>
              </w:rPr>
            </w:pPr>
          </w:p>
        </w:tc>
      </w:tr>
      <w:tr>
        <w:trPr>
          <w:trHeight w:val="353"/>
        </w:trPr>
        <w:tc>
          <w:tcPr>
            <w:tcW w:w="2080" w:type="dxa"/>
            <w:vAlign w:val="bottom"/>
            <w:gridSpan w:val="4"/>
          </w:tcPr>
          <w:p>
            <w:pPr>
              <w:spacing w:after="0"/>
              <w:rPr>
                <w:sz w:val="20"/>
                <w:szCs w:val="20"/>
                <w:color w:val="auto"/>
              </w:rPr>
            </w:pPr>
            <w:r>
              <w:rPr>
                <w:rFonts w:ascii="Arial" w:cs="Arial" w:eastAsia="Arial" w:hAnsi="Arial"/>
                <w:sz w:val="15"/>
                <w:szCs w:val="15"/>
                <w:color w:val="auto"/>
              </w:rPr>
              <w:t>Daniel J. Abdun-Nabi</w:t>
            </w:r>
          </w:p>
        </w:tc>
        <w:tc>
          <w:tcPr>
            <w:tcW w:w="600" w:type="dxa"/>
            <w:vAlign w:val="bottom"/>
          </w:tcPr>
          <w:p>
            <w:pPr>
              <w:jc w:val="center"/>
              <w:spacing w:after="0"/>
              <w:rPr>
                <w:sz w:val="20"/>
                <w:szCs w:val="20"/>
                <w:color w:val="auto"/>
              </w:rPr>
            </w:pPr>
            <w:r>
              <w:rPr>
                <w:rFonts w:ascii="Arial" w:cs="Arial" w:eastAsia="Arial" w:hAnsi="Arial"/>
                <w:sz w:val="15"/>
                <w:szCs w:val="15"/>
                <w:color w:val="auto"/>
                <w:w w:val="88"/>
              </w:rPr>
              <w:t>4/8/2019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5"/>
                <w:szCs w:val="15"/>
                <w:color w:val="auto"/>
              </w:rPr>
              <w:t>1,894</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99,984</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360"/>
        </w:trPr>
        <w:tc>
          <w:tcPr>
            <w:tcW w:w="19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Robert G.Kramer</w:t>
            </w:r>
          </w:p>
        </w:tc>
        <w:tc>
          <w:tcPr>
            <w:tcW w:w="140" w:type="dxa"/>
            <w:vAlign w:val="bottom"/>
            <w:shd w:val="clear" w:color="auto" w:fill="DCDCDE"/>
          </w:tcPr>
          <w:p>
            <w:pPr>
              <w:spacing w:after="0"/>
              <w:rPr>
                <w:sz w:val="24"/>
                <w:szCs w:val="24"/>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24"/>
                <w:szCs w:val="24"/>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5,901</w:t>
            </w:r>
          </w:p>
        </w:tc>
        <w:tc>
          <w:tcPr>
            <w:tcW w:w="96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11,801</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17,702</w:t>
            </w:r>
          </w:p>
        </w:tc>
        <w:tc>
          <w:tcPr>
            <w:tcW w:w="120" w:type="dxa"/>
            <w:vAlign w:val="bottom"/>
            <w:shd w:val="clear" w:color="auto" w:fill="DCDCDE"/>
          </w:tcPr>
          <w:p>
            <w:pPr>
              <w:spacing w:after="0"/>
              <w:rPr>
                <w:sz w:val="24"/>
                <w:szCs w:val="24"/>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60" w:type="dxa"/>
            <w:vAlign w:val="bottom"/>
            <w:shd w:val="clear" w:color="auto" w:fill="DCDCDE"/>
          </w:tcPr>
          <w:p>
            <w:pPr>
              <w:spacing w:after="0"/>
              <w:rPr>
                <w:sz w:val="24"/>
                <w:szCs w:val="24"/>
                <w:color w:val="auto"/>
              </w:rPr>
            </w:pPr>
          </w:p>
        </w:tc>
        <w:tc>
          <w:tcPr>
            <w:tcW w:w="140" w:type="dxa"/>
            <w:vAlign w:val="bottom"/>
            <w:shd w:val="clear" w:color="auto" w:fill="DCDCDE"/>
          </w:tcPr>
          <w:p>
            <w:pPr>
              <w:spacing w:after="0"/>
              <w:rPr>
                <w:sz w:val="24"/>
                <w:szCs w:val="2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shd w:val="clear" w:color="auto" w:fill="DCDCDE"/>
          </w:tcPr>
          <w:p>
            <w:pPr>
              <w:spacing w:after="0"/>
              <w:rPr>
                <w:sz w:val="24"/>
                <w:szCs w:val="24"/>
                <w:color w:val="auto"/>
              </w:rPr>
            </w:pPr>
          </w:p>
        </w:tc>
        <w:tc>
          <w:tcPr>
            <w:tcW w:w="140" w:type="dxa"/>
            <w:vAlign w:val="bottom"/>
            <w:shd w:val="clear" w:color="auto" w:fill="DCDCDE"/>
          </w:tcPr>
          <w:p>
            <w:pPr>
              <w:spacing w:after="0"/>
              <w:rPr>
                <w:sz w:val="24"/>
                <w:szCs w:val="2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719,979</w:t>
            </w:r>
          </w:p>
        </w:tc>
        <w:tc>
          <w:tcPr>
            <w:tcW w:w="0" w:type="dxa"/>
            <w:vAlign w:val="bottom"/>
          </w:tcPr>
          <w:p>
            <w:pPr>
              <w:spacing w:after="0"/>
              <w:rPr>
                <w:sz w:val="1"/>
                <w:szCs w:val="1"/>
                <w:color w:val="auto"/>
              </w:rPr>
            </w:pPr>
          </w:p>
        </w:tc>
      </w:tr>
      <w:tr>
        <w:trPr>
          <w:trHeight w:val="181"/>
        </w:trPr>
        <w:tc>
          <w:tcPr>
            <w:tcW w:w="280" w:type="dxa"/>
            <w:vAlign w:val="bottom"/>
            <w:shd w:val="clear" w:color="auto" w:fill="DCDCDE"/>
          </w:tcPr>
          <w:p>
            <w:pPr>
              <w:spacing w:after="0"/>
              <w:rPr>
                <w:sz w:val="15"/>
                <w:szCs w:val="15"/>
                <w:color w:val="auto"/>
              </w:rPr>
            </w:pPr>
          </w:p>
        </w:tc>
        <w:tc>
          <w:tcPr>
            <w:tcW w:w="40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11,801</w:t>
            </w:r>
          </w:p>
        </w:tc>
        <w:tc>
          <w:tcPr>
            <w:tcW w:w="8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719,979</w:t>
            </w:r>
          </w:p>
        </w:tc>
        <w:tc>
          <w:tcPr>
            <w:tcW w:w="0" w:type="dxa"/>
            <w:vAlign w:val="bottom"/>
          </w:tcPr>
          <w:p>
            <w:pPr>
              <w:spacing w:after="0"/>
              <w:rPr>
                <w:sz w:val="1"/>
                <w:szCs w:val="1"/>
                <w:color w:val="auto"/>
              </w:rPr>
            </w:pPr>
          </w:p>
        </w:tc>
      </w:tr>
      <w:tr>
        <w:trPr>
          <w:trHeight w:val="180"/>
        </w:trPr>
        <w:tc>
          <w:tcPr>
            <w:tcW w:w="280" w:type="dxa"/>
            <w:vAlign w:val="bottom"/>
            <w:shd w:val="clear" w:color="auto" w:fill="DCDCDE"/>
          </w:tcPr>
          <w:p>
            <w:pPr>
              <w:spacing w:after="0"/>
              <w:rPr>
                <w:sz w:val="15"/>
                <w:szCs w:val="15"/>
                <w:color w:val="auto"/>
              </w:rPr>
            </w:pPr>
          </w:p>
        </w:tc>
        <w:tc>
          <w:tcPr>
            <w:tcW w:w="40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47,197</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61.01</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57.98</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w w:val="92"/>
              </w:rPr>
              <w:t>1,012,999</w:t>
            </w:r>
          </w:p>
        </w:tc>
        <w:tc>
          <w:tcPr>
            <w:tcW w:w="0" w:type="dxa"/>
            <w:vAlign w:val="bottom"/>
          </w:tcPr>
          <w:p>
            <w:pPr>
              <w:spacing w:after="0"/>
              <w:rPr>
                <w:sz w:val="1"/>
                <w:szCs w:val="1"/>
                <w:color w:val="auto"/>
              </w:rPr>
            </w:pPr>
          </w:p>
        </w:tc>
      </w:tr>
      <w:tr>
        <w:trPr>
          <w:trHeight w:val="353"/>
        </w:trPr>
        <w:tc>
          <w:tcPr>
            <w:tcW w:w="2080" w:type="dxa"/>
            <w:vAlign w:val="bottom"/>
            <w:gridSpan w:val="4"/>
          </w:tcPr>
          <w:p>
            <w:pPr>
              <w:spacing w:after="0"/>
              <w:rPr>
                <w:sz w:val="20"/>
                <w:szCs w:val="20"/>
                <w:color w:val="auto"/>
              </w:rPr>
            </w:pPr>
            <w:r>
              <w:rPr>
                <w:rFonts w:ascii="Arial" w:cs="Arial" w:eastAsia="Arial" w:hAnsi="Arial"/>
                <w:sz w:val="15"/>
                <w:szCs w:val="15"/>
                <w:color w:val="auto"/>
              </w:rPr>
              <w:t>Richard S. Lindahl</w:t>
            </w: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2,541</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5,081</w:t>
            </w:r>
          </w:p>
        </w:tc>
        <w:tc>
          <w:tcPr>
            <w:tcW w:w="620" w:type="dxa"/>
            <w:vAlign w:val="bottom"/>
          </w:tcPr>
          <w:p>
            <w:pPr>
              <w:jc w:val="right"/>
              <w:spacing w:after="0"/>
              <w:rPr>
                <w:sz w:val="20"/>
                <w:szCs w:val="20"/>
                <w:color w:val="auto"/>
              </w:rPr>
            </w:pPr>
            <w:r>
              <w:rPr>
                <w:rFonts w:ascii="Arial" w:cs="Arial" w:eastAsia="Arial" w:hAnsi="Arial"/>
                <w:sz w:val="15"/>
                <w:szCs w:val="15"/>
                <w:color w:val="auto"/>
              </w:rPr>
              <w:t>7,622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309,992</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5"/>
                <w:szCs w:val="15"/>
                <w:color w:val="auto"/>
              </w:rPr>
              <w:t>5,081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309,992</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20,321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61.01</w:t>
            </w: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57.98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436,154</w:t>
            </w:r>
          </w:p>
        </w:tc>
        <w:tc>
          <w:tcPr>
            <w:tcW w:w="0" w:type="dxa"/>
            <w:vAlign w:val="bottom"/>
          </w:tcPr>
          <w:p>
            <w:pPr>
              <w:spacing w:after="0"/>
              <w:rPr>
                <w:sz w:val="1"/>
                <w:szCs w:val="1"/>
                <w:color w:val="auto"/>
              </w:rPr>
            </w:pPr>
          </w:p>
        </w:tc>
      </w:tr>
      <w:tr>
        <w:trPr>
          <w:trHeight w:val="360"/>
        </w:trPr>
        <w:tc>
          <w:tcPr>
            <w:tcW w:w="19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Adam Havey</w:t>
            </w:r>
          </w:p>
        </w:tc>
        <w:tc>
          <w:tcPr>
            <w:tcW w:w="140" w:type="dxa"/>
            <w:vAlign w:val="bottom"/>
            <w:shd w:val="clear" w:color="auto" w:fill="DCDCDE"/>
          </w:tcPr>
          <w:p>
            <w:pPr>
              <w:spacing w:after="0"/>
              <w:rPr>
                <w:sz w:val="24"/>
                <w:szCs w:val="24"/>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24"/>
                <w:szCs w:val="24"/>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2,541</w:t>
            </w:r>
          </w:p>
        </w:tc>
        <w:tc>
          <w:tcPr>
            <w:tcW w:w="96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5,081</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7,622</w:t>
            </w:r>
          </w:p>
        </w:tc>
        <w:tc>
          <w:tcPr>
            <w:tcW w:w="120" w:type="dxa"/>
            <w:vAlign w:val="bottom"/>
            <w:shd w:val="clear" w:color="auto" w:fill="DCDCDE"/>
          </w:tcPr>
          <w:p>
            <w:pPr>
              <w:spacing w:after="0"/>
              <w:rPr>
                <w:sz w:val="24"/>
                <w:szCs w:val="24"/>
                <w:color w:val="auto"/>
              </w:rPr>
            </w:pPr>
          </w:p>
        </w:tc>
        <w:tc>
          <w:tcPr>
            <w:tcW w:w="7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shd w:val="clear" w:color="auto" w:fill="DCDCDE"/>
          </w:tcPr>
          <w:p>
            <w:pPr>
              <w:spacing w:after="0"/>
              <w:rPr>
                <w:sz w:val="24"/>
                <w:szCs w:val="24"/>
                <w:color w:val="auto"/>
              </w:rPr>
            </w:pPr>
          </w:p>
        </w:tc>
        <w:tc>
          <w:tcPr>
            <w:tcW w:w="140" w:type="dxa"/>
            <w:vAlign w:val="bottom"/>
            <w:shd w:val="clear" w:color="auto" w:fill="DCDCDE"/>
          </w:tcPr>
          <w:p>
            <w:pPr>
              <w:spacing w:after="0"/>
              <w:rPr>
                <w:sz w:val="24"/>
                <w:szCs w:val="2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309,992</w:t>
            </w:r>
          </w:p>
        </w:tc>
        <w:tc>
          <w:tcPr>
            <w:tcW w:w="0" w:type="dxa"/>
            <w:vAlign w:val="bottom"/>
          </w:tcPr>
          <w:p>
            <w:pPr>
              <w:spacing w:after="0"/>
              <w:rPr>
                <w:sz w:val="1"/>
                <w:szCs w:val="1"/>
                <w:color w:val="auto"/>
              </w:rPr>
            </w:pPr>
          </w:p>
        </w:tc>
      </w:tr>
      <w:tr>
        <w:trPr>
          <w:trHeight w:val="181"/>
        </w:trPr>
        <w:tc>
          <w:tcPr>
            <w:tcW w:w="280" w:type="dxa"/>
            <w:vAlign w:val="bottom"/>
            <w:shd w:val="clear" w:color="auto" w:fill="DCDCDE"/>
          </w:tcPr>
          <w:p>
            <w:pPr>
              <w:spacing w:after="0"/>
              <w:rPr>
                <w:sz w:val="15"/>
                <w:szCs w:val="15"/>
                <w:color w:val="auto"/>
              </w:rPr>
            </w:pPr>
          </w:p>
        </w:tc>
        <w:tc>
          <w:tcPr>
            <w:tcW w:w="40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5,081</w:t>
            </w:r>
          </w:p>
        </w:tc>
        <w:tc>
          <w:tcPr>
            <w:tcW w:w="8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309,992</w:t>
            </w:r>
          </w:p>
        </w:tc>
        <w:tc>
          <w:tcPr>
            <w:tcW w:w="0" w:type="dxa"/>
            <w:vAlign w:val="bottom"/>
          </w:tcPr>
          <w:p>
            <w:pPr>
              <w:spacing w:after="0"/>
              <w:rPr>
                <w:sz w:val="1"/>
                <w:szCs w:val="1"/>
                <w:color w:val="auto"/>
              </w:rPr>
            </w:pPr>
          </w:p>
        </w:tc>
      </w:tr>
      <w:tr>
        <w:trPr>
          <w:trHeight w:val="180"/>
        </w:trPr>
        <w:tc>
          <w:tcPr>
            <w:tcW w:w="280" w:type="dxa"/>
            <w:vAlign w:val="bottom"/>
            <w:shd w:val="clear" w:color="auto" w:fill="DCDCDE"/>
          </w:tcPr>
          <w:p>
            <w:pPr>
              <w:spacing w:after="0"/>
              <w:rPr>
                <w:sz w:val="15"/>
                <w:szCs w:val="15"/>
                <w:color w:val="auto"/>
              </w:rPr>
            </w:pPr>
          </w:p>
        </w:tc>
        <w:tc>
          <w:tcPr>
            <w:tcW w:w="40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60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shd w:val="clear" w:color="auto" w:fill="DCDCDE"/>
          </w:tcPr>
          <w:p>
            <w:pPr>
              <w:spacing w:after="0"/>
              <w:rPr>
                <w:sz w:val="15"/>
                <w:szCs w:val="15"/>
                <w:color w:val="auto"/>
              </w:rPr>
            </w:pP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CDCDE"/>
          </w:tcPr>
          <w:p>
            <w:pPr>
              <w:spacing w:after="0"/>
              <w:rPr>
                <w:sz w:val="15"/>
                <w:szCs w:val="15"/>
                <w:color w:val="auto"/>
              </w:rPr>
            </w:pPr>
          </w:p>
        </w:tc>
        <w:tc>
          <w:tcPr>
            <w:tcW w:w="6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20,321</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61.01</w:t>
            </w:r>
          </w:p>
        </w:tc>
        <w:tc>
          <w:tcPr>
            <w:tcW w:w="320" w:type="dxa"/>
            <w:vAlign w:val="bottom"/>
            <w:gridSpan w:val="2"/>
            <w:shd w:val="clear" w:color="auto" w:fill="DCDCDE"/>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57.98</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436,154</w:t>
            </w:r>
          </w:p>
        </w:tc>
        <w:tc>
          <w:tcPr>
            <w:tcW w:w="0" w:type="dxa"/>
            <w:vAlign w:val="bottom"/>
          </w:tcPr>
          <w:p>
            <w:pPr>
              <w:spacing w:after="0"/>
              <w:rPr>
                <w:sz w:val="1"/>
                <w:szCs w:val="1"/>
                <w:color w:val="auto"/>
              </w:rPr>
            </w:pPr>
          </w:p>
        </w:tc>
      </w:tr>
      <w:tr>
        <w:trPr>
          <w:trHeight w:val="353"/>
        </w:trPr>
        <w:tc>
          <w:tcPr>
            <w:tcW w:w="2080" w:type="dxa"/>
            <w:vAlign w:val="bottom"/>
            <w:gridSpan w:val="4"/>
          </w:tcPr>
          <w:p>
            <w:pPr>
              <w:spacing w:after="0"/>
              <w:rPr>
                <w:sz w:val="20"/>
                <w:szCs w:val="20"/>
                <w:color w:val="auto"/>
              </w:rPr>
            </w:pPr>
            <w:r>
              <w:rPr>
                <w:rFonts w:ascii="Arial" w:cs="Arial" w:eastAsia="Arial" w:hAnsi="Arial"/>
                <w:sz w:val="15"/>
                <w:szCs w:val="15"/>
                <w:color w:val="auto"/>
              </w:rPr>
              <w:t>Atul Saran</w:t>
            </w: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2,541</w:t>
            </w:r>
          </w:p>
        </w:tc>
        <w:tc>
          <w:tcPr>
            <w:tcW w:w="960" w:type="dxa"/>
            <w:vAlign w:val="bottom"/>
            <w:gridSpan w:val="3"/>
          </w:tcPr>
          <w:p>
            <w:pPr>
              <w:jc w:val="right"/>
              <w:ind w:right="140"/>
              <w:spacing w:after="0"/>
              <w:rPr>
                <w:sz w:val="20"/>
                <w:szCs w:val="20"/>
                <w:color w:val="auto"/>
              </w:rPr>
            </w:pPr>
            <w:r>
              <w:rPr>
                <w:rFonts w:ascii="Arial" w:cs="Arial" w:eastAsia="Arial" w:hAnsi="Arial"/>
                <w:sz w:val="15"/>
                <w:szCs w:val="15"/>
                <w:color w:val="auto"/>
              </w:rPr>
              <w:t>5,081</w:t>
            </w:r>
          </w:p>
        </w:tc>
        <w:tc>
          <w:tcPr>
            <w:tcW w:w="620" w:type="dxa"/>
            <w:vAlign w:val="bottom"/>
          </w:tcPr>
          <w:p>
            <w:pPr>
              <w:jc w:val="right"/>
              <w:spacing w:after="0"/>
              <w:rPr>
                <w:sz w:val="20"/>
                <w:szCs w:val="20"/>
                <w:color w:val="auto"/>
              </w:rPr>
            </w:pPr>
            <w:r>
              <w:rPr>
                <w:rFonts w:ascii="Arial" w:cs="Arial" w:eastAsia="Arial" w:hAnsi="Arial"/>
                <w:sz w:val="15"/>
                <w:szCs w:val="15"/>
                <w:color w:val="auto"/>
              </w:rPr>
              <w:t>7,622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309,992</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5"/>
                <w:szCs w:val="15"/>
                <w:color w:val="auto"/>
              </w:rPr>
              <w:t>5,081</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309,992</w:t>
            </w: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89"/>
              </w:rPr>
              <w:t>2/26/2019</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20,321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61.01</w:t>
            </w:r>
          </w:p>
        </w:tc>
        <w:tc>
          <w:tcPr>
            <w:tcW w:w="320" w:type="dxa"/>
            <w:vAlign w:val="bottom"/>
            <w:gridSpan w:val="2"/>
          </w:tcPr>
          <w:p>
            <w:pPr>
              <w:jc w:val="right"/>
              <w:ind w:right="124"/>
              <w:spacing w:after="0"/>
              <w:rPr>
                <w:sz w:val="20"/>
                <w:szCs w:val="20"/>
                <w:color w:val="auto"/>
              </w:rPr>
            </w:pPr>
            <w:r>
              <w:rPr>
                <w:rFonts w:ascii="Arial" w:cs="Arial" w:eastAsia="Arial" w:hAnsi="Arial"/>
                <w:sz w:val="15"/>
                <w:szCs w:val="15"/>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5"/>
                <w:szCs w:val="15"/>
                <w:color w:val="auto"/>
              </w:rPr>
              <w:t>57.98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436,154</w:t>
            </w:r>
          </w:p>
        </w:tc>
        <w:tc>
          <w:tcPr>
            <w:tcW w:w="0" w:type="dxa"/>
            <w:vAlign w:val="bottom"/>
          </w:tcPr>
          <w:p>
            <w:pPr>
              <w:spacing w:after="0"/>
              <w:rPr>
                <w:sz w:val="1"/>
                <w:szCs w:val="1"/>
                <w:color w:val="auto"/>
              </w:rPr>
            </w:pPr>
          </w:p>
        </w:tc>
      </w:tr>
      <w:tr>
        <w:trPr>
          <w:trHeight w:val="91"/>
        </w:trPr>
        <w:tc>
          <w:tcPr>
            <w:tcW w:w="2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560" w:hanging="443"/>
        <w:spacing w:after="0"/>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shares of common stock underlying an RSU award.</w:t>
      </w:r>
    </w:p>
    <w:p>
      <w:pPr>
        <w:spacing w:after="0" w:line="199" w:lineRule="exact"/>
        <w:rPr>
          <w:rFonts w:ascii="Arial" w:cs="Arial" w:eastAsia="Arial" w:hAnsi="Arial"/>
          <w:sz w:val="15"/>
          <w:szCs w:val="15"/>
          <w:color w:val="auto"/>
        </w:rPr>
      </w:pPr>
    </w:p>
    <w:p>
      <w:pPr>
        <w:ind w:left="1560" w:hanging="443"/>
        <w:spacing w:after="0"/>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shares of common stock issuable upon exercise of stock options.</w:t>
      </w:r>
    </w:p>
    <w:p>
      <w:pPr>
        <w:spacing w:after="0" w:line="199" w:lineRule="exact"/>
        <w:rPr>
          <w:rFonts w:ascii="Arial" w:cs="Arial" w:eastAsia="Arial" w:hAnsi="Arial"/>
          <w:sz w:val="15"/>
          <w:szCs w:val="15"/>
          <w:color w:val="auto"/>
        </w:rPr>
      </w:pPr>
    </w:p>
    <w:p>
      <w:pPr>
        <w:ind w:left="1560" w:hanging="443"/>
        <w:spacing w:after="0"/>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closing sales price of our common stock on the NYSE on the trading day immediately preceding the date of grant.</w:t>
      </w:r>
    </w:p>
    <w:p>
      <w:pPr>
        <w:spacing w:after="0" w:line="210" w:lineRule="exact"/>
        <w:rPr>
          <w:rFonts w:ascii="Arial" w:cs="Arial" w:eastAsia="Arial" w:hAnsi="Arial"/>
          <w:sz w:val="15"/>
          <w:szCs w:val="15"/>
          <w:color w:val="auto"/>
        </w:rPr>
      </w:pPr>
    </w:p>
    <w:p>
      <w:pPr>
        <w:ind w:left="1560" w:hanging="443"/>
        <w:spacing w:after="0"/>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closing sales price of our common stock on the NYSE on the date of grant.</w:t>
      </w:r>
    </w:p>
    <w:p>
      <w:pPr>
        <w:spacing w:after="0" w:line="199" w:lineRule="exact"/>
        <w:rPr>
          <w:rFonts w:ascii="Arial" w:cs="Arial" w:eastAsia="Arial" w:hAnsi="Arial"/>
          <w:sz w:val="15"/>
          <w:szCs w:val="15"/>
          <w:color w:val="auto"/>
        </w:rPr>
      </w:pPr>
    </w:p>
    <w:p>
      <w:pPr>
        <w:jc w:val="both"/>
        <w:ind w:left="1560" w:hanging="443"/>
        <w:spacing w:after="0" w:line="260" w:lineRule="auto"/>
        <w:tabs>
          <w:tab w:leader="none" w:pos="1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amounts in the "Grant Date Fair Value of Stock and Option Awards" column reflect the grant date fair value of each equity award calculated in accordance with SEC rules. For a discussion of our valuation assumptions, see Note 2 to our consolidated financial statements included in our Annual Report on Form 10-K for the year ended December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3" w:name="page64"/>
    <w:bookmarkEnd w:id="6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jc w:val="both"/>
        <w:ind w:firstLine="306"/>
        <w:spacing w:after="0" w:line="294" w:lineRule="auto"/>
        <w:rPr>
          <w:sz w:val="20"/>
          <w:szCs w:val="20"/>
          <w:color w:val="auto"/>
        </w:rPr>
      </w:pPr>
      <w:r>
        <w:rPr>
          <w:rFonts w:ascii="Arial" w:cs="Arial" w:eastAsia="Arial" w:hAnsi="Arial"/>
          <w:sz w:val="13"/>
          <w:szCs w:val="13"/>
          <w:color w:val="auto"/>
        </w:rPr>
        <w:t xml:space="preserve">In 2019, equity awards granted to our named executive officers were granted under the Emergent BioSolutions Inc. Stock Incentive Plan. With the exception of retirement grants of RSUs made to Mr. Abdun-Nabi, each option and RSU grant vests in three equal installments on the day prior to the first, second and third annual anniversaries of the grant date and each option has a term of seven years. All stock options have an exercise price equal to the closing sale price per share of our common stock on the NYSE on the trading day immediately preceding the date of grant. Under the terms of the agreements governing the RSU awards granted to our named executive officers in 2019, each named executive officer is entitled to receive, at the time of the issuance of any shares upon vesting of the applicable RSU award, an amount of cash equal to the aggregate amount of all dividends paid by us between the date of grant and the issuance of such shares, if any. The PSUs granted to named executive officers in fiscal years 2017, 2018 and 2019 result in the issuance of a number of shares (and cash equal to the aggregate amount of dividends paid by us between the grant date and the date of issuance of such shares, in each case with respect to the number of shares that vest under the PSUs based on the level of achievement of the performance goals) based on the level of achievement with respect to adjusted net income as a percentage of total GAAP revenue for the 2019, 2020 and 2021 fiscal years, respectively. Achievement of the threshold performance objective, target performance objective and maximum performance objective results in a share (and corresponding cash relating to dividends paid by the company between the grant date and the date of issuance of shares) payout of 50%, 100% and 150% of the target number of shares, respectively. Performance below the 50% threshold will result in no payout. For further details regarding our PSU grants, including those made after December 31, 2019, please see "Compensation, Discussion and Analysis — </w:t>
      </w:r>
      <w:r>
        <w:rPr>
          <w:rFonts w:ascii="Arial" w:cs="Arial" w:eastAsia="Arial" w:hAnsi="Arial"/>
          <w:sz w:val="13"/>
          <w:szCs w:val="13"/>
          <w:i w:val="1"/>
          <w:iCs w:val="1"/>
          <w:color w:val="auto"/>
        </w:rPr>
        <w:t>The equity compensation program should align executive interests with those of stockholders</w:t>
      </w:r>
      <w:r>
        <w:rPr>
          <w:rFonts w:ascii="Arial" w:cs="Arial" w:eastAsia="Arial" w:hAnsi="Arial"/>
          <w:sz w:val="13"/>
          <w:szCs w:val="13"/>
          <w:color w:val="auto"/>
        </w:rPr>
        <w: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4" w:name="page65"/>
    <w:bookmarkEnd w:id="6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2019 OUTSTANDING EQUITY AWARDS AT FISCAL YEAR-END</w:t>
      </w:r>
    </w:p>
    <w:p>
      <w:pPr>
        <w:spacing w:after="0" w:line="192" w:lineRule="exact"/>
        <w:rPr>
          <w:sz w:val="20"/>
          <w:szCs w:val="20"/>
          <w:color w:val="auto"/>
        </w:rPr>
      </w:pPr>
    </w:p>
    <w:p>
      <w:pPr>
        <w:ind w:right="20" w:firstLine="301"/>
        <w:spacing w:after="0" w:line="270" w:lineRule="auto"/>
        <w:rPr>
          <w:sz w:val="20"/>
          <w:szCs w:val="20"/>
          <w:color w:val="auto"/>
        </w:rPr>
      </w:pPr>
      <w:r>
        <w:rPr>
          <w:rFonts w:ascii="Arial" w:cs="Arial" w:eastAsia="Arial" w:hAnsi="Arial"/>
          <w:sz w:val="15"/>
          <w:szCs w:val="15"/>
          <w:color w:val="auto"/>
        </w:rPr>
        <w:t>The following table sets forth information regarding unexercised stock options, unvested RSUs and unvested PSUs outstanding as of December 31, 2019, for each of the named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1"/>
                <w:szCs w:val="11"/>
                <w:b w:val="1"/>
                <w:bCs w:val="1"/>
                <w:color w:val="auto"/>
              </w:rPr>
              <w:t>Option Awards</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1"/>
                <w:szCs w:val="11"/>
                <w:b w:val="1"/>
                <w:bCs w:val="1"/>
                <w:color w:val="auto"/>
              </w:rPr>
              <w:t>Stock Awards</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340" w:type="dxa"/>
            <w:vAlign w:val="bottom"/>
            <w:gridSpan w:val="8"/>
          </w:tcPr>
          <w:p>
            <w:pPr>
              <w:jc w:val="right"/>
              <w:ind w:right="489"/>
              <w:spacing w:after="0" w:line="104" w:lineRule="exact"/>
              <w:rPr>
                <w:sz w:val="20"/>
                <w:szCs w:val="20"/>
                <w:color w:val="auto"/>
              </w:rPr>
            </w:pPr>
            <w:r>
              <w:rPr>
                <w:rFonts w:ascii="Arial" w:cs="Arial" w:eastAsia="Arial" w:hAnsi="Arial"/>
                <w:sz w:val="11"/>
                <w:szCs w:val="11"/>
                <w:b w:val="1"/>
                <w:bCs w:val="1"/>
                <w:color w:val="auto"/>
              </w:rPr>
              <w:t>Number of Securities Underlying Unexercised</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1"/>
                <w:szCs w:val="11"/>
                <w:b w:val="1"/>
                <w:bCs w:val="1"/>
                <w:color w:val="auto"/>
              </w:rPr>
              <w:t>Equity Awards</w:t>
            </w: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w w:val="97"/>
              </w:rPr>
              <w:t>Market Value</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2"/>
            <w:vMerge w:val="restart"/>
          </w:tcPr>
          <w:p>
            <w:pPr>
              <w:jc w:val="center"/>
              <w:ind w:right="1339"/>
              <w:spacing w:after="0"/>
              <w:rPr>
                <w:sz w:val="20"/>
                <w:szCs w:val="20"/>
                <w:color w:val="auto"/>
              </w:rPr>
            </w:pPr>
            <w:r>
              <w:rPr>
                <w:rFonts w:ascii="Arial" w:cs="Arial" w:eastAsia="Arial" w:hAnsi="Arial"/>
                <w:sz w:val="11"/>
                <w:szCs w:val="11"/>
                <w:b w:val="1"/>
                <w:bCs w:val="1"/>
                <w:color w:val="auto"/>
                <w:w w:val="97"/>
              </w:rPr>
              <w:t>Market Value</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2"/>
              </w:rPr>
              <w:t>Unvested</w:t>
            </w:r>
          </w:p>
        </w:tc>
        <w:tc>
          <w:tcPr>
            <w:tcW w:w="80" w:type="dxa"/>
            <w:vAlign w:val="bottom"/>
          </w:tcPr>
          <w:p>
            <w:pPr>
              <w:spacing w:after="0"/>
              <w:rPr>
                <w:sz w:val="10"/>
                <w:szCs w:val="10"/>
                <w:color w:val="auto"/>
              </w:rPr>
            </w:pPr>
          </w:p>
        </w:tc>
        <w:tc>
          <w:tcPr>
            <w:tcW w:w="1020" w:type="dxa"/>
            <w:vAlign w:val="bottom"/>
            <w:gridSpan w:val="2"/>
          </w:tcPr>
          <w:p>
            <w:pPr>
              <w:jc w:val="center"/>
              <w:ind w:right="340"/>
              <w:spacing w:after="0" w:line="124" w:lineRule="exact"/>
              <w:rPr>
                <w:sz w:val="20"/>
                <w:szCs w:val="20"/>
                <w:color w:val="auto"/>
              </w:rPr>
            </w:pPr>
            <w:r>
              <w:rPr>
                <w:rFonts w:ascii="Arial" w:cs="Arial" w:eastAsia="Arial" w:hAnsi="Arial"/>
                <w:sz w:val="11"/>
                <w:szCs w:val="11"/>
                <w:b w:val="1"/>
                <w:bCs w:val="1"/>
                <w:color w:val="auto"/>
                <w:w w:val="88"/>
              </w:rPr>
              <w:t>Unvested</w:t>
            </w:r>
          </w:p>
        </w:tc>
        <w:tc>
          <w:tcPr>
            <w:tcW w:w="980" w:type="dxa"/>
            <w:vAlign w:val="bottom"/>
            <w:gridSpan w:val="2"/>
          </w:tcPr>
          <w:p>
            <w:pPr>
              <w:jc w:val="center"/>
              <w:ind w:right="240"/>
              <w:spacing w:after="0" w:line="124" w:lineRule="exact"/>
              <w:rPr>
                <w:sz w:val="20"/>
                <w:szCs w:val="20"/>
                <w:color w:val="auto"/>
              </w:rPr>
            </w:pPr>
            <w:r>
              <w:rPr>
                <w:rFonts w:ascii="Arial" w:cs="Arial" w:eastAsia="Arial" w:hAnsi="Arial"/>
                <w:sz w:val="11"/>
                <w:szCs w:val="11"/>
                <w:b w:val="1"/>
                <w:bCs w:val="1"/>
                <w:color w:val="auto"/>
                <w:w w:val="92"/>
              </w:rPr>
              <w:t>Unvested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1319"/>
              <w:spacing w:after="0" w:line="124" w:lineRule="exact"/>
              <w:rPr>
                <w:sz w:val="20"/>
                <w:szCs w:val="20"/>
                <w:color w:val="auto"/>
              </w:rPr>
            </w:pPr>
            <w:r>
              <w:rPr>
                <w:rFonts w:ascii="Arial" w:cs="Arial" w:eastAsia="Arial" w:hAnsi="Arial"/>
                <w:sz w:val="11"/>
                <w:szCs w:val="11"/>
                <w:b w:val="1"/>
                <w:bCs w:val="1"/>
                <w:color w:val="auto"/>
                <w:w w:val="88"/>
              </w:rPr>
              <w:t>Unvested</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10"/>
                <w:szCs w:val="10"/>
                <w:color w:val="auto"/>
              </w:rPr>
            </w:pPr>
          </w:p>
        </w:tc>
        <w:tc>
          <w:tcPr>
            <w:tcW w:w="100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5"/>
              </w:rPr>
              <w:t>Option</w:t>
            </w:r>
          </w:p>
        </w:tc>
        <w:tc>
          <w:tcPr>
            <w:tcW w:w="86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2"/>
              </w:rPr>
              <w:t>Restricted</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line="124" w:lineRule="exact"/>
              <w:rPr>
                <w:sz w:val="20"/>
                <w:szCs w:val="20"/>
                <w:color w:val="auto"/>
              </w:rPr>
            </w:pPr>
            <w:r>
              <w:rPr>
                <w:rFonts w:ascii="Arial" w:cs="Arial" w:eastAsia="Arial" w:hAnsi="Arial"/>
                <w:sz w:val="11"/>
                <w:szCs w:val="11"/>
                <w:b w:val="1"/>
                <w:bCs w:val="1"/>
                <w:color w:val="auto"/>
                <w:w w:val="92"/>
              </w:rPr>
              <w:t>Restricted</w:t>
            </w:r>
          </w:p>
        </w:tc>
        <w:tc>
          <w:tcPr>
            <w:tcW w:w="980" w:type="dxa"/>
            <w:vAlign w:val="bottom"/>
            <w:gridSpan w:val="2"/>
          </w:tcPr>
          <w:p>
            <w:pPr>
              <w:jc w:val="center"/>
              <w:ind w:right="240"/>
              <w:spacing w:after="0" w:line="124" w:lineRule="exact"/>
              <w:rPr>
                <w:sz w:val="20"/>
                <w:szCs w:val="20"/>
                <w:color w:val="auto"/>
              </w:rPr>
            </w:pPr>
            <w:r>
              <w:rPr>
                <w:rFonts w:ascii="Arial" w:cs="Arial" w:eastAsia="Arial" w:hAnsi="Arial"/>
                <w:sz w:val="11"/>
                <w:szCs w:val="11"/>
                <w:b w:val="1"/>
                <w:bCs w:val="1"/>
                <w:color w:val="auto"/>
                <w:w w:val="92"/>
              </w:rPr>
              <w:t>Performance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1339"/>
              <w:spacing w:after="0" w:line="124" w:lineRule="exact"/>
              <w:rPr>
                <w:sz w:val="20"/>
                <w:szCs w:val="20"/>
                <w:color w:val="auto"/>
              </w:rPr>
            </w:pPr>
            <w:r>
              <w:rPr>
                <w:rFonts w:ascii="Arial" w:cs="Arial" w:eastAsia="Arial" w:hAnsi="Arial"/>
                <w:sz w:val="11"/>
                <w:szCs w:val="11"/>
                <w:b w:val="1"/>
                <w:bCs w:val="1"/>
                <w:color w:val="auto"/>
                <w:w w:val="92"/>
              </w:rPr>
              <w:t>Performance</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Award</w:t>
            </w:r>
          </w:p>
        </w:tc>
        <w:tc>
          <w:tcPr>
            <w:tcW w:w="140" w:type="dxa"/>
            <w:vAlign w:val="bottom"/>
          </w:tcPr>
          <w:p>
            <w:pPr>
              <w:spacing w:after="0"/>
              <w:rPr>
                <w:sz w:val="10"/>
                <w:szCs w:val="10"/>
                <w:color w:val="auto"/>
              </w:rPr>
            </w:pPr>
          </w:p>
        </w:tc>
        <w:tc>
          <w:tcPr>
            <w:tcW w:w="1000" w:type="dxa"/>
            <w:vAlign w:val="bottom"/>
            <w:gridSpan w:val="2"/>
          </w:tcPr>
          <w:p>
            <w:pPr>
              <w:jc w:val="center"/>
              <w:ind w:right="160"/>
              <w:spacing w:after="0" w:line="124" w:lineRule="exact"/>
              <w:rPr>
                <w:sz w:val="20"/>
                <w:szCs w:val="20"/>
                <w:color w:val="auto"/>
              </w:rPr>
            </w:pPr>
            <w:r>
              <w:rPr>
                <w:rFonts w:ascii="Arial" w:cs="Arial" w:eastAsia="Arial" w:hAnsi="Arial"/>
                <w:sz w:val="11"/>
                <w:szCs w:val="11"/>
                <w:b w:val="1"/>
                <w:bCs w:val="1"/>
                <w:color w:val="auto"/>
                <w:w w:val="95"/>
              </w:rPr>
              <w:t>Award</w:t>
            </w:r>
          </w:p>
        </w:tc>
        <w:tc>
          <w:tcPr>
            <w:tcW w:w="86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86"/>
              </w:rPr>
              <w:t>Stock</w:t>
            </w:r>
          </w:p>
        </w:tc>
        <w:tc>
          <w:tcPr>
            <w:tcW w:w="80" w:type="dxa"/>
            <w:vAlign w:val="bottom"/>
          </w:tcPr>
          <w:p>
            <w:pPr>
              <w:spacing w:after="0"/>
              <w:rPr>
                <w:sz w:val="10"/>
                <w:szCs w:val="10"/>
                <w:color w:val="auto"/>
              </w:rPr>
            </w:pPr>
          </w:p>
        </w:tc>
        <w:tc>
          <w:tcPr>
            <w:tcW w:w="1020" w:type="dxa"/>
            <w:vAlign w:val="bottom"/>
            <w:gridSpan w:val="2"/>
          </w:tcPr>
          <w:p>
            <w:pPr>
              <w:jc w:val="center"/>
              <w:ind w:right="340"/>
              <w:spacing w:after="0" w:line="124" w:lineRule="exact"/>
              <w:rPr>
                <w:sz w:val="20"/>
                <w:szCs w:val="20"/>
                <w:color w:val="auto"/>
              </w:rPr>
            </w:pPr>
            <w:r>
              <w:rPr>
                <w:rFonts w:ascii="Arial" w:cs="Arial" w:eastAsia="Arial" w:hAnsi="Arial"/>
                <w:sz w:val="11"/>
                <w:szCs w:val="11"/>
                <w:b w:val="1"/>
                <w:bCs w:val="1"/>
                <w:color w:val="auto"/>
                <w:w w:val="93"/>
              </w:rPr>
              <w:t>Stock</w:t>
            </w:r>
          </w:p>
        </w:tc>
        <w:tc>
          <w:tcPr>
            <w:tcW w:w="980" w:type="dxa"/>
            <w:vAlign w:val="bottom"/>
            <w:gridSpan w:val="2"/>
          </w:tcPr>
          <w:p>
            <w:pPr>
              <w:jc w:val="center"/>
              <w:ind w:right="240"/>
              <w:spacing w:after="0" w:line="124" w:lineRule="exact"/>
              <w:rPr>
                <w:sz w:val="20"/>
                <w:szCs w:val="20"/>
                <w:color w:val="auto"/>
              </w:rPr>
            </w:pPr>
            <w:r>
              <w:rPr>
                <w:rFonts w:ascii="Arial" w:cs="Arial" w:eastAsia="Arial" w:hAnsi="Arial"/>
                <w:sz w:val="11"/>
                <w:szCs w:val="11"/>
                <w:b w:val="1"/>
                <w:bCs w:val="1"/>
                <w:color w:val="auto"/>
                <w:w w:val="86"/>
              </w:rPr>
              <w:t>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1339"/>
              <w:spacing w:after="0" w:line="124"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2"/>
              </w:rPr>
              <w:t>Exercise</w:t>
            </w:r>
          </w:p>
        </w:tc>
        <w:tc>
          <w:tcPr>
            <w:tcW w:w="140" w:type="dxa"/>
            <w:vAlign w:val="bottom"/>
          </w:tcPr>
          <w:p>
            <w:pPr>
              <w:spacing w:after="0"/>
              <w:rPr>
                <w:sz w:val="10"/>
                <w:szCs w:val="10"/>
                <w:color w:val="auto"/>
              </w:rPr>
            </w:pPr>
          </w:p>
        </w:tc>
        <w:tc>
          <w:tcPr>
            <w:tcW w:w="1000" w:type="dxa"/>
            <w:vAlign w:val="bottom"/>
            <w:gridSpan w:val="2"/>
          </w:tcPr>
          <w:p>
            <w:pPr>
              <w:jc w:val="center"/>
              <w:ind w:right="160"/>
              <w:spacing w:after="0" w:line="124" w:lineRule="exact"/>
              <w:rPr>
                <w:sz w:val="20"/>
                <w:szCs w:val="20"/>
                <w:color w:val="auto"/>
              </w:rPr>
            </w:pPr>
            <w:r>
              <w:rPr>
                <w:rFonts w:ascii="Arial" w:cs="Arial" w:eastAsia="Arial" w:hAnsi="Arial"/>
                <w:sz w:val="11"/>
                <w:szCs w:val="11"/>
                <w:b w:val="1"/>
                <w:bCs w:val="1"/>
                <w:color w:val="auto"/>
                <w:w w:val="96"/>
              </w:rPr>
              <w:t>Expiration</w:t>
            </w:r>
          </w:p>
        </w:tc>
        <w:tc>
          <w:tcPr>
            <w:tcW w:w="86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rPr>
              <w:t>Unit</w:t>
            </w:r>
          </w:p>
        </w:tc>
        <w:tc>
          <w:tcPr>
            <w:tcW w:w="80" w:type="dxa"/>
            <w:vAlign w:val="bottom"/>
          </w:tcPr>
          <w:p>
            <w:pPr>
              <w:spacing w:after="0"/>
              <w:rPr>
                <w:sz w:val="10"/>
                <w:szCs w:val="10"/>
                <w:color w:val="auto"/>
              </w:rPr>
            </w:pPr>
          </w:p>
        </w:tc>
        <w:tc>
          <w:tcPr>
            <w:tcW w:w="1020" w:type="dxa"/>
            <w:vAlign w:val="bottom"/>
            <w:gridSpan w:val="2"/>
          </w:tcPr>
          <w:p>
            <w:pPr>
              <w:jc w:val="center"/>
              <w:ind w:right="360"/>
              <w:spacing w:after="0" w:line="124" w:lineRule="exact"/>
              <w:rPr>
                <w:sz w:val="20"/>
                <w:szCs w:val="20"/>
                <w:color w:val="auto"/>
              </w:rPr>
            </w:pPr>
            <w:r>
              <w:rPr>
                <w:rFonts w:ascii="Arial" w:cs="Arial" w:eastAsia="Arial" w:hAnsi="Arial"/>
                <w:sz w:val="11"/>
                <w:szCs w:val="11"/>
                <w:b w:val="1"/>
                <w:bCs w:val="1"/>
                <w:color w:val="auto"/>
              </w:rPr>
              <w:t>Unit</w:t>
            </w:r>
          </w:p>
        </w:tc>
        <w:tc>
          <w:tcPr>
            <w:tcW w:w="980" w:type="dxa"/>
            <w:vAlign w:val="bottom"/>
            <w:gridSpan w:val="2"/>
          </w:tcPr>
          <w:p>
            <w:pPr>
              <w:jc w:val="center"/>
              <w:ind w:right="240"/>
              <w:spacing w:after="0" w:line="124" w:lineRule="exact"/>
              <w:rPr>
                <w:sz w:val="20"/>
                <w:szCs w:val="20"/>
                <w:color w:val="auto"/>
              </w:rPr>
            </w:pPr>
            <w:r>
              <w:rPr>
                <w:rFonts w:ascii="Arial" w:cs="Arial" w:eastAsia="Arial" w:hAnsi="Arial"/>
                <w:sz w:val="11"/>
                <w:szCs w:val="11"/>
                <w:b w:val="1"/>
                <w:bCs w:val="1"/>
                <w:color w:val="auto"/>
              </w:rPr>
              <w:t>Unit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60" w:type="dxa"/>
            <w:vAlign w:val="bottom"/>
            <w:gridSpan w:val="2"/>
          </w:tcPr>
          <w:p>
            <w:pPr>
              <w:jc w:val="center"/>
              <w:ind w:right="1339"/>
              <w:spacing w:after="0" w:line="124" w:lineRule="exact"/>
              <w:rPr>
                <w:sz w:val="20"/>
                <w:szCs w:val="20"/>
                <w:color w:val="auto"/>
              </w:rPr>
            </w:pPr>
            <w:r>
              <w:rPr>
                <w:rFonts w:ascii="Arial" w:cs="Arial" w:eastAsia="Arial" w:hAnsi="Arial"/>
                <w:sz w:val="11"/>
                <w:szCs w:val="11"/>
                <w:b w:val="1"/>
                <w:bCs w:val="1"/>
                <w:color w:val="auto"/>
              </w:rPr>
              <w:t>Unit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6"/>
              </w:rPr>
              <w:t>Name</w:t>
            </w:r>
          </w:p>
        </w:tc>
        <w:tc>
          <w:tcPr>
            <w:tcW w:w="126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Exercisable</w:t>
            </w:r>
          </w:p>
        </w:tc>
        <w:tc>
          <w:tcPr>
            <w:tcW w:w="14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3"/>
              </w:rPr>
              <w:t>Unexercisable</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Price</w:t>
            </w:r>
          </w:p>
        </w:tc>
        <w:tc>
          <w:tcPr>
            <w:tcW w:w="14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1"/>
                <w:szCs w:val="1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Awards</w:t>
            </w: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Awards</w:t>
            </w:r>
          </w:p>
        </w:tc>
        <w:tc>
          <w:tcPr>
            <w:tcW w:w="28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Awards</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Awards</w:t>
            </w: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15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Fuad El-Hibri</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123,318</w:t>
            </w:r>
          </w:p>
        </w:tc>
        <w:tc>
          <w:tcPr>
            <w:tcW w:w="140" w:type="dxa"/>
            <w:vAlign w:val="bottom"/>
            <w:shd w:val="clear" w:color="auto" w:fill="DCDCDE"/>
          </w:tcPr>
          <w:p>
            <w:pPr>
              <w:spacing w:after="0"/>
              <w:rPr>
                <w:sz w:val="14"/>
                <w:szCs w:val="14"/>
                <w:color w:val="auto"/>
              </w:rPr>
            </w:pPr>
          </w:p>
        </w:tc>
        <w:tc>
          <w:tcPr>
            <w:tcW w:w="7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DCDCDE"/>
          </w:tcPr>
          <w:p>
            <w:pPr>
              <w:spacing w:after="0"/>
              <w:rPr>
                <w:sz w:val="14"/>
                <w:szCs w:val="14"/>
                <w:color w:val="auto"/>
              </w:rPr>
            </w:pP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25.62</w:t>
            </w:r>
          </w:p>
        </w:tc>
        <w:tc>
          <w:tcPr>
            <w:tcW w:w="140" w:type="dxa"/>
            <w:vAlign w:val="bottom"/>
            <w:shd w:val="clear" w:color="auto" w:fill="DCDCDE"/>
          </w:tcPr>
          <w:p>
            <w:pPr>
              <w:spacing w:after="0"/>
              <w:rPr>
                <w:sz w:val="14"/>
                <w:szCs w:val="14"/>
                <w:color w:val="auto"/>
              </w:rPr>
            </w:pPr>
          </w:p>
        </w:tc>
        <w:tc>
          <w:tcPr>
            <w:tcW w:w="8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3/10/2021</w:t>
            </w:r>
          </w:p>
        </w:tc>
        <w:tc>
          <w:tcPr>
            <w:tcW w:w="140" w:type="dxa"/>
            <w:vAlign w:val="bottom"/>
            <w:shd w:val="clear" w:color="auto" w:fill="DCDCDE"/>
          </w:tcPr>
          <w:p>
            <w:pPr>
              <w:spacing w:after="0"/>
              <w:rPr>
                <w:sz w:val="14"/>
                <w:szCs w:val="14"/>
                <w:color w:val="auto"/>
              </w:rPr>
            </w:pPr>
          </w:p>
        </w:tc>
        <w:tc>
          <w:tcPr>
            <w:tcW w:w="580" w:type="dxa"/>
            <w:vAlign w:val="bottom"/>
            <w:shd w:val="clear" w:color="auto" w:fill="DCDCDE"/>
          </w:tcPr>
          <w:p>
            <w:pPr>
              <w:ind w:left="440"/>
              <w:spacing w:after="0"/>
              <w:rPr>
                <w:sz w:val="20"/>
                <w:szCs w:val="20"/>
                <w:color w:val="auto"/>
              </w:rPr>
            </w:pPr>
            <w:r>
              <w:rPr>
                <w:rFonts w:ascii="Arial" w:cs="Arial" w:eastAsia="Arial" w:hAnsi="Arial"/>
                <w:sz w:val="15"/>
                <w:szCs w:val="15"/>
                <w:color w:val="auto"/>
                <w:w w:val="79"/>
              </w:rPr>
              <w:t>—</w:t>
            </w:r>
          </w:p>
        </w:tc>
        <w:tc>
          <w:tcPr>
            <w:tcW w:w="28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DCDCDE"/>
          </w:tcPr>
          <w:p>
            <w:pPr>
              <w:spacing w:after="0"/>
              <w:rPr>
                <w:sz w:val="14"/>
                <w:szCs w:val="14"/>
                <w:color w:val="auto"/>
              </w:rPr>
            </w:pP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CDCDE"/>
          </w:tcPr>
          <w:p>
            <w:pPr>
              <w:spacing w:after="0"/>
              <w:rPr>
                <w:sz w:val="14"/>
                <w:szCs w:val="14"/>
                <w:color w:val="auto"/>
              </w:rPr>
            </w:pPr>
          </w:p>
        </w:tc>
        <w:tc>
          <w:tcPr>
            <w:tcW w:w="4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79,391</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26.45</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3/9/2022</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58,318</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30.86</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2/28/2023</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39,165</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19,582</w:t>
            </w:r>
            <w:r>
              <w:rPr>
                <w:rFonts w:ascii="Arial" w:cs="Arial" w:eastAsia="Arial" w:hAnsi="Arial"/>
                <w:sz w:val="12"/>
                <w:szCs w:val="12"/>
                <w:color w:val="auto"/>
              </w:rPr>
              <w:t>(1)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30.63</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2/27/2024</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12,859</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25,718</w:t>
            </w:r>
            <w:r>
              <w:rPr>
                <w:rFonts w:ascii="Arial" w:cs="Arial" w:eastAsia="Arial" w:hAnsi="Arial"/>
                <w:sz w:val="12"/>
                <w:szCs w:val="12"/>
                <w:color w:val="auto"/>
              </w:rPr>
              <w:t>(2)</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49.64</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2/26/2025</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36,053</w:t>
            </w:r>
            <w:r>
              <w:rPr>
                <w:rFonts w:ascii="Arial" w:cs="Arial" w:eastAsia="Arial" w:hAnsi="Arial"/>
                <w:sz w:val="12"/>
                <w:szCs w:val="12"/>
                <w:color w:val="auto"/>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61.01</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2/25/2026</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9,794</w:t>
            </w:r>
            <w:r>
              <w:rPr>
                <w:rFonts w:ascii="Arial" w:cs="Arial" w:eastAsia="Arial" w:hAnsi="Arial"/>
                <w:sz w:val="12"/>
                <w:szCs w:val="12"/>
                <w:color w:val="auto"/>
              </w:rPr>
              <w:t>(6)</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528,386</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12,858</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693,689</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18,029</w:t>
            </w:r>
            <w:r>
              <w:rPr>
                <w:rFonts w:ascii="Arial" w:cs="Arial" w:eastAsia="Arial" w:hAnsi="Arial"/>
                <w:sz w:val="12"/>
                <w:szCs w:val="12"/>
                <w:color w:val="auto"/>
              </w:rPr>
              <w:t>(8)</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972,665</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Arial" w:cs="Arial" w:eastAsia="Arial" w:hAnsi="Arial"/>
                <w:sz w:val="15"/>
                <w:szCs w:val="15"/>
                <w:color w:val="auto"/>
              </w:rPr>
              <w:t>Robert G. Kramer</w:t>
            </w:r>
          </w:p>
        </w:tc>
        <w:tc>
          <w:tcPr>
            <w:tcW w:w="680" w:type="dxa"/>
            <w:vAlign w:val="bottom"/>
          </w:tcPr>
          <w:p>
            <w:pPr>
              <w:jc w:val="right"/>
              <w:spacing w:after="0"/>
              <w:rPr>
                <w:sz w:val="20"/>
                <w:szCs w:val="20"/>
                <w:color w:val="auto"/>
              </w:rPr>
            </w:pPr>
            <w:r>
              <w:rPr>
                <w:rFonts w:ascii="Arial" w:cs="Arial" w:eastAsia="Arial" w:hAnsi="Arial"/>
                <w:sz w:val="15"/>
                <w:szCs w:val="15"/>
                <w:color w:val="auto"/>
              </w:rPr>
              <w:t>19,026</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25.62</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3/10/2021</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24,132</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26.45</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3/9/2022</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32,397</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30.86</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2/28/2023</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21,759</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10,879</w:t>
            </w:r>
            <w:r>
              <w:rPr>
                <w:rFonts w:ascii="Arial" w:cs="Arial" w:eastAsia="Arial" w:hAnsi="Arial"/>
                <w:sz w:val="12"/>
                <w:szCs w:val="12"/>
                <w:color w:val="auto"/>
              </w:rPr>
              <w:t>(1)</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30.63</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2/27/2024</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862</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1,724</w:t>
            </w:r>
            <w:r>
              <w:rPr>
                <w:rFonts w:ascii="Arial" w:cs="Arial" w:eastAsia="Arial" w:hAnsi="Arial"/>
                <w:sz w:val="12"/>
                <w:szCs w:val="12"/>
                <w:color w:val="auto"/>
              </w:rPr>
              <w:t>(4)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48.33</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5/7/2025</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7,890</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15,780</w:t>
            </w:r>
            <w:r>
              <w:rPr>
                <w:rFonts w:ascii="Arial" w:cs="Arial" w:eastAsia="Arial" w:hAnsi="Arial"/>
                <w:sz w:val="12"/>
                <w:szCs w:val="12"/>
                <w:color w:val="auto"/>
              </w:rPr>
              <w:t>(2)</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49.64</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2/26/2025</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47,197</w:t>
            </w:r>
            <w:r>
              <w:rPr>
                <w:rFonts w:ascii="Arial" w:cs="Arial" w:eastAsia="Arial" w:hAnsi="Arial"/>
                <w:sz w:val="12"/>
                <w:szCs w:val="12"/>
                <w:color w:val="auto"/>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61.01</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2/25/2026</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2,720</w:t>
            </w:r>
            <w:r>
              <w:rPr>
                <w:rFonts w:ascii="Arial" w:cs="Arial" w:eastAsia="Arial" w:hAnsi="Arial"/>
                <w:sz w:val="12"/>
                <w:szCs w:val="12"/>
                <w:color w:val="auto"/>
              </w:rPr>
              <w:t>(6)</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146,744</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3,944</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212,779</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780" w:type="dxa"/>
            <w:vAlign w:val="bottom"/>
            <w:shd w:val="clear" w:color="auto" w:fill="DCDCDE"/>
          </w:tcPr>
          <w:p>
            <w:pPr>
              <w:spacing w:after="0"/>
              <w:rPr>
                <w:sz w:val="15"/>
                <w:szCs w:val="15"/>
                <w:color w:val="auto"/>
              </w:rPr>
            </w:pPr>
          </w:p>
        </w:tc>
        <w:tc>
          <w:tcPr>
            <w:tcW w:w="200" w:type="dxa"/>
            <w:vAlign w:val="bottom"/>
            <w:shd w:val="clear" w:color="auto" w:fill="DCDCDE"/>
          </w:tcPr>
          <w:p>
            <w:pPr>
              <w:spacing w:after="0"/>
              <w:rPr>
                <w:sz w:val="15"/>
                <w:szCs w:val="15"/>
                <w:color w:val="auto"/>
              </w:rPr>
            </w:pPr>
          </w:p>
        </w:tc>
        <w:tc>
          <w:tcPr>
            <w:tcW w:w="60" w:type="dxa"/>
            <w:vAlign w:val="bottom"/>
            <w:shd w:val="clear" w:color="auto" w:fill="DCDCDE"/>
          </w:tcPr>
          <w:p>
            <w:pPr>
              <w:spacing w:after="0"/>
              <w:rPr>
                <w:sz w:val="15"/>
                <w:szCs w:val="15"/>
                <w:color w:val="auto"/>
              </w:rPr>
            </w:pPr>
          </w:p>
        </w:tc>
        <w:tc>
          <w:tcPr>
            <w:tcW w:w="48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6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431</w:t>
            </w:r>
            <w:r>
              <w:rPr>
                <w:rFonts w:ascii="Arial" w:cs="Arial" w:eastAsia="Arial" w:hAnsi="Arial"/>
                <w:sz w:val="12"/>
                <w:szCs w:val="12"/>
                <w:color w:val="auto"/>
              </w:rPr>
              <w:t>(9)</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23,252</w:t>
            </w:r>
            <w:r>
              <w:rPr>
                <w:rFonts w:ascii="Arial" w:cs="Arial" w:eastAsia="Arial" w:hAnsi="Arial"/>
                <w:sz w:val="12"/>
                <w:szCs w:val="12"/>
                <w:color w:val="auto"/>
              </w:rPr>
              <w:t>(12)</w:t>
            </w:r>
          </w:p>
        </w:tc>
        <w:tc>
          <w:tcPr>
            <w:tcW w:w="740" w:type="dxa"/>
            <w:vAlign w:val="bottom"/>
            <w:shd w:val="clear" w:color="auto" w:fill="DCDCDE"/>
          </w:tcPr>
          <w:p>
            <w:pPr>
              <w:spacing w:after="0"/>
              <w:rPr>
                <w:sz w:val="15"/>
                <w:szCs w:val="15"/>
                <w:color w:val="auto"/>
              </w:rPr>
            </w:pPr>
          </w:p>
        </w:tc>
        <w:tc>
          <w:tcPr>
            <w:tcW w:w="240" w:type="dxa"/>
            <w:vAlign w:val="bottom"/>
            <w:shd w:val="clear" w:color="auto" w:fill="DCDCDE"/>
          </w:tcPr>
          <w:p>
            <w:pPr>
              <w:spacing w:after="0"/>
              <w:rPr>
                <w:sz w:val="15"/>
                <w:szCs w:val="15"/>
                <w:color w:val="auto"/>
              </w:rPr>
            </w:pPr>
          </w:p>
        </w:tc>
        <w:tc>
          <w:tcPr>
            <w:tcW w:w="40" w:type="dxa"/>
            <w:vAlign w:val="bottom"/>
            <w:shd w:val="clear" w:color="auto" w:fill="DCDCDE"/>
          </w:tcPr>
          <w:p>
            <w:pPr>
              <w:spacing w:after="0"/>
              <w:rPr>
                <w:sz w:val="15"/>
                <w:szCs w:val="15"/>
                <w:color w:val="auto"/>
              </w:rPr>
            </w:pPr>
          </w:p>
        </w:tc>
        <w:tc>
          <w:tcPr>
            <w:tcW w:w="80" w:type="dxa"/>
            <w:vAlign w:val="bottom"/>
            <w:shd w:val="clear" w:color="auto" w:fill="DCDCDE"/>
          </w:tcPr>
          <w:p>
            <w:pPr>
              <w:spacing w:after="0"/>
              <w:rPr>
                <w:sz w:val="15"/>
                <w:szCs w:val="15"/>
                <w:color w:val="auto"/>
              </w:rPr>
            </w:pPr>
          </w:p>
        </w:tc>
        <w:tc>
          <w:tcPr>
            <w:tcW w:w="740" w:type="dxa"/>
            <w:vAlign w:val="bottom"/>
            <w:shd w:val="clear" w:color="auto" w:fill="DCDCDE"/>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11,801</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636,664</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8,162</w:t>
            </w:r>
            <w:r>
              <w:rPr>
                <w:rFonts w:ascii="Arial" w:cs="Arial" w:eastAsia="Arial" w:hAnsi="Arial"/>
                <w:sz w:val="12"/>
                <w:szCs w:val="12"/>
                <w:color w:val="auto"/>
              </w:rPr>
              <w:t>(13)</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440,340</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5,917</w:t>
            </w:r>
            <w:r>
              <w:rPr>
                <w:rFonts w:ascii="Arial" w:cs="Arial" w:eastAsia="Arial" w:hAnsi="Arial"/>
                <w:sz w:val="12"/>
                <w:szCs w:val="12"/>
                <w:color w:val="auto"/>
              </w:rPr>
              <w:t>(14)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319,222</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646</w:t>
            </w:r>
            <w:r>
              <w:rPr>
                <w:rFonts w:ascii="Arial" w:cs="Arial" w:eastAsia="Arial" w:hAnsi="Arial"/>
                <w:sz w:val="12"/>
                <w:szCs w:val="12"/>
                <w:color w:val="auto"/>
              </w:rPr>
              <w:t>(14)</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34,852</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11,801</w:t>
            </w:r>
            <w:r>
              <w:rPr>
                <w:rFonts w:ascii="Arial" w:cs="Arial" w:eastAsia="Arial" w:hAnsi="Arial"/>
                <w:sz w:val="12"/>
                <w:szCs w:val="12"/>
                <w:color w:val="auto"/>
              </w:rPr>
              <w:t>(14)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636,664</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5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Richard Lindahl</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6,655</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13,308</w:t>
            </w:r>
            <w:r>
              <w:rPr>
                <w:rFonts w:ascii="Arial" w:cs="Arial" w:eastAsia="Arial" w:hAnsi="Arial"/>
                <w:sz w:val="12"/>
                <w:szCs w:val="12"/>
                <w:color w:val="auto"/>
              </w:rPr>
              <w:t>(4)</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48.33</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5/7/2025</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20,321</w:t>
            </w:r>
            <w:r>
              <w:rPr>
                <w:rFonts w:ascii="Arial" w:cs="Arial" w:eastAsia="Arial" w:hAnsi="Arial"/>
                <w:sz w:val="12"/>
                <w:szCs w:val="12"/>
                <w:color w:val="auto"/>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61.01</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2/25/2026</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4,362</w:t>
            </w:r>
            <w:r>
              <w:rPr>
                <w:rFonts w:ascii="Arial" w:cs="Arial" w:eastAsia="Arial" w:hAnsi="Arial"/>
                <w:sz w:val="12"/>
                <w:szCs w:val="12"/>
                <w:color w:val="auto"/>
              </w:rPr>
              <w:t>(9)</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235,330</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5,081</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274,120</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4,991</w:t>
            </w:r>
            <w:r>
              <w:rPr>
                <w:rFonts w:ascii="Arial" w:cs="Arial" w:eastAsia="Arial" w:hAnsi="Arial"/>
                <w:sz w:val="12"/>
                <w:szCs w:val="12"/>
                <w:color w:val="auto"/>
              </w:rPr>
              <w:t>(14)</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269,264</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5,081</w:t>
            </w:r>
            <w:r>
              <w:rPr>
                <w:rFonts w:ascii="Arial" w:cs="Arial" w:eastAsia="Arial" w:hAnsi="Arial"/>
                <w:sz w:val="12"/>
                <w:szCs w:val="12"/>
                <w:color w:val="auto"/>
              </w:rPr>
              <w:t>(14)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274,120</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54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Adam Havey</w:t>
            </w: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20,414</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26.45</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3/9/2022</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17,009</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30.86</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2/28/2023</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11,423</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5,711</w:t>
            </w:r>
            <w:r>
              <w:rPr>
                <w:rFonts w:ascii="Arial" w:cs="Arial" w:eastAsia="Arial" w:hAnsi="Arial"/>
                <w:sz w:val="12"/>
                <w:szCs w:val="12"/>
                <w:color w:val="auto"/>
              </w:rPr>
              <w:t>(1)</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30.63</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2/27/2024</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6,715</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13,430</w:t>
            </w:r>
            <w:r>
              <w:rPr>
                <w:rFonts w:ascii="Arial" w:cs="Arial" w:eastAsia="Arial" w:hAnsi="Arial"/>
                <w:sz w:val="12"/>
                <w:szCs w:val="12"/>
                <w:color w:val="auto"/>
              </w:rPr>
              <w:t>(2)</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49.64</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2/26/2025</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20,321</w:t>
            </w:r>
            <w:r>
              <w:rPr>
                <w:rFonts w:ascii="Arial" w:cs="Arial" w:eastAsia="Arial" w:hAnsi="Arial"/>
                <w:sz w:val="12"/>
                <w:szCs w:val="12"/>
                <w:color w:val="auto"/>
              </w:rPr>
              <w:t>(3)</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61.01</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2/25/2026</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1,428</w:t>
            </w:r>
            <w:r>
              <w:rPr>
                <w:rFonts w:ascii="Arial" w:cs="Arial" w:eastAsia="Arial" w:hAnsi="Arial"/>
                <w:sz w:val="12"/>
                <w:szCs w:val="12"/>
                <w:color w:val="auto"/>
              </w:rPr>
              <w:t>(6)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77,041</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3,357</w:t>
            </w:r>
            <w:r>
              <w:rPr>
                <w:rFonts w:ascii="Arial" w:cs="Arial" w:eastAsia="Arial" w:hAnsi="Arial"/>
                <w:sz w:val="12"/>
                <w:szCs w:val="12"/>
                <w:color w:val="auto"/>
              </w:rPr>
              <w:t>(7)</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181,110</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5,081</w:t>
            </w:r>
            <w:r>
              <w:rPr>
                <w:rFonts w:ascii="Arial" w:cs="Arial" w:eastAsia="Arial" w:hAnsi="Arial"/>
                <w:sz w:val="12"/>
                <w:szCs w:val="12"/>
                <w:color w:val="auto"/>
              </w:rPr>
              <w:t>(8)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274,120</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4,285</w:t>
            </w:r>
            <w:r>
              <w:rPr>
                <w:rFonts w:ascii="Arial" w:cs="Arial" w:eastAsia="Arial" w:hAnsi="Arial"/>
                <w:sz w:val="12"/>
                <w:szCs w:val="12"/>
                <w:color w:val="auto"/>
              </w:rPr>
              <w:t>(13)</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231,176</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5,036</w:t>
            </w:r>
            <w:r>
              <w:rPr>
                <w:rFonts w:ascii="Arial" w:cs="Arial" w:eastAsia="Arial" w:hAnsi="Arial"/>
                <w:sz w:val="12"/>
                <w:szCs w:val="12"/>
                <w:color w:val="auto"/>
              </w:rPr>
              <w:t>(14)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271,692</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5,081</w:t>
            </w:r>
            <w:r>
              <w:rPr>
                <w:rFonts w:ascii="Arial" w:cs="Arial" w:eastAsia="Arial" w:hAnsi="Arial"/>
                <w:sz w:val="12"/>
                <w:szCs w:val="12"/>
                <w:color w:val="auto"/>
              </w:rPr>
              <w:t>(14)</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274,120</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540" w:type="dxa"/>
            <w:vAlign w:val="bottom"/>
            <w:gridSpan w:val="2"/>
          </w:tcPr>
          <w:p>
            <w:pPr>
              <w:spacing w:after="0"/>
              <w:rPr>
                <w:sz w:val="20"/>
                <w:szCs w:val="20"/>
                <w:color w:val="auto"/>
              </w:rPr>
            </w:pPr>
            <w:r>
              <w:rPr>
                <w:rFonts w:ascii="Arial" w:cs="Arial" w:eastAsia="Arial" w:hAnsi="Arial"/>
                <w:sz w:val="15"/>
                <w:szCs w:val="15"/>
                <w:color w:val="auto"/>
              </w:rPr>
              <w:t>Atul Saran</w:t>
            </w:r>
          </w:p>
        </w:tc>
        <w:tc>
          <w:tcPr>
            <w:tcW w:w="680" w:type="dxa"/>
            <w:vAlign w:val="bottom"/>
          </w:tcPr>
          <w:p>
            <w:pPr>
              <w:jc w:val="right"/>
              <w:spacing w:after="0"/>
              <w:rPr>
                <w:sz w:val="20"/>
                <w:szCs w:val="20"/>
                <w:color w:val="auto"/>
              </w:rPr>
            </w:pPr>
            <w:r>
              <w:rPr>
                <w:rFonts w:ascii="Arial" w:cs="Arial" w:eastAsia="Arial" w:hAnsi="Arial"/>
                <w:sz w:val="15"/>
                <w:szCs w:val="15"/>
                <w:color w:val="auto"/>
              </w:rPr>
              <w:t>13,389</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6,694</w:t>
            </w:r>
            <w:r>
              <w:rPr>
                <w:rFonts w:ascii="Arial" w:cs="Arial" w:eastAsia="Arial" w:hAnsi="Arial"/>
                <w:sz w:val="12"/>
                <w:szCs w:val="12"/>
                <w:color w:val="auto"/>
              </w:rPr>
              <w:t>(5)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36.09</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8/7/2024</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7,084</w:t>
            </w:r>
          </w:p>
        </w:tc>
        <w:tc>
          <w:tcPr>
            <w:tcW w:w="1120" w:type="dxa"/>
            <w:vAlign w:val="bottom"/>
            <w:gridSpan w:val="3"/>
            <w:shd w:val="clear" w:color="auto" w:fill="DCDCDE"/>
          </w:tcPr>
          <w:p>
            <w:pPr>
              <w:jc w:val="right"/>
              <w:ind w:right="60"/>
              <w:spacing w:after="0"/>
              <w:rPr>
                <w:sz w:val="20"/>
                <w:szCs w:val="20"/>
                <w:color w:val="auto"/>
              </w:rPr>
            </w:pPr>
            <w:r>
              <w:rPr>
                <w:rFonts w:ascii="Arial" w:cs="Arial" w:eastAsia="Arial" w:hAnsi="Arial"/>
                <w:sz w:val="15"/>
                <w:szCs w:val="15"/>
                <w:color w:val="auto"/>
              </w:rPr>
              <w:t>14,169</w:t>
            </w:r>
            <w:r>
              <w:rPr>
                <w:rFonts w:ascii="Arial" w:cs="Arial" w:eastAsia="Arial" w:hAnsi="Arial"/>
                <w:sz w:val="12"/>
                <w:szCs w:val="12"/>
                <w:color w:val="auto"/>
              </w:rPr>
              <w:t>(2)</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49.64</w:t>
            </w:r>
          </w:p>
        </w:tc>
        <w:tc>
          <w:tcPr>
            <w:tcW w:w="114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2/26/2025</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5"/>
                <w:szCs w:val="15"/>
                <w:color w:val="auto"/>
              </w:rPr>
              <w:t>20,321</w:t>
            </w:r>
            <w:r>
              <w:rPr>
                <w:rFonts w:ascii="Arial" w:cs="Arial" w:eastAsia="Arial" w:hAnsi="Arial"/>
                <w:sz w:val="12"/>
                <w:szCs w:val="12"/>
                <w:color w:val="auto"/>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61.01</w:t>
            </w:r>
          </w:p>
        </w:tc>
        <w:tc>
          <w:tcPr>
            <w:tcW w:w="1140" w:type="dxa"/>
            <w:vAlign w:val="bottom"/>
            <w:gridSpan w:val="3"/>
          </w:tcPr>
          <w:p>
            <w:pPr>
              <w:jc w:val="right"/>
              <w:ind w:right="140"/>
              <w:spacing w:after="0"/>
              <w:rPr>
                <w:sz w:val="20"/>
                <w:szCs w:val="20"/>
                <w:color w:val="auto"/>
              </w:rPr>
            </w:pPr>
            <w:r>
              <w:rPr>
                <w:rFonts w:ascii="Arial" w:cs="Arial" w:eastAsia="Arial" w:hAnsi="Arial"/>
                <w:sz w:val="15"/>
                <w:szCs w:val="15"/>
                <w:color w:val="auto"/>
              </w:rPr>
              <w:t>2/25/2026</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4,271</w:t>
            </w:r>
            <w:r>
              <w:rPr>
                <w:rFonts w:ascii="Arial" w:cs="Arial" w:eastAsia="Arial" w:hAnsi="Arial"/>
                <w:sz w:val="12"/>
                <w:szCs w:val="12"/>
                <w:color w:val="auto"/>
              </w:rPr>
              <w:t>(10)</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230,420</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3,542</w:t>
            </w:r>
            <w:r>
              <w:rPr>
                <w:rFonts w:ascii="Arial" w:cs="Arial" w:eastAsia="Arial" w:hAnsi="Arial"/>
                <w:sz w:val="12"/>
                <w:szCs w:val="12"/>
                <w:color w:val="auto"/>
              </w:rPr>
              <w:t>(7)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5"/>
                <w:szCs w:val="15"/>
                <w:color w:val="auto"/>
              </w:rPr>
              <w:t>191,091</w:t>
            </w:r>
            <w:r>
              <w:rPr>
                <w:rFonts w:ascii="Arial" w:cs="Arial" w:eastAsia="Arial" w:hAnsi="Arial"/>
                <w:sz w:val="12"/>
                <w:szCs w:val="12"/>
                <w:color w:val="auto"/>
              </w:rPr>
              <w:t>(12)</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5,081</w:t>
            </w:r>
            <w:r>
              <w:rPr>
                <w:rFonts w:ascii="Arial" w:cs="Arial" w:eastAsia="Arial" w:hAnsi="Arial"/>
                <w:sz w:val="12"/>
                <w:szCs w:val="12"/>
                <w:color w:val="auto"/>
              </w:rPr>
              <w:t>(8)</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274,120</w:t>
            </w:r>
            <w:r>
              <w:rPr>
                <w:rFonts w:ascii="Arial" w:cs="Arial" w:eastAsia="Arial" w:hAnsi="Arial"/>
                <w:sz w:val="12"/>
                <w:szCs w:val="12"/>
                <w:color w:val="auto"/>
              </w:rPr>
              <w:t>(12)</w:t>
            </w:r>
          </w:p>
        </w:tc>
        <w:tc>
          <w:tcPr>
            <w:tcW w:w="980" w:type="dxa"/>
            <w:vAlign w:val="bottom"/>
            <w:gridSpan w:val="2"/>
            <w:shd w:val="clear" w:color="auto" w:fill="DCDCDE"/>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5,313</w:t>
            </w:r>
            <w:r>
              <w:rPr>
                <w:rFonts w:ascii="Arial" w:cs="Arial" w:eastAsia="Arial" w:hAnsi="Arial"/>
                <w:sz w:val="12"/>
                <w:szCs w:val="12"/>
                <w:color w:val="auto"/>
              </w:rPr>
              <w:t>(14)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286,636</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280" w:type="dxa"/>
            <w:vAlign w:val="bottom"/>
            <w:shd w:val="clear" w:color="auto" w:fill="DCDCDE"/>
          </w:tcPr>
          <w:p>
            <w:pPr>
              <w:spacing w:after="0"/>
              <w:rPr>
                <w:sz w:val="15"/>
                <w:szCs w:val="15"/>
                <w:color w:val="auto"/>
              </w:rPr>
            </w:pPr>
          </w:p>
        </w:tc>
        <w:tc>
          <w:tcPr>
            <w:tcW w:w="1260" w:type="dxa"/>
            <w:vAlign w:val="bottom"/>
            <w:shd w:val="clear" w:color="auto" w:fill="DCDCDE"/>
          </w:tcPr>
          <w:p>
            <w:pPr>
              <w:spacing w:after="0"/>
              <w:rPr>
                <w:sz w:val="15"/>
                <w:szCs w:val="15"/>
                <w:color w:val="auto"/>
              </w:rPr>
            </w:pPr>
          </w:p>
        </w:tc>
        <w:tc>
          <w:tcPr>
            <w:tcW w:w="6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80" w:type="dxa"/>
            <w:vAlign w:val="bottom"/>
            <w:gridSpan w:val="2"/>
            <w:shd w:val="clear" w:color="auto" w:fill="DCDCDE"/>
          </w:tcPr>
          <w:p>
            <w:pPr>
              <w:jc w:val="right"/>
              <w:ind w:right="200"/>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100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8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5,081</w:t>
            </w:r>
            <w:r>
              <w:rPr>
                <w:rFonts w:ascii="Arial" w:cs="Arial" w:eastAsia="Arial" w:hAnsi="Arial"/>
                <w:sz w:val="12"/>
                <w:szCs w:val="12"/>
                <w:color w:val="auto"/>
              </w:rPr>
              <w:t>(14)</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274,120</w:t>
            </w:r>
          </w:p>
        </w:tc>
        <w:tc>
          <w:tcPr>
            <w:tcW w:w="1320" w:type="dxa"/>
            <w:vAlign w:val="bottom"/>
          </w:tcPr>
          <w:p>
            <w:pPr>
              <w:jc w:val="right"/>
              <w:ind w:right="1059"/>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359"/>
        </w:trPr>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2"/>
          </w:tcPr>
          <w:p>
            <w:pPr>
              <w:jc w:val="right"/>
              <w:ind w:right="229"/>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26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13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-12700</wp:posOffset>
            </wp:positionV>
            <wp:extent cx="1270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5" w:name="page66"/>
    <w:bookmarkEnd w:id="65"/>
    <w:p>
      <w:pPr>
        <w:ind w:left="10"/>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35"/>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1"/>
                <w:szCs w:val="11"/>
                <w:b w:val="1"/>
                <w:bCs w:val="1"/>
                <w:color w:val="auto"/>
              </w:rPr>
              <w:t>Option Awards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1"/>
                <w:szCs w:val="11"/>
                <w:b w:val="1"/>
                <w:bCs w:val="1"/>
                <w:color w:val="auto"/>
              </w:rPr>
              <w:t>Stock Awards</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60" w:type="dxa"/>
            <w:vAlign w:val="bottom"/>
            <w:gridSpan w:val="8"/>
          </w:tcPr>
          <w:p>
            <w:pPr>
              <w:jc w:val="right"/>
              <w:ind w:right="454"/>
              <w:spacing w:after="0" w:line="104" w:lineRule="exact"/>
              <w:rPr>
                <w:sz w:val="20"/>
                <w:szCs w:val="20"/>
                <w:color w:val="auto"/>
              </w:rPr>
            </w:pPr>
            <w:r>
              <w:rPr>
                <w:rFonts w:ascii="Arial" w:cs="Arial" w:eastAsia="Arial" w:hAnsi="Arial"/>
                <w:sz w:val="11"/>
                <w:szCs w:val="11"/>
                <w:b w:val="1"/>
                <w:bCs w:val="1"/>
                <w:color w:val="auto"/>
              </w:rPr>
              <w:t>Number of Securities Underlying Unexercised</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1"/>
                <w:szCs w:val="11"/>
                <w:b w:val="1"/>
                <w:bCs w:val="1"/>
                <w:color w:val="auto"/>
              </w:rPr>
              <w:t>Equity Awards</w:t>
            </w: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1"/>
                <w:szCs w:val="11"/>
                <w:b w:val="1"/>
                <w:bCs w:val="1"/>
                <w:color w:val="auto"/>
                <w:w w:val="97"/>
              </w:rPr>
              <w:t>Market Value</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vMerge w:val="restart"/>
          </w:tcPr>
          <w:p>
            <w:pPr>
              <w:jc w:val="center"/>
              <w:ind w:right="119"/>
              <w:spacing w:after="0"/>
              <w:rPr>
                <w:sz w:val="20"/>
                <w:szCs w:val="20"/>
                <w:color w:val="auto"/>
              </w:rPr>
            </w:pPr>
            <w:r>
              <w:rPr>
                <w:rFonts w:ascii="Arial" w:cs="Arial" w:eastAsia="Arial" w:hAnsi="Arial"/>
                <w:sz w:val="11"/>
                <w:szCs w:val="11"/>
                <w:b w:val="1"/>
                <w:bCs w:val="1"/>
                <w:color w:val="auto"/>
                <w:w w:val="97"/>
              </w:rPr>
              <w:t>Market Value</w:t>
            </w:r>
          </w:p>
        </w:tc>
        <w:tc>
          <w:tcPr>
            <w:tcW w:w="0" w:type="dxa"/>
            <w:vAlign w:val="bottom"/>
          </w:tcPr>
          <w:p>
            <w:pPr>
              <w:spacing w:after="0"/>
              <w:rPr>
                <w:sz w:val="1"/>
                <w:szCs w:val="1"/>
                <w:color w:val="auto"/>
              </w:rPr>
            </w:pPr>
          </w:p>
        </w:tc>
      </w:tr>
      <w:tr>
        <w:trPr>
          <w:trHeight w:val="104"/>
        </w:trPr>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88"/>
              </w:rPr>
              <w:t>Unvested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80"/>
              <w:spacing w:after="0" w:line="124" w:lineRule="exact"/>
              <w:rPr>
                <w:sz w:val="20"/>
                <w:szCs w:val="20"/>
                <w:color w:val="auto"/>
              </w:rPr>
            </w:pPr>
            <w:r>
              <w:rPr>
                <w:rFonts w:ascii="Arial" w:cs="Arial" w:eastAsia="Arial" w:hAnsi="Arial"/>
                <w:sz w:val="11"/>
                <w:szCs w:val="11"/>
                <w:b w:val="1"/>
                <w:bCs w:val="1"/>
                <w:color w:val="auto"/>
                <w:w w:val="92"/>
              </w:rPr>
              <w:t>Unvested</w:t>
            </w:r>
          </w:p>
        </w:tc>
        <w:tc>
          <w:tcPr>
            <w:tcW w:w="960" w:type="dxa"/>
            <w:vAlign w:val="bottom"/>
            <w:gridSpan w:val="2"/>
          </w:tcPr>
          <w:p>
            <w:pPr>
              <w:jc w:val="center"/>
              <w:ind w:right="240"/>
              <w:spacing w:after="0" w:line="124" w:lineRule="exact"/>
              <w:rPr>
                <w:sz w:val="20"/>
                <w:szCs w:val="20"/>
                <w:color w:val="auto"/>
              </w:rPr>
            </w:pPr>
            <w:r>
              <w:rPr>
                <w:rFonts w:ascii="Arial" w:cs="Arial" w:eastAsia="Arial" w:hAnsi="Arial"/>
                <w:sz w:val="11"/>
                <w:szCs w:val="11"/>
                <w:b w:val="1"/>
                <w:bCs w:val="1"/>
                <w:color w:val="auto"/>
                <w:w w:val="88"/>
              </w:rPr>
              <w:t>Unvested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19"/>
              <w:spacing w:after="0" w:line="124" w:lineRule="exact"/>
              <w:rPr>
                <w:sz w:val="20"/>
                <w:szCs w:val="20"/>
                <w:color w:val="auto"/>
              </w:rPr>
            </w:pPr>
            <w:r>
              <w:rPr>
                <w:rFonts w:ascii="Arial" w:cs="Arial" w:eastAsia="Arial" w:hAnsi="Arial"/>
                <w:sz w:val="11"/>
                <w:szCs w:val="11"/>
                <w:b w:val="1"/>
                <w:bCs w:val="1"/>
                <w:color w:val="auto"/>
                <w:w w:val="88"/>
              </w:rPr>
              <w:t>Unvested</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ind w:right="11"/>
              <w:spacing w:after="0" w:line="124" w:lineRule="exact"/>
              <w:rPr>
                <w:sz w:val="20"/>
                <w:szCs w:val="20"/>
                <w:color w:val="auto"/>
              </w:rPr>
            </w:pPr>
            <w:r>
              <w:rPr>
                <w:rFonts w:ascii="Arial" w:cs="Arial" w:eastAsia="Arial" w:hAnsi="Arial"/>
                <w:sz w:val="11"/>
                <w:szCs w:val="11"/>
                <w:b w:val="1"/>
                <w:bCs w:val="1"/>
                <w:color w:val="auto"/>
                <w:w w:val="95"/>
              </w:rPr>
              <w:t>Option</w:t>
            </w:r>
          </w:p>
        </w:tc>
        <w:tc>
          <w:tcPr>
            <w:tcW w:w="140" w:type="dxa"/>
            <w:vAlign w:val="bottom"/>
          </w:tcPr>
          <w:p>
            <w:pPr>
              <w:spacing w:after="0"/>
              <w:rPr>
                <w:sz w:val="10"/>
                <w:szCs w:val="10"/>
                <w:color w:val="auto"/>
              </w:rPr>
            </w:pPr>
          </w:p>
        </w:tc>
        <w:tc>
          <w:tcPr>
            <w:tcW w:w="94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5"/>
              </w:rPr>
              <w:t>Option</w:t>
            </w:r>
          </w:p>
        </w:tc>
        <w:tc>
          <w:tcPr>
            <w:tcW w:w="82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89"/>
              </w:rPr>
              <w:t>Restricted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80"/>
              <w:spacing w:after="0" w:line="124" w:lineRule="exact"/>
              <w:rPr>
                <w:sz w:val="20"/>
                <w:szCs w:val="20"/>
                <w:color w:val="auto"/>
              </w:rPr>
            </w:pPr>
            <w:r>
              <w:rPr>
                <w:rFonts w:ascii="Arial" w:cs="Arial" w:eastAsia="Arial" w:hAnsi="Arial"/>
                <w:sz w:val="11"/>
                <w:szCs w:val="11"/>
                <w:b w:val="1"/>
                <w:bCs w:val="1"/>
                <w:color w:val="auto"/>
                <w:w w:val="92"/>
              </w:rPr>
              <w:t>Restricted</w:t>
            </w:r>
          </w:p>
        </w:tc>
        <w:tc>
          <w:tcPr>
            <w:tcW w:w="9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2"/>
              </w:rPr>
              <w:t>Performance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19"/>
              <w:spacing w:after="0" w:line="124" w:lineRule="exact"/>
              <w:rPr>
                <w:sz w:val="20"/>
                <w:szCs w:val="20"/>
                <w:color w:val="auto"/>
              </w:rPr>
            </w:pPr>
            <w:r>
              <w:rPr>
                <w:rFonts w:ascii="Arial" w:cs="Arial" w:eastAsia="Arial" w:hAnsi="Arial"/>
                <w:sz w:val="11"/>
                <w:szCs w:val="11"/>
                <w:b w:val="1"/>
                <w:bCs w:val="1"/>
                <w:color w:val="auto"/>
                <w:w w:val="95"/>
              </w:rPr>
              <w:t>Performance</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Award</w:t>
            </w:r>
          </w:p>
        </w:tc>
        <w:tc>
          <w:tcPr>
            <w:tcW w:w="140" w:type="dxa"/>
            <w:vAlign w:val="bottom"/>
          </w:tcPr>
          <w:p>
            <w:pPr>
              <w:spacing w:after="0"/>
              <w:rPr>
                <w:sz w:val="10"/>
                <w:szCs w:val="10"/>
                <w:color w:val="auto"/>
              </w:rPr>
            </w:pPr>
          </w:p>
        </w:tc>
        <w:tc>
          <w:tcPr>
            <w:tcW w:w="94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5"/>
              </w:rPr>
              <w:t>Award</w:t>
            </w:r>
          </w:p>
        </w:tc>
        <w:tc>
          <w:tcPr>
            <w:tcW w:w="82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3"/>
              </w:rPr>
              <w:t>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80"/>
              <w:spacing w:after="0" w:line="124" w:lineRule="exact"/>
              <w:rPr>
                <w:sz w:val="20"/>
                <w:szCs w:val="20"/>
                <w:color w:val="auto"/>
              </w:rPr>
            </w:pPr>
            <w:r>
              <w:rPr>
                <w:rFonts w:ascii="Arial" w:cs="Arial" w:eastAsia="Arial" w:hAnsi="Arial"/>
                <w:sz w:val="11"/>
                <w:szCs w:val="11"/>
                <w:b w:val="1"/>
                <w:bCs w:val="1"/>
                <w:color w:val="auto"/>
                <w:w w:val="86"/>
              </w:rPr>
              <w:t>Stock</w:t>
            </w:r>
          </w:p>
        </w:tc>
        <w:tc>
          <w:tcPr>
            <w:tcW w:w="9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86"/>
              </w:rPr>
              <w:t>Stock</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19"/>
              <w:spacing w:after="0" w:line="124" w:lineRule="exact"/>
              <w:rPr>
                <w:sz w:val="20"/>
                <w:szCs w:val="20"/>
                <w:color w:val="auto"/>
              </w:rPr>
            </w:pPr>
            <w:r>
              <w:rPr>
                <w:rFonts w:ascii="Arial" w:cs="Arial" w:eastAsia="Arial" w:hAnsi="Arial"/>
                <w:sz w:val="11"/>
                <w:szCs w:val="11"/>
                <w:b w:val="1"/>
                <w:bCs w:val="1"/>
                <w:color w:val="auto"/>
                <w:w w:val="93"/>
              </w:rPr>
              <w:t>Stock</w:t>
            </w:r>
          </w:p>
        </w:tc>
        <w:tc>
          <w:tcPr>
            <w:tcW w:w="0" w:type="dxa"/>
            <w:vAlign w:val="bottom"/>
          </w:tcPr>
          <w:p>
            <w:pPr>
              <w:spacing w:after="0"/>
              <w:rPr>
                <w:sz w:val="1"/>
                <w:szCs w:val="1"/>
                <w:color w:val="auto"/>
              </w:rPr>
            </w:pPr>
          </w:p>
        </w:tc>
      </w:tr>
      <w:tr>
        <w:trPr>
          <w:trHeight w:val="124"/>
        </w:trPr>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2"/>
              </w:rPr>
              <w:t>Exercise</w:t>
            </w:r>
          </w:p>
        </w:tc>
        <w:tc>
          <w:tcPr>
            <w:tcW w:w="140" w:type="dxa"/>
            <w:vAlign w:val="bottom"/>
          </w:tcPr>
          <w:p>
            <w:pPr>
              <w:spacing w:after="0"/>
              <w:rPr>
                <w:sz w:val="10"/>
                <w:szCs w:val="10"/>
                <w:color w:val="auto"/>
              </w:rPr>
            </w:pPr>
          </w:p>
        </w:tc>
        <w:tc>
          <w:tcPr>
            <w:tcW w:w="94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6"/>
              </w:rPr>
              <w:t>Expiration</w:t>
            </w:r>
          </w:p>
        </w:tc>
        <w:tc>
          <w:tcPr>
            <w:tcW w:w="82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3"/>
              </w:rPr>
              <w:t>Unit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380"/>
              <w:spacing w:after="0" w:line="124" w:lineRule="exact"/>
              <w:rPr>
                <w:sz w:val="20"/>
                <w:szCs w:val="20"/>
                <w:color w:val="auto"/>
              </w:rPr>
            </w:pPr>
            <w:r>
              <w:rPr>
                <w:rFonts w:ascii="Arial" w:cs="Arial" w:eastAsia="Arial" w:hAnsi="Arial"/>
                <w:sz w:val="11"/>
                <w:szCs w:val="11"/>
                <w:b w:val="1"/>
                <w:bCs w:val="1"/>
                <w:color w:val="auto"/>
              </w:rPr>
              <w:t>Unit</w:t>
            </w:r>
          </w:p>
        </w:tc>
        <w:tc>
          <w:tcPr>
            <w:tcW w:w="96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rPr>
              <w:t>Unit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19"/>
              <w:spacing w:after="0" w:line="124" w:lineRule="exact"/>
              <w:rPr>
                <w:sz w:val="20"/>
                <w:szCs w:val="20"/>
                <w:color w:val="auto"/>
              </w:rPr>
            </w:pPr>
            <w:r>
              <w:rPr>
                <w:rFonts w:ascii="Arial" w:cs="Arial" w:eastAsia="Arial" w:hAnsi="Arial"/>
                <w:sz w:val="11"/>
                <w:szCs w:val="11"/>
                <w:b w:val="1"/>
                <w:bCs w:val="1"/>
                <w:color w:val="auto"/>
                <w:w w:val="93"/>
              </w:rPr>
              <w:t>Unit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86"/>
              </w:rPr>
              <w:t>Name</w:t>
            </w:r>
          </w:p>
        </w:tc>
        <w:tc>
          <w:tcPr>
            <w:tcW w:w="144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8"/>
              </w:rPr>
              <w:t>Exercisable</w:t>
            </w:r>
          </w:p>
        </w:tc>
        <w:tc>
          <w:tcPr>
            <w:tcW w:w="140" w:type="dxa"/>
            <w:vAlign w:val="bottom"/>
          </w:tcPr>
          <w:p>
            <w:pPr>
              <w:spacing w:after="0"/>
              <w:rPr>
                <w:sz w:val="11"/>
                <w:szCs w:val="11"/>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w w:val="96"/>
              </w:rPr>
              <w:t>Unexercisable</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w w:val="96"/>
              </w:rPr>
              <w:t>Price</w:t>
            </w:r>
          </w:p>
        </w:tc>
        <w:tc>
          <w:tcPr>
            <w:tcW w:w="140" w:type="dxa"/>
            <w:vAlign w:val="bottom"/>
          </w:tcPr>
          <w:p>
            <w:pPr>
              <w:spacing w:after="0"/>
              <w:rPr>
                <w:sz w:val="11"/>
                <w:szCs w:val="1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Awards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1"/>
                <w:szCs w:val="11"/>
                <w:b w:val="1"/>
                <w:bCs w:val="1"/>
                <w:color w:val="auto"/>
                <w:w w:val="95"/>
              </w:rPr>
              <w:t>Awards</w:t>
            </w:r>
          </w:p>
        </w:tc>
        <w:tc>
          <w:tcPr>
            <w:tcW w:w="28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Awards</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1"/>
                <w:szCs w:val="11"/>
                <w:b w:val="1"/>
                <w:bCs w:val="1"/>
                <w:color w:val="auto"/>
                <w:w w:val="90"/>
              </w:rPr>
              <w:t>Awards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680" w:type="dxa"/>
            <w:vAlign w:val="bottom"/>
          </w:tcPr>
          <w:p>
            <w:pPr>
              <w:jc w:val="right"/>
              <w:spacing w:after="0"/>
              <w:rPr>
                <w:sz w:val="20"/>
                <w:szCs w:val="20"/>
                <w:color w:val="auto"/>
              </w:rPr>
            </w:pPr>
            <w:r>
              <w:rPr>
                <w:rFonts w:ascii="Arial" w:cs="Arial" w:eastAsia="Arial" w:hAnsi="Arial"/>
                <w:sz w:val="15"/>
                <w:szCs w:val="15"/>
                <w:color w:val="auto"/>
              </w:rPr>
              <w:t>135,063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25.62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3/10/2021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ind w:left="540"/>
              <w:spacing w:after="0"/>
              <w:rPr>
                <w:sz w:val="20"/>
                <w:szCs w:val="20"/>
                <w:color w:val="auto"/>
              </w:rPr>
            </w:pPr>
            <w:r>
              <w:rPr>
                <w:rFonts w:ascii="Arial" w:cs="Arial" w:eastAsia="Arial" w:hAnsi="Arial"/>
                <w:sz w:val="15"/>
                <w:szCs w:val="15"/>
                <w:color w:val="auto"/>
                <w:w w:val="79"/>
              </w:rPr>
              <w:t>—</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103,435</w:t>
            </w:r>
          </w:p>
        </w:tc>
        <w:tc>
          <w:tcPr>
            <w:tcW w:w="960" w:type="dxa"/>
            <w:vAlign w:val="bottom"/>
            <w:gridSpan w:val="2"/>
            <w:shd w:val="clear" w:color="auto" w:fill="DCDCDE"/>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26.45</w:t>
            </w:r>
          </w:p>
        </w:tc>
        <w:tc>
          <w:tcPr>
            <w:tcW w:w="108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3/9/2022</w:t>
            </w:r>
          </w:p>
        </w:tc>
        <w:tc>
          <w:tcPr>
            <w:tcW w:w="820" w:type="dxa"/>
            <w:vAlign w:val="bottom"/>
            <w:gridSpan w:val="2"/>
            <w:shd w:val="clear" w:color="auto" w:fill="DCDCDE"/>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DCDE"/>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77,756</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30.86</w:t>
            </w: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2/28/2023</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52,219</w:t>
            </w:r>
          </w:p>
        </w:tc>
        <w:tc>
          <w:tcPr>
            <w:tcW w:w="960" w:type="dxa"/>
            <w:vAlign w:val="bottom"/>
            <w:gridSpan w:val="2"/>
            <w:shd w:val="clear" w:color="auto" w:fill="DCDCDE"/>
          </w:tcPr>
          <w:p>
            <w:pPr>
              <w:jc w:val="right"/>
              <w:ind w:right="40"/>
              <w:spacing w:after="0"/>
              <w:rPr>
                <w:sz w:val="20"/>
                <w:szCs w:val="20"/>
                <w:color w:val="auto"/>
              </w:rPr>
            </w:pPr>
            <w:r>
              <w:rPr>
                <w:rFonts w:ascii="Arial" w:cs="Arial" w:eastAsia="Arial" w:hAnsi="Arial"/>
                <w:sz w:val="15"/>
                <w:szCs w:val="15"/>
                <w:color w:val="auto"/>
              </w:rPr>
              <w:t>26,110</w:t>
            </w:r>
            <w:r>
              <w:rPr>
                <w:rFonts w:ascii="Arial" w:cs="Arial" w:eastAsia="Arial" w:hAnsi="Arial"/>
                <w:sz w:val="12"/>
                <w:szCs w:val="12"/>
                <w:color w:val="auto"/>
              </w:rPr>
              <w:t>(1)</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30.63</w:t>
            </w:r>
          </w:p>
        </w:tc>
        <w:tc>
          <w:tcPr>
            <w:tcW w:w="1080" w:type="dxa"/>
            <w:vAlign w:val="bottom"/>
            <w:gridSpan w:val="3"/>
            <w:shd w:val="clear" w:color="auto" w:fill="DCDCDE"/>
          </w:tcPr>
          <w:p>
            <w:pPr>
              <w:jc w:val="right"/>
              <w:ind w:right="140"/>
              <w:spacing w:after="0"/>
              <w:rPr>
                <w:sz w:val="20"/>
                <w:szCs w:val="20"/>
                <w:color w:val="auto"/>
              </w:rPr>
            </w:pPr>
            <w:r>
              <w:rPr>
                <w:rFonts w:ascii="Arial" w:cs="Arial" w:eastAsia="Arial" w:hAnsi="Arial"/>
                <w:sz w:val="15"/>
                <w:szCs w:val="15"/>
                <w:color w:val="auto"/>
              </w:rPr>
              <w:t>2/27/2024</w:t>
            </w:r>
          </w:p>
        </w:tc>
        <w:tc>
          <w:tcPr>
            <w:tcW w:w="820" w:type="dxa"/>
            <w:vAlign w:val="bottom"/>
            <w:gridSpan w:val="2"/>
            <w:shd w:val="clear" w:color="auto" w:fill="DCDCDE"/>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DCDE"/>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17,828</w:t>
            </w:r>
          </w:p>
        </w:tc>
        <w:tc>
          <w:tcPr>
            <w:tcW w:w="960" w:type="dxa"/>
            <w:vAlign w:val="bottom"/>
            <w:gridSpan w:val="2"/>
          </w:tcPr>
          <w:p>
            <w:pPr>
              <w:jc w:val="right"/>
              <w:ind w:right="40"/>
              <w:spacing w:after="0"/>
              <w:rPr>
                <w:sz w:val="20"/>
                <w:szCs w:val="20"/>
                <w:color w:val="auto"/>
              </w:rPr>
            </w:pPr>
            <w:r>
              <w:rPr>
                <w:rFonts w:ascii="Arial" w:cs="Arial" w:eastAsia="Arial" w:hAnsi="Arial"/>
                <w:sz w:val="15"/>
                <w:szCs w:val="15"/>
                <w:color w:val="auto"/>
              </w:rPr>
              <w:t>35,657</w:t>
            </w:r>
            <w:r>
              <w:rPr>
                <w:rFonts w:ascii="Arial" w:cs="Arial" w:eastAsia="Arial" w:hAnsi="Arial"/>
                <w:sz w:val="12"/>
                <w:szCs w:val="12"/>
                <w:color w:val="auto"/>
              </w:rPr>
              <w:t>(2)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49.64</w:t>
            </w: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2/26/2025</w:t>
            </w:r>
          </w:p>
        </w:tc>
        <w:tc>
          <w:tcPr>
            <w:tcW w:w="8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DCDE"/>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CDCDE"/>
          </w:tcPr>
          <w:p>
            <w:pPr>
              <w:jc w:val="right"/>
              <w:ind w:right="80"/>
              <w:spacing w:after="0"/>
              <w:rPr>
                <w:sz w:val="20"/>
                <w:szCs w:val="20"/>
                <w:color w:val="auto"/>
              </w:rPr>
            </w:pPr>
            <w:r>
              <w:rPr>
                <w:rFonts w:ascii="Arial" w:cs="Arial" w:eastAsia="Arial" w:hAnsi="Arial"/>
                <w:sz w:val="15"/>
                <w:szCs w:val="15"/>
                <w:color w:val="auto"/>
              </w:rPr>
              <w:t>6,529</w:t>
            </w:r>
            <w:r>
              <w:rPr>
                <w:rFonts w:ascii="Arial" w:cs="Arial" w:eastAsia="Arial" w:hAnsi="Arial"/>
                <w:sz w:val="12"/>
                <w:szCs w:val="12"/>
                <w:color w:val="auto"/>
              </w:rPr>
              <w:t>(6)</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352,240</w:t>
            </w:r>
            <w:r>
              <w:rPr>
                <w:rFonts w:ascii="Arial" w:cs="Arial" w:eastAsia="Arial" w:hAnsi="Arial"/>
                <w:sz w:val="12"/>
                <w:szCs w:val="12"/>
                <w:color w:val="auto"/>
              </w:rPr>
              <w:t>(12)</w:t>
            </w:r>
          </w:p>
        </w:tc>
        <w:tc>
          <w:tcPr>
            <w:tcW w:w="960" w:type="dxa"/>
            <w:vAlign w:val="bottom"/>
            <w:gridSpan w:val="2"/>
            <w:shd w:val="clear" w:color="auto" w:fill="DCDCDE"/>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8,914</w:t>
            </w:r>
            <w:r>
              <w:rPr>
                <w:rFonts w:ascii="Arial" w:cs="Arial" w:eastAsia="Arial" w:hAnsi="Arial"/>
                <w:sz w:val="12"/>
                <w:szCs w:val="12"/>
                <w:color w:val="auto"/>
              </w:rPr>
              <w:t>(7)</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60"/>
              <w:spacing w:after="0"/>
              <w:rPr>
                <w:sz w:val="20"/>
                <w:szCs w:val="20"/>
                <w:color w:val="auto"/>
              </w:rPr>
            </w:pPr>
            <w:r>
              <w:rPr>
                <w:rFonts w:ascii="Arial" w:cs="Arial" w:eastAsia="Arial" w:hAnsi="Arial"/>
                <w:sz w:val="15"/>
                <w:szCs w:val="15"/>
                <w:color w:val="auto"/>
              </w:rPr>
              <w:t>480,910</w:t>
            </w:r>
            <w:r>
              <w:rPr>
                <w:rFonts w:ascii="Arial" w:cs="Arial" w:eastAsia="Arial" w:hAnsi="Arial"/>
                <w:sz w:val="12"/>
                <w:szCs w:val="12"/>
                <w:color w:val="auto"/>
              </w:rPr>
              <w:t>(12)</w:t>
            </w:r>
          </w:p>
        </w:tc>
        <w:tc>
          <w:tcPr>
            <w:tcW w:w="9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DCDE"/>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DCDCDE"/>
          </w:tcPr>
          <w:p>
            <w:pPr>
              <w:jc w:val="right"/>
              <w:ind w:right="20"/>
              <w:spacing w:after="0"/>
              <w:rPr>
                <w:sz w:val="20"/>
                <w:szCs w:val="20"/>
                <w:color w:val="auto"/>
              </w:rPr>
            </w:pPr>
            <w:r>
              <w:rPr>
                <w:rFonts w:ascii="Arial" w:cs="Arial" w:eastAsia="Arial" w:hAnsi="Arial"/>
                <w:sz w:val="15"/>
                <w:szCs w:val="15"/>
                <w:color w:val="auto"/>
              </w:rPr>
              <w:t>1,894</w:t>
            </w:r>
            <w:r>
              <w:rPr>
                <w:rFonts w:ascii="Arial" w:cs="Arial" w:eastAsia="Arial" w:hAnsi="Arial"/>
                <w:sz w:val="12"/>
                <w:szCs w:val="12"/>
                <w:color w:val="auto"/>
              </w:rPr>
              <w:t>(11)</w:t>
            </w: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102,181</w:t>
            </w:r>
            <w:r>
              <w:rPr>
                <w:rFonts w:ascii="Arial" w:cs="Arial" w:eastAsia="Arial" w:hAnsi="Arial"/>
                <w:sz w:val="12"/>
                <w:szCs w:val="12"/>
                <w:color w:val="auto"/>
              </w:rPr>
              <w:t>(12)</w:t>
            </w:r>
          </w:p>
        </w:tc>
        <w:tc>
          <w:tcPr>
            <w:tcW w:w="960" w:type="dxa"/>
            <w:vAlign w:val="bottom"/>
            <w:gridSpan w:val="2"/>
            <w:shd w:val="clear" w:color="auto" w:fill="DCDCDE"/>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5"/>
                <w:szCs w:val="15"/>
                <w:color w:val="auto"/>
              </w:rPr>
              <w:t>19,589</w:t>
            </w:r>
            <w:r>
              <w:rPr>
                <w:rFonts w:ascii="Arial" w:cs="Arial" w:eastAsia="Arial" w:hAnsi="Arial"/>
                <w:sz w:val="12"/>
                <w:szCs w:val="12"/>
                <w:color w:val="auto"/>
              </w:rPr>
              <w:t>(13)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1,056,827</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180"/>
        </w:trPr>
        <w:tc>
          <w:tcPr>
            <w:tcW w:w="1120" w:type="dxa"/>
            <w:vAlign w:val="bottom"/>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0" w:type="dxa"/>
            <w:vAlign w:val="bottom"/>
            <w:shd w:val="clear" w:color="auto" w:fill="DCDCDE"/>
          </w:tcPr>
          <w:p>
            <w:pPr>
              <w:spacing w:after="0"/>
              <w:rPr>
                <w:sz w:val="15"/>
                <w:szCs w:val="15"/>
                <w:color w:val="auto"/>
              </w:rPr>
            </w:pPr>
          </w:p>
        </w:tc>
        <w:tc>
          <w:tcPr>
            <w:tcW w:w="1440" w:type="dxa"/>
            <w:vAlign w:val="bottom"/>
            <w:shd w:val="clear" w:color="auto" w:fill="DCDCDE"/>
          </w:tcPr>
          <w:p>
            <w:pPr>
              <w:spacing w:after="0"/>
              <w:rPr>
                <w:sz w:val="15"/>
                <w:szCs w:val="15"/>
                <w:color w:val="auto"/>
              </w:rPr>
            </w:pPr>
          </w:p>
        </w:tc>
        <w:tc>
          <w:tcPr>
            <w:tcW w:w="82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DCDE"/>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CDCDE"/>
          </w:tcPr>
          <w:p>
            <w:pPr>
              <w:spacing w:after="0"/>
              <w:rPr>
                <w:sz w:val="15"/>
                <w:szCs w:val="15"/>
                <w:color w:val="auto"/>
              </w:rPr>
            </w:pPr>
          </w:p>
        </w:tc>
        <w:tc>
          <w:tcPr>
            <w:tcW w:w="94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shd w:val="clear" w:color="auto" w:fill="DCDCDE"/>
          </w:tcPr>
          <w:p>
            <w:pPr>
              <w:spacing w:after="0"/>
              <w:rPr>
                <w:sz w:val="15"/>
                <w:szCs w:val="15"/>
                <w:color w:val="auto"/>
              </w:rPr>
            </w:pPr>
          </w:p>
        </w:tc>
        <w:tc>
          <w:tcPr>
            <w:tcW w:w="220" w:type="dxa"/>
            <w:vAlign w:val="bottom"/>
            <w:shd w:val="clear" w:color="auto" w:fill="DCDCDE"/>
          </w:tcPr>
          <w:p>
            <w:pPr>
              <w:spacing w:after="0"/>
              <w:rPr>
                <w:sz w:val="15"/>
                <w:szCs w:val="15"/>
                <w:color w:val="auto"/>
              </w:rPr>
            </w:pPr>
          </w:p>
        </w:tc>
        <w:tc>
          <w:tcPr>
            <w:tcW w:w="14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gridSpan w:val="2"/>
            <w:shd w:val="clear" w:color="auto" w:fill="DCDCDE"/>
          </w:tcPr>
          <w:p>
            <w:pPr>
              <w:jc w:val="right"/>
              <w:ind w:right="280"/>
              <w:spacing w:after="0"/>
              <w:rPr>
                <w:sz w:val="20"/>
                <w:szCs w:val="20"/>
                <w:color w:val="auto"/>
              </w:rPr>
            </w:pPr>
            <w:r>
              <w:rPr>
                <w:rFonts w:ascii="Arial" w:cs="Arial" w:eastAsia="Arial" w:hAnsi="Arial"/>
                <w:sz w:val="15"/>
                <w:szCs w:val="15"/>
                <w:color w:val="auto"/>
              </w:rPr>
              <w:t>—</w:t>
            </w:r>
          </w:p>
        </w:tc>
        <w:tc>
          <w:tcPr>
            <w:tcW w:w="960" w:type="dxa"/>
            <w:vAlign w:val="bottom"/>
            <w:gridSpan w:val="2"/>
            <w:shd w:val="clear" w:color="auto" w:fill="DCDCDE"/>
          </w:tcPr>
          <w:p>
            <w:pPr>
              <w:jc w:val="right"/>
              <w:ind w:right="20"/>
              <w:spacing w:after="0"/>
              <w:rPr>
                <w:sz w:val="20"/>
                <w:szCs w:val="20"/>
                <w:color w:val="auto"/>
              </w:rPr>
            </w:pPr>
            <w:r>
              <w:rPr>
                <w:rFonts w:ascii="Arial" w:cs="Arial" w:eastAsia="Arial" w:hAnsi="Arial"/>
                <w:sz w:val="15"/>
                <w:szCs w:val="15"/>
                <w:color w:val="auto"/>
              </w:rPr>
              <w:t>13,371</w:t>
            </w:r>
            <w:r>
              <w:rPr>
                <w:rFonts w:ascii="Arial" w:cs="Arial" w:eastAsia="Arial" w:hAnsi="Arial"/>
                <w:sz w:val="12"/>
                <w:szCs w:val="12"/>
                <w:color w:val="auto"/>
              </w:rPr>
              <w:t>(14)</w:t>
            </w:r>
          </w:p>
        </w:tc>
        <w:tc>
          <w:tcPr>
            <w:tcW w:w="1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721,365</w:t>
            </w:r>
          </w:p>
        </w:tc>
        <w:tc>
          <w:tcPr>
            <w:tcW w:w="200" w:type="dxa"/>
            <w:vAlign w:val="bottom"/>
          </w:tcPr>
          <w:p>
            <w:pPr>
              <w:jc w:val="right"/>
              <w:spacing w:after="0"/>
              <w:rPr>
                <w:sz w:val="20"/>
                <w:szCs w:val="20"/>
                <w:color w:val="auto"/>
              </w:rPr>
            </w:pPr>
            <w:r>
              <w:rPr>
                <w:rFonts w:ascii="Arial" w:cs="Arial" w:eastAsia="Arial" w:hAnsi="Arial"/>
                <w:sz w:val="12"/>
                <w:szCs w:val="12"/>
                <w:color w:val="auto"/>
                <w:w w:val="84"/>
              </w:rPr>
              <w:t>(15)</w:t>
            </w:r>
          </w:p>
        </w:tc>
        <w:tc>
          <w:tcPr>
            <w:tcW w:w="0" w:type="dxa"/>
            <w:vAlign w:val="bottom"/>
          </w:tcPr>
          <w:p>
            <w:pPr>
              <w:spacing w:after="0"/>
              <w:rPr>
                <w:sz w:val="1"/>
                <w:szCs w:val="1"/>
                <w:color w:val="auto"/>
              </w:rPr>
            </w:pPr>
          </w:p>
        </w:tc>
      </w:tr>
      <w:tr>
        <w:trPr>
          <w:trHeight w:val="90"/>
        </w:trPr>
        <w:tc>
          <w:tcPr>
            <w:tcW w:w="1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unexercisable portion of this stock option award vested on February 27, 2020.</w:t>
      </w:r>
    </w:p>
    <w:p>
      <w:pPr>
        <w:spacing w:after="0" w:line="210"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Approximately one half of the unvested portion vested on February 26, 2020 and the remainder will vest on February 26, 2021.</w:t>
      </w:r>
    </w:p>
    <w:p>
      <w:pPr>
        <w:spacing w:after="0" w:line="199"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Approximately one third of the unexercisable portion vested on February 25, 2020 and approximately one third of the unexercisable portion will vest on February 25, 2021 and 2022.</w:t>
      </w:r>
    </w:p>
    <w:p>
      <w:pPr>
        <w:spacing w:after="0" w:line="222" w:lineRule="exact"/>
        <w:rPr>
          <w:rFonts w:ascii="Arial" w:cs="Arial" w:eastAsia="Arial" w:hAnsi="Arial"/>
          <w:sz w:val="13"/>
          <w:szCs w:val="13"/>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Approximately one half of the unvested portion will vest on May 7, 2020, and the remainder on May 7, 2021.</w:t>
      </w:r>
    </w:p>
    <w:p>
      <w:pPr>
        <w:spacing w:after="0" w:line="210"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unexercisable portion of this stock option award will vest on August 7, 2020.</w:t>
      </w:r>
    </w:p>
    <w:p>
      <w:pPr>
        <w:spacing w:after="0" w:line="199"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unexercised portion of this RSU award vested on February 27, 2020.</w:t>
      </w:r>
    </w:p>
    <w:p>
      <w:pPr>
        <w:spacing w:after="0" w:line="199"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Approximately one half of the unvested portion of this RSU award vested on February 26, 2020 and the remainder will vest on February 26, 2021.</w:t>
      </w:r>
    </w:p>
    <w:p>
      <w:pPr>
        <w:spacing w:after="0" w:line="210"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Approximately one third of this RSU award vested on February 25, 2020 and the remainder will vest on February 25, 2021 and 2022.</w:t>
      </w:r>
    </w:p>
    <w:p>
      <w:pPr>
        <w:spacing w:after="0" w:line="199"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Approximately one half of this RSU award will vest on May 7, 2020 and the remainder will vest on May 7, 2021.</w:t>
      </w:r>
    </w:p>
    <w:p>
      <w:pPr>
        <w:spacing w:after="0" w:line="199"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unvested portion of this RSU award will vest on August 7, 2020.</w:t>
      </w:r>
    </w:p>
    <w:p>
      <w:pPr>
        <w:spacing w:after="0" w:line="210"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unvested portion of this RSU award will vest on April 8, 2020.</w:t>
      </w:r>
    </w:p>
    <w:p>
      <w:pPr>
        <w:spacing w:after="0" w:line="199" w:lineRule="exact"/>
        <w:rPr>
          <w:rFonts w:ascii="Arial" w:cs="Arial" w:eastAsia="Arial" w:hAnsi="Arial"/>
          <w:sz w:val="15"/>
          <w:szCs w:val="15"/>
          <w:color w:val="auto"/>
        </w:rPr>
      </w:pPr>
    </w:p>
    <w:p>
      <w:pPr>
        <w:ind w:left="450" w:hanging="450"/>
        <w:spacing w:after="0" w:line="270" w:lineRule="auto"/>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closing price of our common stock on December 31, 2019 multiplied by the number of shares underlying the unvested portion of the RSU award as of December 31, 2019.</w:t>
      </w:r>
    </w:p>
    <w:p>
      <w:pPr>
        <w:spacing w:after="0" w:line="164"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This PSU award vested on February 11, 2020 at approximately 63.33% of the amount awarded.</w:t>
      </w:r>
    </w:p>
    <w:p>
      <w:pPr>
        <w:spacing w:after="0" w:line="210" w:lineRule="exact"/>
        <w:rPr>
          <w:rFonts w:ascii="Arial" w:cs="Arial" w:eastAsia="Arial" w:hAnsi="Arial"/>
          <w:sz w:val="15"/>
          <w:szCs w:val="15"/>
          <w:color w:val="auto"/>
        </w:rPr>
      </w:pPr>
    </w:p>
    <w:p>
      <w:pPr>
        <w:ind w:left="450" w:hanging="450"/>
        <w:spacing w:after="0"/>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unvested portion of this PSU award will vest upon satisfaction of the underlying performance criteria of adjusted net income as a percentage of revenue.</w:t>
      </w:r>
    </w:p>
    <w:p>
      <w:pPr>
        <w:spacing w:after="0" w:line="199" w:lineRule="exact"/>
        <w:rPr>
          <w:rFonts w:ascii="Arial" w:cs="Arial" w:eastAsia="Arial" w:hAnsi="Arial"/>
          <w:sz w:val="15"/>
          <w:szCs w:val="15"/>
          <w:color w:val="auto"/>
        </w:rPr>
      </w:pPr>
    </w:p>
    <w:p>
      <w:pPr>
        <w:ind w:left="450" w:hanging="450"/>
        <w:spacing w:after="0" w:line="270" w:lineRule="auto"/>
        <w:tabs>
          <w:tab w:leader="none" w:pos="45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Represents the closing price of our common stock on December 31, 2019 multiplied by the number of shares underlying the unvested portion of the PSU award as of December 31, 2019.</w:t>
      </w:r>
    </w:p>
    <w:p>
      <w:pPr>
        <w:spacing w:after="0" w:line="153" w:lineRule="exact"/>
        <w:rPr>
          <w:sz w:val="20"/>
          <w:szCs w:val="20"/>
          <w:color w:val="auto"/>
        </w:rPr>
      </w:pPr>
    </w:p>
    <w:p>
      <w:pPr>
        <w:jc w:val="center"/>
        <w:ind w:right="-9"/>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60260"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70"/>
          </w:cols>
          <w:pgMar w:left="310" w:top="132" w:right="319" w:bottom="1440" w:gutter="0" w:footer="0" w:header="0"/>
        </w:sectPr>
      </w:pPr>
    </w:p>
    <w:bookmarkStart w:id="66" w:name="page67"/>
    <w:bookmarkEnd w:id="66"/>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2019 Option Exercises and Stock Awards Vested</w:t>
      </w:r>
    </w:p>
    <w:p>
      <w:pPr>
        <w:spacing w:after="0" w:line="192" w:lineRule="exact"/>
        <w:rPr>
          <w:sz w:val="20"/>
          <w:szCs w:val="20"/>
          <w:color w:val="auto"/>
        </w:rPr>
      </w:pPr>
    </w:p>
    <w:p>
      <w:pPr>
        <w:ind w:right="20" w:firstLine="321"/>
        <w:spacing w:after="0" w:line="270" w:lineRule="auto"/>
        <w:rPr>
          <w:sz w:val="20"/>
          <w:szCs w:val="20"/>
          <w:color w:val="auto"/>
        </w:rPr>
      </w:pPr>
      <w:r>
        <w:rPr>
          <w:rFonts w:ascii="Arial" w:cs="Arial" w:eastAsia="Arial" w:hAnsi="Arial"/>
          <w:sz w:val="15"/>
          <w:szCs w:val="15"/>
          <w:color w:val="auto"/>
        </w:rPr>
        <w:t>The following table sets forth information regarding the exercise of stock options and the vesting of RSU awards during the fiscal year ended December 31, 2019, for each of the named executive officers on an aggregated basis.</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480" w:type="dxa"/>
            <w:vAlign w:val="bottom"/>
            <w:gridSpan w:val="5"/>
          </w:tcPr>
          <w:p>
            <w:pPr>
              <w:ind w:left="800"/>
              <w:spacing w:after="0"/>
              <w:rPr>
                <w:sz w:val="20"/>
                <w:szCs w:val="20"/>
                <w:color w:val="auto"/>
              </w:rPr>
            </w:pPr>
            <w:r>
              <w:rPr>
                <w:rFonts w:ascii="Arial" w:cs="Arial" w:eastAsia="Arial" w:hAnsi="Arial"/>
                <w:sz w:val="11"/>
                <w:szCs w:val="11"/>
                <w:b w:val="1"/>
                <w:bCs w:val="1"/>
                <w:color w:val="auto"/>
              </w:rPr>
              <w:t>Option Awards</w:t>
            </w:r>
          </w:p>
        </w:tc>
        <w:tc>
          <w:tcPr>
            <w:tcW w:w="2220" w:type="dxa"/>
            <w:vAlign w:val="bottom"/>
            <w:gridSpan w:val="5"/>
          </w:tcPr>
          <w:p>
            <w:pPr>
              <w:ind w:left="760"/>
              <w:spacing w:after="0"/>
              <w:rPr>
                <w:sz w:val="20"/>
                <w:szCs w:val="20"/>
                <w:color w:val="auto"/>
              </w:rPr>
            </w:pPr>
            <w:r>
              <w:rPr>
                <w:rFonts w:ascii="Arial" w:cs="Arial" w:eastAsia="Arial" w:hAnsi="Arial"/>
                <w:sz w:val="11"/>
                <w:szCs w:val="11"/>
                <w:b w:val="1"/>
                <w:bCs w:val="1"/>
                <w:color w:val="auto"/>
              </w:rPr>
              <w:t>Stock Awards</w:t>
            </w:r>
          </w:p>
        </w:tc>
      </w:tr>
      <w:tr>
        <w:trPr>
          <w:trHeight w:val="115"/>
        </w:trPr>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200" w:type="dxa"/>
            <w:vAlign w:val="bottom"/>
            <w:tcBorders>
              <w:top w:val="single" w:sz="8" w:color="auto"/>
            </w:tcBorders>
          </w:tcPr>
          <w:p>
            <w:pPr>
              <w:ind w:left="160"/>
              <w:spacing w:after="0" w:line="115" w:lineRule="exact"/>
              <w:rPr>
                <w:sz w:val="20"/>
                <w:szCs w:val="20"/>
                <w:color w:val="auto"/>
              </w:rPr>
            </w:pPr>
            <w:r>
              <w:rPr>
                <w:rFonts w:ascii="Arial" w:cs="Arial" w:eastAsia="Arial" w:hAnsi="Arial"/>
                <w:sz w:val="11"/>
                <w:szCs w:val="11"/>
                <w:b w:val="1"/>
                <w:bCs w:val="1"/>
                <w:color w:val="auto"/>
              </w:rPr>
              <w:t>Number of Shares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line="115" w:lineRule="exact"/>
              <w:rPr>
                <w:sz w:val="20"/>
                <w:szCs w:val="20"/>
                <w:color w:val="auto"/>
              </w:rPr>
            </w:pPr>
            <w:r>
              <w:rPr>
                <w:rFonts w:ascii="Arial" w:cs="Arial" w:eastAsia="Arial" w:hAnsi="Arial"/>
                <w:sz w:val="11"/>
                <w:szCs w:val="11"/>
                <w:b w:val="1"/>
                <w:bCs w:val="1"/>
                <w:color w:val="auto"/>
                <w:w w:val="98"/>
              </w:rPr>
              <w:t>Value Realized on</w:t>
            </w:r>
          </w:p>
        </w:tc>
        <w:tc>
          <w:tcPr>
            <w:tcW w:w="140" w:type="dxa"/>
            <w:vAlign w:val="bottom"/>
          </w:tcPr>
          <w:p>
            <w:pPr>
              <w:spacing w:after="0"/>
              <w:rPr>
                <w:sz w:val="10"/>
                <w:szCs w:val="10"/>
                <w:color w:val="auto"/>
              </w:rPr>
            </w:pPr>
          </w:p>
        </w:tc>
        <w:tc>
          <w:tcPr>
            <w:tcW w:w="1040" w:type="dxa"/>
            <w:vAlign w:val="bottom"/>
            <w:tcBorders>
              <w:top w:val="single" w:sz="8" w:color="auto"/>
            </w:tcBorders>
          </w:tcPr>
          <w:p>
            <w:pPr>
              <w:jc w:val="right"/>
              <w:ind w:right="12"/>
              <w:spacing w:after="0" w:line="115" w:lineRule="exact"/>
              <w:rPr>
                <w:sz w:val="20"/>
                <w:szCs w:val="20"/>
                <w:color w:val="auto"/>
              </w:rPr>
            </w:pPr>
            <w:r>
              <w:rPr>
                <w:rFonts w:ascii="Arial" w:cs="Arial" w:eastAsia="Arial" w:hAnsi="Arial"/>
                <w:sz w:val="11"/>
                <w:szCs w:val="11"/>
                <w:b w:val="1"/>
                <w:bCs w:val="1"/>
                <w:color w:val="auto"/>
                <w:w w:val="99"/>
              </w:rPr>
              <w:t>Number of Shares</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12"/>
              <w:spacing w:after="0" w:line="115" w:lineRule="exact"/>
              <w:rPr>
                <w:sz w:val="20"/>
                <w:szCs w:val="20"/>
                <w:color w:val="auto"/>
              </w:rPr>
            </w:pPr>
            <w:r>
              <w:rPr>
                <w:rFonts w:ascii="Arial" w:cs="Arial" w:eastAsia="Arial" w:hAnsi="Arial"/>
                <w:sz w:val="11"/>
                <w:szCs w:val="11"/>
                <w:b w:val="1"/>
                <w:bCs w:val="1"/>
                <w:color w:val="auto"/>
                <w:w w:val="89"/>
              </w:rPr>
              <w:t>Value Realized on</w:t>
            </w:r>
          </w:p>
        </w:tc>
        <w:tc>
          <w:tcPr>
            <w:tcW w:w="20" w:type="dxa"/>
            <w:vAlign w:val="bottom"/>
          </w:tcPr>
          <w:p>
            <w:pPr>
              <w:spacing w:after="0"/>
              <w:rPr>
                <w:sz w:val="10"/>
                <w:szCs w:val="10"/>
                <w:color w:val="auto"/>
              </w:rPr>
            </w:pPr>
          </w:p>
        </w:tc>
      </w:tr>
      <w:tr>
        <w:trPr>
          <w:trHeight w:val="146"/>
        </w:trPr>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6"/>
              </w:rPr>
              <w:t>Name</w:t>
            </w:r>
          </w:p>
        </w:tc>
        <w:tc>
          <w:tcPr>
            <w:tcW w:w="3900" w:type="dxa"/>
            <w:vAlign w:val="bottom"/>
            <w:gridSpan w:val="2"/>
          </w:tcPr>
          <w:p>
            <w:pPr>
              <w:spacing w:after="0"/>
              <w:rPr>
                <w:sz w:val="12"/>
                <w:szCs w:val="12"/>
                <w:color w:val="auto"/>
              </w:rPr>
            </w:pPr>
          </w:p>
        </w:tc>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w w:val="97"/>
              </w:rPr>
              <w:t>Acquired on Exercise</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80"/>
              <w:spacing w:after="0" w:line="147" w:lineRule="exact"/>
              <w:rPr>
                <w:sz w:val="20"/>
                <w:szCs w:val="20"/>
                <w:color w:val="auto"/>
              </w:rPr>
            </w:pPr>
            <w:r>
              <w:rPr>
                <w:rFonts w:ascii="Arial" w:cs="Arial" w:eastAsia="Arial" w:hAnsi="Arial"/>
                <w:sz w:val="10"/>
                <w:szCs w:val="10"/>
                <w:b w:val="1"/>
                <w:bCs w:val="1"/>
                <w:color w:val="auto"/>
              </w:rPr>
              <w:t>Exercise</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1"/>
                <w:szCs w:val="11"/>
                <w:b w:val="1"/>
                <w:bCs w:val="1"/>
                <w:color w:val="auto"/>
              </w:rPr>
              <w:t>Acquired on Vest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2"/>
              <w:spacing w:after="0" w:line="147" w:lineRule="exact"/>
              <w:rPr>
                <w:sz w:val="20"/>
                <w:szCs w:val="20"/>
                <w:color w:val="auto"/>
              </w:rPr>
            </w:pPr>
            <w:r>
              <w:rPr>
                <w:rFonts w:ascii="Arial" w:cs="Arial" w:eastAsia="Arial" w:hAnsi="Arial"/>
                <w:sz w:val="10"/>
                <w:szCs w:val="10"/>
                <w:b w:val="1"/>
                <w:bCs w:val="1"/>
                <w:color w:val="auto"/>
              </w:rPr>
              <w:t>Vest</w:t>
            </w:r>
            <w:r>
              <w:rPr>
                <w:rFonts w:ascii="Arial" w:cs="Arial" w:eastAsia="Arial" w:hAnsi="Arial"/>
                <w:sz w:val="16"/>
                <w:szCs w:val="16"/>
                <w:b w:val="1"/>
                <w:bCs w:val="1"/>
                <w:color w:val="auto"/>
                <w:vertAlign w:val="superscript"/>
              </w:rPr>
              <w:t>(2)</w:t>
            </w:r>
          </w:p>
        </w:tc>
        <w:tc>
          <w:tcPr>
            <w:tcW w:w="20" w:type="dxa"/>
            <w:vAlign w:val="bottom"/>
          </w:tcPr>
          <w:p>
            <w:pPr>
              <w:spacing w:after="0"/>
              <w:rPr>
                <w:sz w:val="12"/>
                <w:szCs w:val="12"/>
                <w:color w:val="auto"/>
              </w:rPr>
            </w:pPr>
          </w:p>
        </w:tc>
      </w:tr>
      <w:tr>
        <w:trPr>
          <w:trHeight w:val="172"/>
        </w:trPr>
        <w:tc>
          <w:tcPr>
            <w:tcW w:w="4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1200" w:type="dxa"/>
            <w:vAlign w:val="bottom"/>
            <w:shd w:val="clear" w:color="auto" w:fill="DCDCDE"/>
          </w:tcPr>
          <w:p>
            <w:pPr>
              <w:ind w:left="1040"/>
              <w:spacing w:after="0"/>
              <w:rPr>
                <w:sz w:val="20"/>
                <w:szCs w:val="20"/>
                <w:color w:val="auto"/>
              </w:rPr>
            </w:pPr>
            <w:r>
              <w:rPr>
                <w:rFonts w:ascii="Arial" w:cs="Arial" w:eastAsia="Arial" w:hAnsi="Arial"/>
                <w:sz w:val="15"/>
                <w:szCs w:val="15"/>
                <w:color w:val="auto"/>
                <w:w w:val="93"/>
              </w:rPr>
              <w:t>—</w:t>
            </w:r>
          </w:p>
        </w:tc>
        <w:tc>
          <w:tcPr>
            <w:tcW w:w="12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CDCDE"/>
          </w:tcPr>
          <w:p>
            <w:pPr>
              <w:ind w:left="800"/>
              <w:spacing w:after="0"/>
              <w:rPr>
                <w:sz w:val="20"/>
                <w:szCs w:val="20"/>
                <w:color w:val="auto"/>
              </w:rPr>
            </w:pPr>
            <w:r>
              <w:rPr>
                <w:rFonts w:ascii="Arial" w:cs="Arial" w:eastAsia="Arial" w:hAnsi="Arial"/>
                <w:sz w:val="15"/>
                <w:szCs w:val="15"/>
                <w:color w:val="auto"/>
                <w:w w:val="79"/>
              </w:rPr>
              <w:t>—</w:t>
            </w:r>
          </w:p>
        </w:tc>
        <w:tc>
          <w:tcPr>
            <w:tcW w:w="140" w:type="dxa"/>
            <w:vAlign w:val="bottom"/>
            <w:shd w:val="clear" w:color="auto" w:fill="DCDCDE"/>
          </w:tcPr>
          <w:p>
            <w:pPr>
              <w:spacing w:after="0"/>
              <w:rPr>
                <w:sz w:val="14"/>
                <w:szCs w:val="14"/>
                <w:color w:val="auto"/>
              </w:rPr>
            </w:pP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25,946</w:t>
            </w:r>
          </w:p>
        </w:tc>
        <w:tc>
          <w:tcPr>
            <w:tcW w:w="14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1,530,929</w:t>
            </w:r>
          </w:p>
        </w:tc>
        <w:tc>
          <w:tcPr>
            <w:tcW w:w="20" w:type="dxa"/>
            <w:vAlign w:val="bottom"/>
          </w:tcPr>
          <w:p>
            <w:pPr>
              <w:spacing w:after="0"/>
              <w:rPr>
                <w:sz w:val="14"/>
                <w:szCs w:val="14"/>
                <w:color w:val="auto"/>
              </w:rPr>
            </w:pPr>
          </w:p>
        </w:tc>
      </w:tr>
      <w:tr>
        <w:trPr>
          <w:trHeight w:val="180"/>
        </w:trPr>
        <w:tc>
          <w:tcPr>
            <w:tcW w:w="418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1200" w:type="dxa"/>
            <w:vAlign w:val="bottom"/>
          </w:tcPr>
          <w:p>
            <w:pPr>
              <w:ind w:left="1040"/>
              <w:spacing w:after="0"/>
              <w:rPr>
                <w:sz w:val="20"/>
                <w:szCs w:val="20"/>
                <w:color w:val="auto"/>
              </w:rPr>
            </w:pPr>
            <w:r>
              <w:rPr>
                <w:rFonts w:ascii="Arial" w:cs="Arial" w:eastAsia="Arial" w:hAnsi="Arial"/>
                <w:sz w:val="15"/>
                <w:szCs w:val="15"/>
                <w:color w:val="auto"/>
                <w:w w:val="93"/>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23,950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1,411,589</w:t>
            </w:r>
          </w:p>
        </w:tc>
        <w:tc>
          <w:tcPr>
            <w:tcW w:w="20" w:type="dxa"/>
            <w:vAlign w:val="bottom"/>
          </w:tcPr>
          <w:p>
            <w:pPr>
              <w:spacing w:after="0"/>
              <w:rPr>
                <w:sz w:val="15"/>
                <w:szCs w:val="15"/>
                <w:color w:val="auto"/>
              </w:rPr>
            </w:pPr>
          </w:p>
        </w:tc>
      </w:tr>
      <w:tr>
        <w:trPr>
          <w:trHeight w:val="180"/>
        </w:trPr>
        <w:tc>
          <w:tcPr>
            <w:tcW w:w="4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Robert G. Kramer</w:t>
            </w:r>
          </w:p>
        </w:tc>
        <w:tc>
          <w:tcPr>
            <w:tcW w:w="1200" w:type="dxa"/>
            <w:vAlign w:val="bottom"/>
            <w:shd w:val="clear" w:color="auto" w:fill="DCDCDE"/>
          </w:tcPr>
          <w:p>
            <w:pPr>
              <w:ind w:left="1040"/>
              <w:spacing w:after="0"/>
              <w:rPr>
                <w:sz w:val="20"/>
                <w:szCs w:val="20"/>
                <w:color w:val="auto"/>
              </w:rPr>
            </w:pPr>
            <w:r>
              <w:rPr>
                <w:rFonts w:ascii="Arial" w:cs="Arial" w:eastAsia="Arial" w:hAnsi="Arial"/>
                <w:sz w:val="15"/>
                <w:szCs w:val="15"/>
                <w:color w:val="auto"/>
                <w:w w:val="93"/>
              </w:rPr>
              <w:t>—</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DCDE"/>
          </w:tcPr>
          <w:p>
            <w:pPr>
              <w:ind w:left="8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10,312</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605,546</w:t>
            </w:r>
          </w:p>
        </w:tc>
        <w:tc>
          <w:tcPr>
            <w:tcW w:w="20" w:type="dxa"/>
            <w:vAlign w:val="bottom"/>
          </w:tcPr>
          <w:p>
            <w:pPr>
              <w:spacing w:after="0"/>
              <w:rPr>
                <w:sz w:val="15"/>
                <w:szCs w:val="15"/>
                <w:color w:val="auto"/>
              </w:rPr>
            </w:pPr>
          </w:p>
        </w:tc>
      </w:tr>
      <w:tr>
        <w:trPr>
          <w:trHeight w:val="180"/>
        </w:trPr>
        <w:tc>
          <w:tcPr>
            <w:tcW w:w="418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1200" w:type="dxa"/>
            <w:vAlign w:val="bottom"/>
          </w:tcPr>
          <w:p>
            <w:pPr>
              <w:ind w:left="1040"/>
              <w:spacing w:after="0"/>
              <w:rPr>
                <w:sz w:val="20"/>
                <w:szCs w:val="20"/>
                <w:color w:val="auto"/>
              </w:rPr>
            </w:pPr>
            <w:r>
              <w:rPr>
                <w:rFonts w:ascii="Arial" w:cs="Arial" w:eastAsia="Arial" w:hAnsi="Arial"/>
                <w:sz w:val="15"/>
                <w:szCs w:val="15"/>
                <w:color w:val="auto"/>
                <w:w w:val="93"/>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5,944</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351,791</w:t>
            </w:r>
          </w:p>
        </w:tc>
        <w:tc>
          <w:tcPr>
            <w:tcW w:w="20" w:type="dxa"/>
            <w:vAlign w:val="bottom"/>
          </w:tcPr>
          <w:p>
            <w:pPr>
              <w:spacing w:after="0"/>
              <w:rPr>
                <w:sz w:val="15"/>
                <w:szCs w:val="15"/>
                <w:color w:val="auto"/>
              </w:rPr>
            </w:pPr>
          </w:p>
        </w:tc>
      </w:tr>
      <w:tr>
        <w:trPr>
          <w:trHeight w:val="180"/>
        </w:trPr>
        <w:tc>
          <w:tcPr>
            <w:tcW w:w="418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1200" w:type="dxa"/>
            <w:vAlign w:val="bottom"/>
            <w:shd w:val="clear" w:color="auto" w:fill="DCDCDE"/>
          </w:tcPr>
          <w:p>
            <w:pPr>
              <w:ind w:left="1040"/>
              <w:spacing w:after="0"/>
              <w:rPr>
                <w:sz w:val="20"/>
                <w:szCs w:val="20"/>
                <w:color w:val="auto"/>
              </w:rPr>
            </w:pPr>
            <w:r>
              <w:rPr>
                <w:rFonts w:ascii="Arial" w:cs="Arial" w:eastAsia="Arial" w:hAnsi="Arial"/>
                <w:sz w:val="15"/>
                <w:szCs w:val="15"/>
                <w:color w:val="auto"/>
                <w:w w:val="93"/>
              </w:rPr>
              <w:t>—</w:t>
            </w:r>
          </w:p>
        </w:tc>
        <w:tc>
          <w:tcPr>
            <w:tcW w:w="20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DCDCDE"/>
          </w:tcPr>
          <w:p>
            <w:pPr>
              <w:ind w:left="800"/>
              <w:spacing w:after="0"/>
              <w:rPr>
                <w:sz w:val="20"/>
                <w:szCs w:val="20"/>
                <w:color w:val="auto"/>
              </w:rPr>
            </w:pPr>
            <w:r>
              <w:rPr>
                <w:rFonts w:ascii="Arial" w:cs="Arial" w:eastAsia="Arial" w:hAnsi="Arial"/>
                <w:sz w:val="15"/>
                <w:szCs w:val="15"/>
                <w:color w:val="auto"/>
              </w:rPr>
              <w:t>—</w:t>
            </w: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6,043</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298,025</w:t>
            </w:r>
          </w:p>
        </w:tc>
        <w:tc>
          <w:tcPr>
            <w:tcW w:w="20" w:type="dxa"/>
            <w:vAlign w:val="bottom"/>
          </w:tcPr>
          <w:p>
            <w:pPr>
              <w:spacing w:after="0"/>
              <w:rPr>
                <w:sz w:val="15"/>
                <w:szCs w:val="15"/>
                <w:color w:val="auto"/>
              </w:rPr>
            </w:pPr>
          </w:p>
        </w:tc>
      </w:tr>
      <w:tr>
        <w:trPr>
          <w:trHeight w:val="187"/>
        </w:trPr>
        <w:tc>
          <w:tcPr>
            <w:tcW w:w="4180" w:type="dxa"/>
            <w:vAlign w:val="bottom"/>
            <w:gridSpan w:val="3"/>
          </w:tcPr>
          <w:p>
            <w:pPr>
              <w:spacing w:after="0"/>
              <w:rPr>
                <w:sz w:val="20"/>
                <w:szCs w:val="20"/>
                <w:color w:val="auto"/>
              </w:rPr>
            </w:pPr>
            <w:r>
              <w:rPr>
                <w:rFonts w:ascii="Arial" w:cs="Arial" w:eastAsia="Arial" w:hAnsi="Arial"/>
                <w:sz w:val="15"/>
                <w:szCs w:val="15"/>
                <w:color w:val="auto"/>
              </w:rPr>
              <w:t>Richard S. Lindahl</w:t>
            </w:r>
          </w:p>
        </w:tc>
        <w:tc>
          <w:tcPr>
            <w:tcW w:w="1200" w:type="dxa"/>
            <w:vAlign w:val="bottom"/>
          </w:tcPr>
          <w:p>
            <w:pPr>
              <w:ind w:left="1040"/>
              <w:spacing w:after="0"/>
              <w:rPr>
                <w:sz w:val="20"/>
                <w:szCs w:val="20"/>
                <w:color w:val="auto"/>
              </w:rPr>
            </w:pPr>
            <w:r>
              <w:rPr>
                <w:rFonts w:ascii="Arial" w:cs="Arial" w:eastAsia="Arial" w:hAnsi="Arial"/>
                <w:sz w:val="15"/>
                <w:szCs w:val="15"/>
                <w:color w:val="auto"/>
                <w:w w:val="93"/>
              </w:rPr>
              <w:t>—</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ind w:left="800"/>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2,181</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103,576</w:t>
            </w:r>
          </w:p>
        </w:tc>
        <w:tc>
          <w:tcPr>
            <w:tcW w:w="20" w:type="dxa"/>
            <w:vAlign w:val="bottom"/>
          </w:tcPr>
          <w:p>
            <w:pPr>
              <w:spacing w:after="0"/>
              <w:rPr>
                <w:sz w:val="16"/>
                <w:szCs w:val="16"/>
                <w:color w:val="auto"/>
              </w:rPr>
            </w:pPr>
          </w:p>
        </w:tc>
      </w:tr>
      <w:tr>
        <w:trPr>
          <w:trHeight w:val="84"/>
        </w:trPr>
        <w:tc>
          <w:tcPr>
            <w:tcW w:w="2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4" w:lineRule="exact"/>
        <w:rPr>
          <w:sz w:val="20"/>
          <w:szCs w:val="20"/>
          <w:color w:val="auto"/>
        </w:rPr>
      </w:pPr>
    </w:p>
    <w:p>
      <w:pPr>
        <w:ind w:left="1560" w:hanging="443"/>
        <w:spacing w:after="0" w:line="270" w:lineRule="auto"/>
        <w:tabs>
          <w:tab w:leader="none" w:pos="15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amounts in the "Value Realized on Exercise" column are calculated based on the difference between the closing market price per share of our common stock on the date of exercise and the exercise price per share of the applicable stock option.</w:t>
      </w:r>
    </w:p>
    <w:p>
      <w:pPr>
        <w:spacing w:after="0" w:line="175" w:lineRule="exact"/>
        <w:rPr>
          <w:rFonts w:ascii="Arial" w:cs="Arial" w:eastAsia="Arial" w:hAnsi="Arial"/>
          <w:sz w:val="15"/>
          <w:szCs w:val="15"/>
          <w:color w:val="auto"/>
        </w:rPr>
      </w:pPr>
    </w:p>
    <w:p>
      <w:pPr>
        <w:ind w:left="1560" w:hanging="443"/>
        <w:spacing w:after="0"/>
        <w:tabs>
          <w:tab w:leader="none" w:pos="1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amounts in the "Value Realized on Vest" column are calculated based on the closing market price per share of our common stock on the date of vest.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7" w:name="page68"/>
    <w:bookmarkEnd w:id="67"/>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PAYMENTS UPON TERMINATION OR CHANGE OF CONTROL</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Management Severance Plan</w:t>
      </w:r>
    </w:p>
    <w:p>
      <w:pPr>
        <w:spacing w:after="0" w:line="192" w:lineRule="exact"/>
        <w:rPr>
          <w:sz w:val="20"/>
          <w:szCs w:val="20"/>
          <w:color w:val="auto"/>
        </w:rPr>
      </w:pPr>
    </w:p>
    <w:p>
      <w:pPr>
        <w:jc w:val="both"/>
        <w:ind w:firstLine="341"/>
        <w:spacing w:after="0" w:line="254" w:lineRule="auto"/>
        <w:rPr>
          <w:sz w:val="20"/>
          <w:szCs w:val="20"/>
          <w:color w:val="auto"/>
        </w:rPr>
      </w:pPr>
      <w:r>
        <w:rPr>
          <w:rFonts w:ascii="Arial" w:cs="Arial" w:eastAsia="Arial" w:hAnsi="Arial"/>
          <w:sz w:val="15"/>
          <w:szCs w:val="15"/>
          <w:color w:val="auto"/>
        </w:rPr>
        <w:t>Our compensation committee adopted the Senior Management Severance Plan for the benefit of employees with the title of executive chair, chief executive officer, president, executive vice president, senior vice president or vice president who have been designated to participate in the Senior Management Severance Plan by our Board or, with the authorization of our Board, by our chief executive officer. Our chief executive officer is authorized to designate the greater of 7% of the total number of our employees or 35 employees to be participants in the Senior Management Severance Plan at any particular time, on the basis of name, title, function or compensation level. Our chief executive officer will at all times be a participant under the Senior Management Severance Plan and shall have no less favorable rights under the Senior Management Severance Plan than any other participant. Each of the named executive officers is currently a participant in the Senior Management Severance Plan.</w:t>
      </w:r>
    </w:p>
    <w:p>
      <w:pPr>
        <w:spacing w:after="0" w:line="167" w:lineRule="exact"/>
        <w:rPr>
          <w:sz w:val="20"/>
          <w:szCs w:val="20"/>
          <w:color w:val="auto"/>
        </w:rPr>
      </w:pPr>
    </w:p>
    <w:p>
      <w:pPr>
        <w:jc w:val="both"/>
        <w:ind w:firstLine="351"/>
        <w:spacing w:after="0" w:line="260" w:lineRule="auto"/>
        <w:rPr>
          <w:sz w:val="20"/>
          <w:szCs w:val="20"/>
          <w:color w:val="auto"/>
        </w:rPr>
      </w:pPr>
      <w:r>
        <w:rPr>
          <w:rFonts w:ascii="Arial" w:cs="Arial" w:eastAsia="Arial" w:hAnsi="Arial"/>
          <w:sz w:val="15"/>
          <w:szCs w:val="15"/>
          <w:color w:val="auto"/>
        </w:rPr>
        <w:t>The Senior Management Severance Plan continues in effect through December 31, 2020. Commencing on December 31, 2020, and on December 31 of each year thereafter, the Senior Management Severance Plan will be automatically extended for additional one-year periods unless we provide 90 days' prior written notice to the participating employees that the term will not be extended.</w:t>
      </w:r>
    </w:p>
    <w:p>
      <w:pPr>
        <w:spacing w:after="0" w:line="161" w:lineRule="exact"/>
        <w:rPr>
          <w:sz w:val="20"/>
          <w:szCs w:val="20"/>
          <w:color w:val="auto"/>
        </w:rPr>
      </w:pPr>
    </w:p>
    <w:p>
      <w:pPr>
        <w:jc w:val="both"/>
        <w:ind w:firstLine="333"/>
        <w:spacing w:after="0" w:line="260" w:lineRule="auto"/>
        <w:rPr>
          <w:sz w:val="20"/>
          <w:szCs w:val="20"/>
          <w:color w:val="auto"/>
        </w:rPr>
      </w:pPr>
      <w:r>
        <w:rPr>
          <w:rFonts w:ascii="Arial" w:cs="Arial" w:eastAsia="Arial" w:hAnsi="Arial"/>
          <w:sz w:val="15"/>
          <w:szCs w:val="15"/>
          <w:i w:val="1"/>
          <w:iCs w:val="1"/>
          <w:color w:val="auto"/>
        </w:rPr>
        <w:t xml:space="preserve">For-cause terminations. </w:t>
      </w:r>
      <w:r>
        <w:rPr>
          <w:rFonts w:ascii="Arial" w:cs="Arial" w:eastAsia="Arial" w:hAnsi="Arial"/>
          <w:sz w:val="15"/>
          <w:szCs w:val="15"/>
          <w:color w:val="auto"/>
        </w:rPr>
        <w:t>If we terminate a participant's employment with cause, as defined in the Senior Management Severance Plan, then the participant will not be entitled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any compensation, benefits or rights under the Senior Management Severance Plan, and any stock options or other equity participation benefits vested on or prior to the date of the termination, but not yet exercised, will immediately terminate.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4"/>
          <w:szCs w:val="14"/>
          <w:i w:val="1"/>
          <w:iCs w:val="1"/>
          <w:color w:val="auto"/>
        </w:rPr>
        <w:t xml:space="preserve">Without-cause terminations. </w:t>
      </w:r>
      <w:r>
        <w:rPr>
          <w:rFonts w:ascii="Arial" w:cs="Arial" w:eastAsia="Arial" w:hAnsi="Arial"/>
          <w:sz w:val="14"/>
          <w:szCs w:val="14"/>
          <w:color w:val="auto"/>
        </w:rPr>
        <w:t>If we terminate a participant's employment without cause, as defined in the Senior Management Severance Plan, the participant will be entitled to:</w:t>
      </w:r>
    </w:p>
    <w:p>
      <w:pPr>
        <w:spacing w:after="0" w:line="211" w:lineRule="exact"/>
        <w:rPr>
          <w:sz w:val="20"/>
          <w:szCs w:val="20"/>
          <w:color w:val="auto"/>
        </w:rPr>
      </w:pPr>
    </w:p>
    <w:p>
      <w:pPr>
        <w:ind w:left="900" w:hanging="459"/>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unpaid base salary and accrued paid time-off through the date of termination;</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 pro-rata portion of the participant's target annual bonus in respect of the year of termination;</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Any bonus earned but unpaid as of the date of termination for any previously completed year;</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Reimbursement for any unreimbursed expenses incurred by the participant prior to the date of termination;</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An amount equal to a specified percentage of the participant's annual base salary and target bonus, as indicated in the table below;</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46"/>
        </w:numPr>
        <w:rPr>
          <w:rFonts w:ascii="Arial" w:cs="Arial" w:eastAsia="Arial" w:hAnsi="Arial"/>
          <w:sz w:val="13"/>
          <w:szCs w:val="13"/>
          <w:color w:val="auto"/>
        </w:rPr>
      </w:pPr>
      <w:r>
        <w:rPr>
          <w:rFonts w:ascii="Arial" w:cs="Arial" w:eastAsia="Arial" w:hAnsi="Arial"/>
          <w:sz w:val="13"/>
          <w:szCs w:val="13"/>
          <w:color w:val="auto"/>
        </w:rPr>
        <w:t>Employee and fringe benefits and perquisites, if any, to which the participant may be entitled as of the date of termination under our relevant plans, policies and programs; and</w:t>
      </w:r>
    </w:p>
    <w:p>
      <w:pPr>
        <w:spacing w:after="0" w:line="222" w:lineRule="exact"/>
        <w:rPr>
          <w:rFonts w:ascii="Arial" w:cs="Arial" w:eastAsia="Arial" w:hAnsi="Arial"/>
          <w:sz w:val="13"/>
          <w:szCs w:val="13"/>
          <w:color w:val="auto"/>
        </w:rPr>
      </w:pPr>
    </w:p>
    <w:p>
      <w:pPr>
        <w:jc w:val="both"/>
        <w:ind w:left="900" w:hanging="459"/>
        <w:spacing w:after="0" w:line="260"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8" w:name="page69"/>
    <w:bookmarkEnd w:id="68"/>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firstLine="341"/>
        <w:spacing w:after="0" w:line="270" w:lineRule="auto"/>
        <w:rPr>
          <w:sz w:val="20"/>
          <w:szCs w:val="20"/>
          <w:color w:val="auto"/>
        </w:rPr>
      </w:pPr>
      <w:r>
        <w:rPr>
          <w:rFonts w:ascii="Arial" w:cs="Arial" w:eastAsia="Arial" w:hAnsi="Arial"/>
          <w:sz w:val="15"/>
          <w:szCs w:val="15"/>
          <w:color w:val="auto"/>
        </w:rPr>
        <w:t>The following table sets forth the percentage of base salary and the stated period for continued employee benefits to which each of our named executive officers was entitled to receive had we terminated the executive officer's employment without cause on December 31, 2019.</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Benefits for a Termination Without Cause</w:t>
      </w:r>
    </w:p>
    <w:p>
      <w:pPr>
        <w:spacing w:after="0" w:line="8" w:lineRule="exact"/>
        <w:rPr>
          <w:sz w:val="20"/>
          <w:szCs w:val="20"/>
          <w:color w:val="auto"/>
        </w:rPr>
      </w:pPr>
    </w:p>
    <w:tbl>
      <w:tblPr>
        <w:tblLayout w:type="fixed"/>
        <w:tblInd w:w="1120" w:type="dxa"/>
        <w:tblCellMar>
          <w:top w:w="0" w:type="dxa"/>
          <w:left w:w="0" w:type="dxa"/>
          <w:bottom w:w="0" w:type="dxa"/>
          <w:right w:w="0" w:type="dxa"/>
        </w:tblCellMar>
      </w:tblPr>
      <w:tr>
        <w:trPr>
          <w:trHeight w:val="104"/>
        </w:trPr>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5120" w:type="dxa"/>
            <w:vAlign w:val="bottom"/>
            <w:tcBorders>
              <w:top w:val="single" w:sz="8" w:color="auto"/>
            </w:tcBorders>
          </w:tcPr>
          <w:p>
            <w:pPr>
              <w:spacing w:after="0"/>
              <w:rPr>
                <w:sz w:val="9"/>
                <w:szCs w:val="9"/>
                <w:color w:val="auto"/>
              </w:rPr>
            </w:pPr>
          </w:p>
        </w:tc>
        <w:tc>
          <w:tcPr>
            <w:tcW w:w="1420" w:type="dxa"/>
            <w:vAlign w:val="bottom"/>
            <w:tcBorders>
              <w:top w:val="single" w:sz="8" w:color="auto"/>
            </w:tcBorders>
            <w:gridSpan w:val="2"/>
          </w:tcPr>
          <w:p>
            <w:pPr>
              <w:jc w:val="right"/>
              <w:ind w:right="260"/>
              <w:spacing w:after="0" w:line="104" w:lineRule="exact"/>
              <w:rPr>
                <w:sz w:val="20"/>
                <w:szCs w:val="20"/>
                <w:color w:val="auto"/>
              </w:rPr>
            </w:pPr>
            <w:r>
              <w:rPr>
                <w:rFonts w:ascii="Arial" w:cs="Arial" w:eastAsia="Arial" w:hAnsi="Arial"/>
                <w:sz w:val="11"/>
                <w:szCs w:val="11"/>
                <w:b w:val="1"/>
                <w:bCs w:val="1"/>
                <w:color w:val="auto"/>
              </w:rPr>
              <w:t>Percentage of Annual</w:t>
            </w:r>
          </w:p>
        </w:tc>
        <w:tc>
          <w:tcPr>
            <w:tcW w:w="1480" w:type="dxa"/>
            <w:vAlign w:val="bottom"/>
            <w:tcBorders>
              <w:top w:val="single" w:sz="8" w:color="auto"/>
            </w:tcBorders>
          </w:tcPr>
          <w:p>
            <w:pPr>
              <w:jc w:val="center"/>
              <w:spacing w:after="0" w:line="104" w:lineRule="exact"/>
              <w:rPr>
                <w:sz w:val="20"/>
                <w:szCs w:val="20"/>
                <w:color w:val="auto"/>
              </w:rPr>
            </w:pPr>
            <w:r>
              <w:rPr>
                <w:rFonts w:ascii="Arial" w:cs="Arial" w:eastAsia="Arial" w:hAnsi="Arial"/>
                <w:sz w:val="11"/>
                <w:szCs w:val="11"/>
                <w:b w:val="1"/>
                <w:bCs w:val="1"/>
                <w:color w:val="auto"/>
                <w:w w:val="93"/>
              </w:rPr>
              <w:t>Stated Period for Continued</w:t>
            </w:r>
          </w:p>
        </w:tc>
      </w:tr>
      <w:tr>
        <w:trPr>
          <w:trHeight w:val="135"/>
        </w:trPr>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6"/>
              </w:rPr>
              <w:t>Name</w:t>
            </w:r>
          </w:p>
        </w:tc>
        <w:tc>
          <w:tcPr>
            <w:tcW w:w="5840" w:type="dxa"/>
            <w:vAlign w:val="bottom"/>
            <w:gridSpan w:val="2"/>
          </w:tcPr>
          <w:p>
            <w:pPr>
              <w:spacing w:after="0"/>
              <w:rPr>
                <w:sz w:val="11"/>
                <w:szCs w:val="11"/>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w w:val="96"/>
              </w:rPr>
              <w:t>Base Salary and Bonus</w:t>
            </w:r>
          </w:p>
        </w:tc>
        <w:tc>
          <w:tcPr>
            <w:tcW w:w="120" w:type="dxa"/>
            <w:vAlign w:val="bottom"/>
          </w:tcPr>
          <w:p>
            <w:pPr>
              <w:spacing w:after="0"/>
              <w:rPr>
                <w:sz w:val="11"/>
                <w:szCs w:val="1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Employee Benefits</w:t>
            </w:r>
          </w:p>
        </w:tc>
      </w:tr>
      <w:tr>
        <w:trPr>
          <w:trHeight w:val="172"/>
        </w:trPr>
        <w:tc>
          <w:tcPr>
            <w:tcW w:w="6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14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200%</w:t>
            </w:r>
          </w:p>
        </w:tc>
        <w:tc>
          <w:tcPr>
            <w:tcW w:w="148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3"/>
              </w:rPr>
              <w:t>none</w:t>
            </w:r>
          </w:p>
        </w:tc>
      </w:tr>
      <w:tr>
        <w:trPr>
          <w:trHeight w:val="214"/>
        </w:trPr>
        <w:tc>
          <w:tcPr>
            <w:tcW w:w="6120" w:type="dxa"/>
            <w:vAlign w:val="bottom"/>
            <w:gridSpan w:val="3"/>
          </w:tcPr>
          <w:p>
            <w:pPr>
              <w:spacing w:after="0" w:line="214" w:lineRule="exact"/>
              <w:rPr>
                <w:sz w:val="20"/>
                <w:szCs w:val="20"/>
                <w:color w:val="auto"/>
              </w:rPr>
            </w:pPr>
            <w:r>
              <w:rPr>
                <w:rFonts w:ascii="Arial" w:cs="Arial" w:eastAsia="Arial" w:hAnsi="Arial"/>
                <w:sz w:val="15"/>
                <w:szCs w:val="15"/>
                <w:color w:val="auto"/>
              </w:rPr>
              <w:t>Robert G. Kramer</w:t>
            </w:r>
            <w:r>
              <w:rPr>
                <w:rFonts w:ascii="Arial" w:cs="Arial" w:eastAsia="Arial" w:hAnsi="Arial"/>
                <w:sz w:val="24"/>
                <w:szCs w:val="24"/>
                <w:color w:val="auto"/>
                <w:vertAlign w:val="superscript"/>
              </w:rPr>
              <w:t>(1)</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150%</w:t>
            </w:r>
          </w:p>
        </w:tc>
        <w:tc>
          <w:tcPr>
            <w:tcW w:w="1480" w:type="dxa"/>
            <w:vAlign w:val="bottom"/>
          </w:tcPr>
          <w:p>
            <w:pPr>
              <w:jc w:val="center"/>
              <w:spacing w:after="0"/>
              <w:rPr>
                <w:sz w:val="20"/>
                <w:szCs w:val="20"/>
                <w:color w:val="auto"/>
              </w:rPr>
            </w:pPr>
            <w:r>
              <w:rPr>
                <w:rFonts w:ascii="Arial" w:cs="Arial" w:eastAsia="Arial" w:hAnsi="Arial"/>
                <w:sz w:val="15"/>
                <w:szCs w:val="15"/>
                <w:color w:val="auto"/>
                <w:w w:val="85"/>
              </w:rPr>
              <w:t>18 months</w:t>
            </w:r>
          </w:p>
        </w:tc>
      </w:tr>
      <w:tr>
        <w:trPr>
          <w:trHeight w:val="180"/>
        </w:trPr>
        <w:tc>
          <w:tcPr>
            <w:tcW w:w="6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14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125%</w:t>
            </w:r>
          </w:p>
        </w:tc>
        <w:tc>
          <w:tcPr>
            <w:tcW w:w="148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5"/>
              </w:rPr>
              <w:t>15 months</w:t>
            </w:r>
          </w:p>
        </w:tc>
      </w:tr>
      <w:tr>
        <w:trPr>
          <w:trHeight w:val="180"/>
        </w:trPr>
        <w:tc>
          <w:tcPr>
            <w:tcW w:w="612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125%</w:t>
            </w:r>
          </w:p>
        </w:tc>
        <w:tc>
          <w:tcPr>
            <w:tcW w:w="1480" w:type="dxa"/>
            <w:vAlign w:val="bottom"/>
          </w:tcPr>
          <w:p>
            <w:pPr>
              <w:jc w:val="center"/>
              <w:spacing w:after="0"/>
              <w:rPr>
                <w:sz w:val="20"/>
                <w:szCs w:val="20"/>
                <w:color w:val="auto"/>
              </w:rPr>
            </w:pPr>
            <w:r>
              <w:rPr>
                <w:rFonts w:ascii="Arial" w:cs="Arial" w:eastAsia="Arial" w:hAnsi="Arial"/>
                <w:sz w:val="15"/>
                <w:szCs w:val="15"/>
                <w:color w:val="auto"/>
                <w:w w:val="85"/>
              </w:rPr>
              <w:t>15 months</w:t>
            </w:r>
          </w:p>
        </w:tc>
      </w:tr>
      <w:tr>
        <w:trPr>
          <w:trHeight w:val="180"/>
        </w:trPr>
        <w:tc>
          <w:tcPr>
            <w:tcW w:w="6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14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125%</w:t>
            </w:r>
          </w:p>
        </w:tc>
        <w:tc>
          <w:tcPr>
            <w:tcW w:w="148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5"/>
              </w:rPr>
              <w:t>15 months</w:t>
            </w:r>
          </w:p>
        </w:tc>
      </w:tr>
      <w:tr>
        <w:trPr>
          <w:trHeight w:val="187"/>
        </w:trPr>
        <w:tc>
          <w:tcPr>
            <w:tcW w:w="612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142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480" w:type="dxa"/>
            <w:vAlign w:val="bottom"/>
          </w:tcPr>
          <w:p>
            <w:pPr>
              <w:jc w:val="center"/>
              <w:spacing w:after="0"/>
              <w:rPr>
                <w:sz w:val="20"/>
                <w:szCs w:val="20"/>
                <w:color w:val="auto"/>
              </w:rPr>
            </w:pPr>
            <w:r>
              <w:rPr>
                <w:rFonts w:ascii="Arial" w:cs="Arial" w:eastAsia="Arial" w:hAnsi="Arial"/>
                <w:sz w:val="15"/>
                <w:szCs w:val="15"/>
                <w:color w:val="auto"/>
                <w:w w:val="95"/>
              </w:rPr>
              <w:t>N/A</w:t>
            </w:r>
          </w:p>
        </w:tc>
      </w:tr>
      <w:tr>
        <w:trPr>
          <w:trHeight w:val="84"/>
        </w:trPr>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r>
    </w:tbl>
    <w:p>
      <w:pPr>
        <w:spacing w:after="0" w:line="184" w:lineRule="exact"/>
        <w:rPr>
          <w:sz w:val="20"/>
          <w:szCs w:val="20"/>
          <w:color w:val="auto"/>
        </w:rPr>
      </w:pPr>
    </w:p>
    <w:p>
      <w:pPr>
        <w:ind w:left="1560" w:hanging="443"/>
        <w:spacing w:after="0"/>
        <w:tabs>
          <w:tab w:leader="none" w:pos="15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amounts for Mr. Kramer became effective upon his promotion to president and chief executive officer on April 1, 2019.</w:t>
      </w:r>
    </w:p>
    <w:p>
      <w:pPr>
        <w:spacing w:after="0" w:line="188" w:lineRule="exact"/>
        <w:rPr>
          <w:sz w:val="20"/>
          <w:szCs w:val="20"/>
          <w:color w:val="auto"/>
        </w:rPr>
      </w:pPr>
    </w:p>
    <w:p>
      <w:pPr>
        <w:ind w:firstLine="325"/>
        <w:spacing w:after="0" w:line="270" w:lineRule="auto"/>
        <w:rPr>
          <w:sz w:val="20"/>
          <w:szCs w:val="20"/>
          <w:color w:val="auto"/>
        </w:rPr>
      </w:pPr>
      <w:r>
        <w:rPr>
          <w:rFonts w:ascii="Arial" w:cs="Arial" w:eastAsia="Arial" w:hAnsi="Arial"/>
          <w:sz w:val="15"/>
          <w:szCs w:val="15"/>
          <w:color w:val="auto"/>
        </w:rPr>
        <w:t>The following table sets forth the amount of potential payments and value of benefits that each named executive officer would have received if we had terminated the executive officer's employment without cause on December 31, 2019.</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467"/>
              <w:spacing w:after="0"/>
              <w:rPr>
                <w:sz w:val="20"/>
                <w:szCs w:val="20"/>
                <w:color w:val="auto"/>
              </w:rPr>
            </w:pPr>
            <w:r>
              <w:rPr>
                <w:rFonts w:ascii="Arial" w:cs="Arial" w:eastAsia="Arial" w:hAnsi="Arial"/>
                <w:sz w:val="11"/>
                <w:szCs w:val="11"/>
                <w:b w:val="1"/>
                <w:bCs w:val="1"/>
                <w:color w:val="auto"/>
                <w:w w:val="93"/>
              </w:rPr>
              <w:t>Termination without Cause</w:t>
            </w:r>
          </w:p>
        </w:tc>
        <w:tc>
          <w:tcPr>
            <w:tcW w:w="680" w:type="dxa"/>
            <w:vAlign w:val="bottom"/>
            <w:tcBorders>
              <w:bottom w:val="single" w:sz="8" w:color="auto"/>
            </w:tcBorders>
          </w:tcPr>
          <w:p>
            <w:pPr>
              <w:spacing w:after="0"/>
              <w:rPr>
                <w:sz w:val="11"/>
                <w:szCs w:val="11"/>
                <w:color w:val="auto"/>
              </w:rPr>
            </w:pPr>
          </w:p>
        </w:tc>
      </w:tr>
      <w:tr>
        <w:trPr>
          <w:trHeight w:val="158"/>
        </w:trPr>
        <w:tc>
          <w:tcPr>
            <w:tcW w:w="324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10"/>
              <w:spacing w:after="0" w:line="138" w:lineRule="exact"/>
              <w:rPr>
                <w:sz w:val="20"/>
                <w:szCs w:val="20"/>
                <w:color w:val="auto"/>
              </w:rPr>
            </w:pPr>
            <w:r>
              <w:rPr>
                <w:rFonts w:ascii="Arial" w:cs="Arial" w:eastAsia="Arial" w:hAnsi="Arial"/>
                <w:sz w:val="10"/>
                <w:szCs w:val="10"/>
                <w:b w:val="1"/>
                <w:bCs w:val="1"/>
                <w:color w:val="auto"/>
                <w:w w:val="96"/>
              </w:rPr>
              <w:t>Cash Payments</w:t>
            </w:r>
            <w:r>
              <w:rPr>
                <w:rFonts w:ascii="Arial" w:cs="Arial" w:eastAsia="Arial" w:hAnsi="Arial"/>
                <w:sz w:val="15"/>
                <w:szCs w:val="15"/>
                <w:b w:val="1"/>
                <w:bCs w:val="1"/>
                <w:color w:val="auto"/>
                <w:w w:val="96"/>
                <w:vertAlign w:val="superscript"/>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ind w:left="20"/>
              <w:spacing w:after="0" w:line="138" w:lineRule="exact"/>
              <w:rPr>
                <w:sz w:val="20"/>
                <w:szCs w:val="20"/>
                <w:color w:val="auto"/>
              </w:rPr>
            </w:pPr>
            <w:r>
              <w:rPr>
                <w:rFonts w:ascii="Arial" w:cs="Arial" w:eastAsia="Arial" w:hAnsi="Arial"/>
                <w:sz w:val="10"/>
                <w:szCs w:val="10"/>
                <w:b w:val="1"/>
                <w:bCs w:val="1"/>
                <w:color w:val="auto"/>
              </w:rPr>
              <w:t>Value of Benefits</w:t>
            </w:r>
            <w:r>
              <w:rPr>
                <w:rFonts w:ascii="Arial" w:cs="Arial" w:eastAsia="Arial" w:hAnsi="Arial"/>
                <w:sz w:val="15"/>
                <w:szCs w:val="15"/>
                <w:b w:val="1"/>
                <w:bCs w:val="1"/>
                <w:color w:val="auto"/>
                <w:vertAlign w:val="superscript"/>
              </w:rPr>
              <w:t>(2)</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w w:val="98"/>
              </w:rPr>
              <w:t>Value of Equity Awards</w:t>
            </w:r>
          </w:p>
        </w:tc>
      </w:tr>
      <w:tr>
        <w:trPr>
          <w:trHeight w:val="152"/>
        </w:trPr>
        <w:tc>
          <w:tcPr>
            <w:tcW w:w="280" w:type="dxa"/>
            <w:vAlign w:val="bottom"/>
            <w:tcBorders>
              <w:top w:val="single" w:sz="8" w:color="auto"/>
            </w:tcBorders>
            <w:shd w:val="clear" w:color="auto" w:fill="DCDCDE"/>
          </w:tcPr>
          <w:p>
            <w:pPr>
              <w:spacing w:after="0" w:line="151" w:lineRule="exact"/>
              <w:rPr>
                <w:sz w:val="20"/>
                <w:szCs w:val="20"/>
                <w:color w:val="auto"/>
              </w:rPr>
            </w:pPr>
            <w:r>
              <w:rPr>
                <w:rFonts w:ascii="Arial" w:cs="Arial" w:eastAsia="Arial" w:hAnsi="Arial"/>
                <w:sz w:val="15"/>
                <w:szCs w:val="15"/>
                <w:color w:val="auto"/>
                <w:w w:val="75"/>
              </w:rPr>
              <w:t>Fuad</w:t>
            </w:r>
          </w:p>
        </w:tc>
        <w:tc>
          <w:tcPr>
            <w:tcW w:w="2960" w:type="dxa"/>
            <w:vAlign w:val="bottom"/>
            <w:tcBorders>
              <w:top w:val="single" w:sz="8" w:color="DCDCDE"/>
            </w:tcBorders>
            <w:gridSpan w:val="2"/>
            <w:shd w:val="clear" w:color="auto" w:fill="DCDCDE"/>
          </w:tcPr>
          <w:p>
            <w:pPr>
              <w:ind w:left="40"/>
              <w:spacing w:after="0" w:line="151" w:lineRule="exact"/>
              <w:rPr>
                <w:sz w:val="20"/>
                <w:szCs w:val="20"/>
                <w:color w:val="auto"/>
              </w:rPr>
            </w:pPr>
            <w:r>
              <w:rPr>
                <w:rFonts w:ascii="Arial" w:cs="Arial" w:eastAsia="Arial" w:hAnsi="Arial"/>
                <w:sz w:val="15"/>
                <w:szCs w:val="15"/>
                <w:color w:val="auto"/>
              </w:rPr>
              <w:t>El-Hibri</w:t>
            </w:r>
          </w:p>
        </w:tc>
        <w:tc>
          <w:tcPr>
            <w:tcW w:w="194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2,108,080</w:t>
            </w:r>
          </w:p>
        </w:tc>
        <w:tc>
          <w:tcPr>
            <w:tcW w:w="140" w:type="dxa"/>
            <w:vAlign w:val="bottom"/>
            <w:tcBorders>
              <w:top w:val="single" w:sz="8" w:color="DCDCDE"/>
            </w:tcBorders>
            <w:shd w:val="clear" w:color="auto" w:fill="DCDCDE"/>
          </w:tcPr>
          <w:p>
            <w:pPr>
              <w:spacing w:after="0"/>
              <w:rPr>
                <w:sz w:val="13"/>
                <w:szCs w:val="13"/>
                <w:color w:val="auto"/>
              </w:rPr>
            </w:pPr>
          </w:p>
        </w:tc>
        <w:tc>
          <w:tcPr>
            <w:tcW w:w="8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CDCDE"/>
          </w:tcPr>
          <w:p>
            <w:pPr>
              <w:jc w:val="right"/>
              <w:spacing w:after="0" w:line="151" w:lineRule="exact"/>
              <w:rPr>
                <w:sz w:val="20"/>
                <w:szCs w:val="20"/>
                <w:color w:val="auto"/>
              </w:rPr>
            </w:pPr>
            <w:r>
              <w:rPr>
                <w:rFonts w:ascii="Arial" w:cs="Arial" w:eastAsia="Arial" w:hAnsi="Arial"/>
                <w:sz w:val="15"/>
                <w:szCs w:val="15"/>
                <w:color w:val="auto"/>
              </w:rPr>
              <w:t>—</w:t>
            </w:r>
          </w:p>
        </w:tc>
        <w:tc>
          <w:tcPr>
            <w:tcW w:w="140" w:type="dxa"/>
            <w:vAlign w:val="bottom"/>
            <w:tcBorders>
              <w:top w:val="single" w:sz="8" w:color="DCDCDE"/>
            </w:tcBorders>
            <w:shd w:val="clear" w:color="auto" w:fill="DCDCDE"/>
          </w:tcPr>
          <w:p>
            <w:pPr>
              <w:spacing w:after="0"/>
              <w:rPr>
                <w:sz w:val="13"/>
                <w:szCs w:val="13"/>
                <w:color w:val="auto"/>
              </w:rPr>
            </w:pPr>
          </w:p>
        </w:tc>
        <w:tc>
          <w:tcPr>
            <w:tcW w:w="600" w:type="dxa"/>
            <w:vAlign w:val="bottom"/>
            <w:tcBorders>
              <w:top w:val="single" w:sz="8" w:color="auto"/>
            </w:tcBorders>
            <w:shd w:val="clear" w:color="auto" w:fill="DCDCDE"/>
          </w:tcPr>
          <w:p>
            <w:pPr>
              <w:jc w:val="right"/>
              <w:ind w:right="48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DCDCDE"/>
          </w:tcPr>
          <w:p>
            <w:pPr>
              <w:ind w:left="520"/>
              <w:spacing w:after="0" w:line="151" w:lineRule="exact"/>
              <w:rPr>
                <w:sz w:val="20"/>
                <w:szCs w:val="20"/>
                <w:color w:val="auto"/>
              </w:rPr>
            </w:pPr>
            <w:r>
              <w:rPr>
                <w:rFonts w:ascii="Arial" w:cs="Arial" w:eastAsia="Arial" w:hAnsi="Arial"/>
                <w:sz w:val="15"/>
                <w:szCs w:val="15"/>
                <w:color w:val="auto"/>
                <w:w w:val="93"/>
              </w:rPr>
              <w:t>—</w:t>
            </w:r>
          </w:p>
        </w:tc>
      </w:tr>
      <w:tr>
        <w:trPr>
          <w:trHeight w:val="180"/>
        </w:trPr>
        <w:tc>
          <w:tcPr>
            <w:tcW w:w="3240" w:type="dxa"/>
            <w:vAlign w:val="bottom"/>
            <w:gridSpan w:val="3"/>
          </w:tcPr>
          <w:p>
            <w:pPr>
              <w:spacing w:after="0"/>
              <w:rPr>
                <w:sz w:val="20"/>
                <w:szCs w:val="20"/>
                <w:color w:val="auto"/>
              </w:rPr>
            </w:pPr>
            <w:r>
              <w:rPr>
                <w:rFonts w:ascii="Arial" w:cs="Arial" w:eastAsia="Arial" w:hAnsi="Arial"/>
                <w:sz w:val="15"/>
                <w:szCs w:val="15"/>
                <w:color w:val="auto"/>
              </w:rPr>
              <w:t>Robert G. Kramer</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1,942,508</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49,374</w:t>
            </w:r>
          </w:p>
        </w:tc>
        <w:tc>
          <w:tcPr>
            <w:tcW w:w="600" w:type="dxa"/>
            <w:vAlign w:val="bottom"/>
          </w:tcPr>
          <w:p>
            <w:pPr>
              <w:jc w:val="right"/>
              <w:ind w:right="487"/>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520"/>
              <w:spacing w:after="0"/>
              <w:rPr>
                <w:sz w:val="20"/>
                <w:szCs w:val="20"/>
                <w:color w:val="auto"/>
              </w:rPr>
            </w:pPr>
            <w:r>
              <w:rPr>
                <w:rFonts w:ascii="Arial" w:cs="Arial" w:eastAsia="Arial" w:hAnsi="Arial"/>
                <w:sz w:val="15"/>
                <w:szCs w:val="15"/>
                <w:color w:val="auto"/>
                <w:w w:val="93"/>
              </w:rPr>
              <w:t>—</w:t>
            </w:r>
          </w:p>
        </w:tc>
      </w:tr>
      <w:tr>
        <w:trPr>
          <w:trHeight w:val="180"/>
        </w:trPr>
        <w:tc>
          <w:tcPr>
            <w:tcW w:w="32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20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997,869</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41,145</w:t>
            </w:r>
          </w:p>
        </w:tc>
        <w:tc>
          <w:tcPr>
            <w:tcW w:w="600" w:type="dxa"/>
            <w:vAlign w:val="bottom"/>
            <w:shd w:val="clear" w:color="auto" w:fill="DCDCDE"/>
          </w:tcPr>
          <w:p>
            <w:pPr>
              <w:jc w:val="right"/>
              <w:ind w:right="48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CDCDE"/>
          </w:tcPr>
          <w:p>
            <w:pPr>
              <w:ind w:left="520"/>
              <w:spacing w:after="0"/>
              <w:rPr>
                <w:sz w:val="20"/>
                <w:szCs w:val="20"/>
                <w:color w:val="auto"/>
              </w:rPr>
            </w:pPr>
            <w:r>
              <w:rPr>
                <w:rFonts w:ascii="Arial" w:cs="Arial" w:eastAsia="Arial" w:hAnsi="Arial"/>
                <w:sz w:val="15"/>
                <w:szCs w:val="15"/>
                <w:color w:val="auto"/>
                <w:w w:val="93"/>
              </w:rPr>
              <w:t>—</w:t>
            </w:r>
          </w:p>
        </w:tc>
      </w:tr>
      <w:tr>
        <w:trPr>
          <w:trHeight w:val="180"/>
        </w:trPr>
        <w:tc>
          <w:tcPr>
            <w:tcW w:w="324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937,983</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41,145</w:t>
            </w:r>
          </w:p>
        </w:tc>
        <w:tc>
          <w:tcPr>
            <w:tcW w:w="600" w:type="dxa"/>
            <w:vAlign w:val="bottom"/>
          </w:tcPr>
          <w:p>
            <w:pPr>
              <w:jc w:val="right"/>
              <w:ind w:right="487"/>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520"/>
              <w:spacing w:after="0"/>
              <w:rPr>
                <w:sz w:val="20"/>
                <w:szCs w:val="20"/>
                <w:color w:val="auto"/>
              </w:rPr>
            </w:pPr>
            <w:r>
              <w:rPr>
                <w:rFonts w:ascii="Arial" w:cs="Arial" w:eastAsia="Arial" w:hAnsi="Arial"/>
                <w:sz w:val="15"/>
                <w:szCs w:val="15"/>
                <w:color w:val="auto"/>
                <w:w w:val="93"/>
              </w:rPr>
              <w:t>—</w:t>
            </w:r>
          </w:p>
        </w:tc>
      </w:tr>
      <w:tr>
        <w:trPr>
          <w:trHeight w:val="180"/>
        </w:trPr>
        <w:tc>
          <w:tcPr>
            <w:tcW w:w="324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20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944,931</w:t>
            </w:r>
          </w:p>
        </w:tc>
        <w:tc>
          <w:tcPr>
            <w:tcW w:w="2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DCDCDE"/>
          </w:tcPr>
          <w:p>
            <w:pPr>
              <w:jc w:val="right"/>
              <w:ind w:right="140"/>
              <w:spacing w:after="0"/>
              <w:rPr>
                <w:sz w:val="20"/>
                <w:szCs w:val="20"/>
                <w:color w:val="auto"/>
              </w:rPr>
            </w:pPr>
            <w:r>
              <w:rPr>
                <w:rFonts w:ascii="Arial" w:cs="Arial" w:eastAsia="Arial" w:hAnsi="Arial"/>
                <w:sz w:val="15"/>
                <w:szCs w:val="15"/>
                <w:color w:val="auto"/>
              </w:rPr>
              <w:t>41,145</w:t>
            </w:r>
          </w:p>
        </w:tc>
        <w:tc>
          <w:tcPr>
            <w:tcW w:w="600" w:type="dxa"/>
            <w:vAlign w:val="bottom"/>
            <w:shd w:val="clear" w:color="auto" w:fill="DCDCDE"/>
          </w:tcPr>
          <w:p>
            <w:pPr>
              <w:jc w:val="right"/>
              <w:ind w:right="48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DCDCDE"/>
          </w:tcPr>
          <w:p>
            <w:pPr>
              <w:ind w:left="520"/>
              <w:spacing w:after="0"/>
              <w:rPr>
                <w:sz w:val="20"/>
                <w:szCs w:val="20"/>
                <w:color w:val="auto"/>
              </w:rPr>
            </w:pPr>
            <w:r>
              <w:rPr>
                <w:rFonts w:ascii="Arial" w:cs="Arial" w:eastAsia="Arial" w:hAnsi="Arial"/>
                <w:sz w:val="15"/>
                <w:szCs w:val="15"/>
                <w:color w:val="auto"/>
                <w:w w:val="93"/>
              </w:rPr>
              <w:t>—</w:t>
            </w:r>
          </w:p>
        </w:tc>
      </w:tr>
      <w:tr>
        <w:trPr>
          <w:trHeight w:val="187"/>
        </w:trPr>
        <w:tc>
          <w:tcPr>
            <w:tcW w:w="324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20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487"/>
              <w:spacing w:after="0"/>
              <w:rPr>
                <w:sz w:val="20"/>
                <w:szCs w:val="20"/>
                <w:color w:val="auto"/>
              </w:rPr>
            </w:pPr>
            <w:r>
              <w:rPr>
                <w:rFonts w:ascii="Arial" w:cs="Arial" w:eastAsia="Arial" w:hAnsi="Arial"/>
                <w:sz w:val="10"/>
                <w:szCs w:val="10"/>
                <w:color w:val="auto"/>
                <w:w w:val="71"/>
              </w:rPr>
              <w:t>$</w:t>
            </w:r>
          </w:p>
        </w:tc>
        <w:tc>
          <w:tcPr>
            <w:tcW w:w="680" w:type="dxa"/>
            <w:vAlign w:val="bottom"/>
          </w:tcPr>
          <w:p>
            <w:pPr>
              <w:ind w:left="520"/>
              <w:spacing w:after="0"/>
              <w:rPr>
                <w:sz w:val="20"/>
                <w:szCs w:val="20"/>
                <w:color w:val="auto"/>
              </w:rPr>
            </w:pPr>
            <w:r>
              <w:rPr>
                <w:rFonts w:ascii="Arial" w:cs="Arial" w:eastAsia="Arial" w:hAnsi="Arial"/>
                <w:sz w:val="15"/>
                <w:szCs w:val="15"/>
                <w:color w:val="auto"/>
                <w:w w:val="93"/>
              </w:rPr>
              <w:t>—</w:t>
            </w:r>
          </w:p>
        </w:tc>
      </w:tr>
      <w:tr>
        <w:trPr>
          <w:trHeight w:val="84"/>
        </w:trPr>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r>
    </w:tbl>
    <w:p>
      <w:pPr>
        <w:spacing w:after="0" w:line="196" w:lineRule="exact"/>
        <w:rPr>
          <w:sz w:val="20"/>
          <w:szCs w:val="20"/>
          <w:color w:val="auto"/>
        </w:rPr>
      </w:pPr>
    </w:p>
    <w:p>
      <w:pPr>
        <w:ind w:left="1560" w:right="20" w:hanging="443"/>
        <w:spacing w:after="0" w:line="270" w:lineRule="auto"/>
        <w:tabs>
          <w:tab w:leader="none" w:pos="15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in effect on December 31, 2019, plus 100% of the named executive officer's target annual bonus for 2019.</w:t>
      </w:r>
    </w:p>
    <w:p>
      <w:pPr>
        <w:spacing w:after="0" w:line="164" w:lineRule="exact"/>
        <w:rPr>
          <w:rFonts w:ascii="Arial" w:cs="Arial" w:eastAsia="Arial" w:hAnsi="Arial"/>
          <w:sz w:val="15"/>
          <w:szCs w:val="15"/>
          <w:color w:val="auto"/>
        </w:rPr>
      </w:pPr>
    </w:p>
    <w:p>
      <w:pPr>
        <w:ind w:left="1560" w:hanging="443"/>
        <w:spacing w:after="0"/>
        <w:tabs>
          <w:tab w:leader="none" w:pos="15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amounts in this column reflect the estimated value of future premiums under our health and welfare benefit plans and life insurance program.</w:t>
      </w:r>
    </w:p>
    <w:p>
      <w:pPr>
        <w:spacing w:after="0" w:line="188" w:lineRule="exact"/>
        <w:rPr>
          <w:sz w:val="20"/>
          <w:szCs w:val="20"/>
          <w:color w:val="auto"/>
        </w:rPr>
      </w:pPr>
    </w:p>
    <w:p>
      <w:pPr>
        <w:jc w:val="both"/>
        <w:ind w:firstLine="403"/>
        <w:spacing w:after="0" w:line="287" w:lineRule="auto"/>
        <w:rPr>
          <w:sz w:val="20"/>
          <w:szCs w:val="20"/>
          <w:color w:val="auto"/>
        </w:rPr>
      </w:pPr>
      <w:r>
        <w:rPr>
          <w:rFonts w:ascii="Arial" w:cs="Arial" w:eastAsia="Arial" w:hAnsi="Arial"/>
          <w:sz w:val="14"/>
          <w:szCs w:val="14"/>
          <w:i w:val="1"/>
          <w:iCs w:val="1"/>
          <w:color w:val="auto"/>
        </w:rPr>
        <w:t xml:space="preserve">Change-of-control terminations. </w:t>
      </w:r>
      <w:r>
        <w:rPr>
          <w:rFonts w:ascii="Arial" w:cs="Arial" w:eastAsia="Arial" w:hAnsi="Arial"/>
          <w:sz w:val="14"/>
          <w:szCs w:val="14"/>
          <w:color w:val="auto"/>
        </w:rPr>
        <w:t>If we terminate a participant's employment (i) without cause or a participant resigns for good reason, each as defined in the Senior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Severance Plan, in each case within 18 months following a change of control, as defined in the Senior Management Severance Plan, or (ii) prior to a change of control at the request of a party involved in the change of control, or otherwise in connection with or in anticipation of a change of control, then the participant will be entitled to:</w:t>
      </w:r>
    </w:p>
    <w:p>
      <w:pPr>
        <w:spacing w:after="0" w:line="155" w:lineRule="exact"/>
        <w:rPr>
          <w:sz w:val="20"/>
          <w:szCs w:val="20"/>
          <w:color w:val="auto"/>
        </w:rPr>
      </w:pPr>
    </w:p>
    <w:p>
      <w:pPr>
        <w:ind w:left="900" w:hanging="459"/>
        <w:spacing w:after="0"/>
        <w:tabs>
          <w:tab w:leader="none" w:pos="9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A cash lump sum equal to the sum of:</w:t>
      </w:r>
    </w:p>
    <w:p>
      <w:pPr>
        <w:spacing w:after="0" w:line="368"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Any unpaid base salary and accrued paid time-off through the date of termination,</w:t>
      </w:r>
    </w:p>
    <w:p>
      <w:pPr>
        <w:spacing w:after="0" w:line="210"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3"/>
          <w:szCs w:val="13"/>
          <w:color w:val="auto"/>
        </w:rPr>
        <w:t>A pro-rata portion of the participant's target annual bonus in respect of the year of termination,</w:t>
      </w:r>
    </w:p>
    <w:p>
      <w:pPr>
        <w:spacing w:after="0" w:line="199" w:lineRule="exact"/>
        <w:rPr>
          <w:rFonts w:ascii="Arial" w:cs="Arial" w:eastAsia="Arial" w:hAnsi="Arial"/>
          <w:sz w:val="15"/>
          <w:szCs w:val="15"/>
          <w:color w:val="auto"/>
        </w:rPr>
      </w:pPr>
    </w:p>
    <w:p>
      <w:pPr>
        <w:ind w:left="1340" w:right="4440" w:hanging="4659"/>
        <w:spacing w:after="0" w:line="521" w:lineRule="auto"/>
        <w:rPr>
          <w:rFonts w:ascii="Arial" w:cs="Arial" w:eastAsia="Arial" w:hAnsi="Arial"/>
          <w:sz w:val="15"/>
          <w:szCs w:val="15"/>
          <w:color w:val="auto"/>
        </w:rPr>
      </w:pPr>
      <w:r>
        <w:rPr>
          <w:rFonts w:ascii="Arial" w:cs="Arial" w:eastAsia="Arial" w:hAnsi="Arial"/>
          <w:sz w:val="15"/>
          <w:szCs w:val="15"/>
          <w:color w:val="auto"/>
        </w:rPr>
        <w:t>—Any bonus earned but unpaid as of the date of termination for any previously completed year,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-8255</wp:posOffset>
            </wp:positionV>
            <wp:extent cx="7160260" cy="196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69" w:name="page70"/>
    <w:bookmarkEnd w:id="69"/>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Any unreimbursed expenses incurred by the participant prior to the date of termination, and</w:t>
      </w:r>
    </w:p>
    <w:p>
      <w:pPr>
        <w:spacing w:after="0" w:line="199"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An amount equal to a specified percentage of the sum of the participant's base salary and the participant's target bonus, as indicated in the table below;</w:t>
      </w:r>
    </w:p>
    <w:p>
      <w:pPr>
        <w:spacing w:after="0" w:line="200" w:lineRule="exact"/>
        <w:rPr>
          <w:sz w:val="20"/>
          <w:szCs w:val="20"/>
          <w:color w:val="auto"/>
        </w:rPr>
      </w:pPr>
    </w:p>
    <w:p>
      <w:pPr>
        <w:spacing w:after="0" w:line="202" w:lineRule="exact"/>
        <w:rPr>
          <w:sz w:val="20"/>
          <w:szCs w:val="20"/>
          <w:color w:val="auto"/>
        </w:rPr>
      </w:pPr>
    </w:p>
    <w:p>
      <w:pPr>
        <w:ind w:left="900" w:hanging="459"/>
        <w:spacing w:after="0" w:line="270"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Employee and fringe benefits and perquisites, if any, to which the participant may be entitled as of the date of termination of employment under our relevant plans, policies and programs;</w:t>
      </w:r>
    </w:p>
    <w:p>
      <w:pPr>
        <w:spacing w:after="0" w:line="164" w:lineRule="exact"/>
        <w:rPr>
          <w:rFonts w:ascii="Arial" w:cs="Arial" w:eastAsia="Arial" w:hAnsi="Arial"/>
          <w:sz w:val="15"/>
          <w:szCs w:val="15"/>
          <w:color w:val="auto"/>
        </w:rPr>
      </w:pPr>
    </w:p>
    <w:p>
      <w:pPr>
        <w:jc w:val="both"/>
        <w:ind w:left="900" w:hanging="459"/>
        <w:spacing w:after="0" w:line="278"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unvested stock options, stock appreciation rights, shares of restricted stock, RSUs and other stock-unit awards held by the participant that are outstanding on the date of termination will become fully vested as of that date. In addition, the period during which any stock options held by the participant that are outstanding on that date may be exercised shall be extended to a date that is the later of the 15th day of the third month following the termination date, or December 31 of the calendar year in which the stock option would otherwise have expired if the exercise period had not been extended, but not beyond the final date the stock option could have been exercised if the participant's employment had not terminated, in each case based on the term of the option at the original grant date;</w:t>
      </w:r>
    </w:p>
    <w:p>
      <w:pPr>
        <w:spacing w:after="0" w:line="171" w:lineRule="exact"/>
        <w:rPr>
          <w:rFonts w:ascii="Arial" w:cs="Arial" w:eastAsia="Arial" w:hAnsi="Arial"/>
          <w:sz w:val="14"/>
          <w:szCs w:val="14"/>
          <w:color w:val="auto"/>
        </w:rPr>
      </w:pPr>
    </w:p>
    <w:p>
      <w:pPr>
        <w:jc w:val="both"/>
        <w:ind w:left="900" w:hanging="459"/>
        <w:spacing w:after="0" w:line="260"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Continued eligibility for the participant and his or her eligible dependents to receive employee benefits (such as medical, dental, life insurance (not to exceed one year), and pension benefits), for a stated period following the participant's date of termination as indicated in the table below, except when the provision of employee benefits would result in a duplication of benefits provided by any subsequent employer;</w:t>
      </w:r>
    </w:p>
    <w:p>
      <w:pPr>
        <w:spacing w:after="0" w:line="171" w:lineRule="exact"/>
        <w:rPr>
          <w:rFonts w:ascii="Arial" w:cs="Arial" w:eastAsia="Arial" w:hAnsi="Arial"/>
          <w:sz w:val="15"/>
          <w:szCs w:val="15"/>
          <w:color w:val="auto"/>
        </w:rPr>
      </w:pPr>
    </w:p>
    <w:p>
      <w:pPr>
        <w:jc w:val="both"/>
        <w:ind w:left="900" w:hanging="459"/>
        <w:spacing w:after="0" w:line="260" w:lineRule="auto"/>
        <w:tabs>
          <w:tab w:leader="none" w:pos="90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retention for the maximum period permitted by applicable law of all rights the participant has to indemnification from us immediately prior to the change of control and the continuation throughout the period of any applicable statute of limitations of any director's and officer's liability insurance covering the participant immediately prior to the change of control; and</w:t>
      </w:r>
    </w:p>
    <w:p>
      <w:pPr>
        <w:spacing w:after="0" w:line="171" w:lineRule="exact"/>
        <w:rPr>
          <w:rFonts w:ascii="Arial" w:cs="Arial" w:eastAsia="Arial" w:hAnsi="Arial"/>
          <w:sz w:val="15"/>
          <w:szCs w:val="15"/>
          <w:color w:val="auto"/>
        </w:rPr>
      </w:pPr>
    </w:p>
    <w:p>
      <w:pPr>
        <w:jc w:val="both"/>
        <w:ind w:left="900" w:hanging="459"/>
        <w:spacing w:after="0" w:line="287" w:lineRule="auto"/>
        <w:tabs>
          <w:tab w:leader="none" w:pos="9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advancement to the participant of all costs and expenses, including attorney's fees and disbursements, incurred by the participant in connection with any legal proceedings that relate to the termination of employment or the interpretation or enforcement of any provision of the Senior Management Severance Plan, for which the participant will have no obligation to reimburse us if the participant prevails in the proceeding with respect to at least one material issue or the proceeding is settled.</w:t>
      </w:r>
    </w:p>
    <w:p>
      <w:pPr>
        <w:spacing w:after="0" w:line="144" w:lineRule="exact"/>
        <w:rPr>
          <w:sz w:val="20"/>
          <w:szCs w:val="20"/>
          <w:color w:val="auto"/>
        </w:rPr>
      </w:pPr>
    </w:p>
    <w:p>
      <w:pPr>
        <w:ind w:firstLine="302"/>
        <w:spacing w:after="0" w:line="270" w:lineRule="auto"/>
        <w:rPr>
          <w:sz w:val="20"/>
          <w:szCs w:val="20"/>
          <w:color w:val="auto"/>
        </w:rPr>
      </w:pPr>
      <w:r>
        <w:rPr>
          <w:rFonts w:ascii="Arial" w:cs="Arial" w:eastAsia="Arial" w:hAnsi="Arial"/>
          <w:sz w:val="15"/>
          <w:szCs w:val="15"/>
          <w:color w:val="auto"/>
        </w:rPr>
        <w:t>The following table sets forth the percentage of base salary and bonus and the stated period for continued employee benefits to which each of our named executive officers was entitled to receive under the circumstances described above in connection with a change of control on December 31, 2019.</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Benefits for a Termination In Connection with a Change in Control</w:t>
      </w:r>
    </w:p>
    <w:p>
      <w:pPr>
        <w:spacing w:after="0" w:line="186"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Percentage of Annual</w:t>
            </w:r>
          </w:p>
        </w:tc>
        <w:tc>
          <w:tcPr>
            <w:tcW w:w="1480" w:type="dxa"/>
            <w:vAlign w:val="bottom"/>
          </w:tcPr>
          <w:p>
            <w:pPr>
              <w:jc w:val="center"/>
              <w:spacing w:after="0"/>
              <w:rPr>
                <w:sz w:val="20"/>
                <w:szCs w:val="20"/>
                <w:color w:val="auto"/>
              </w:rPr>
            </w:pPr>
            <w:r>
              <w:rPr>
                <w:rFonts w:ascii="Arial" w:cs="Arial" w:eastAsia="Arial" w:hAnsi="Arial"/>
                <w:sz w:val="11"/>
                <w:szCs w:val="11"/>
                <w:b w:val="1"/>
                <w:bCs w:val="1"/>
                <w:color w:val="auto"/>
                <w:w w:val="93"/>
              </w:rPr>
              <w:t>Stated Period for Continued</w:t>
            </w:r>
          </w:p>
        </w:tc>
      </w:tr>
      <w:tr>
        <w:trPr>
          <w:trHeight w:val="155"/>
        </w:trPr>
        <w:tc>
          <w:tcPr>
            <w:tcW w:w="6120" w:type="dxa"/>
            <w:vAlign w:val="bottom"/>
            <w:gridSpan w:val="3"/>
          </w:tcPr>
          <w:p>
            <w:pPr>
              <w:spacing w:after="0"/>
              <w:rPr>
                <w:sz w:val="20"/>
                <w:szCs w:val="20"/>
                <w:color w:val="auto"/>
              </w:rPr>
            </w:pPr>
            <w:r>
              <w:rPr>
                <w:rFonts w:ascii="Arial" w:cs="Arial" w:eastAsia="Arial" w:hAnsi="Arial"/>
                <w:sz w:val="11"/>
                <w:szCs w:val="11"/>
                <w:b w:val="1"/>
                <w:bCs w:val="1"/>
                <w:color w:val="auto"/>
              </w:rPr>
              <w:t>Name</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1"/>
                <w:szCs w:val="11"/>
                <w:b w:val="1"/>
                <w:bCs w:val="1"/>
                <w:color w:val="auto"/>
                <w:w w:val="96"/>
              </w:rPr>
              <w:t>Base Salary and Bonus</w:t>
            </w:r>
          </w:p>
        </w:tc>
        <w:tc>
          <w:tcPr>
            <w:tcW w:w="120" w:type="dxa"/>
            <w:vAlign w:val="bottom"/>
          </w:tcPr>
          <w:p>
            <w:pPr>
              <w:spacing w:after="0"/>
              <w:rPr>
                <w:sz w:val="13"/>
                <w:szCs w:val="13"/>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Employee Benefits</w:t>
            </w:r>
          </w:p>
        </w:tc>
      </w:tr>
      <w:tr>
        <w:trPr>
          <w:trHeight w:val="152"/>
        </w:trPr>
        <w:tc>
          <w:tcPr>
            <w:tcW w:w="280" w:type="dxa"/>
            <w:vAlign w:val="bottom"/>
            <w:tcBorders>
              <w:top w:val="single" w:sz="8" w:color="auto"/>
            </w:tcBorders>
            <w:shd w:val="clear" w:color="auto" w:fill="DCDCDE"/>
          </w:tcPr>
          <w:p>
            <w:pPr>
              <w:spacing w:after="0" w:line="151" w:lineRule="exact"/>
              <w:rPr>
                <w:sz w:val="20"/>
                <w:szCs w:val="20"/>
                <w:color w:val="auto"/>
              </w:rPr>
            </w:pPr>
            <w:r>
              <w:rPr>
                <w:rFonts w:ascii="Arial" w:cs="Arial" w:eastAsia="Arial" w:hAnsi="Arial"/>
                <w:sz w:val="15"/>
                <w:szCs w:val="15"/>
                <w:color w:val="auto"/>
                <w:w w:val="75"/>
              </w:rPr>
              <w:t>Fuad</w:t>
            </w:r>
          </w:p>
        </w:tc>
        <w:tc>
          <w:tcPr>
            <w:tcW w:w="5840" w:type="dxa"/>
            <w:vAlign w:val="bottom"/>
            <w:tcBorders>
              <w:top w:val="single" w:sz="8" w:color="DCDCDE"/>
            </w:tcBorders>
            <w:gridSpan w:val="2"/>
            <w:shd w:val="clear" w:color="auto" w:fill="DCDCDE"/>
          </w:tcPr>
          <w:p>
            <w:pPr>
              <w:ind w:left="40"/>
              <w:spacing w:after="0" w:line="151" w:lineRule="exact"/>
              <w:rPr>
                <w:sz w:val="20"/>
                <w:szCs w:val="20"/>
                <w:color w:val="auto"/>
              </w:rPr>
            </w:pPr>
            <w:r>
              <w:rPr>
                <w:rFonts w:ascii="Arial" w:cs="Arial" w:eastAsia="Arial" w:hAnsi="Arial"/>
                <w:sz w:val="15"/>
                <w:szCs w:val="15"/>
                <w:color w:val="auto"/>
              </w:rPr>
              <w:t>El-Hibri</w:t>
            </w:r>
          </w:p>
        </w:tc>
        <w:tc>
          <w:tcPr>
            <w:tcW w:w="1420" w:type="dxa"/>
            <w:vAlign w:val="bottom"/>
            <w:tcBorders>
              <w:top w:val="single" w:sz="8" w:color="DCDCDE"/>
            </w:tcBorders>
            <w:gridSpan w:val="2"/>
            <w:shd w:val="clear" w:color="auto" w:fill="DCDCDE"/>
          </w:tcPr>
          <w:p>
            <w:pPr>
              <w:jc w:val="right"/>
              <w:spacing w:after="0" w:line="151" w:lineRule="exact"/>
              <w:rPr>
                <w:sz w:val="20"/>
                <w:szCs w:val="20"/>
                <w:color w:val="auto"/>
              </w:rPr>
            </w:pPr>
            <w:r>
              <w:rPr>
                <w:rFonts w:ascii="Arial" w:cs="Arial" w:eastAsia="Arial" w:hAnsi="Arial"/>
                <w:sz w:val="15"/>
                <w:szCs w:val="15"/>
                <w:color w:val="auto"/>
              </w:rPr>
              <w:t>200%</w:t>
            </w:r>
          </w:p>
        </w:tc>
        <w:tc>
          <w:tcPr>
            <w:tcW w:w="1480" w:type="dxa"/>
            <w:vAlign w:val="bottom"/>
            <w:tcBorders>
              <w:top w:val="single" w:sz="8" w:color="DCDCDE"/>
            </w:tcBorders>
            <w:shd w:val="clear" w:color="auto" w:fill="DCDCDE"/>
          </w:tcPr>
          <w:p>
            <w:pPr>
              <w:jc w:val="center"/>
              <w:spacing w:after="0" w:line="151" w:lineRule="exact"/>
              <w:rPr>
                <w:sz w:val="20"/>
                <w:szCs w:val="20"/>
                <w:color w:val="auto"/>
              </w:rPr>
            </w:pPr>
            <w:r>
              <w:rPr>
                <w:rFonts w:ascii="Arial" w:cs="Arial" w:eastAsia="Arial" w:hAnsi="Arial"/>
                <w:sz w:val="15"/>
                <w:szCs w:val="15"/>
                <w:color w:val="auto"/>
                <w:w w:val="83"/>
              </w:rPr>
              <w:t>none</w:t>
            </w:r>
          </w:p>
        </w:tc>
      </w:tr>
      <w:tr>
        <w:trPr>
          <w:trHeight w:val="214"/>
        </w:trPr>
        <w:tc>
          <w:tcPr>
            <w:tcW w:w="6120" w:type="dxa"/>
            <w:vAlign w:val="bottom"/>
            <w:gridSpan w:val="3"/>
          </w:tcPr>
          <w:p>
            <w:pPr>
              <w:spacing w:after="0" w:line="214" w:lineRule="exact"/>
              <w:rPr>
                <w:sz w:val="20"/>
                <w:szCs w:val="20"/>
                <w:color w:val="auto"/>
              </w:rPr>
            </w:pPr>
            <w:r>
              <w:rPr>
                <w:rFonts w:ascii="Arial" w:cs="Arial" w:eastAsia="Arial" w:hAnsi="Arial"/>
                <w:sz w:val="15"/>
                <w:szCs w:val="15"/>
                <w:color w:val="auto"/>
              </w:rPr>
              <w:t>Robert G. Kramer</w:t>
            </w:r>
            <w:r>
              <w:rPr>
                <w:rFonts w:ascii="Arial" w:cs="Arial" w:eastAsia="Arial" w:hAnsi="Arial"/>
                <w:sz w:val="24"/>
                <w:szCs w:val="24"/>
                <w:color w:val="auto"/>
                <w:vertAlign w:val="superscript"/>
              </w:rPr>
              <w:t>(1)</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250%</w:t>
            </w:r>
          </w:p>
        </w:tc>
        <w:tc>
          <w:tcPr>
            <w:tcW w:w="1480" w:type="dxa"/>
            <w:vAlign w:val="bottom"/>
          </w:tcPr>
          <w:p>
            <w:pPr>
              <w:jc w:val="center"/>
              <w:spacing w:after="0"/>
              <w:rPr>
                <w:sz w:val="20"/>
                <w:szCs w:val="20"/>
                <w:color w:val="auto"/>
              </w:rPr>
            </w:pPr>
            <w:r>
              <w:rPr>
                <w:rFonts w:ascii="Arial" w:cs="Arial" w:eastAsia="Arial" w:hAnsi="Arial"/>
                <w:sz w:val="15"/>
                <w:szCs w:val="15"/>
                <w:color w:val="auto"/>
                <w:w w:val="85"/>
              </w:rPr>
              <w:t>30 months</w:t>
            </w:r>
          </w:p>
        </w:tc>
      </w:tr>
      <w:tr>
        <w:trPr>
          <w:trHeight w:val="180"/>
        </w:trPr>
        <w:tc>
          <w:tcPr>
            <w:tcW w:w="6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14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200%</w:t>
            </w:r>
          </w:p>
        </w:tc>
        <w:tc>
          <w:tcPr>
            <w:tcW w:w="148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5"/>
              </w:rPr>
              <w:t>24 months</w:t>
            </w:r>
          </w:p>
        </w:tc>
      </w:tr>
      <w:tr>
        <w:trPr>
          <w:trHeight w:val="180"/>
        </w:trPr>
        <w:tc>
          <w:tcPr>
            <w:tcW w:w="612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200%</w:t>
            </w:r>
          </w:p>
        </w:tc>
        <w:tc>
          <w:tcPr>
            <w:tcW w:w="1480" w:type="dxa"/>
            <w:vAlign w:val="bottom"/>
          </w:tcPr>
          <w:p>
            <w:pPr>
              <w:jc w:val="center"/>
              <w:spacing w:after="0"/>
              <w:rPr>
                <w:sz w:val="20"/>
                <w:szCs w:val="20"/>
                <w:color w:val="auto"/>
              </w:rPr>
            </w:pPr>
            <w:r>
              <w:rPr>
                <w:rFonts w:ascii="Arial" w:cs="Arial" w:eastAsia="Arial" w:hAnsi="Arial"/>
                <w:sz w:val="15"/>
                <w:szCs w:val="15"/>
                <w:color w:val="auto"/>
                <w:w w:val="85"/>
              </w:rPr>
              <w:t>24 months</w:t>
            </w:r>
          </w:p>
        </w:tc>
      </w:tr>
      <w:tr>
        <w:trPr>
          <w:trHeight w:val="180"/>
        </w:trPr>
        <w:tc>
          <w:tcPr>
            <w:tcW w:w="612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142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200%</w:t>
            </w:r>
          </w:p>
        </w:tc>
        <w:tc>
          <w:tcPr>
            <w:tcW w:w="1480" w:type="dxa"/>
            <w:vAlign w:val="bottom"/>
            <w:shd w:val="clear" w:color="auto" w:fill="DCDCDE"/>
          </w:tcPr>
          <w:p>
            <w:pPr>
              <w:jc w:val="center"/>
              <w:spacing w:after="0"/>
              <w:rPr>
                <w:sz w:val="20"/>
                <w:szCs w:val="20"/>
                <w:color w:val="auto"/>
              </w:rPr>
            </w:pPr>
            <w:r>
              <w:rPr>
                <w:rFonts w:ascii="Arial" w:cs="Arial" w:eastAsia="Arial" w:hAnsi="Arial"/>
                <w:sz w:val="15"/>
                <w:szCs w:val="15"/>
                <w:color w:val="auto"/>
                <w:w w:val="85"/>
              </w:rPr>
              <w:t>24 months</w:t>
            </w:r>
          </w:p>
        </w:tc>
      </w:tr>
      <w:tr>
        <w:trPr>
          <w:trHeight w:val="187"/>
        </w:trPr>
        <w:tc>
          <w:tcPr>
            <w:tcW w:w="612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1420" w:type="dxa"/>
            <w:vAlign w:val="bottom"/>
            <w:gridSpan w:val="2"/>
          </w:tcPr>
          <w:p>
            <w:pPr>
              <w:jc w:val="right"/>
              <w:ind w:right="120"/>
              <w:spacing w:after="0"/>
              <w:rPr>
                <w:sz w:val="20"/>
                <w:szCs w:val="20"/>
                <w:color w:val="auto"/>
              </w:rPr>
            </w:pPr>
            <w:r>
              <w:rPr>
                <w:rFonts w:ascii="Arial" w:cs="Arial" w:eastAsia="Arial" w:hAnsi="Arial"/>
                <w:sz w:val="15"/>
                <w:szCs w:val="15"/>
                <w:color w:val="auto"/>
              </w:rPr>
              <w:t>N/A</w:t>
            </w:r>
          </w:p>
        </w:tc>
        <w:tc>
          <w:tcPr>
            <w:tcW w:w="1480" w:type="dxa"/>
            <w:vAlign w:val="bottom"/>
          </w:tcPr>
          <w:p>
            <w:pPr>
              <w:jc w:val="center"/>
              <w:spacing w:after="0"/>
              <w:rPr>
                <w:sz w:val="20"/>
                <w:szCs w:val="20"/>
                <w:color w:val="auto"/>
              </w:rPr>
            </w:pPr>
            <w:r>
              <w:rPr>
                <w:rFonts w:ascii="Arial" w:cs="Arial" w:eastAsia="Arial" w:hAnsi="Arial"/>
                <w:sz w:val="15"/>
                <w:szCs w:val="15"/>
                <w:color w:val="auto"/>
                <w:w w:val="95"/>
              </w:rPr>
              <w:t>N/A</w:t>
            </w:r>
          </w:p>
        </w:tc>
      </w:tr>
      <w:tr>
        <w:trPr>
          <w:trHeight w:val="84"/>
        </w:trPr>
        <w:tc>
          <w:tcPr>
            <w:tcW w:w="2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80" w:type="dxa"/>
            <w:vAlign w:val="bottom"/>
          </w:tcPr>
          <w:p>
            <w:pPr>
              <w:spacing w:after="0"/>
              <w:rPr>
                <w:sz w:val="7"/>
                <w:szCs w:val="7"/>
                <w:color w:val="auto"/>
              </w:rPr>
            </w:pPr>
          </w:p>
        </w:tc>
      </w:tr>
    </w:tbl>
    <w:p>
      <w:pPr>
        <w:spacing w:after="0" w:line="196" w:lineRule="exact"/>
        <w:rPr>
          <w:sz w:val="20"/>
          <w:szCs w:val="20"/>
          <w:color w:val="auto"/>
        </w:rPr>
      </w:pPr>
    </w:p>
    <w:p>
      <w:pPr>
        <w:ind w:left="5560" w:right="2420" w:hanging="4443"/>
        <w:spacing w:after="0" w:line="521" w:lineRule="auto"/>
        <w:tabs>
          <w:tab w:leader="none" w:pos="1577"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amounts for Mr. Kramer became effective upon his promotion to president and chief executive officer on April 1, 2019.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-15240</wp:posOffset>
            </wp:positionV>
            <wp:extent cx="7160260" cy="196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0" w:name="page71"/>
    <w:bookmarkEnd w:id="70"/>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firstLine="325"/>
        <w:spacing w:after="0" w:line="270" w:lineRule="auto"/>
        <w:rPr>
          <w:sz w:val="20"/>
          <w:szCs w:val="20"/>
          <w:color w:val="auto"/>
        </w:rPr>
      </w:pPr>
      <w:r>
        <w:rPr>
          <w:rFonts w:ascii="Arial" w:cs="Arial" w:eastAsia="Arial" w:hAnsi="Arial"/>
          <w:sz w:val="15"/>
          <w:szCs w:val="15"/>
          <w:color w:val="auto"/>
        </w:rPr>
        <w:t>The following table sets forth the amount of potential payments and value of benefits that each named executive officer would have received if we had terminated the executive officer's employment prior to or in connection with a change of control on December 31, 2019.</w:t>
      </w:r>
    </w:p>
    <w:p>
      <w:pPr>
        <w:spacing w:after="0" w:line="194"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10"/>
          </w:tcPr>
          <w:p>
            <w:pPr>
              <w:ind w:left="300"/>
              <w:spacing w:after="0"/>
              <w:rPr>
                <w:sz w:val="20"/>
                <w:szCs w:val="20"/>
                <w:color w:val="auto"/>
              </w:rPr>
            </w:pPr>
            <w:r>
              <w:rPr>
                <w:rFonts w:ascii="Arial" w:cs="Arial" w:eastAsia="Arial" w:hAnsi="Arial"/>
                <w:sz w:val="11"/>
                <w:szCs w:val="11"/>
                <w:b w:val="1"/>
                <w:bCs w:val="1"/>
                <w:color w:val="auto"/>
              </w:rPr>
              <w:t>Termination Prior to or in Connection with a Change of Control</w:t>
            </w:r>
          </w:p>
        </w:tc>
      </w:tr>
      <w:tr>
        <w:trPr>
          <w:trHeight w:val="138"/>
        </w:trPr>
        <w:tc>
          <w:tcPr>
            <w:tcW w:w="2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6"/>
              </w:rPr>
              <w:t>Name</w:t>
            </w:r>
          </w:p>
        </w:tc>
        <w:tc>
          <w:tcPr>
            <w:tcW w:w="478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2"/>
              <w:spacing w:after="0" w:line="138" w:lineRule="exact"/>
              <w:rPr>
                <w:sz w:val="20"/>
                <w:szCs w:val="20"/>
                <w:color w:val="auto"/>
              </w:rPr>
            </w:pPr>
            <w:r>
              <w:rPr>
                <w:rFonts w:ascii="Arial" w:cs="Arial" w:eastAsia="Arial" w:hAnsi="Arial"/>
                <w:sz w:val="10"/>
                <w:szCs w:val="10"/>
                <w:b w:val="1"/>
                <w:bCs w:val="1"/>
                <w:color w:val="auto"/>
                <w:w w:val="96"/>
              </w:rPr>
              <w:t>Cash Payments</w:t>
            </w:r>
            <w:r>
              <w:rPr>
                <w:rFonts w:ascii="Arial" w:cs="Arial" w:eastAsia="Arial" w:hAnsi="Arial"/>
                <w:sz w:val="15"/>
                <w:szCs w:val="15"/>
                <w:b w:val="1"/>
                <w:bCs w:val="1"/>
                <w:color w:val="auto"/>
                <w:w w:val="96"/>
                <w:vertAlign w:val="superscript"/>
              </w:rPr>
              <w:t>(1)</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0"/>
              <w:spacing w:after="0" w:line="138" w:lineRule="exact"/>
              <w:rPr>
                <w:sz w:val="20"/>
                <w:szCs w:val="20"/>
                <w:color w:val="auto"/>
              </w:rPr>
            </w:pPr>
            <w:r>
              <w:rPr>
                <w:rFonts w:ascii="Arial" w:cs="Arial" w:eastAsia="Arial" w:hAnsi="Arial"/>
                <w:sz w:val="10"/>
                <w:szCs w:val="10"/>
                <w:b w:val="1"/>
                <w:bCs w:val="1"/>
                <w:color w:val="auto"/>
                <w:w w:val="98"/>
              </w:rPr>
              <w:t>Value of Benefits</w:t>
            </w:r>
            <w:r>
              <w:rPr>
                <w:rFonts w:ascii="Arial" w:cs="Arial" w:eastAsia="Arial" w:hAnsi="Arial"/>
                <w:sz w:val="15"/>
                <w:szCs w:val="15"/>
                <w:b w:val="1"/>
                <w:bCs w:val="1"/>
                <w:color w:val="auto"/>
                <w:w w:val="98"/>
                <w:vertAlign w:val="superscript"/>
              </w:rPr>
              <w:t>(2)</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340" w:type="dxa"/>
            <w:vAlign w:val="bottom"/>
            <w:tcBorders>
              <w:top w:val="single" w:sz="8" w:color="auto"/>
              <w:bottom w:val="single" w:sz="8" w:color="auto"/>
            </w:tcBorders>
          </w:tcPr>
          <w:p>
            <w:pPr>
              <w:jc w:val="right"/>
              <w:ind w:right="10"/>
              <w:spacing w:after="0" w:line="138" w:lineRule="exact"/>
              <w:rPr>
                <w:sz w:val="20"/>
                <w:szCs w:val="20"/>
                <w:color w:val="auto"/>
              </w:rPr>
            </w:pPr>
            <w:r>
              <w:rPr>
                <w:rFonts w:ascii="Arial" w:cs="Arial" w:eastAsia="Arial" w:hAnsi="Arial"/>
                <w:sz w:val="10"/>
                <w:szCs w:val="10"/>
                <w:b w:val="1"/>
                <w:bCs w:val="1"/>
                <w:color w:val="auto"/>
              </w:rPr>
              <w:t>Value of Equity Awards</w:t>
            </w:r>
            <w:r>
              <w:rPr>
                <w:rFonts w:ascii="Arial" w:cs="Arial" w:eastAsia="Arial" w:hAnsi="Arial"/>
                <w:sz w:val="15"/>
                <w:szCs w:val="15"/>
                <w:b w:val="1"/>
                <w:bCs w:val="1"/>
                <w:color w:val="auto"/>
                <w:vertAlign w:val="superscript"/>
              </w:rPr>
              <w:t>(3)</w:t>
            </w:r>
          </w:p>
        </w:tc>
        <w:tc>
          <w:tcPr>
            <w:tcW w:w="20" w:type="dxa"/>
            <w:vAlign w:val="bottom"/>
          </w:tcPr>
          <w:p>
            <w:pPr>
              <w:spacing w:after="0"/>
              <w:rPr>
                <w:sz w:val="11"/>
                <w:szCs w:val="11"/>
                <w:color w:val="auto"/>
              </w:rPr>
            </w:pPr>
          </w:p>
        </w:tc>
      </w:tr>
      <w:tr>
        <w:trPr>
          <w:trHeight w:val="172"/>
        </w:trPr>
        <w:tc>
          <w:tcPr>
            <w:tcW w:w="50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Fuad El-Hibri</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2,108,080</w:t>
            </w:r>
          </w:p>
        </w:tc>
        <w:tc>
          <w:tcPr>
            <w:tcW w:w="60" w:type="dxa"/>
            <w:vAlign w:val="bottom"/>
            <w:shd w:val="clear" w:color="auto" w:fill="DCDCDE"/>
          </w:tcPr>
          <w:p>
            <w:pPr>
              <w:spacing w:after="0"/>
              <w:rPr>
                <w:sz w:val="14"/>
                <w:szCs w:val="14"/>
                <w:color w:val="auto"/>
              </w:rPr>
            </w:pPr>
          </w:p>
        </w:tc>
        <w:tc>
          <w:tcPr>
            <w:tcW w:w="8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60" w:type="dxa"/>
            <w:vAlign w:val="bottom"/>
            <w:shd w:val="clear" w:color="auto" w:fill="DCDCDE"/>
          </w:tcPr>
          <w:p>
            <w:pPr>
              <w:spacing w:after="0"/>
              <w:rPr>
                <w:sz w:val="14"/>
                <w:szCs w:val="14"/>
                <w:color w:val="auto"/>
              </w:rPr>
            </w:pPr>
          </w:p>
        </w:tc>
        <w:tc>
          <w:tcPr>
            <w:tcW w:w="60" w:type="dxa"/>
            <w:vAlign w:val="bottom"/>
            <w:shd w:val="clear" w:color="auto" w:fill="DCDCDE"/>
          </w:tcPr>
          <w:p>
            <w:pPr>
              <w:spacing w:after="0"/>
              <w:rPr>
                <w:sz w:val="14"/>
                <w:szCs w:val="14"/>
                <w:color w:val="auto"/>
              </w:rPr>
            </w:pPr>
          </w:p>
        </w:tc>
        <w:tc>
          <w:tcPr>
            <w:tcW w:w="10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2,762,237</w:t>
            </w:r>
          </w:p>
        </w:tc>
        <w:tc>
          <w:tcPr>
            <w:tcW w:w="20" w:type="dxa"/>
            <w:vAlign w:val="bottom"/>
          </w:tcPr>
          <w:p>
            <w:pPr>
              <w:spacing w:after="0"/>
              <w:rPr>
                <w:sz w:val="14"/>
                <w:szCs w:val="14"/>
                <w:color w:val="auto"/>
              </w:rPr>
            </w:pPr>
          </w:p>
        </w:tc>
      </w:tr>
      <w:tr>
        <w:trPr>
          <w:trHeight w:val="180"/>
        </w:trPr>
        <w:tc>
          <w:tcPr>
            <w:tcW w:w="5060" w:type="dxa"/>
            <w:vAlign w:val="bottom"/>
            <w:gridSpan w:val="3"/>
          </w:tcPr>
          <w:p>
            <w:pPr>
              <w:spacing w:after="0"/>
              <w:rPr>
                <w:sz w:val="20"/>
                <w:szCs w:val="20"/>
                <w:color w:val="auto"/>
              </w:rPr>
            </w:pPr>
            <w:r>
              <w:rPr>
                <w:rFonts w:ascii="Arial" w:cs="Arial" w:eastAsia="Arial" w:hAnsi="Arial"/>
                <w:sz w:val="15"/>
                <w:szCs w:val="15"/>
                <w:color w:val="auto"/>
              </w:rPr>
              <w:t>Robert G. Kramer</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3,237,514</w:t>
            </w: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82,291</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2,781,916</w:t>
            </w:r>
          </w:p>
        </w:tc>
        <w:tc>
          <w:tcPr>
            <w:tcW w:w="20" w:type="dxa"/>
            <w:vAlign w:val="bottom"/>
          </w:tcPr>
          <w:p>
            <w:pPr>
              <w:spacing w:after="0"/>
              <w:rPr>
                <w:sz w:val="15"/>
                <w:szCs w:val="15"/>
                <w:color w:val="auto"/>
              </w:rPr>
            </w:pPr>
          </w:p>
        </w:tc>
      </w:tr>
      <w:tr>
        <w:trPr>
          <w:trHeight w:val="180"/>
        </w:trPr>
        <w:tc>
          <w:tcPr>
            <w:tcW w:w="50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Richard S. Lindahl</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1,596,590</w:t>
            </w:r>
          </w:p>
        </w:tc>
        <w:tc>
          <w:tcPr>
            <w:tcW w:w="60" w:type="dxa"/>
            <w:vAlign w:val="bottom"/>
            <w:shd w:val="clear" w:color="auto" w:fill="DCDCDE"/>
          </w:tcPr>
          <w:p>
            <w:pPr>
              <w:spacing w:after="0"/>
              <w:rPr>
                <w:sz w:val="15"/>
                <w:szCs w:val="15"/>
                <w:color w:val="auto"/>
              </w:rPr>
            </w:pPr>
          </w:p>
        </w:tc>
        <w:tc>
          <w:tcPr>
            <w:tcW w:w="16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65,832</w:t>
            </w:r>
          </w:p>
        </w:tc>
        <w:tc>
          <w:tcPr>
            <w:tcW w:w="16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1,127,625</w:t>
            </w:r>
          </w:p>
        </w:tc>
        <w:tc>
          <w:tcPr>
            <w:tcW w:w="20" w:type="dxa"/>
            <w:vAlign w:val="bottom"/>
          </w:tcPr>
          <w:p>
            <w:pPr>
              <w:spacing w:after="0"/>
              <w:rPr>
                <w:sz w:val="15"/>
                <w:szCs w:val="15"/>
                <w:color w:val="auto"/>
              </w:rPr>
            </w:pPr>
          </w:p>
        </w:tc>
      </w:tr>
      <w:tr>
        <w:trPr>
          <w:trHeight w:val="180"/>
        </w:trPr>
        <w:tc>
          <w:tcPr>
            <w:tcW w:w="5060" w:type="dxa"/>
            <w:vAlign w:val="bottom"/>
            <w:gridSpan w:val="3"/>
          </w:tcPr>
          <w:p>
            <w:pPr>
              <w:spacing w:after="0"/>
              <w:rPr>
                <w:sz w:val="20"/>
                <w:szCs w:val="20"/>
                <w:color w:val="auto"/>
              </w:rPr>
            </w:pPr>
            <w:r>
              <w:rPr>
                <w:rFonts w:ascii="Arial" w:cs="Arial" w:eastAsia="Arial" w:hAnsi="Arial"/>
                <w:sz w:val="15"/>
                <w:szCs w:val="15"/>
                <w:color w:val="auto"/>
              </w:rPr>
              <w:t>Adam Havey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1,500,772</w:t>
            </w:r>
          </w:p>
        </w:tc>
        <w:tc>
          <w:tcPr>
            <w:tcW w:w="6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5"/>
                <w:szCs w:val="15"/>
                <w:color w:val="auto"/>
              </w:rPr>
              <w:t>65,832</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1,500,322</w:t>
            </w:r>
          </w:p>
        </w:tc>
        <w:tc>
          <w:tcPr>
            <w:tcW w:w="20" w:type="dxa"/>
            <w:vAlign w:val="bottom"/>
          </w:tcPr>
          <w:p>
            <w:pPr>
              <w:spacing w:after="0"/>
              <w:rPr>
                <w:sz w:val="15"/>
                <w:szCs w:val="15"/>
                <w:color w:val="auto"/>
              </w:rPr>
            </w:pPr>
          </w:p>
        </w:tc>
      </w:tr>
      <w:tr>
        <w:trPr>
          <w:trHeight w:val="180"/>
        </w:trPr>
        <w:tc>
          <w:tcPr>
            <w:tcW w:w="5060" w:type="dxa"/>
            <w:vAlign w:val="bottom"/>
            <w:gridSpan w:val="3"/>
            <w:shd w:val="clear" w:color="auto" w:fill="DCDCDE"/>
          </w:tcPr>
          <w:p>
            <w:pPr>
              <w:spacing w:after="0"/>
              <w:rPr>
                <w:sz w:val="20"/>
                <w:szCs w:val="20"/>
                <w:color w:val="auto"/>
              </w:rPr>
            </w:pPr>
            <w:r>
              <w:rPr>
                <w:rFonts w:ascii="Arial" w:cs="Arial" w:eastAsia="Arial" w:hAnsi="Arial"/>
                <w:sz w:val="15"/>
                <w:szCs w:val="15"/>
                <w:color w:val="auto"/>
              </w:rPr>
              <w:t>Atul Saran</w:t>
            </w:r>
          </w:p>
        </w:tc>
        <w:tc>
          <w:tcPr>
            <w:tcW w:w="80" w:type="dxa"/>
            <w:vAlign w:val="bottom"/>
            <w:shd w:val="clear" w:color="auto" w:fill="DCDCDE"/>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1,511,889</w:t>
            </w:r>
          </w:p>
        </w:tc>
        <w:tc>
          <w:tcPr>
            <w:tcW w:w="16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DCDCDE"/>
          </w:tcPr>
          <w:p>
            <w:pPr>
              <w:jc w:val="right"/>
              <w:ind w:right="60"/>
              <w:spacing w:after="0"/>
              <w:rPr>
                <w:sz w:val="20"/>
                <w:szCs w:val="20"/>
                <w:color w:val="auto"/>
              </w:rPr>
            </w:pPr>
            <w:r>
              <w:rPr>
                <w:rFonts w:ascii="Arial" w:cs="Arial" w:eastAsia="Arial" w:hAnsi="Arial"/>
                <w:sz w:val="15"/>
                <w:szCs w:val="15"/>
                <w:color w:val="auto"/>
              </w:rPr>
              <w:t>65,832</w:t>
            </w:r>
          </w:p>
        </w:tc>
        <w:tc>
          <w:tcPr>
            <w:tcW w:w="160" w:type="dxa"/>
            <w:vAlign w:val="bottom"/>
            <w:gridSpan w:val="2"/>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1,437,011</w:t>
            </w:r>
          </w:p>
        </w:tc>
        <w:tc>
          <w:tcPr>
            <w:tcW w:w="20" w:type="dxa"/>
            <w:vAlign w:val="bottom"/>
          </w:tcPr>
          <w:p>
            <w:pPr>
              <w:spacing w:after="0"/>
              <w:rPr>
                <w:sz w:val="15"/>
                <w:szCs w:val="15"/>
                <w:color w:val="auto"/>
              </w:rPr>
            </w:pPr>
          </w:p>
        </w:tc>
      </w:tr>
      <w:tr>
        <w:trPr>
          <w:trHeight w:val="187"/>
        </w:trPr>
        <w:tc>
          <w:tcPr>
            <w:tcW w:w="5060" w:type="dxa"/>
            <w:vAlign w:val="bottom"/>
            <w:gridSpan w:val="3"/>
          </w:tcPr>
          <w:p>
            <w:pPr>
              <w:spacing w:after="0"/>
              <w:rPr>
                <w:sz w:val="20"/>
                <w:szCs w:val="20"/>
                <w:color w:val="auto"/>
              </w:rPr>
            </w:pPr>
            <w:r>
              <w:rPr>
                <w:rFonts w:ascii="Arial" w:cs="Arial" w:eastAsia="Arial" w:hAnsi="Arial"/>
                <w:sz w:val="15"/>
                <w:szCs w:val="15"/>
                <w:color w:val="auto"/>
              </w:rPr>
              <w:t>Daniel J. Abdun-Nabi</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N/A</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00" w:type="dxa"/>
            <w:vAlign w:val="bottom"/>
            <w:gridSpan w:val="2"/>
          </w:tcPr>
          <w:p>
            <w:pPr>
              <w:ind w:left="780"/>
              <w:spacing w:after="0"/>
              <w:rPr>
                <w:sz w:val="20"/>
                <w:szCs w:val="20"/>
                <w:color w:val="auto"/>
              </w:rPr>
            </w:pPr>
            <w:r>
              <w:rPr>
                <w:rFonts w:ascii="Arial" w:cs="Arial" w:eastAsia="Arial" w:hAnsi="Arial"/>
                <w:sz w:val="15"/>
                <w:szCs w:val="15"/>
                <w:color w:val="auto"/>
              </w:rPr>
              <w:t>N/A</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N/A</w:t>
            </w:r>
          </w:p>
        </w:tc>
        <w:tc>
          <w:tcPr>
            <w:tcW w:w="20" w:type="dxa"/>
            <w:vAlign w:val="bottom"/>
          </w:tcPr>
          <w:p>
            <w:pPr>
              <w:spacing w:after="0"/>
              <w:rPr>
                <w:sz w:val="16"/>
                <w:szCs w:val="16"/>
                <w:color w:val="auto"/>
              </w:rPr>
            </w:pPr>
          </w:p>
        </w:tc>
      </w:tr>
      <w:tr>
        <w:trPr>
          <w:trHeight w:val="84"/>
        </w:trPr>
        <w:tc>
          <w:tcPr>
            <w:tcW w:w="2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184" w:lineRule="exact"/>
        <w:rPr>
          <w:sz w:val="20"/>
          <w:szCs w:val="20"/>
          <w:color w:val="auto"/>
        </w:rPr>
      </w:pPr>
    </w:p>
    <w:p>
      <w:pPr>
        <w:ind w:left="1560" w:right="20" w:hanging="443"/>
        <w:spacing w:after="0" w:line="270" w:lineRule="auto"/>
        <w:tabs>
          <w:tab w:leader="none" w:pos="1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amounts in this column represent the aggregate amount equal to the applicable specified percentage of the named executive officer's annual base salary in effect on December 31, 2019, plus 100% of the named executive officer's target annual bonus for 2019.</w:t>
      </w:r>
    </w:p>
    <w:p>
      <w:pPr>
        <w:spacing w:after="0" w:line="175" w:lineRule="exact"/>
        <w:rPr>
          <w:rFonts w:ascii="Arial" w:cs="Arial" w:eastAsia="Arial" w:hAnsi="Arial"/>
          <w:sz w:val="15"/>
          <w:szCs w:val="15"/>
          <w:color w:val="auto"/>
        </w:rPr>
      </w:pPr>
    </w:p>
    <w:p>
      <w:pPr>
        <w:ind w:left="1560" w:hanging="443"/>
        <w:spacing w:after="0"/>
        <w:tabs>
          <w:tab w:leader="none" w:pos="15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amounts in this column reflect the estimated value of future premiums under our health and welfare benefit plans and life insurance program.</w:t>
      </w:r>
    </w:p>
    <w:p>
      <w:pPr>
        <w:spacing w:after="0" w:line="199" w:lineRule="exact"/>
        <w:rPr>
          <w:rFonts w:ascii="Arial" w:cs="Arial" w:eastAsia="Arial" w:hAnsi="Arial"/>
          <w:sz w:val="15"/>
          <w:szCs w:val="15"/>
          <w:color w:val="auto"/>
        </w:rPr>
      </w:pPr>
    </w:p>
    <w:p>
      <w:pPr>
        <w:jc w:val="both"/>
        <w:ind w:left="1560" w:hanging="443"/>
        <w:spacing w:after="0" w:line="275" w:lineRule="auto"/>
        <w:tabs>
          <w:tab w:leader="none" w:pos="15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 this column reflect the value of accelerated vesting of stock options and RSUs. The value of accelerated vesting of stock options was calculated by multiplying the number of shares subject to accelerated vesting under outstanding stock options by the difference between $53.95, which was the closing market price per share of our common stock on December 31, 2019, and the per share exercise price of the applicable accelerated stock option. The value of accelerated vesting of RSUs was calculated by multiplying the number of shares subject to accelerated vesting under RSU grants by $53.95, which was the closing market price per share of our common stock on December 31, 2019. The value of accelerated vesting of PSUs was calculated by multiplying the number of shares subject to accelerated vesting under PSU grants by $53.95, which was the closing market price per share of our common stock on December 31, 2019, with an associated performance factor of 100%.</w:t>
      </w:r>
    </w:p>
    <w:p>
      <w:pPr>
        <w:spacing w:after="0" w:line="151" w:lineRule="exact"/>
        <w:rPr>
          <w:sz w:val="20"/>
          <w:szCs w:val="20"/>
          <w:color w:val="auto"/>
        </w:rPr>
      </w:pPr>
    </w:p>
    <w:p>
      <w:pPr>
        <w:jc w:val="both"/>
        <w:ind w:firstLine="313"/>
        <w:spacing w:after="0" w:line="254" w:lineRule="auto"/>
        <w:rPr>
          <w:sz w:val="20"/>
          <w:szCs w:val="20"/>
          <w:color w:val="auto"/>
        </w:rPr>
      </w:pPr>
      <w:r>
        <w:rPr>
          <w:rFonts w:ascii="Arial" w:cs="Arial" w:eastAsia="Arial" w:hAnsi="Arial"/>
          <w:sz w:val="15"/>
          <w:szCs w:val="15"/>
          <w:i w:val="1"/>
          <w:iCs w:val="1"/>
          <w:color w:val="auto"/>
        </w:rPr>
        <w:t xml:space="preserve">General provisions. </w:t>
      </w:r>
      <w:r>
        <w:rPr>
          <w:rFonts w:ascii="Arial" w:cs="Arial" w:eastAsia="Arial" w:hAnsi="Arial"/>
          <w:sz w:val="15"/>
          <w:szCs w:val="15"/>
          <w:color w:val="auto"/>
        </w:rPr>
        <w:t>All payments under the Senior Management Severance Plan will be reduced by any applicable taxes required by applicable law to be paid or withheld by us. If at the</w:t>
      </w:r>
      <w:r>
        <w:rPr>
          <w:rFonts w:ascii="Arial" w:cs="Arial" w:eastAsia="Arial" w:hAnsi="Arial"/>
          <w:sz w:val="15"/>
          <w:szCs w:val="15"/>
          <w:i w:val="1"/>
          <w:iCs w:val="1"/>
          <w:color w:val="auto"/>
        </w:rPr>
        <w:t xml:space="preserve"> </w:t>
      </w:r>
      <w:r>
        <w:rPr>
          <w:rFonts w:ascii="Arial" w:cs="Arial" w:eastAsia="Arial" w:hAnsi="Arial"/>
          <w:sz w:val="15"/>
          <w:szCs w:val="15"/>
          <w:color w:val="auto"/>
        </w:rPr>
        <w:t>time a participant's employment is terminated, the participant is a "specified employee" within the meaning of Section 409A of the Internal Revenue Code ("Section 409A"), then any payments to the participant that constitute non-qualified deferred compensation within the meaning of Section 409A will be delayed by a period of six months. All such payments that would have been made to the participant during the six-month period will be made in a lump sum on the date that is six months and one day following the date of termination, and all remaining payments will commence in the seventh month following the date of termination. Our Board or any committee thereof designated by our Board is authorized to administer the Senior Management Severance Plan and has authority to adopt, amend and repeal the administrative rules, guidelines and practices relating to the Senior Management Severance Plan as it deems advisable.</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As a condition to payment of any amounts under the Senior Management Severance Plan in connection with a termination without cause, the participant is required:</w:t>
      </w:r>
    </w:p>
    <w:p>
      <w:pPr>
        <w:spacing w:after="0" w:line="199" w:lineRule="exact"/>
        <w:rPr>
          <w:sz w:val="20"/>
          <w:szCs w:val="20"/>
          <w:color w:val="auto"/>
        </w:rPr>
      </w:pPr>
    </w:p>
    <w:p>
      <w:pPr>
        <w:ind w:left="900" w:hanging="459"/>
        <w:spacing w:after="0"/>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same stated period during which we have agreed to provide continued employee benefits to the terminated employee (not to exceed one year), not to:</w:t>
      </w:r>
    </w:p>
    <w:p>
      <w:pPr>
        <w:spacing w:after="0" w:line="379" w:lineRule="exact"/>
        <w:rPr>
          <w:rFonts w:ascii="Arial" w:cs="Arial" w:eastAsia="Arial" w:hAnsi="Arial"/>
          <w:sz w:val="14"/>
          <w:szCs w:val="14"/>
          <w:color w:val="auto"/>
        </w:rPr>
      </w:pPr>
    </w:p>
    <w:p>
      <w:pPr>
        <w:ind w:left="900"/>
        <w:spacing w:after="0"/>
        <w:rPr>
          <w:rFonts w:ascii="Arial" w:cs="Arial" w:eastAsia="Arial" w:hAnsi="Arial"/>
          <w:sz w:val="14"/>
          <w:szCs w:val="14"/>
          <w:color w:val="auto"/>
        </w:rPr>
      </w:pPr>
      <w:r>
        <w:rPr>
          <w:rFonts w:ascii="Arial" w:cs="Arial" w:eastAsia="Arial" w:hAnsi="Arial"/>
          <w:sz w:val="15"/>
          <w:szCs w:val="15"/>
          <w:color w:val="auto"/>
        </w:rPr>
        <w:t>—</w:t>
      </w:r>
      <w:r>
        <w:rPr>
          <w:rFonts w:ascii="Arial" w:cs="Arial" w:eastAsia="Arial" w:hAnsi="Arial"/>
          <w:sz w:val="13"/>
          <w:szCs w:val="13"/>
          <w:color w:val="auto"/>
        </w:rPr>
        <w:t>Induce, counsel, advise, solicit or encourage our employees to leave our employ or to accept employment with any other person or entity,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1" w:name="page72"/>
    <w:bookmarkEnd w:id="71"/>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1340" w:hanging="451"/>
        <w:spacing w:after="0" w:line="270" w:lineRule="auto"/>
        <w:rPr>
          <w:sz w:val="20"/>
          <w:szCs w:val="20"/>
          <w:color w:val="auto"/>
        </w:rPr>
      </w:pPr>
      <w:r>
        <w:rPr>
          <w:rFonts w:ascii="Arial" w:cs="Arial" w:eastAsia="Arial" w:hAnsi="Arial"/>
          <w:sz w:val="15"/>
          <w:szCs w:val="15"/>
          <w:color w:val="auto"/>
        </w:rPr>
        <w:t>—Induce, counsel, advise, solicit or encourage any person who we employed within six months prior to that time to accept employment with any person or entity besides us or hire or engage that person as an independent contractor,</w:t>
      </w:r>
    </w:p>
    <w:p>
      <w:pPr>
        <w:spacing w:after="0" w:line="164" w:lineRule="exact"/>
        <w:rPr>
          <w:sz w:val="20"/>
          <w:szCs w:val="20"/>
          <w:color w:val="auto"/>
        </w:rPr>
      </w:pPr>
    </w:p>
    <w:p>
      <w:pPr>
        <w:ind w:left="1340" w:hanging="451"/>
        <w:spacing w:after="0" w:line="270" w:lineRule="auto"/>
        <w:rPr>
          <w:sz w:val="20"/>
          <w:szCs w:val="20"/>
          <w:color w:val="auto"/>
        </w:rPr>
      </w:pPr>
      <w:r>
        <w:rPr>
          <w:rFonts w:ascii="Arial" w:cs="Arial" w:eastAsia="Arial" w:hAnsi="Arial"/>
          <w:sz w:val="15"/>
          <w:szCs w:val="15"/>
          <w:color w:val="auto"/>
        </w:rPr>
        <w:t>—Solicit, interfere with or endeavor to cause any of our customers, clients or business partners to cease or reduce its relationship with us or induce any such customer, client or business partner to breach any agreement that such customer, client or business partner may have with us, and</w:t>
      </w:r>
    </w:p>
    <w:p>
      <w:pPr>
        <w:spacing w:after="0" w:line="1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w:t>
      </w:r>
      <w:r>
        <w:rPr>
          <w:rFonts w:ascii="Arial" w:cs="Arial" w:eastAsia="Arial" w:hAnsi="Arial"/>
          <w:sz w:val="13"/>
          <w:szCs w:val="13"/>
          <w:color w:val="auto"/>
        </w:rPr>
        <w:t>Engage in or have a financial interest in any business competing with us within any state, region or locality in which we are then doing business or marketing products;</w:t>
      </w:r>
    </w:p>
    <w:p>
      <w:pPr>
        <w:spacing w:after="0" w:line="390" w:lineRule="exact"/>
        <w:rPr>
          <w:sz w:val="20"/>
          <w:szCs w:val="20"/>
          <w:color w:val="auto"/>
        </w:rPr>
      </w:pPr>
    </w:p>
    <w:p>
      <w:pPr>
        <w:ind w:left="900" w:hanging="459"/>
        <w:spacing w:after="0" w:line="306" w:lineRule="auto"/>
        <w:tabs>
          <w:tab w:leader="none" w:pos="9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Upon reasonable notice and at our expense, to cooperate fully with any reasonable request that may be made by us in connection with any investigation, litigation or other similar activity to which we are or may be a party or may otherwise be involved and for which the participant may have relevant information; and</w:t>
      </w:r>
    </w:p>
    <w:p>
      <w:pPr>
        <w:spacing w:after="0" w:line="152" w:lineRule="exact"/>
        <w:rPr>
          <w:rFonts w:ascii="Arial" w:cs="Arial" w:eastAsia="Arial" w:hAnsi="Arial"/>
          <w:sz w:val="14"/>
          <w:szCs w:val="14"/>
          <w:color w:val="auto"/>
        </w:rPr>
      </w:pPr>
    </w:p>
    <w:p>
      <w:pPr>
        <w:ind w:left="900" w:hanging="459"/>
        <w:spacing w:after="0" w:line="270" w:lineRule="auto"/>
        <w:tabs>
          <w:tab w:leader="none" w:pos="90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sign and deliver a suitable waiver and release under which the participant will release and discharge us from and on account of any and all claims that relate to or arise out of our employment relationship.</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92" w:lineRule="exact"/>
        <w:rPr>
          <w:sz w:val="20"/>
          <w:szCs w:val="20"/>
          <w:color w:val="auto"/>
        </w:rPr>
      </w:pPr>
    </w:p>
    <w:p>
      <w:pPr>
        <w:jc w:val="both"/>
        <w:ind w:firstLine="425"/>
        <w:spacing w:after="0" w:line="348" w:lineRule="auto"/>
        <w:rPr>
          <w:sz w:val="20"/>
          <w:szCs w:val="20"/>
          <w:color w:val="auto"/>
        </w:rPr>
      </w:pPr>
      <w:r>
        <w:rPr>
          <w:rFonts w:ascii="Arial" w:cs="Arial" w:eastAsia="Arial" w:hAnsi="Arial"/>
          <w:sz w:val="13"/>
          <w:szCs w:val="13"/>
          <w:color w:val="auto"/>
        </w:rPr>
        <w:t>The following table sets forth information as of December 31, 2019, regarding securities authorized for issuance under our equity compensation plans, consisting of the Emergent BioSolutions Inc. Stock Incentive Plan and the 2012 Employee Stock Purchase Plan. Both of our equity compensation plans were adopted with the approval of our stockholders.</w:t>
      </w:r>
    </w:p>
    <w:p>
      <w:pPr>
        <w:spacing w:after="0" w:line="101"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Number of Securities</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Number of Securities</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89"/>
              </w:rPr>
              <w:t>to be Issued upon</w:t>
            </w:r>
          </w:p>
        </w:tc>
        <w:tc>
          <w:tcPr>
            <w:tcW w:w="80" w:type="dxa"/>
            <w:vAlign w:val="bottom"/>
          </w:tcPr>
          <w:p>
            <w:pPr>
              <w:spacing w:after="0"/>
              <w:rPr>
                <w:sz w:val="10"/>
                <w:szCs w:val="10"/>
                <w:color w:val="auto"/>
              </w:rPr>
            </w:pPr>
          </w:p>
        </w:tc>
        <w:tc>
          <w:tcPr>
            <w:tcW w:w="1100" w:type="dxa"/>
            <w:vAlign w:val="bottom"/>
            <w:gridSpan w:val="2"/>
          </w:tcPr>
          <w:p>
            <w:pPr>
              <w:jc w:val="center"/>
              <w:ind w:right="200"/>
              <w:spacing w:after="0" w:line="124" w:lineRule="exact"/>
              <w:rPr>
                <w:sz w:val="20"/>
                <w:szCs w:val="20"/>
                <w:color w:val="auto"/>
              </w:rPr>
            </w:pPr>
            <w:r>
              <w:rPr>
                <w:rFonts w:ascii="Arial" w:cs="Arial" w:eastAsia="Arial" w:hAnsi="Arial"/>
                <w:sz w:val="11"/>
                <w:szCs w:val="11"/>
                <w:b w:val="1"/>
                <w:bCs w:val="1"/>
                <w:color w:val="auto"/>
                <w:w w:val="93"/>
              </w:rPr>
              <w:t>Weighted-Average</w:t>
            </w:r>
          </w:p>
        </w:tc>
        <w:tc>
          <w:tcPr>
            <w:tcW w:w="17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4"/>
              </w:rPr>
              <w:t>Remaining Available for</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1"/>
              </w:rPr>
              <w:t>Exercise of</w:t>
            </w:r>
          </w:p>
        </w:tc>
        <w:tc>
          <w:tcPr>
            <w:tcW w:w="80" w:type="dxa"/>
            <w:vAlign w:val="bottom"/>
          </w:tcPr>
          <w:p>
            <w:pPr>
              <w:spacing w:after="0"/>
              <w:rPr>
                <w:sz w:val="10"/>
                <w:szCs w:val="10"/>
                <w:color w:val="auto"/>
              </w:rPr>
            </w:pPr>
          </w:p>
        </w:tc>
        <w:tc>
          <w:tcPr>
            <w:tcW w:w="1100" w:type="dxa"/>
            <w:vAlign w:val="bottom"/>
            <w:gridSpan w:val="2"/>
          </w:tcPr>
          <w:p>
            <w:pPr>
              <w:jc w:val="center"/>
              <w:ind w:right="200"/>
              <w:spacing w:after="0" w:line="124" w:lineRule="exact"/>
              <w:rPr>
                <w:sz w:val="20"/>
                <w:szCs w:val="20"/>
                <w:color w:val="auto"/>
              </w:rPr>
            </w:pPr>
            <w:r>
              <w:rPr>
                <w:rFonts w:ascii="Arial" w:cs="Arial" w:eastAsia="Arial" w:hAnsi="Arial"/>
                <w:sz w:val="11"/>
                <w:szCs w:val="11"/>
                <w:b w:val="1"/>
                <w:bCs w:val="1"/>
                <w:color w:val="auto"/>
                <w:w w:val="92"/>
              </w:rPr>
              <w:t>Exercise Price of</w:t>
            </w:r>
          </w:p>
        </w:tc>
        <w:tc>
          <w:tcPr>
            <w:tcW w:w="17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3"/>
              </w:rPr>
              <w:t>Future Issuance Under Equity</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gridSpan w:val="2"/>
          </w:tcPr>
          <w:p>
            <w:pPr>
              <w:jc w:val="center"/>
              <w:ind w:right="140"/>
              <w:spacing w:after="0" w:line="124" w:lineRule="exact"/>
              <w:rPr>
                <w:sz w:val="20"/>
                <w:szCs w:val="20"/>
                <w:color w:val="auto"/>
              </w:rPr>
            </w:pPr>
            <w:r>
              <w:rPr>
                <w:rFonts w:ascii="Arial" w:cs="Arial" w:eastAsia="Arial" w:hAnsi="Arial"/>
                <w:sz w:val="11"/>
                <w:szCs w:val="11"/>
                <w:b w:val="1"/>
                <w:bCs w:val="1"/>
                <w:color w:val="auto"/>
                <w:w w:val="92"/>
              </w:rPr>
              <w:t>Outstanding Options,</w:t>
            </w:r>
          </w:p>
        </w:tc>
        <w:tc>
          <w:tcPr>
            <w:tcW w:w="8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2"/>
              </w:rPr>
              <w:t>Outstanding</w:t>
            </w:r>
          </w:p>
        </w:tc>
        <w:tc>
          <w:tcPr>
            <w:tcW w:w="17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0"/>
              </w:rPr>
              <w:t>Compensation Plans</w:t>
            </w:r>
          </w:p>
        </w:tc>
        <w:tc>
          <w:tcPr>
            <w:tcW w:w="0" w:type="dxa"/>
            <w:vAlign w:val="bottom"/>
          </w:tcPr>
          <w:p>
            <w:pPr>
              <w:spacing w:after="0"/>
              <w:rPr>
                <w:sz w:val="1"/>
                <w:szCs w:val="1"/>
                <w:color w:val="auto"/>
              </w:rPr>
            </w:pPr>
          </w:p>
        </w:tc>
      </w:tr>
      <w:tr>
        <w:trPr>
          <w:trHeight w:val="124"/>
        </w:trPr>
        <w:tc>
          <w:tcPr>
            <w:tcW w:w="6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34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3"/>
              </w:rPr>
              <w:t>Warrants and</w:t>
            </w:r>
          </w:p>
        </w:tc>
        <w:tc>
          <w:tcPr>
            <w:tcW w:w="80" w:type="dxa"/>
            <w:vAlign w:val="bottom"/>
          </w:tcPr>
          <w:p>
            <w:pPr>
              <w:spacing w:after="0"/>
              <w:rPr>
                <w:sz w:val="10"/>
                <w:szCs w:val="10"/>
                <w:color w:val="auto"/>
              </w:rPr>
            </w:pPr>
          </w:p>
        </w:tc>
        <w:tc>
          <w:tcPr>
            <w:tcW w:w="1100" w:type="dxa"/>
            <w:vAlign w:val="bottom"/>
            <w:gridSpan w:val="2"/>
          </w:tcPr>
          <w:p>
            <w:pPr>
              <w:jc w:val="center"/>
              <w:ind w:right="200"/>
              <w:spacing w:after="0" w:line="124" w:lineRule="exact"/>
              <w:rPr>
                <w:sz w:val="20"/>
                <w:szCs w:val="20"/>
                <w:color w:val="auto"/>
              </w:rPr>
            </w:pPr>
            <w:r>
              <w:rPr>
                <w:rFonts w:ascii="Arial" w:cs="Arial" w:eastAsia="Arial" w:hAnsi="Arial"/>
                <w:sz w:val="11"/>
                <w:szCs w:val="11"/>
                <w:b w:val="1"/>
                <w:bCs w:val="1"/>
                <w:color w:val="auto"/>
                <w:w w:val="94"/>
              </w:rPr>
              <w:t>Options, Warrants</w:t>
            </w:r>
          </w:p>
        </w:tc>
        <w:tc>
          <w:tcPr>
            <w:tcW w:w="174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w w:val="91"/>
              </w:rPr>
              <w:t>(Excluding Securities</w:t>
            </w:r>
          </w:p>
        </w:tc>
        <w:tc>
          <w:tcPr>
            <w:tcW w:w="0" w:type="dxa"/>
            <w:vAlign w:val="bottom"/>
          </w:tcPr>
          <w:p>
            <w:pPr>
              <w:spacing w:after="0"/>
              <w:rPr>
                <w:sz w:val="1"/>
                <w:szCs w:val="1"/>
                <w:color w:val="auto"/>
              </w:rPr>
            </w:pPr>
          </w:p>
        </w:tc>
      </w:tr>
      <w:tr>
        <w:trPr>
          <w:trHeight w:val="135"/>
        </w:trPr>
        <w:tc>
          <w:tcPr>
            <w:tcW w:w="4680" w:type="dxa"/>
            <w:vAlign w:val="bottom"/>
            <w:gridSpan w:val="2"/>
          </w:tcPr>
          <w:p>
            <w:pPr>
              <w:spacing w:after="0"/>
              <w:rPr>
                <w:sz w:val="20"/>
                <w:szCs w:val="20"/>
                <w:color w:val="auto"/>
              </w:rPr>
            </w:pPr>
            <w:r>
              <w:rPr>
                <w:rFonts w:ascii="Arial" w:cs="Arial" w:eastAsia="Arial" w:hAnsi="Arial"/>
                <w:sz w:val="11"/>
                <w:szCs w:val="11"/>
                <w:b w:val="1"/>
                <w:bCs w:val="1"/>
                <w:color w:val="auto"/>
              </w:rPr>
              <w:t>Plan Category</w:t>
            </w:r>
          </w:p>
        </w:tc>
        <w:tc>
          <w:tcPr>
            <w:tcW w:w="13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Rights(a)</w:t>
            </w:r>
          </w:p>
        </w:tc>
        <w:tc>
          <w:tcPr>
            <w:tcW w:w="80" w:type="dxa"/>
            <w:vAlign w:val="bottom"/>
          </w:tcPr>
          <w:p>
            <w:pPr>
              <w:spacing w:after="0"/>
              <w:rPr>
                <w:sz w:val="11"/>
                <w:szCs w:val="11"/>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and Rights(b)</w:t>
            </w:r>
          </w:p>
        </w:tc>
        <w:tc>
          <w:tcPr>
            <w:tcW w:w="17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4"/>
              </w:rPr>
              <w:t>Reflected in Column (a))c(1)(2)</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68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Stock options</w:t>
            </w:r>
          </w:p>
        </w:tc>
        <w:tc>
          <w:tcPr>
            <w:tcW w:w="1200" w:type="dxa"/>
            <w:vAlign w:val="bottom"/>
            <w:shd w:val="clear" w:color="auto" w:fill="DCDCDE"/>
          </w:tcPr>
          <w:p>
            <w:pPr>
              <w:jc w:val="right"/>
              <w:spacing w:after="0"/>
              <w:rPr>
                <w:sz w:val="20"/>
                <w:szCs w:val="20"/>
                <w:color w:val="auto"/>
              </w:rPr>
            </w:pPr>
            <w:r>
              <w:rPr>
                <w:rFonts w:ascii="Arial" w:cs="Arial" w:eastAsia="Arial" w:hAnsi="Arial"/>
                <w:sz w:val="15"/>
                <w:szCs w:val="15"/>
                <w:color w:val="auto"/>
              </w:rPr>
              <w:t>1,883,875</w:t>
            </w:r>
          </w:p>
        </w:tc>
        <w:tc>
          <w:tcPr>
            <w:tcW w:w="140" w:type="dxa"/>
            <w:vAlign w:val="bottom"/>
            <w:shd w:val="clear" w:color="auto" w:fill="DCDCDE"/>
          </w:tcPr>
          <w:p>
            <w:pPr>
              <w:spacing w:after="0"/>
              <w:rPr>
                <w:sz w:val="14"/>
                <w:szCs w:val="14"/>
                <w:color w:val="auto"/>
              </w:rPr>
            </w:pP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36.74</w:t>
            </w:r>
          </w:p>
        </w:tc>
        <w:tc>
          <w:tcPr>
            <w:tcW w:w="120" w:type="dxa"/>
            <w:vAlign w:val="bottom"/>
            <w:shd w:val="clear" w:color="auto" w:fill="DCDCDE"/>
          </w:tcPr>
          <w:p>
            <w:pPr>
              <w:spacing w:after="0"/>
              <w:rPr>
                <w:sz w:val="14"/>
                <w:szCs w:val="14"/>
                <w:color w:val="auto"/>
              </w:rPr>
            </w:pPr>
          </w:p>
        </w:tc>
        <w:tc>
          <w:tcPr>
            <w:tcW w:w="1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3,955,506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gridSpan w:val="2"/>
          </w:tcPr>
          <w:p>
            <w:pPr>
              <w:spacing w:after="0"/>
              <w:rPr>
                <w:sz w:val="20"/>
                <w:szCs w:val="20"/>
                <w:color w:val="auto"/>
              </w:rPr>
            </w:pPr>
            <w:r>
              <w:rPr>
                <w:rFonts w:ascii="Arial" w:cs="Arial" w:eastAsia="Arial" w:hAnsi="Arial"/>
                <w:sz w:val="15"/>
                <w:szCs w:val="15"/>
                <w:color w:val="auto"/>
              </w:rPr>
              <w:t>Restricted stock units</w:t>
            </w: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849,562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5"/>
                <w:szCs w:val="15"/>
                <w:color w:val="auto"/>
              </w:rPr>
              <w:t>N/A</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shd w:val="clear" w:color="auto" w:fill="DCDCDE"/>
          </w:tcPr>
          <w:p>
            <w:pPr>
              <w:spacing w:after="0"/>
              <w:rPr>
                <w:sz w:val="20"/>
                <w:szCs w:val="20"/>
                <w:color w:val="auto"/>
              </w:rPr>
            </w:pPr>
            <w:r>
              <w:rPr>
                <w:rFonts w:ascii="Arial" w:cs="Arial" w:eastAsia="Arial" w:hAnsi="Arial"/>
                <w:sz w:val="15"/>
                <w:szCs w:val="15"/>
                <w:color w:val="auto"/>
              </w:rPr>
              <w:t>Performance based restricted stock units</w:t>
            </w:r>
          </w:p>
        </w:tc>
        <w:tc>
          <w:tcPr>
            <w:tcW w:w="13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color w:val="auto"/>
              </w:rPr>
              <w:t>103,290</w:t>
            </w:r>
          </w:p>
        </w:tc>
        <w:tc>
          <w:tcPr>
            <w:tcW w:w="80" w:type="dxa"/>
            <w:vAlign w:val="bottom"/>
            <w:shd w:val="clear" w:color="auto" w:fill="DCDCDE"/>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DCDCDE"/>
          </w:tcPr>
          <w:p>
            <w:pPr>
              <w:ind w:left="720"/>
              <w:spacing w:after="0"/>
              <w:rPr>
                <w:sz w:val="20"/>
                <w:szCs w:val="20"/>
                <w:color w:val="auto"/>
              </w:rPr>
            </w:pPr>
            <w:r>
              <w:rPr>
                <w:rFonts w:ascii="Arial" w:cs="Arial" w:eastAsia="Arial" w:hAnsi="Arial"/>
                <w:sz w:val="15"/>
                <w:szCs w:val="15"/>
                <w:color w:val="auto"/>
              </w:rPr>
              <w:t>N/A</w:t>
            </w:r>
          </w:p>
        </w:tc>
        <w:tc>
          <w:tcPr>
            <w:tcW w:w="1720" w:type="dxa"/>
            <w:vAlign w:val="bottom"/>
            <w:shd w:val="clear" w:color="auto" w:fill="DCDCDE"/>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tcPr>
          <w:p>
            <w:pPr>
              <w:spacing w:after="0"/>
              <w:rPr>
                <w:sz w:val="20"/>
                <w:szCs w:val="20"/>
                <w:color w:val="auto"/>
              </w:rPr>
            </w:pPr>
            <w:r>
              <w:rPr>
                <w:rFonts w:ascii="Arial" w:cs="Arial" w:eastAsia="Arial" w:hAnsi="Arial"/>
                <w:sz w:val="15"/>
                <w:szCs w:val="15"/>
                <w:color w:val="auto"/>
              </w:rPr>
              <w:t>Equity compensation plans not approved by stockholders</w:t>
            </w:r>
          </w:p>
        </w:tc>
        <w:tc>
          <w:tcPr>
            <w:tcW w:w="13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7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shd w:val="clear" w:color="auto" w:fill="DCDCDE"/>
          </w:tcPr>
          <w:p>
            <w:pPr>
              <w:spacing w:after="0"/>
              <w:rPr>
                <w:sz w:val="20"/>
                <w:szCs w:val="20"/>
                <w:color w:val="auto"/>
              </w:rPr>
            </w:pPr>
            <w:r>
              <w:rPr>
                <w:rFonts w:ascii="Arial" w:cs="Arial" w:eastAsia="Arial" w:hAnsi="Arial"/>
                <w:sz w:val="15"/>
                <w:szCs w:val="15"/>
                <w:b w:val="1"/>
                <w:bCs w:val="1"/>
                <w:color w:val="auto"/>
              </w:rPr>
              <w:t>Total</w:t>
            </w:r>
          </w:p>
        </w:tc>
        <w:tc>
          <w:tcPr>
            <w:tcW w:w="1340" w:type="dxa"/>
            <w:vAlign w:val="bottom"/>
            <w:gridSpan w:val="2"/>
            <w:shd w:val="clear" w:color="auto" w:fill="DCDCDE"/>
          </w:tcPr>
          <w:p>
            <w:pPr>
              <w:jc w:val="right"/>
              <w:ind w:right="120"/>
              <w:spacing w:after="0"/>
              <w:rPr>
                <w:sz w:val="20"/>
                <w:szCs w:val="20"/>
                <w:color w:val="auto"/>
              </w:rPr>
            </w:pPr>
            <w:r>
              <w:rPr>
                <w:rFonts w:ascii="Arial" w:cs="Arial" w:eastAsia="Arial" w:hAnsi="Arial"/>
                <w:sz w:val="15"/>
                <w:szCs w:val="15"/>
                <w:b w:val="1"/>
                <w:bCs w:val="1"/>
                <w:color w:val="auto"/>
              </w:rPr>
              <w:t>2,836,727</w:t>
            </w:r>
          </w:p>
        </w:tc>
        <w:tc>
          <w:tcPr>
            <w:tcW w:w="80" w:type="dxa"/>
            <w:vAlign w:val="bottom"/>
            <w:shd w:val="clear" w:color="auto" w:fill="DCDCDE"/>
          </w:tcPr>
          <w:p>
            <w:pPr>
              <w:spacing w:after="0"/>
              <w:rPr>
                <w:sz w:val="15"/>
                <w:szCs w:val="15"/>
                <w:color w:val="auto"/>
              </w:rPr>
            </w:pPr>
          </w:p>
        </w:tc>
        <w:tc>
          <w:tcPr>
            <w:tcW w:w="980" w:type="dxa"/>
            <w:vAlign w:val="bottom"/>
            <w:shd w:val="clear" w:color="auto" w:fill="DCDCDE"/>
          </w:tcPr>
          <w:p>
            <w:pPr>
              <w:spacing w:after="0"/>
              <w:rPr>
                <w:sz w:val="15"/>
                <w:szCs w:val="15"/>
                <w:color w:val="auto"/>
              </w:rPr>
            </w:pPr>
          </w:p>
        </w:tc>
        <w:tc>
          <w:tcPr>
            <w:tcW w:w="120" w:type="dxa"/>
            <w:vAlign w:val="bottom"/>
            <w:shd w:val="clear" w:color="auto" w:fill="DCDCDE"/>
          </w:tcPr>
          <w:p>
            <w:pPr>
              <w:spacing w:after="0"/>
              <w:rPr>
                <w:sz w:val="15"/>
                <w:szCs w:val="15"/>
                <w:color w:val="auto"/>
              </w:rPr>
            </w:pPr>
          </w:p>
        </w:tc>
        <w:tc>
          <w:tcPr>
            <w:tcW w:w="1720" w:type="dxa"/>
            <w:vAlign w:val="bottom"/>
            <w:shd w:val="clear" w:color="auto" w:fill="DCDCDE"/>
          </w:tcPr>
          <w:p>
            <w:pPr>
              <w:jc w:val="right"/>
              <w:spacing w:after="0"/>
              <w:rPr>
                <w:sz w:val="20"/>
                <w:szCs w:val="20"/>
                <w:color w:val="auto"/>
              </w:rPr>
            </w:pPr>
            <w:r>
              <w:rPr>
                <w:rFonts w:ascii="Arial" w:cs="Arial" w:eastAsia="Arial" w:hAnsi="Arial"/>
                <w:sz w:val="15"/>
                <w:szCs w:val="15"/>
                <w:b w:val="1"/>
                <w:bCs w:val="1"/>
                <w:color w:val="auto"/>
              </w:rPr>
              <w:t>3,955,506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5"/>
          <w:szCs w:val="15"/>
          <w:color w:val="auto"/>
        </w:rPr>
        <w:t>The total "Number of Securities Remaining Available for Future Issuance Under Equity Compensation Plans" includes 5,839,381 and 660,558 respectively, of equity available for issuance under the Emergent BioSolutions Inc. Stock Incentive Plan and our Employee Stock Purchase Plan. In addition to being available for future issuance upon exercise of stock options and vesting of RSU awards that have been or may be granted after December 31, 2019, the Emergent BioSolutions Inc. Stock Incentive Plan provides for the issuance of stock appreciation rights, restricted stock awards, PSU awards and other stock-based awards.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2" w:name="page73"/>
    <w:bookmarkEnd w:id="72"/>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TRANSACTIONS WITH RELATED PERSONS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Policies and Procedures for Related Person Transactions</w:t>
      </w:r>
    </w:p>
    <w:p>
      <w:pPr>
        <w:spacing w:after="0" w:line="192"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5"/>
          <w:szCs w:val="15"/>
          <w:color w:val="auto"/>
        </w:rPr>
        <w:t>Our Board has adopted written policies and procedures for the review of any transaction, arrangement or relationship in which we are a participant, when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jc w:val="both"/>
        <w:ind w:firstLine="361"/>
        <w:spacing w:after="0" w:line="254" w:lineRule="auto"/>
        <w:rPr>
          <w:sz w:val="20"/>
          <w:szCs w:val="20"/>
          <w:color w:val="auto"/>
        </w:rPr>
      </w:pPr>
      <w:r>
        <w:rPr>
          <w:rFonts w:ascii="Arial" w:cs="Arial" w:eastAsia="Arial" w:hAnsi="Arial"/>
          <w:sz w:val="15"/>
          <w:szCs w:val="15"/>
          <w:color w:val="auto"/>
        </w:rPr>
        <w:t>If a related person proposes to enter into such a transaction, arrangement or relationship, which we refer to as a related person transaction, the related person must report the proposed related person transaction to our general counsel. The policy calls for the proposed related person transaction to be reviewed and, if deemed appropriate, approved by the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 of the audit committee to review and, if deemed appropriate, approve proposed related person transactions that arise between audit committee meetings, subject to ratification by the audit committee at its next meeting. Any related person transactions that are ongoing in nature are reviewed annually.</w:t>
      </w:r>
    </w:p>
    <w:p>
      <w:pPr>
        <w:spacing w:after="0" w:line="167" w:lineRule="exact"/>
        <w:rPr>
          <w:sz w:val="20"/>
          <w:szCs w:val="20"/>
          <w:color w:val="auto"/>
        </w:rPr>
      </w:pPr>
    </w:p>
    <w:p>
      <w:pPr>
        <w:jc w:val="both"/>
        <w:ind w:right="20" w:firstLine="302"/>
        <w:spacing w:after="0" w:line="270" w:lineRule="auto"/>
        <w:rPr>
          <w:sz w:val="20"/>
          <w:szCs w:val="20"/>
          <w:color w:val="auto"/>
        </w:rPr>
      </w:pPr>
      <w:r>
        <w:rPr>
          <w:rFonts w:ascii="Arial" w:cs="Arial" w:eastAsia="Arial" w:hAnsi="Arial"/>
          <w:sz w:val="15"/>
          <w:szCs w:val="15"/>
          <w:color w:val="auto"/>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64" w:lineRule="exact"/>
        <w:rPr>
          <w:sz w:val="20"/>
          <w:szCs w:val="20"/>
          <w:color w:val="auto"/>
        </w:rPr>
      </w:pPr>
    </w:p>
    <w:p>
      <w:pPr>
        <w:ind w:left="900" w:hanging="45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related person's interest in the related person transaction;</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approximate dollar value of the amount involved in the related person transaction;</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approximate dollar value of the amount of the related person's interest in the transaction without regard to the amount of any profit or loss;</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Whether the transaction was undertaken in the ordinary course of our business;</w:t>
      </w:r>
    </w:p>
    <w:p>
      <w:pPr>
        <w:spacing w:after="0" w:line="210" w:lineRule="exact"/>
        <w:rPr>
          <w:rFonts w:ascii="Arial" w:cs="Arial" w:eastAsia="Arial" w:hAnsi="Arial"/>
          <w:sz w:val="15"/>
          <w:szCs w:val="15"/>
          <w:color w:val="auto"/>
        </w:rPr>
      </w:pPr>
    </w:p>
    <w:p>
      <w:pPr>
        <w:ind w:left="900" w:hanging="45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Whether the terms of the transaction are no less favorable to us than terms that could have been reached with an unrelated third party;</w:t>
      </w:r>
    </w:p>
    <w:p>
      <w:pPr>
        <w:spacing w:after="0" w:line="199" w:lineRule="exact"/>
        <w:rPr>
          <w:rFonts w:ascii="Arial" w:cs="Arial" w:eastAsia="Arial" w:hAnsi="Arial"/>
          <w:sz w:val="15"/>
          <w:szCs w:val="15"/>
          <w:color w:val="auto"/>
        </w:rPr>
      </w:pPr>
    </w:p>
    <w:p>
      <w:pPr>
        <w:ind w:left="900" w:hanging="459"/>
        <w:spacing w:after="0"/>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purpose of, and the potential benefits to us of, the transaction; and</w:t>
      </w:r>
    </w:p>
    <w:p>
      <w:pPr>
        <w:spacing w:after="0" w:line="199" w:lineRule="exact"/>
        <w:rPr>
          <w:rFonts w:ascii="Arial" w:cs="Arial" w:eastAsia="Arial" w:hAnsi="Arial"/>
          <w:sz w:val="15"/>
          <w:szCs w:val="15"/>
          <w:color w:val="auto"/>
        </w:rPr>
      </w:pPr>
    </w:p>
    <w:p>
      <w:pPr>
        <w:ind w:left="900" w:right="20" w:hanging="459"/>
        <w:spacing w:after="0" w:line="270"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The audit committee may approve or ratify the transaction only if the audit committee determines that, under all of the circumstances, the transaction is consistent with our best interests.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The audit committee may impose any conditions on the related person transaction that it deems appropriate.</w:t>
      </w:r>
    </w:p>
    <w:p>
      <w:pPr>
        <w:spacing w:after="0" w:line="182" w:lineRule="exact"/>
        <w:rPr>
          <w:sz w:val="20"/>
          <w:szCs w:val="20"/>
          <w:color w:val="auto"/>
        </w:rPr>
      </w:pPr>
    </w:p>
    <w:p>
      <w:pPr>
        <w:ind w:firstLine="313"/>
        <w:spacing w:after="0" w:line="306" w:lineRule="auto"/>
        <w:rPr>
          <w:sz w:val="20"/>
          <w:szCs w:val="20"/>
          <w:color w:val="auto"/>
        </w:rPr>
      </w:pPr>
      <w:r>
        <w:rPr>
          <w:rFonts w:ascii="Arial" w:cs="Arial" w:eastAsia="Arial" w:hAnsi="Arial"/>
          <w:sz w:val="14"/>
          <w:szCs w:val="14"/>
          <w:color w:val="auto"/>
        </w:rPr>
        <w:t>In addition to the transactions that are excluded by the instructions to the SEC's related person transaction disclosure rule, the Board has determined that the following transactions do not create a material direct or indirect interest on behalf of related persons and, therefore, are not related person transactions for purposes of this policy:</w:t>
      </w:r>
    </w:p>
    <w:p>
      <w:pPr>
        <w:spacing w:after="0" w:line="153" w:lineRule="exact"/>
        <w:rPr>
          <w:sz w:val="20"/>
          <w:szCs w:val="20"/>
          <w:color w:val="auto"/>
        </w:rPr>
      </w:pPr>
    </w:p>
    <w:p>
      <w:pPr>
        <w:jc w:val="both"/>
        <w:ind w:left="900" w:hanging="459"/>
        <w:spacing w:after="0" w:line="309" w:lineRule="auto"/>
        <w:tabs>
          <w:tab w:leader="none" w:pos="9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(b) the related person and his or her immediate family members are not involved in the negotiation of the terms of the transaction and do not receive any special benefits as a result of the transaction, (c) the amount involved in the transaction equals less than the greater of $1 million dollars or 2% of the annual gross revenues of the other entity that is a</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3" w:name="page74"/>
    <w:bookmarkEnd w:id="73"/>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party to the transaction, and (d) the amount involved in the transaction equals less than 2% of our annual gross revenues; and</w:t>
      </w:r>
    </w:p>
    <w:p>
      <w:pPr>
        <w:spacing w:after="0" w:line="199" w:lineRule="exact"/>
        <w:rPr>
          <w:sz w:val="20"/>
          <w:szCs w:val="20"/>
          <w:color w:val="auto"/>
        </w:rPr>
      </w:pPr>
    </w:p>
    <w:p>
      <w:pPr>
        <w:ind w:left="900" w:hanging="459"/>
        <w:spacing w:after="0"/>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transaction that is specifically contemplated by provisions of our charter or bylaws.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The policy provides that transactions involving compensation of executive officers shall be reviewed and approved by the compensation committee in the manner specified in its charter.</w:t>
      </w:r>
    </w:p>
    <w:p>
      <w:pPr>
        <w:spacing w:after="0" w:line="211" w:lineRule="exact"/>
        <w:rPr>
          <w:sz w:val="20"/>
          <w:szCs w:val="20"/>
          <w:color w:val="auto"/>
        </w:rPr>
      </w:pPr>
    </w:p>
    <w:p>
      <w:pPr>
        <w:jc w:val="both"/>
        <w:ind w:right="20" w:firstLine="357"/>
        <w:spacing w:after="0" w:line="270" w:lineRule="auto"/>
        <w:rPr>
          <w:sz w:val="20"/>
          <w:szCs w:val="20"/>
          <w:color w:val="auto"/>
        </w:rPr>
      </w:pPr>
      <w:r>
        <w:rPr>
          <w:rFonts w:ascii="Arial" w:cs="Arial" w:eastAsia="Arial" w:hAnsi="Arial"/>
          <w:sz w:val="15"/>
          <w:szCs w:val="15"/>
          <w:color w:val="auto"/>
        </w:rPr>
        <w:t>All of the transactions described below followed the foregoing policies and procedures, and there were no related person transactions in 2019 with respect to which these policies and procedures were not followed.</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92"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5"/>
          <w:szCs w:val="15"/>
          <w:color w:val="auto"/>
        </w:rPr>
        <w:t>We have entered into an indemnification agreement with each of our directors and executive officers. Our form of indemnification agreement, and our certificate of incorporation and by-laws, require us to indemnify and advance expenses to these persons to the full extent permitted by Delaware law. We also intend to enter into an indemnification agreement with each of our future directors and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with Fuad El-Hibri</w:t>
      </w:r>
    </w:p>
    <w:p>
      <w:pPr>
        <w:spacing w:after="0" w:line="192" w:lineRule="exact"/>
        <w:rPr>
          <w:sz w:val="20"/>
          <w:szCs w:val="20"/>
          <w:color w:val="auto"/>
        </w:rPr>
      </w:pPr>
    </w:p>
    <w:p>
      <w:pPr>
        <w:jc w:val="both"/>
        <w:ind w:right="20" w:firstLine="348"/>
        <w:spacing w:after="0" w:line="270" w:lineRule="auto"/>
        <w:rPr>
          <w:sz w:val="20"/>
          <w:szCs w:val="20"/>
          <w:color w:val="auto"/>
        </w:rPr>
      </w:pPr>
      <w:r>
        <w:rPr>
          <w:rFonts w:ascii="Arial" w:cs="Arial" w:eastAsia="Arial" w:hAnsi="Arial"/>
          <w:sz w:val="15"/>
          <w:szCs w:val="15"/>
          <w:color w:val="auto"/>
        </w:rPr>
        <w:t>Mr. El-Hibri is our founder, executive chairman and also owns or controls greater than 5% of our outstanding common stock. We have entered into the following transactions in which Mr. El-Hibri has a direct or indirect interest, in each case as indicated below.</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Registration Rights</w:t>
      </w:r>
    </w:p>
    <w:p>
      <w:pPr>
        <w:spacing w:after="0" w:line="188" w:lineRule="exact"/>
        <w:rPr>
          <w:sz w:val="20"/>
          <w:szCs w:val="20"/>
          <w:color w:val="auto"/>
        </w:rPr>
      </w:pPr>
    </w:p>
    <w:p>
      <w:pPr>
        <w:jc w:val="both"/>
        <w:ind w:firstLine="315"/>
        <w:spacing w:after="0" w:line="348" w:lineRule="auto"/>
        <w:rPr>
          <w:sz w:val="20"/>
          <w:szCs w:val="20"/>
          <w:color w:val="auto"/>
        </w:rPr>
      </w:pPr>
      <w:r>
        <w:rPr>
          <w:rFonts w:ascii="Arial" w:cs="Arial" w:eastAsia="Arial" w:hAnsi="Arial"/>
          <w:sz w:val="13"/>
          <w:szCs w:val="13"/>
          <w:color w:val="auto"/>
        </w:rPr>
        <w:t>In September 2006, we granted registration rights with respect to shares of our common stock to certain of our principal stockholders. The following table sets forth the number of shares of our common stock subject to these registration rights that are held by our 5% stockholders and their affiliates as of March 26, 2020, each of which are controlled by Mr. El-Hibri.</w:t>
      </w:r>
    </w:p>
    <w:p>
      <w:pPr>
        <w:spacing w:after="0" w:line="101" w:lineRule="exact"/>
        <w:rPr>
          <w:sz w:val="20"/>
          <w:szCs w:val="20"/>
          <w:color w:val="auto"/>
        </w:rPr>
      </w:pPr>
    </w:p>
    <w:tbl>
      <w:tblPr>
        <w:tblLayout w:type="fixed"/>
        <w:tblInd w:w="1340" w:type="dxa"/>
        <w:tblCellMar>
          <w:top w:w="0" w:type="dxa"/>
          <w:left w:w="0" w:type="dxa"/>
          <w:bottom w:w="0" w:type="dxa"/>
          <w:right w:w="0" w:type="dxa"/>
        </w:tblCellMar>
      </w:tblPr>
      <w:tr>
        <w:trPr>
          <w:trHeight w:val="126"/>
        </w:trPr>
        <w:tc>
          <w:tcPr>
            <w:tcW w:w="28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180" w:type="dxa"/>
            <w:vAlign w:val="bottom"/>
          </w:tcPr>
          <w:p>
            <w:pPr>
              <w:jc w:val="right"/>
              <w:ind w:right="15"/>
              <w:spacing w:after="0"/>
              <w:rPr>
                <w:sz w:val="20"/>
                <w:szCs w:val="20"/>
                <w:color w:val="auto"/>
              </w:rPr>
            </w:pPr>
            <w:r>
              <w:rPr>
                <w:rFonts w:ascii="Arial" w:cs="Arial" w:eastAsia="Arial" w:hAnsi="Arial"/>
                <w:sz w:val="11"/>
                <w:szCs w:val="11"/>
                <w:b w:val="1"/>
                <w:bCs w:val="1"/>
                <w:color w:val="auto"/>
                <w:w w:val="99"/>
              </w:rPr>
              <w:t>Number of Shares of</w:t>
            </w:r>
          </w:p>
        </w:tc>
        <w:tc>
          <w:tcPr>
            <w:tcW w:w="0" w:type="dxa"/>
            <w:vAlign w:val="bottom"/>
          </w:tcPr>
          <w:p>
            <w:pPr>
              <w:spacing w:after="0"/>
              <w:rPr>
                <w:sz w:val="1"/>
                <w:szCs w:val="1"/>
                <w:color w:val="auto"/>
              </w:rPr>
            </w:pPr>
          </w:p>
        </w:tc>
      </w:tr>
      <w:tr>
        <w:trPr>
          <w:trHeight w:val="135"/>
        </w:trPr>
        <w:tc>
          <w:tcPr>
            <w:tcW w:w="714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1"/>
                <w:szCs w:val="11"/>
                <w:b w:val="1"/>
                <w:bCs w:val="1"/>
                <w:color w:val="auto"/>
              </w:rPr>
              <w:t>Common Stock</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6860" w:type="dxa"/>
            <w:vAlign w:val="bottom"/>
            <w:shd w:val="clear" w:color="auto" w:fill="DCDCDE"/>
          </w:tcPr>
          <w:p>
            <w:pPr>
              <w:spacing w:after="0" w:line="20" w:lineRule="exact"/>
              <w:rPr>
                <w:sz w:val="1"/>
                <w:szCs w:val="1"/>
                <w:color w:val="auto"/>
              </w:rPr>
            </w:pPr>
          </w:p>
        </w:tc>
        <w:tc>
          <w:tcPr>
            <w:tcW w:w="1180" w:type="dxa"/>
            <w:vAlign w:val="bottom"/>
            <w:vMerge w:val="restart"/>
            <w:shd w:val="clear" w:color="auto" w:fill="DCDCDE"/>
          </w:tcPr>
          <w:p>
            <w:pPr>
              <w:jc w:val="right"/>
              <w:spacing w:after="0"/>
              <w:rPr>
                <w:sz w:val="20"/>
                <w:szCs w:val="20"/>
                <w:color w:val="auto"/>
              </w:rPr>
            </w:pPr>
            <w:r>
              <w:rPr>
                <w:rFonts w:ascii="Arial" w:cs="Arial" w:eastAsia="Arial" w:hAnsi="Arial"/>
                <w:sz w:val="15"/>
                <w:szCs w:val="15"/>
                <w:color w:val="auto"/>
              </w:rPr>
              <w:t>4,344,250</w:t>
            </w:r>
          </w:p>
        </w:tc>
        <w:tc>
          <w:tcPr>
            <w:tcW w:w="0" w:type="dxa"/>
            <w:vAlign w:val="bottom"/>
          </w:tcPr>
          <w:p>
            <w:pPr>
              <w:spacing w:after="0" w:line="20" w:lineRule="exact"/>
              <w:rPr>
                <w:sz w:val="1"/>
                <w:szCs w:val="1"/>
                <w:color w:val="auto"/>
              </w:rPr>
            </w:pPr>
          </w:p>
        </w:tc>
      </w:tr>
      <w:tr>
        <w:trPr>
          <w:trHeight w:val="152"/>
        </w:trPr>
        <w:tc>
          <w:tcPr>
            <w:tcW w:w="7140" w:type="dxa"/>
            <w:vAlign w:val="bottom"/>
            <w:gridSpan w:val="2"/>
            <w:shd w:val="clear" w:color="auto" w:fill="DCDCDE"/>
          </w:tcPr>
          <w:p>
            <w:pPr>
              <w:spacing w:after="0" w:line="151" w:lineRule="exact"/>
              <w:rPr>
                <w:sz w:val="20"/>
                <w:szCs w:val="20"/>
                <w:color w:val="auto"/>
              </w:rPr>
            </w:pPr>
            <w:r>
              <w:rPr>
                <w:rFonts w:ascii="Arial" w:cs="Arial" w:eastAsia="Arial" w:hAnsi="Arial"/>
                <w:sz w:val="15"/>
                <w:szCs w:val="15"/>
                <w:color w:val="auto"/>
              </w:rPr>
              <w:t>Intervac, L.L.C.</w:t>
            </w:r>
          </w:p>
        </w:tc>
        <w:tc>
          <w:tcPr>
            <w:tcW w:w="1180" w:type="dxa"/>
            <w:vAlign w:val="bottom"/>
            <w:vMerge w:val="continue"/>
            <w:shd w:val="clear" w:color="auto" w:fill="DCDCD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140" w:type="dxa"/>
            <w:vAlign w:val="bottom"/>
            <w:gridSpan w:val="2"/>
          </w:tcPr>
          <w:p>
            <w:pPr>
              <w:spacing w:after="0"/>
              <w:rPr>
                <w:sz w:val="20"/>
                <w:szCs w:val="20"/>
                <w:color w:val="auto"/>
              </w:rPr>
            </w:pPr>
            <w:r>
              <w:rPr>
                <w:rFonts w:ascii="Arial" w:cs="Arial" w:eastAsia="Arial" w:hAnsi="Arial"/>
                <w:sz w:val="15"/>
                <w:szCs w:val="15"/>
                <w:color w:val="auto"/>
              </w:rPr>
              <w:t>BioVac, L.L.C.</w:t>
            </w:r>
          </w:p>
        </w:tc>
        <w:tc>
          <w:tcPr>
            <w:tcW w:w="1180" w:type="dxa"/>
            <w:vAlign w:val="bottom"/>
          </w:tcPr>
          <w:p>
            <w:pPr>
              <w:jc w:val="right"/>
              <w:spacing w:after="0"/>
              <w:rPr>
                <w:sz w:val="20"/>
                <w:szCs w:val="20"/>
                <w:color w:val="auto"/>
              </w:rPr>
            </w:pPr>
            <w:r>
              <w:rPr>
                <w:rFonts w:ascii="Arial" w:cs="Arial" w:eastAsia="Arial" w:hAnsi="Arial"/>
                <w:sz w:val="15"/>
                <w:szCs w:val="15"/>
                <w:color w:val="auto"/>
              </w:rPr>
              <w:t>1,524,155</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firstLine="365"/>
        <w:spacing w:after="0" w:line="260" w:lineRule="auto"/>
        <w:rPr>
          <w:sz w:val="20"/>
          <w:szCs w:val="20"/>
          <w:color w:val="auto"/>
        </w:rPr>
      </w:pPr>
      <w:r>
        <w:rPr>
          <w:rFonts w:ascii="Arial" w:cs="Arial" w:eastAsia="Arial" w:hAnsi="Arial"/>
          <w:sz w:val="15"/>
          <w:szCs w:val="15"/>
          <w:i w:val="1"/>
          <w:iCs w:val="1"/>
          <w:color w:val="auto"/>
        </w:rPr>
        <w:t xml:space="preserve">Demand registration rights. </w:t>
      </w:r>
      <w:r>
        <w:rPr>
          <w:rFonts w:ascii="Arial" w:cs="Arial" w:eastAsia="Arial" w:hAnsi="Arial"/>
          <w:sz w:val="15"/>
          <w:szCs w:val="15"/>
          <w:color w:val="auto"/>
        </w:rPr>
        <w:t>Subject to specified limitations, holders of these registration rights may require that we register all or part of our common stock subject to the registration</w:t>
      </w:r>
      <w:r>
        <w:rPr>
          <w:rFonts w:ascii="Arial" w:cs="Arial" w:eastAsia="Arial" w:hAnsi="Arial"/>
          <w:sz w:val="15"/>
          <w:szCs w:val="15"/>
          <w:i w:val="1"/>
          <w:iCs w:val="1"/>
          <w:color w:val="auto"/>
        </w:rPr>
        <w:t xml:space="preserve"> </w:t>
      </w:r>
      <w:r>
        <w:rPr>
          <w:rFonts w:ascii="Arial" w:cs="Arial" w:eastAsia="Arial" w:hAnsi="Arial"/>
          <w:sz w:val="15"/>
          <w:szCs w:val="15"/>
          <w:color w:val="auto"/>
        </w:rPr>
        <w:t>rights for sale under the Securities Act of 1933. These holders may demand registration of our common stock so long as the aggregate offering price to the public of the shares requested to be registered is at least $25,000,000. We are required to effect only one demand registration, subject to specified exceptions.</w:t>
      </w:r>
    </w:p>
    <w:p>
      <w:pPr>
        <w:spacing w:after="0" w:line="161"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5"/>
          <w:szCs w:val="15"/>
          <w:i w:val="1"/>
          <w:iCs w:val="1"/>
          <w:color w:val="auto"/>
        </w:rPr>
        <w:t xml:space="preserve">Incidental registration rights. </w:t>
      </w:r>
      <w:r>
        <w:rPr>
          <w:rFonts w:ascii="Arial" w:cs="Arial" w:eastAsia="Arial" w:hAnsi="Arial"/>
          <w:sz w:val="15"/>
          <w:szCs w:val="15"/>
          <w:color w:val="auto"/>
        </w:rPr>
        <w:t>If we propose to register any of our common stock under the Securities Act of 1933, subject to specified exceptions, either for our own account or for the</w:t>
      </w:r>
      <w:r>
        <w:rPr>
          <w:rFonts w:ascii="Arial" w:cs="Arial" w:eastAsia="Arial" w:hAnsi="Arial"/>
          <w:sz w:val="15"/>
          <w:szCs w:val="15"/>
          <w:i w:val="1"/>
          <w:iCs w:val="1"/>
          <w:color w:val="auto"/>
        </w:rPr>
        <w:t xml:space="preserve"> </w:t>
      </w:r>
      <w:r>
        <w:rPr>
          <w:rFonts w:ascii="Arial" w:cs="Arial" w:eastAsia="Arial" w:hAnsi="Arial"/>
          <w:sz w:val="15"/>
          <w:szCs w:val="15"/>
          <w:color w:val="auto"/>
        </w:rPr>
        <w:t>account of other security holders, holders of registration rights are entitled to notice of the registration and to include shares of common stock that are subject to the registration rights in the registered offering. In August 2018, we filed an automatic shelf registration statement, which immediately became effective under SEC rules. For so long as we continue to satisfy the requirements to be deemed a "well-known seasoned issuer" under SEC rules, this shelf registration statement, effective until August 2021, would provide for a secondary offering of these shares from time to time.</w:t>
      </w:r>
    </w:p>
    <w:p>
      <w:pPr>
        <w:spacing w:after="0" w:line="165" w:lineRule="exact"/>
        <w:rPr>
          <w:sz w:val="20"/>
          <w:szCs w:val="20"/>
          <w:color w:val="auto"/>
        </w:rPr>
      </w:pPr>
    </w:p>
    <w:p>
      <w:pPr>
        <w:jc w:val="both"/>
        <w:ind w:firstLine="401"/>
        <w:spacing w:after="0" w:line="270" w:lineRule="auto"/>
        <w:rPr>
          <w:sz w:val="20"/>
          <w:szCs w:val="20"/>
          <w:color w:val="auto"/>
        </w:rPr>
      </w:pPr>
      <w:r>
        <w:rPr>
          <w:rFonts w:ascii="Arial" w:cs="Arial" w:eastAsia="Arial" w:hAnsi="Arial"/>
          <w:sz w:val="15"/>
          <w:szCs w:val="15"/>
          <w:i w:val="1"/>
          <w:iCs w:val="1"/>
          <w:color w:val="auto"/>
        </w:rPr>
        <w:t xml:space="preserve">Limitations and expenses. </w:t>
      </w:r>
      <w:r>
        <w:rPr>
          <w:rFonts w:ascii="Arial" w:cs="Arial" w:eastAsia="Arial" w:hAnsi="Arial"/>
          <w:sz w:val="15"/>
          <w:szCs w:val="15"/>
          <w:color w:val="auto"/>
        </w:rPr>
        <w:t>With specified exceptions, the right to include shares in a registration is subject to the right of underwriters for the offering to limit the number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included in the offering.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4" w:name="page75"/>
    <w:bookmarkEnd w:id="74"/>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We are required to pay one-half of all fees, costs and expenses of any demand registration, other than underwriting discounts and commissions.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E-N-G Mobile Systems, Inc.</w:t>
      </w:r>
    </w:p>
    <w:p>
      <w:pPr>
        <w:spacing w:after="0" w:line="188" w:lineRule="exact"/>
        <w:rPr>
          <w:sz w:val="20"/>
          <w:szCs w:val="20"/>
          <w:color w:val="auto"/>
        </w:rPr>
      </w:pPr>
    </w:p>
    <w:p>
      <w:pPr>
        <w:jc w:val="both"/>
        <w:ind w:firstLine="314"/>
        <w:spacing w:after="0" w:line="260" w:lineRule="auto"/>
        <w:rPr>
          <w:sz w:val="20"/>
          <w:szCs w:val="20"/>
          <w:color w:val="auto"/>
        </w:rPr>
      </w:pPr>
      <w:r>
        <w:rPr>
          <w:rFonts w:ascii="Arial" w:cs="Arial" w:eastAsia="Arial" w:hAnsi="Arial"/>
          <w:sz w:val="15"/>
          <w:szCs w:val="15"/>
          <w:color w:val="auto"/>
        </w:rPr>
        <w:t>In May 2018, we entered into a design-build agreement with E-N-G Mobile Systems, Inc. (together with its successor entity, "ENG")(the "Design Build Agreement") to assist in building out a prototype of a mobile manufacturing unit. At all relevant times, either the son of Mr. El-Hibri or Mr. El-Hibri owned a majority controlling interest in ENG. As of the date of this proxy statement, a total of $91,189 has been paid as consideration under the Design Build Agreement since January 1, 2019.</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Relationships with Seamus Mulligan</w:t>
      </w:r>
    </w:p>
    <w:p>
      <w:pPr>
        <w:spacing w:after="0" w:line="192" w:lineRule="exact"/>
        <w:rPr>
          <w:sz w:val="20"/>
          <w:szCs w:val="20"/>
          <w:color w:val="auto"/>
        </w:rPr>
      </w:pPr>
    </w:p>
    <w:p>
      <w:pPr>
        <w:jc w:val="both"/>
        <w:ind w:firstLine="297"/>
        <w:spacing w:after="0" w:line="278" w:lineRule="auto"/>
        <w:rPr>
          <w:sz w:val="20"/>
          <w:szCs w:val="20"/>
          <w:color w:val="auto"/>
        </w:rPr>
      </w:pPr>
      <w:r>
        <w:rPr>
          <w:rFonts w:ascii="Arial" w:cs="Arial" w:eastAsia="Arial" w:hAnsi="Arial"/>
          <w:sz w:val="14"/>
          <w:szCs w:val="14"/>
          <w:color w:val="auto"/>
        </w:rPr>
        <w:t>Mr. Mulligan, who was appointed as a director effective March 2019, is the former CEO and founder of Adapt Pharma, which we acquired in October 2018, and as such is party to several transactions with us. Mr. Mulligan previously received cash and 48,572 shares of our common stock in connection with our acquisition of Adapt Pharma on October 15, 2018 (the "Acquisition"). In addition, Mr. Mulligan and his family own Nerano Pharma Ltd., which received cash and 545,590 shares of the company's common stock in connection with the Acquisition. Mr. Mulligan and Nerano Pharma Ltd. have received additional cash consideration in the aggregate amount of approximately $77,725,000 from the acquisition since January 1, 2019 related to release of indemnity escrows and a payout on the first milestone payment under the Adapt Pharma acquisition agreement.</w:t>
      </w:r>
    </w:p>
    <w:p>
      <w:pPr>
        <w:spacing w:after="0" w:line="149" w:lineRule="exact"/>
        <w:rPr>
          <w:sz w:val="20"/>
          <w:szCs w:val="20"/>
          <w:color w:val="auto"/>
        </w:rPr>
      </w:pPr>
    </w:p>
    <w:p>
      <w:pPr>
        <w:jc w:val="both"/>
        <w:ind w:firstLine="306"/>
        <w:spacing w:after="0" w:line="301" w:lineRule="auto"/>
        <w:rPr>
          <w:sz w:val="20"/>
          <w:szCs w:val="20"/>
          <w:color w:val="auto"/>
        </w:rPr>
      </w:pPr>
      <w:r>
        <w:rPr>
          <w:rFonts w:ascii="Arial" w:cs="Arial" w:eastAsia="Arial" w:hAnsi="Arial"/>
          <w:sz w:val="13"/>
          <w:szCs w:val="13"/>
          <w:color w:val="auto"/>
        </w:rPr>
        <w:t>In addition to the Acquisition-related consideration, Mr. Mulligan owns a property located at 45 Fitzwilliam Square, Dublin 2, Ireland, which was leased to Adapt Pharma. That lease was terminated in August 2019 for a termination fee of $194,000, paid in Euros. Mr. Mulligan received rental payments of approximately $139,583 under this lease between January 1, 2019 and the termination of the lease, paid in Euros. Mr. Mulligan was also a party to a consulting agreement that commenced upon the closing of the Acquisition. Mr. Mulligan received approximately $139,382 between January 1, 2019 and the termination date of his consulting agreement on March 19, 2019, paid in Euros. The conversion to U.S. dollars for the amounts listed above was calculated based on the exchange rate as of the dates in which the payments were made ranging from January 25, 2019 through August 2, 2019. Commencing on January 21, 2019, Mr. Mulligan's son began an internship with Adapt Pharma under which he received approximately $7,125 from Adapt Pharma from this internship as of the date of this proxy statement.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5" w:name="page76"/>
    <w:bookmarkEnd w:id="75"/>
    <w:p>
      <w:pPr>
        <w:spacing w:after="0"/>
        <w:rPr>
          <w:rFonts w:ascii="Arial" w:cs="Arial" w:eastAsia="Arial" w:hAnsi="Arial"/>
          <w:sz w:val="15"/>
          <w:szCs w:val="15"/>
          <w:u w:val="single" w:color="auto"/>
          <w:color w:val="0000EE"/>
        </w:rPr>
      </w:pPr>
      <w:hyperlink w:anchor="page6">
        <w:r>
          <w:rPr>
            <w:rFonts w:ascii="Arial" w:cs="Arial" w:eastAsia="Arial" w:hAnsi="Arial"/>
            <w:sz w:val="15"/>
            <w:szCs w:val="15"/>
            <w:u w:val="single" w:color="auto"/>
            <w:color w:val="0000EE"/>
          </w:rPr>
          <w:t>Table of Contents</w:t>
        </w:r>
      </w:hyperlink>
    </w:p>
    <w:p>
      <w:pPr>
        <w:spacing w:after="0" w:line="364"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ADDITIONAL MATTERS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Matters</w:t>
      </w:r>
    </w:p>
    <w:p>
      <w:pPr>
        <w:spacing w:after="0" w:line="192" w:lineRule="exact"/>
        <w:rPr>
          <w:sz w:val="20"/>
          <w:szCs w:val="20"/>
          <w:color w:val="auto"/>
        </w:rPr>
      </w:pPr>
    </w:p>
    <w:p>
      <w:pPr>
        <w:jc w:val="both"/>
        <w:ind w:firstLine="304"/>
        <w:spacing w:after="0" w:line="270" w:lineRule="auto"/>
        <w:rPr>
          <w:sz w:val="20"/>
          <w:szCs w:val="20"/>
          <w:color w:val="auto"/>
        </w:rPr>
      </w:pPr>
      <w:r>
        <w:rPr>
          <w:rFonts w:ascii="Arial" w:cs="Arial" w:eastAsia="Arial" w:hAnsi="Arial"/>
          <w:sz w:val="15"/>
          <w:szCs w:val="15"/>
          <w:color w:val="auto"/>
        </w:rPr>
        <w:t>Our Board has no knowledge of any other matters that may come before the meeting. However, if any other matters are properly presented at the meeting, it is the intention of the persons named in the accompanying proxy to vote, or otherwise act, in accordance with their judgment on those matters.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Requests for Copies of Annual Report</w:t>
      </w:r>
    </w:p>
    <w:p>
      <w:pPr>
        <w:spacing w:after="0" w:line="192" w:lineRule="exact"/>
        <w:rPr>
          <w:sz w:val="20"/>
          <w:szCs w:val="20"/>
          <w:color w:val="auto"/>
        </w:rPr>
      </w:pPr>
    </w:p>
    <w:p>
      <w:pPr>
        <w:jc w:val="both"/>
        <w:ind w:firstLine="359"/>
        <w:spacing w:after="0" w:line="278" w:lineRule="auto"/>
        <w:rPr>
          <w:sz w:val="20"/>
          <w:szCs w:val="20"/>
          <w:color w:val="auto"/>
        </w:rPr>
      </w:pPr>
      <w:r>
        <w:rPr>
          <w:rFonts w:ascii="Arial" w:cs="Arial" w:eastAsia="Arial" w:hAnsi="Arial"/>
          <w:sz w:val="14"/>
          <w:szCs w:val="14"/>
          <w:color w:val="auto"/>
        </w:rPr>
        <w:t>We will provide without charge a copy of our Annual Report on Form 10-K for the fiscal year ended December 31, 2019, including financial statements and schedules, to each of our stockholders of record on March 26, 2020, and to each beneficial owner of common stock on that date, upon receipt of a written request for the Form 10-K mailed to our offices, Emergent BioSolutions Inc., 400 Professional Drive, Suite 400, Gaithersburg, MD 20879, Attention: Investor Relations, telephone: (240) 631-3200. In the event that exhibits to the Form 10-K are requested, a fee will be charged for reproduction of the exhibits. Requests from beneficial owners of common stock must set forth a good faith representation as to such ownership. Our filings with the SEC are available without charge on our website at www.emergentbiosolutions.com as soon as reasonably practicable after they are filed.</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Proposals for the 2021 Annual Meeting</w:t>
      </w:r>
    </w:p>
    <w:p>
      <w:pPr>
        <w:spacing w:after="0" w:line="192" w:lineRule="exact"/>
        <w:rPr>
          <w:sz w:val="20"/>
          <w:szCs w:val="20"/>
          <w:color w:val="auto"/>
        </w:rPr>
      </w:pPr>
    </w:p>
    <w:p>
      <w:pPr>
        <w:jc w:val="both"/>
        <w:ind w:firstLine="395"/>
        <w:spacing w:after="0" w:line="257" w:lineRule="auto"/>
        <w:rPr>
          <w:sz w:val="20"/>
          <w:szCs w:val="20"/>
          <w:color w:val="auto"/>
        </w:rPr>
      </w:pPr>
      <w:r>
        <w:rPr>
          <w:rFonts w:ascii="Arial" w:cs="Arial" w:eastAsia="Arial" w:hAnsi="Arial"/>
          <w:sz w:val="15"/>
          <w:szCs w:val="15"/>
          <w:color w:val="auto"/>
        </w:rPr>
        <w:t>Any stockholder who intends to present a proposal at the company's 2021 annual meeting, and who wishes to have the proposal included in the company's proxy statement for that meeting (the "2021 Proxy Statement"), must deliver the proposal to the company's Corporate Secretary no later than December 10, 2020. Any proposal received after this date will be considered untimely and may be excluded from the 2021 Proxy Statement. A proposal must satisfy the rules and regulations of the SEC to be eligible for inclusion in the proxy statement for that meeting.</w:t>
      </w:r>
    </w:p>
    <w:p>
      <w:pPr>
        <w:spacing w:after="0" w:line="163" w:lineRule="exact"/>
        <w:rPr>
          <w:sz w:val="20"/>
          <w:szCs w:val="20"/>
          <w:color w:val="auto"/>
        </w:rPr>
      </w:pPr>
    </w:p>
    <w:p>
      <w:pPr>
        <w:jc w:val="both"/>
        <w:ind w:firstLine="377"/>
        <w:spacing w:after="0" w:line="276" w:lineRule="auto"/>
        <w:rPr>
          <w:sz w:val="20"/>
          <w:szCs w:val="20"/>
          <w:color w:val="auto"/>
        </w:rPr>
      </w:pPr>
      <w:r>
        <w:rPr>
          <w:rFonts w:ascii="Arial" w:cs="Arial" w:eastAsia="Arial" w:hAnsi="Arial"/>
          <w:sz w:val="14"/>
          <w:szCs w:val="14"/>
          <w:color w:val="auto"/>
        </w:rPr>
        <w:t>A stockholder may present a proposal that is a proper subject for consideration at an annual meeting, even if the proposal is not submitted by the deadline for inclusion in the proxy statement. To do so, the stockholder must comply with the procedures set forth in the company's by-laws. The by-laws require that a stockholder who intends to present a proposal at an annual meeting of stockholders submit the proposal to the Corporate Secretary not fewer than 90 and not more than 120 days before the anniversary of the date of the previous year's annual meeting. To be eligible for consideration at the 2021 annual meeting, such a proposal and any nominations for director must be received by the Corporate Secretary between January 21, 2021, and February 20, 2021. This advance notice period is intended to allow stockholders an opportunity to consider all business and nominees expected to be considered at the meeting. Any such proposal received after this date may be considered untimely and may be excluded.</w:t>
      </w:r>
    </w:p>
    <w:p>
      <w:pPr>
        <w:spacing w:after="0" w:line="151" w:lineRule="exact"/>
        <w:rPr>
          <w:sz w:val="20"/>
          <w:szCs w:val="20"/>
          <w:color w:val="auto"/>
        </w:rPr>
      </w:pPr>
    </w:p>
    <w:p>
      <w:pPr>
        <w:jc w:val="both"/>
        <w:ind w:right="20" w:firstLine="453"/>
        <w:spacing w:after="0" w:line="270" w:lineRule="auto"/>
        <w:rPr>
          <w:sz w:val="20"/>
          <w:szCs w:val="20"/>
          <w:color w:val="auto"/>
        </w:rPr>
      </w:pPr>
      <w:r>
        <w:rPr>
          <w:rFonts w:ascii="Arial" w:cs="Arial" w:eastAsia="Arial" w:hAnsi="Arial"/>
          <w:sz w:val="15"/>
          <w:szCs w:val="15"/>
          <w:color w:val="auto"/>
        </w:rPr>
        <w:t>All submissions to, or requests from, the Corporate Secretary should be made to Emergent BioSolutions Inc., Attention: Corporate Secretary, 400 Professional Drive, Suite 400, Gaithersburg, MD 20879.</w:t>
      </w:r>
    </w:p>
    <w:p>
      <w:pPr>
        <w:spacing w:after="0" w:line="15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138430</wp:posOffset>
            </wp:positionV>
            <wp:extent cx="965835" cy="2432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65835" cy="2432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Fuad El-Hibri</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5"/>
          <w:szCs w:val="15"/>
          <w:i w:val="1"/>
          <w:iCs w:val="1"/>
          <w:color w:val="auto"/>
        </w:rPr>
        <w:t>Executive Chairman of the Board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Gaithersburg, Maryland</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April 9, 2020</w:t>
      </w:r>
    </w:p>
    <w:p>
      <w:pPr>
        <w:spacing w:after="0" w:line="178" w:lineRule="exact"/>
        <w:rPr>
          <w:sz w:val="20"/>
          <w:szCs w:val="20"/>
          <w:color w:val="auto"/>
        </w:rPr>
      </w:pPr>
    </w:p>
    <w:p>
      <w:pPr>
        <w:jc w:val="center"/>
        <w:ind w:right="20"/>
        <w:spacing w:after="0" w:line="259" w:lineRule="auto"/>
        <w:rPr>
          <w:sz w:val="20"/>
          <w:szCs w:val="20"/>
          <w:color w:val="auto"/>
        </w:rPr>
      </w:pPr>
      <w:r>
        <w:rPr>
          <w:rFonts w:ascii="Arial" w:cs="Arial" w:eastAsia="Arial" w:hAnsi="Arial"/>
          <w:sz w:val="15"/>
          <w:szCs w:val="15"/>
          <w:b w:val="1"/>
          <w:bCs w:val="1"/>
          <w:color w:val="auto"/>
        </w:rPr>
        <w:t>OUR BOARD OF DIRECTORS HOPES THAT YOU WILL ATTEND THE VIRTUAL ANNUAL MEETING. WHETHER OR NOT YOU PLAN TO ATTEND, YOU ARE URGED TO VOTE YOUR PROXY AS PROMPTLY AS POSSIBLE. IF YOU ATTEND THE MEETING, YOU MAY REVOKE YOUR PROXY AND VOTE VIRTUALLY AT THE MEETING.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121285</wp:posOffset>
            </wp:positionV>
            <wp:extent cx="7160260" cy="196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19685"/>
                    </a:xfrm>
                    <a:prstGeom prst="rect">
                      <a:avLst/>
                    </a:prstGeom>
                    <a:noFill/>
                  </pic:spPr>
                </pic:pic>
              </a:graphicData>
            </a:graphic>
          </wp:anchor>
        </w:drawing>
      </w:r>
    </w:p>
    <w:p>
      <w:pPr>
        <w:sectPr>
          <w:pgSz w:w="11900" w:h="16838" w:orient="portrait"/>
          <w:cols w:equalWidth="0" w:num="1">
            <w:col w:w="11260"/>
          </w:cols>
          <w:pgMar w:left="320" w:top="132" w:right="31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210185</wp:posOffset>
            </wp:positionV>
            <wp:extent cx="7207250" cy="93300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0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95885</wp:posOffset>
            </wp:positionV>
            <wp:extent cx="7207250" cy="93300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7207250" cy="9330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o"/>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o"/>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o"/>
      <w:numFmt w:val="bullet"/>
      <w:start w:val="1"/>
    </w:lvl>
    <w:lvl w:ilvl="1">
      <w:lvlJc w:val="left"/>
      <w:lvlText w:val="(%2)"/>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decimal"/>
      <w:start w:val="240"/>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3"/>
    </w:lvl>
    <w:lvl w:ilvl="1">
      <w:lvlJc w:val="left"/>
      <w:lvlText w:val="•"/>
      <w:numFmt w:val="bullet"/>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5"/>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
      <w:numFmt w:val="bullet"/>
      <w:start w:val="1"/>
    </w:lvl>
    <w:lvl w:ilvl="1">
      <w:lvlJc w:val="left"/>
      <w:lvlText w:val="\emdash "/>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2020-04-09T16:20:50Z</dcterms:created>
  <dcterms:modified xsi:type="dcterms:W3CDTF">2020-04-09T16:20:50Z</dcterms:modified>
</cp:coreProperties>
</file>