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3"/>
          <w:szCs w:val="13"/>
          <w:b w:val="1"/>
          <w:bCs w:val="1"/>
          <w:color w:val="auto"/>
        </w:rPr>
        <w:t>UNITED STATES</w:t>
      </w:r>
    </w:p>
    <w:p>
      <w:pPr>
        <w:jc w:val="center"/>
        <w:ind w:right="-19"/>
        <w:spacing w:after="0" w:line="235" w:lineRule="auto"/>
        <w:rPr>
          <w:sz w:val="20"/>
          <w:szCs w:val="20"/>
          <w:color w:val="auto"/>
        </w:rPr>
      </w:pPr>
      <w:r>
        <w:rPr>
          <w:rFonts w:ascii="Arial" w:cs="Arial" w:eastAsia="Arial" w:hAnsi="Arial"/>
          <w:sz w:val="13"/>
          <w:szCs w:val="13"/>
          <w:b w:val="1"/>
          <w:bCs w:val="1"/>
          <w:color w:val="auto"/>
        </w:rPr>
        <w:t>SECURITIES AND EXCHANGE COMMISSION</w:t>
      </w:r>
    </w:p>
    <w:p>
      <w:pPr>
        <w:jc w:val="center"/>
        <w:ind w:right="-19"/>
        <w:spacing w:after="0" w:line="226" w:lineRule="auto"/>
        <w:rPr>
          <w:sz w:val="20"/>
          <w:szCs w:val="20"/>
          <w:color w:val="auto"/>
        </w:rPr>
      </w:pPr>
      <w:r>
        <w:rPr>
          <w:rFonts w:ascii="Arial" w:cs="Arial" w:eastAsia="Arial" w:hAnsi="Arial"/>
          <w:sz w:val="13"/>
          <w:szCs w:val="13"/>
          <w:b w:val="1"/>
          <w:bCs w:val="1"/>
          <w:color w:val="auto"/>
        </w:rPr>
        <w:t>WASHINGTON, D.C. 20549</w:t>
      </w:r>
    </w:p>
    <w:p>
      <w:pPr>
        <w:jc w:val="center"/>
        <w:ind w:right="-19"/>
        <w:spacing w:after="0" w:line="227" w:lineRule="auto"/>
        <w:rPr>
          <w:sz w:val="20"/>
          <w:szCs w:val="20"/>
          <w:color w:val="auto"/>
        </w:rPr>
      </w:pPr>
      <w:r>
        <w:rPr>
          <w:rFonts w:ascii="Arial" w:cs="Arial" w:eastAsia="Arial" w:hAnsi="Arial"/>
          <w:sz w:val="13"/>
          <w:szCs w:val="13"/>
          <w:b w:val="1"/>
          <w:bCs w:val="1"/>
          <w:color w:val="auto"/>
        </w:rPr>
        <w:t>FORM 10-K/A</w:t>
      </w:r>
    </w:p>
    <w:p>
      <w:pPr>
        <w:jc w:val="center"/>
        <w:ind w:right="-19"/>
        <w:spacing w:after="0" w:line="226" w:lineRule="auto"/>
        <w:rPr>
          <w:sz w:val="20"/>
          <w:szCs w:val="20"/>
          <w:color w:val="auto"/>
        </w:rPr>
      </w:pPr>
      <w:r>
        <w:rPr>
          <w:rFonts w:ascii="Arial" w:cs="Arial" w:eastAsia="Arial" w:hAnsi="Arial"/>
          <w:sz w:val="13"/>
          <w:szCs w:val="13"/>
          <w:b w:val="1"/>
          <w:bCs w:val="1"/>
          <w:color w:val="auto"/>
        </w:rPr>
        <w:t>Amendment No. 1</w:t>
      </w:r>
    </w:p>
    <w:p>
      <w:pPr>
        <w:spacing w:after="0" w:line="226" w:lineRule="auto"/>
        <w:rPr>
          <w:sz w:val="20"/>
          <w:szCs w:val="20"/>
          <w:color w:val="auto"/>
        </w:rPr>
      </w:pPr>
      <w:r>
        <w:rPr>
          <w:rFonts w:ascii="Arial" w:cs="Arial" w:eastAsia="Arial" w:hAnsi="Arial"/>
          <w:sz w:val="13"/>
          <w:szCs w:val="13"/>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89535" cy="97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535" cy="977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3"/>
          <w:szCs w:val="13"/>
          <w:color w:val="auto"/>
        </w:rPr>
        <w:t>ANNUAL REPORT PURSUANT TO SECTION 13 OR 15(d) OF THE SECURITIES EXCHANGE ACT OF 1934</w:t>
      </w:r>
    </w:p>
    <w:p>
      <w:pPr>
        <w:spacing w:after="0" w:line="3"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For the fiscal year ended December 31, 2007</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OR</w:t>
      </w:r>
    </w:p>
    <w:p>
      <w:pPr>
        <w:ind w:left="240" w:hanging="237"/>
        <w:spacing w:after="0" w:line="180" w:lineRule="auto"/>
        <w:tabs>
          <w:tab w:leader="none" w:pos="240" w:val="left"/>
        </w:tabs>
        <w:numPr>
          <w:ilvl w:val="0"/>
          <w:numId w:val="1"/>
        </w:numPr>
        <w:rPr>
          <w:rFonts w:ascii="Arial" w:cs="Arial" w:eastAsia="Arial" w:hAnsi="Arial"/>
          <w:sz w:val="34"/>
          <w:szCs w:val="34"/>
          <w:color w:val="auto"/>
          <w:vertAlign w:val="subscript"/>
        </w:rPr>
      </w:pPr>
      <w:r>
        <w:rPr>
          <w:rFonts w:ascii="Arial" w:cs="Arial" w:eastAsia="Arial" w:hAnsi="Arial"/>
          <w:sz w:val="12"/>
          <w:szCs w:val="12"/>
          <w:color w:val="auto"/>
        </w:rPr>
        <w:t>TRANSITION REPORT PURSUANT TO SECTION 13 OR 15(d) OF THE SECURITIES EXCHANGE ACT OF 1934</w:t>
      </w:r>
    </w:p>
    <w:p>
      <w:pPr>
        <w:spacing w:after="0" w:line="80" w:lineRule="exact"/>
        <w:rPr>
          <w:sz w:val="24"/>
          <w:szCs w:val="24"/>
          <w:color w:val="auto"/>
        </w:rPr>
      </w:pPr>
    </w:p>
    <w:tbl>
      <w:tblPr>
        <w:tblLayout w:type="fixed"/>
        <w:tblInd w:w="240" w:type="dxa"/>
        <w:tblCellMar>
          <w:top w:w="0" w:type="dxa"/>
          <w:left w:w="0" w:type="dxa"/>
          <w:bottom w:w="0" w:type="dxa"/>
          <w:right w:w="0" w:type="dxa"/>
        </w:tblCellMar>
      </w:tblPr>
      <w:tr>
        <w:trPr>
          <w:trHeight w:val="166"/>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w w:val="94"/>
              </w:rPr>
              <w:t>For the transition period from</w:t>
            </w:r>
          </w:p>
        </w:tc>
        <w:tc>
          <w:tcPr>
            <w:tcW w:w="2580" w:type="dxa"/>
            <w:vAlign w:val="bottom"/>
          </w:tcPr>
          <w:p>
            <w:pPr>
              <w:ind w:left="1100"/>
              <w:spacing w:after="0"/>
              <w:rPr>
                <w:sz w:val="20"/>
                <w:szCs w:val="20"/>
                <w:color w:val="auto"/>
              </w:rPr>
            </w:pPr>
            <w:r>
              <w:rPr>
                <w:rFonts w:ascii="Arial" w:cs="Arial" w:eastAsia="Arial" w:hAnsi="Arial"/>
                <w:sz w:val="13"/>
                <w:szCs w:val="13"/>
                <w:b w:val="1"/>
                <w:bCs w:val="1"/>
                <w:color w:val="auto"/>
              </w:rPr>
              <w:t>to</w:t>
            </w:r>
          </w:p>
        </w:tc>
        <w:tc>
          <w:tcPr>
            <w:tcW w:w="50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268"/>
        </w:trPr>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100" w:type="dxa"/>
            <w:vAlign w:val="bottom"/>
            <w:gridSpan w:val="2"/>
          </w:tcPr>
          <w:p>
            <w:pPr>
              <w:jc w:val="center"/>
              <w:ind w:right="1736"/>
              <w:spacing w:after="0"/>
              <w:rPr>
                <w:sz w:val="20"/>
                <w:szCs w:val="20"/>
                <w:color w:val="auto"/>
              </w:rPr>
            </w:pPr>
            <w:r>
              <w:rPr>
                <w:rFonts w:ascii="Arial" w:cs="Arial" w:eastAsia="Arial" w:hAnsi="Arial"/>
                <w:sz w:val="13"/>
                <w:szCs w:val="13"/>
                <w:color w:val="auto"/>
                <w:w w:val="90"/>
              </w:rPr>
              <w:t xml:space="preserve">Commission file number: </w:t>
            </w:r>
            <w:r>
              <w:rPr>
                <w:rFonts w:ascii="Arial" w:cs="Arial" w:eastAsia="Arial" w:hAnsi="Arial"/>
                <w:sz w:val="13"/>
                <w:szCs w:val="13"/>
                <w:b w:val="1"/>
                <w:bCs w:val="1"/>
                <w:color w:val="auto"/>
                <w:w w:val="90"/>
              </w:rPr>
              <w:t>001-33137</w:t>
            </w:r>
          </w:p>
        </w:tc>
      </w:tr>
      <w:tr>
        <w:trPr>
          <w:trHeight w:val="261"/>
        </w:trPr>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100" w:type="dxa"/>
            <w:vAlign w:val="bottom"/>
            <w:gridSpan w:val="2"/>
          </w:tcPr>
          <w:p>
            <w:pPr>
              <w:jc w:val="center"/>
              <w:ind w:right="1736"/>
              <w:spacing w:after="0"/>
              <w:rPr>
                <w:sz w:val="20"/>
                <w:szCs w:val="20"/>
                <w:color w:val="auto"/>
              </w:rPr>
            </w:pPr>
            <w:r>
              <w:rPr>
                <w:rFonts w:ascii="Arial" w:cs="Arial" w:eastAsia="Arial" w:hAnsi="Arial"/>
                <w:sz w:val="13"/>
                <w:szCs w:val="13"/>
                <w:b w:val="1"/>
                <w:bCs w:val="1"/>
                <w:color w:val="auto"/>
              </w:rPr>
              <w:t>EMERGENT BIOSOLUTIONS INC.</w:t>
            </w:r>
          </w:p>
        </w:tc>
      </w:tr>
      <w:tr>
        <w:trPr>
          <w:trHeight w:val="162"/>
        </w:trPr>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80" w:type="dxa"/>
            <w:vAlign w:val="bottom"/>
            <w:gridSpan w:val="3"/>
          </w:tcPr>
          <w:p>
            <w:pPr>
              <w:jc w:val="center"/>
              <w:ind w:left="716"/>
              <w:spacing w:after="0"/>
              <w:rPr>
                <w:sz w:val="20"/>
                <w:szCs w:val="20"/>
                <w:color w:val="auto"/>
              </w:rPr>
            </w:pPr>
            <w:r>
              <w:rPr>
                <w:rFonts w:ascii="Arial" w:cs="Arial" w:eastAsia="Arial" w:hAnsi="Arial"/>
                <w:sz w:val="13"/>
                <w:szCs w:val="13"/>
                <w:color w:val="auto"/>
                <w:w w:val="89"/>
              </w:rPr>
              <w:t>(Exact Name of Registrant as Specified in Its Charter)</w:t>
            </w:r>
          </w:p>
        </w:tc>
      </w:tr>
      <w:tr>
        <w:trPr>
          <w:trHeight w:val="359"/>
        </w:trPr>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80" w:type="dxa"/>
            <w:vAlign w:val="bottom"/>
          </w:tcPr>
          <w:p>
            <w:pPr>
              <w:jc w:val="center"/>
              <w:ind w:right="1856"/>
              <w:spacing w:after="0"/>
              <w:rPr>
                <w:sz w:val="20"/>
                <w:szCs w:val="20"/>
                <w:color w:val="auto"/>
              </w:rPr>
            </w:pPr>
            <w:r>
              <w:rPr>
                <w:rFonts w:ascii="Arial" w:cs="Arial" w:eastAsia="Arial" w:hAnsi="Arial"/>
                <w:sz w:val="13"/>
                <w:szCs w:val="13"/>
                <w:b w:val="1"/>
                <w:bCs w:val="1"/>
                <w:color w:val="auto"/>
                <w:w w:val="87"/>
              </w:rPr>
              <w:t>Delaware</w:t>
            </w:r>
          </w:p>
        </w:tc>
        <w:tc>
          <w:tcPr>
            <w:tcW w:w="4100" w:type="dxa"/>
            <w:vAlign w:val="bottom"/>
            <w:gridSpan w:val="2"/>
          </w:tcPr>
          <w:p>
            <w:pPr>
              <w:jc w:val="right"/>
              <w:ind w:right="1656"/>
              <w:spacing w:after="0"/>
              <w:rPr>
                <w:sz w:val="20"/>
                <w:szCs w:val="20"/>
                <w:color w:val="auto"/>
              </w:rPr>
            </w:pPr>
            <w:r>
              <w:rPr>
                <w:rFonts w:ascii="Arial" w:cs="Arial" w:eastAsia="Arial" w:hAnsi="Arial"/>
                <w:sz w:val="13"/>
                <w:szCs w:val="13"/>
                <w:b w:val="1"/>
                <w:bCs w:val="1"/>
                <w:color w:val="auto"/>
              </w:rPr>
              <w:t>14-1902018</w:t>
            </w:r>
          </w:p>
        </w:tc>
      </w:tr>
      <w:tr>
        <w:trPr>
          <w:trHeight w:val="218"/>
        </w:trPr>
        <w:tc>
          <w:tcPr>
            <w:tcW w:w="4320" w:type="dxa"/>
            <w:vAlign w:val="bottom"/>
            <w:gridSpan w:val="3"/>
          </w:tcPr>
          <w:p>
            <w:pPr>
              <w:jc w:val="center"/>
              <w:ind w:right="116"/>
              <w:spacing w:after="0"/>
              <w:rPr>
                <w:sz w:val="20"/>
                <w:szCs w:val="20"/>
                <w:color w:val="auto"/>
              </w:rPr>
            </w:pPr>
            <w:r>
              <w:rPr>
                <w:rFonts w:ascii="Arial" w:cs="Arial" w:eastAsia="Arial" w:hAnsi="Arial"/>
                <w:sz w:val="13"/>
                <w:szCs w:val="13"/>
                <w:color w:val="auto"/>
                <w:w w:val="90"/>
              </w:rPr>
              <w:t>(State or Other Jurisdiction of Incorporation or Organization)</w:t>
            </w:r>
          </w:p>
        </w:tc>
        <w:tc>
          <w:tcPr>
            <w:tcW w:w="500" w:type="dxa"/>
            <w:vAlign w:val="bottom"/>
          </w:tcPr>
          <w:p>
            <w:pPr>
              <w:spacing w:after="0"/>
              <w:rPr>
                <w:sz w:val="18"/>
                <w:szCs w:val="18"/>
                <w:color w:val="auto"/>
              </w:rPr>
            </w:pPr>
          </w:p>
        </w:tc>
        <w:tc>
          <w:tcPr>
            <w:tcW w:w="3600" w:type="dxa"/>
            <w:vAlign w:val="bottom"/>
          </w:tcPr>
          <w:p>
            <w:pPr>
              <w:jc w:val="center"/>
              <w:ind w:right="396"/>
              <w:spacing w:after="0"/>
              <w:rPr>
                <w:sz w:val="20"/>
                <w:szCs w:val="20"/>
                <w:color w:val="auto"/>
              </w:rPr>
            </w:pPr>
            <w:r>
              <w:rPr>
                <w:rFonts w:ascii="Arial" w:cs="Arial" w:eastAsia="Arial" w:hAnsi="Arial"/>
                <w:sz w:val="13"/>
                <w:szCs w:val="13"/>
                <w:color w:val="auto"/>
                <w:w w:val="94"/>
              </w:rPr>
              <w:t>(IRS Employer Identification No.)</w:t>
            </w:r>
          </w:p>
        </w:tc>
      </w:tr>
      <w:tr>
        <w:trPr>
          <w:trHeight w:val="436"/>
        </w:trPr>
        <w:tc>
          <w:tcPr>
            <w:tcW w:w="720" w:type="dxa"/>
            <w:vAlign w:val="bottom"/>
          </w:tcPr>
          <w:p>
            <w:pPr>
              <w:spacing w:after="0"/>
              <w:rPr>
                <w:sz w:val="24"/>
                <w:szCs w:val="24"/>
                <w:color w:val="auto"/>
              </w:rPr>
            </w:pPr>
          </w:p>
        </w:tc>
        <w:tc>
          <w:tcPr>
            <w:tcW w:w="3600" w:type="dxa"/>
            <w:vAlign w:val="bottom"/>
            <w:gridSpan w:val="2"/>
          </w:tcPr>
          <w:p>
            <w:pPr>
              <w:jc w:val="center"/>
              <w:ind w:right="816"/>
              <w:spacing w:after="0"/>
              <w:rPr>
                <w:sz w:val="20"/>
                <w:szCs w:val="20"/>
                <w:color w:val="auto"/>
              </w:rPr>
            </w:pPr>
            <w:r>
              <w:rPr>
                <w:rFonts w:ascii="Arial" w:cs="Arial" w:eastAsia="Arial" w:hAnsi="Arial"/>
                <w:sz w:val="13"/>
                <w:szCs w:val="13"/>
                <w:b w:val="1"/>
                <w:bCs w:val="1"/>
                <w:color w:val="auto"/>
                <w:w w:val="88"/>
              </w:rPr>
              <w:t>2273 Research Boulevard, Suite 400</w:t>
            </w:r>
          </w:p>
        </w:tc>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720" w:type="dxa"/>
            <w:vAlign w:val="bottom"/>
          </w:tcPr>
          <w:p>
            <w:pPr>
              <w:spacing w:after="0"/>
              <w:rPr>
                <w:sz w:val="18"/>
                <w:szCs w:val="18"/>
                <w:color w:val="auto"/>
              </w:rPr>
            </w:pPr>
          </w:p>
        </w:tc>
        <w:tc>
          <w:tcPr>
            <w:tcW w:w="3600" w:type="dxa"/>
            <w:vAlign w:val="bottom"/>
            <w:gridSpan w:val="2"/>
          </w:tcPr>
          <w:p>
            <w:pPr>
              <w:jc w:val="center"/>
              <w:ind w:right="836"/>
              <w:spacing w:after="0"/>
              <w:rPr>
                <w:sz w:val="20"/>
                <w:szCs w:val="20"/>
                <w:color w:val="auto"/>
              </w:rPr>
            </w:pPr>
            <w:r>
              <w:rPr>
                <w:rFonts w:ascii="Arial" w:cs="Arial" w:eastAsia="Arial" w:hAnsi="Arial"/>
                <w:sz w:val="13"/>
                <w:szCs w:val="13"/>
                <w:b w:val="1"/>
                <w:bCs w:val="1"/>
                <w:color w:val="auto"/>
                <w:w w:val="93"/>
              </w:rPr>
              <w:t>Rockville, Maryland</w:t>
            </w:r>
          </w:p>
        </w:tc>
        <w:tc>
          <w:tcPr>
            <w:tcW w:w="4100" w:type="dxa"/>
            <w:vAlign w:val="bottom"/>
            <w:gridSpan w:val="2"/>
          </w:tcPr>
          <w:p>
            <w:pPr>
              <w:jc w:val="right"/>
              <w:ind w:right="1796"/>
              <w:spacing w:after="0"/>
              <w:rPr>
                <w:sz w:val="20"/>
                <w:szCs w:val="20"/>
                <w:color w:val="auto"/>
              </w:rPr>
            </w:pPr>
            <w:r>
              <w:rPr>
                <w:rFonts w:ascii="Arial" w:cs="Arial" w:eastAsia="Arial" w:hAnsi="Arial"/>
                <w:sz w:val="13"/>
                <w:szCs w:val="13"/>
                <w:b w:val="1"/>
                <w:bCs w:val="1"/>
                <w:color w:val="auto"/>
              </w:rPr>
              <w:t>20850</w:t>
            </w:r>
          </w:p>
        </w:tc>
      </w:tr>
      <w:tr>
        <w:trPr>
          <w:trHeight w:val="218"/>
        </w:trPr>
        <w:tc>
          <w:tcPr>
            <w:tcW w:w="720" w:type="dxa"/>
            <w:vAlign w:val="bottom"/>
          </w:tcPr>
          <w:p>
            <w:pPr>
              <w:spacing w:after="0"/>
              <w:rPr>
                <w:sz w:val="18"/>
                <w:szCs w:val="18"/>
                <w:color w:val="auto"/>
              </w:rPr>
            </w:pPr>
          </w:p>
        </w:tc>
        <w:tc>
          <w:tcPr>
            <w:tcW w:w="3600" w:type="dxa"/>
            <w:vAlign w:val="bottom"/>
            <w:gridSpan w:val="2"/>
          </w:tcPr>
          <w:p>
            <w:pPr>
              <w:jc w:val="center"/>
              <w:ind w:right="836"/>
              <w:spacing w:after="0"/>
              <w:rPr>
                <w:sz w:val="20"/>
                <w:szCs w:val="20"/>
                <w:color w:val="auto"/>
              </w:rPr>
            </w:pPr>
            <w:r>
              <w:rPr>
                <w:rFonts w:ascii="Arial" w:cs="Arial" w:eastAsia="Arial" w:hAnsi="Arial"/>
                <w:sz w:val="13"/>
                <w:szCs w:val="13"/>
                <w:color w:val="auto"/>
                <w:w w:val="91"/>
              </w:rPr>
              <w:t>(Address of Principal Executive Offices)</w:t>
            </w:r>
          </w:p>
        </w:tc>
        <w:tc>
          <w:tcPr>
            <w:tcW w:w="500" w:type="dxa"/>
            <w:vAlign w:val="bottom"/>
          </w:tcPr>
          <w:p>
            <w:pPr>
              <w:spacing w:after="0"/>
              <w:rPr>
                <w:sz w:val="18"/>
                <w:szCs w:val="18"/>
                <w:color w:val="auto"/>
              </w:rPr>
            </w:pPr>
          </w:p>
        </w:tc>
        <w:tc>
          <w:tcPr>
            <w:tcW w:w="3600" w:type="dxa"/>
            <w:vAlign w:val="bottom"/>
          </w:tcPr>
          <w:p>
            <w:pPr>
              <w:jc w:val="center"/>
              <w:ind w:right="396"/>
              <w:spacing w:after="0"/>
              <w:rPr>
                <w:sz w:val="20"/>
                <w:szCs w:val="20"/>
                <w:color w:val="auto"/>
              </w:rPr>
            </w:pPr>
            <w:r>
              <w:rPr>
                <w:rFonts w:ascii="Arial" w:cs="Arial" w:eastAsia="Arial" w:hAnsi="Arial"/>
                <w:sz w:val="13"/>
                <w:szCs w:val="13"/>
                <w:color w:val="auto"/>
                <w:w w:val="94"/>
              </w:rPr>
              <w:t>(Zip Code)</w:t>
            </w:r>
          </w:p>
        </w:tc>
      </w:tr>
      <w:tr>
        <w:trPr>
          <w:trHeight w:val="261"/>
        </w:trPr>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80" w:type="dxa"/>
            <w:vAlign w:val="bottom"/>
            <w:gridSpan w:val="3"/>
          </w:tcPr>
          <w:p>
            <w:pPr>
              <w:jc w:val="center"/>
              <w:ind w:left="716"/>
              <w:spacing w:after="0"/>
              <w:rPr>
                <w:sz w:val="20"/>
                <w:szCs w:val="20"/>
                <w:color w:val="auto"/>
              </w:rPr>
            </w:pPr>
            <w:r>
              <w:rPr>
                <w:rFonts w:ascii="Arial" w:cs="Arial" w:eastAsia="Arial" w:hAnsi="Arial"/>
                <w:sz w:val="13"/>
                <w:szCs w:val="13"/>
                <w:color w:val="auto"/>
                <w:w w:val="89"/>
              </w:rPr>
              <w:t xml:space="preserve">Registrant’s Telephone Number, Including Area Code: </w:t>
            </w:r>
            <w:r>
              <w:rPr>
                <w:rFonts w:ascii="Arial" w:cs="Arial" w:eastAsia="Arial" w:hAnsi="Arial"/>
                <w:sz w:val="13"/>
                <w:szCs w:val="13"/>
                <w:b w:val="1"/>
                <w:bCs w:val="1"/>
                <w:color w:val="auto"/>
                <w:w w:val="89"/>
              </w:rPr>
              <w:t>(301) 795-1800</w:t>
            </w:r>
          </w:p>
        </w:tc>
      </w:tr>
      <w:tr>
        <w:trPr>
          <w:trHeight w:val="162"/>
        </w:trPr>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80" w:type="dxa"/>
            <w:vAlign w:val="bottom"/>
            <w:gridSpan w:val="3"/>
          </w:tcPr>
          <w:p>
            <w:pPr>
              <w:jc w:val="center"/>
              <w:ind w:left="736"/>
              <w:spacing w:after="0"/>
              <w:rPr>
                <w:sz w:val="20"/>
                <w:szCs w:val="20"/>
                <w:color w:val="auto"/>
              </w:rPr>
            </w:pPr>
            <w:r>
              <w:rPr>
                <w:rFonts w:ascii="Arial" w:cs="Arial" w:eastAsia="Arial" w:hAnsi="Arial"/>
                <w:sz w:val="13"/>
                <w:szCs w:val="13"/>
                <w:color w:val="auto"/>
                <w:w w:val="89"/>
              </w:rPr>
              <w:t>Securities registered pursuant to Section 12(b) of the Act:</w:t>
            </w:r>
          </w:p>
        </w:tc>
      </w:tr>
      <w:tr>
        <w:trPr>
          <w:trHeight w:val="282"/>
        </w:trPr>
        <w:tc>
          <w:tcPr>
            <w:tcW w:w="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right="956"/>
              <w:spacing w:after="0"/>
              <w:rPr>
                <w:sz w:val="20"/>
                <w:szCs w:val="20"/>
                <w:color w:val="auto"/>
              </w:rPr>
            </w:pPr>
            <w:r>
              <w:rPr>
                <w:rFonts w:ascii="Arial" w:cs="Arial" w:eastAsia="Arial" w:hAnsi="Arial"/>
                <w:sz w:val="13"/>
                <w:szCs w:val="13"/>
                <w:color w:val="auto"/>
                <w:w w:val="88"/>
              </w:rPr>
              <w:t>Title of Each Class</w:t>
            </w:r>
          </w:p>
        </w:tc>
        <w:tc>
          <w:tcPr>
            <w:tcW w:w="5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Name of Each Exchange on Which Registered</w:t>
            </w:r>
          </w:p>
        </w:tc>
      </w:tr>
      <w:tr>
        <w:trPr>
          <w:trHeight w:val="121"/>
        </w:trPr>
        <w:tc>
          <w:tcPr>
            <w:tcW w:w="720" w:type="dxa"/>
            <w:vAlign w:val="bottom"/>
          </w:tcPr>
          <w:p>
            <w:pPr>
              <w:spacing w:after="0"/>
              <w:rPr>
                <w:sz w:val="10"/>
                <w:szCs w:val="10"/>
                <w:color w:val="auto"/>
              </w:rPr>
            </w:pPr>
          </w:p>
        </w:tc>
        <w:tc>
          <w:tcPr>
            <w:tcW w:w="360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87"/>
              </w:rPr>
              <w:t>Common stock, $0.001 par value per share</w:t>
            </w:r>
          </w:p>
        </w:tc>
        <w:tc>
          <w:tcPr>
            <w:tcW w:w="500" w:type="dxa"/>
            <w:vAlign w:val="bottom"/>
          </w:tcPr>
          <w:p>
            <w:pPr>
              <w:spacing w:after="0"/>
              <w:rPr>
                <w:sz w:val="10"/>
                <w:szCs w:val="10"/>
                <w:color w:val="auto"/>
              </w:rPr>
            </w:pPr>
          </w:p>
        </w:tc>
        <w:tc>
          <w:tcPr>
            <w:tcW w:w="36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New York Stock Exchange</w:t>
            </w:r>
          </w:p>
        </w:tc>
      </w:tr>
      <w:tr>
        <w:trPr>
          <w:trHeight w:val="166"/>
        </w:trPr>
        <w:tc>
          <w:tcPr>
            <w:tcW w:w="720" w:type="dxa"/>
            <w:vAlign w:val="bottom"/>
          </w:tcPr>
          <w:p>
            <w:pPr>
              <w:spacing w:after="0"/>
              <w:rPr>
                <w:sz w:val="14"/>
                <w:szCs w:val="14"/>
                <w:color w:val="auto"/>
              </w:rPr>
            </w:pPr>
          </w:p>
        </w:tc>
        <w:tc>
          <w:tcPr>
            <w:tcW w:w="3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Series A junior participating preferred stock purchase rights</w:t>
            </w:r>
          </w:p>
        </w:tc>
        <w:tc>
          <w:tcPr>
            <w:tcW w:w="5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8"/>
              </w:rPr>
              <w:t>New York Stock Exchange</w:t>
            </w:r>
          </w:p>
        </w:tc>
      </w:tr>
    </w:tbl>
    <w:p>
      <w:pPr>
        <w:spacing w:after="0" w:line="116" w:lineRule="exact"/>
        <w:rPr>
          <w:sz w:val="24"/>
          <w:szCs w:val="24"/>
          <w:color w:val="auto"/>
        </w:rPr>
      </w:pPr>
    </w:p>
    <w:p>
      <w:pPr>
        <w:ind w:left="408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24"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Securities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4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54" w:lineRule="exact"/>
        <w:rPr>
          <w:sz w:val="24"/>
          <w:szCs w:val="24"/>
          <w:color w:val="auto"/>
        </w:rPr>
      </w:pPr>
    </w:p>
    <w:p>
      <w:pPr>
        <w:ind w:right="140"/>
        <w:spacing w:after="0" w:line="250"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89535" cy="97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r>
        <w:rPr>
          <w:rFonts w:ascii="Arial" w:cs="Arial" w:eastAsia="Arial" w:hAnsi="Arial"/>
          <w:sz w:val="13"/>
          <w:szCs w:val="13"/>
          <w:color w:val="auto"/>
        </w:rPr>
        <w:t xml:space="preserve"> No </w:t>
      </w:r>
      <w:r>
        <w:rPr>
          <w:rFonts w:ascii="Arial" w:cs="Arial" w:eastAsia="Arial" w:hAnsi="Arial"/>
          <w:sz w:val="20"/>
          <w:szCs w:val="20"/>
          <w:color w:val="auto"/>
        </w:rPr>
        <w:t>o</w:t>
      </w:r>
    </w:p>
    <w:p>
      <w:pPr>
        <w:spacing w:after="0" w:line="118" w:lineRule="exact"/>
        <w:rPr>
          <w:sz w:val="24"/>
          <w:szCs w:val="24"/>
          <w:color w:val="auto"/>
        </w:rPr>
      </w:pPr>
    </w:p>
    <w:p>
      <w:pPr>
        <w:ind w:right="180"/>
        <w:spacing w:after="0" w:line="255" w:lineRule="auto"/>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sz w:val="1"/>
          <w:szCs w:val="1"/>
          <w:color w:val="auto"/>
        </w:rPr>
        <w:drawing>
          <wp:inline distT="0" distB="0" distL="0" distR="0">
            <wp:extent cx="89535" cy="977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12" w:lineRule="exact"/>
        <w:rPr>
          <w:sz w:val="24"/>
          <w:szCs w:val="24"/>
          <w:color w:val="auto"/>
        </w:rPr>
      </w:pPr>
    </w:p>
    <w:p>
      <w:pPr>
        <w:ind w:right="340"/>
        <w:spacing w:after="0" w:line="24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04" w:lineRule="exact"/>
        <w:rPr>
          <w:sz w:val="24"/>
          <w:szCs w:val="24"/>
          <w:color w:val="auto"/>
        </w:rPr>
      </w:pPr>
    </w:p>
    <w:p>
      <w:pPr>
        <w:spacing w:after="0"/>
        <w:tabs>
          <w:tab w:leader="none" w:pos="1820" w:val="left"/>
          <w:tab w:leader="none" w:pos="4500" w:val="left"/>
        </w:tabs>
        <w:rPr>
          <w:sz w:val="20"/>
          <w:szCs w:val="20"/>
          <w:color w:val="auto"/>
        </w:rPr>
      </w:pPr>
      <w:r>
        <w:rPr>
          <w:rFonts w:ascii="Arial" w:cs="Arial" w:eastAsia="Arial" w:hAnsi="Arial"/>
          <w:sz w:val="13"/>
          <w:szCs w:val="13"/>
          <w:color w:val="auto"/>
        </w:rPr>
        <w:t xml:space="preserve">Large accelerated filer </w:t>
      </w:r>
      <w:r>
        <w:rPr>
          <w:rFonts w:ascii="Arial" w:cs="Arial" w:eastAsia="Arial" w:hAnsi="Arial"/>
          <w:sz w:val="20"/>
          <w:szCs w:val="20"/>
          <w:color w:val="auto"/>
        </w:rPr>
        <w:t>o</w:t>
      </w:r>
      <w:r>
        <w:rPr>
          <w:sz w:val="20"/>
          <w:szCs w:val="20"/>
          <w:color w:val="auto"/>
        </w:rPr>
        <w:tab/>
      </w:r>
      <w:r>
        <w:rPr>
          <w:rFonts w:ascii="Arial" w:cs="Arial" w:eastAsia="Arial" w:hAnsi="Arial"/>
          <w:sz w:val="26"/>
          <w:szCs w:val="26"/>
          <w:color w:val="auto"/>
          <w:vertAlign w:val="superscript"/>
        </w:rPr>
        <w:t xml:space="preserve">Accelerated filer </w:t>
      </w:r>
      <w:r>
        <w:rPr>
          <w:sz w:val="1"/>
          <w:szCs w:val="1"/>
          <w:color w:val="auto"/>
        </w:rPr>
        <w:drawing>
          <wp:inline distT="0" distB="0" distL="0" distR="0">
            <wp:extent cx="89535" cy="97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r>
        <w:rPr>
          <w:rFonts w:ascii="Arial" w:cs="Arial" w:eastAsia="Arial" w:hAnsi="Arial"/>
          <w:sz w:val="13"/>
          <w:szCs w:val="13"/>
          <w:color w:val="auto"/>
        </w:rPr>
        <w:t xml:space="preserve">   Non-accelerated filer </w:t>
      </w:r>
      <w:r>
        <w:rPr>
          <w:rFonts w:ascii="Arial" w:cs="Arial" w:eastAsia="Arial" w:hAnsi="Arial"/>
          <w:sz w:val="20"/>
          <w:szCs w:val="20"/>
          <w:color w:val="auto"/>
        </w:rPr>
        <w:t>o</w:t>
      </w:r>
      <w:r>
        <w:rPr>
          <w:sz w:val="20"/>
          <w:szCs w:val="20"/>
          <w:color w:val="auto"/>
        </w:rPr>
        <w:tab/>
      </w:r>
      <w:r>
        <w:rPr>
          <w:rFonts w:ascii="Arial" w:cs="Arial" w:eastAsia="Arial" w:hAnsi="Arial"/>
          <w:sz w:val="11"/>
          <w:szCs w:val="11"/>
          <w:color w:val="auto"/>
        </w:rPr>
        <w:t xml:space="preserve">Smaller reporting company </w:t>
      </w:r>
      <w:r>
        <w:rPr>
          <w:rFonts w:ascii="Arial" w:cs="Arial" w:eastAsia="Arial" w:hAnsi="Arial"/>
          <w:sz w:val="17"/>
          <w:szCs w:val="17"/>
          <w:color w:val="auto"/>
        </w:rPr>
        <w:t>o</w:t>
      </w:r>
    </w:p>
    <w:p>
      <w:pPr>
        <w:spacing w:after="0" w:line="85"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w:cs="Arial" w:eastAsia="Arial" w:hAnsi="Arial"/>
          <w:sz w:val="20"/>
          <w:szCs w:val="20"/>
          <w:color w:val="auto"/>
        </w:rPr>
        <w:t>o</w:t>
      </w:r>
      <w:r>
        <w:rPr>
          <w:rFonts w:ascii="Arial" w:cs="Arial" w:eastAsia="Arial" w:hAnsi="Arial"/>
          <w:sz w:val="13"/>
          <w:szCs w:val="13"/>
          <w:color w:val="auto"/>
        </w:rPr>
        <w:t xml:space="preserve"> No </w:t>
      </w:r>
      <w:r>
        <w:rPr>
          <w:sz w:val="1"/>
          <w:szCs w:val="1"/>
          <w:color w:val="auto"/>
        </w:rPr>
        <w:drawing>
          <wp:inline distT="0" distB="0" distL="0" distR="0">
            <wp:extent cx="89535" cy="977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97790"/>
                    </a:xfrm>
                    <a:prstGeom prst="rect">
                      <a:avLst/>
                    </a:prstGeom>
                    <a:noFill/>
                    <a:ln>
                      <a:noFill/>
                    </a:ln>
                  </pic:spPr>
                </pic:pic>
              </a:graphicData>
            </a:graphic>
          </wp:inline>
        </w:drawing>
      </w:r>
    </w:p>
    <w:p>
      <w:pPr>
        <w:spacing w:after="0" w:line="142" w:lineRule="exact"/>
        <w:rPr>
          <w:sz w:val="24"/>
          <w:szCs w:val="24"/>
          <w:color w:val="auto"/>
        </w:rPr>
      </w:pPr>
    </w:p>
    <w:p>
      <w:pPr>
        <w:spacing w:after="0" w:line="246" w:lineRule="auto"/>
        <w:rPr>
          <w:sz w:val="20"/>
          <w:szCs w:val="20"/>
          <w:color w:val="auto"/>
        </w:rPr>
      </w:pPr>
      <w:r>
        <w:rPr>
          <w:rFonts w:ascii="Arial" w:cs="Arial" w:eastAsia="Arial" w:hAnsi="Arial"/>
          <w:sz w:val="13"/>
          <w:szCs w:val="13"/>
          <w:color w:val="auto"/>
        </w:rPr>
        <w:t>The aggregate market value of voting and non-voting common equity held by non-affiliates of the registrant as of June 29, 2007 was approximately $100,968,000 based on the price at which the common stock was last sold on that date as reported on the New York Stock Exchange.</w:t>
      </w:r>
    </w:p>
    <w:p>
      <w:pPr>
        <w:spacing w:after="0" w:line="117"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29, 2008, the registrant had 29,750,237 shares of common stock outstanding.</w:t>
      </w:r>
    </w:p>
    <w:p>
      <w:pPr>
        <w:spacing w:after="0" w:line="129" w:lineRule="exact"/>
        <w:rPr>
          <w:sz w:val="24"/>
          <w:szCs w:val="24"/>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7" w:lineRule="exact"/>
        <w:rPr>
          <w:sz w:val="24"/>
          <w:szCs w:val="24"/>
          <w:color w:val="auto"/>
        </w:rPr>
      </w:pPr>
    </w:p>
    <w:p>
      <w:pPr>
        <w:ind w:firstLine="308"/>
        <w:spacing w:after="0" w:line="234" w:lineRule="auto"/>
        <w:rPr>
          <w:sz w:val="20"/>
          <w:szCs w:val="20"/>
          <w:color w:val="auto"/>
        </w:rPr>
      </w:pPr>
      <w:r>
        <w:rPr>
          <w:rFonts w:ascii="Arial" w:cs="Arial" w:eastAsia="Arial" w:hAnsi="Arial"/>
          <w:sz w:val="13"/>
          <w:szCs w:val="13"/>
          <w:color w:val="auto"/>
        </w:rPr>
        <w:t>Portions of the registrant’s definitive proxy statement for its 2008 annual meeting of stockholders scheduled to be held on May 21, 2008, which is expected to be filed with the Securities and Exchange Commission not later than 120 days after the end of the registrant’s fiscal year ended December 31, 2007, are incorporated by reference into Part III of this annual report on Form 10-K. With the exception of the portions of the registrant’s definitive proxy statement for its 2008 annual meeting of stockholders that are expressly incorporated by reference into this annual report on Form 10-K, such proxy statement shall not be deemed filed as part of this annual report on Form 10-K.</w:t>
      </w:r>
    </w:p>
    <w:p>
      <w:pPr>
        <w:spacing w:after="0" w:line="122" w:lineRule="exact"/>
        <w:rPr>
          <w:sz w:val="24"/>
          <w:szCs w:val="24"/>
          <w:color w:val="auto"/>
        </w:rPr>
      </w:pPr>
    </w:p>
    <w:p>
      <w:pPr>
        <w:ind w:left="320"/>
        <w:spacing w:after="0"/>
        <w:rPr>
          <w:sz w:val="20"/>
          <w:szCs w:val="20"/>
          <w:color w:val="auto"/>
        </w:rPr>
      </w:pPr>
      <w:r>
        <w:rPr>
          <w:rFonts w:ascii="Arial" w:cs="Arial" w:eastAsia="Arial" w:hAnsi="Arial"/>
          <w:sz w:val="12"/>
          <w:szCs w:val="12"/>
          <w:color w:val="auto"/>
        </w:rPr>
        <w:t xml:space="preserve">BioThrax® and </w:t>
      </w:r>
      <w:r>
        <w:rPr>
          <w:rFonts w:ascii="Arial" w:cs="Arial" w:eastAsia="Arial" w:hAnsi="Arial"/>
          <w:sz w:val="12"/>
          <w:szCs w:val="12"/>
          <w:i w:val="1"/>
          <w:iCs w:val="1"/>
          <w:color w:val="auto"/>
        </w:rPr>
        <w:t>spi</w:t>
      </w:r>
      <w:r>
        <w:rPr>
          <w:rFonts w:ascii="Arial" w:cs="Arial" w:eastAsia="Arial" w:hAnsi="Arial"/>
          <w:sz w:val="12"/>
          <w:szCs w:val="12"/>
          <w:color w:val="auto"/>
        </w:rPr>
        <w:t>-VEC™ are our trademarks. Each of the other trademarks, trade names or service marks appearing in this annual report on Form 10-K are the property of their respective owners.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2790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ind w:right="60" w:firstLine="308"/>
        <w:spacing w:after="0" w:line="274" w:lineRule="auto"/>
        <w:rPr>
          <w:sz w:val="20"/>
          <w:szCs w:val="20"/>
          <w:color w:val="auto"/>
        </w:rPr>
      </w:pPr>
      <w:r>
        <w:rPr>
          <w:rFonts w:ascii="Arial" w:cs="Arial" w:eastAsia="Arial" w:hAnsi="Arial"/>
          <w:sz w:val="16"/>
          <w:szCs w:val="16"/>
          <w:b w:val="1"/>
          <w:bCs w:val="1"/>
          <w:color w:val="auto"/>
        </w:rPr>
        <w:t>We are filing this Amendment No. 1 on Form 10-K/A to our annual report on Form 10-K for the fiscal year ended December 31, 2007, as originally filed with the Securities and Exchange Commission on March 10, 2007, for the sole purpose of refiling certifications in accordance with Rule 13a-14(a) under the Securities Exchange Act of 1934 to include the conformed signatures of our Chief Executive Officer and our Chief Financial Officer, which were unintentionally omitted from the certifications filed as exhibits with the original filing. This Amendment No. 1 does not change the previously reported financial statements or any of the other disclosure contained in the original filing, other than to update the Exhibit Index that is incorporated by reference into Part IV of this Amendment No. 1. Except as noted above, this Amendment No. 1 includes the full text of the original filing. Also filed as exhibits with this Amendment No. 1 are new certifications in accordance with Rule 13a-14(b)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72790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60" w:type="dxa"/>
            <w:vAlign w:val="bottom"/>
          </w:tcPr>
          <w:p>
            <w:pPr>
              <w:spacing w:after="0"/>
              <w:rPr>
                <w:sz w:val="17"/>
                <w:szCs w:val="17"/>
                <w:color w:val="auto"/>
              </w:rPr>
            </w:pPr>
          </w:p>
        </w:tc>
        <w:tc>
          <w:tcPr>
            <w:tcW w:w="10360" w:type="dxa"/>
            <w:vAlign w:val="bottom"/>
          </w:tcPr>
          <w:p>
            <w:pPr>
              <w:jc w:val="center"/>
              <w:ind w:right="957"/>
              <w:spacing w:after="0"/>
              <w:rPr>
                <w:sz w:val="20"/>
                <w:szCs w:val="20"/>
                <w:color w:val="auto"/>
              </w:rPr>
            </w:pPr>
            <w:r>
              <w:rPr>
                <w:rFonts w:ascii="Arial" w:cs="Arial" w:eastAsia="Arial" w:hAnsi="Arial"/>
                <w:sz w:val="17"/>
                <w:szCs w:val="17"/>
                <w:b w:val="1"/>
                <w:bCs w:val="1"/>
                <w:color w:val="auto"/>
                <w:w w:val="99"/>
              </w:rPr>
              <w:t>EMERGENT BIOSOLUTIONS INC</w:t>
            </w:r>
            <w:r>
              <w:rPr>
                <w:rFonts w:ascii="Arial" w:cs="Arial" w:eastAsia="Arial" w:hAnsi="Arial"/>
                <w:sz w:val="17"/>
                <w:szCs w:val="17"/>
                <w:color w:val="auto"/>
                <w:w w:val="99"/>
              </w:rPr>
              <w:t>.</w:t>
            </w:r>
          </w:p>
        </w:tc>
      </w:tr>
      <w:tr>
        <w:trPr>
          <w:trHeight w:val="205"/>
        </w:trPr>
        <w:tc>
          <w:tcPr>
            <w:tcW w:w="1060" w:type="dxa"/>
            <w:vAlign w:val="bottom"/>
          </w:tcPr>
          <w:p>
            <w:pPr>
              <w:spacing w:after="0"/>
              <w:rPr>
                <w:sz w:val="17"/>
                <w:szCs w:val="17"/>
                <w:color w:val="auto"/>
              </w:rPr>
            </w:pPr>
          </w:p>
        </w:tc>
        <w:tc>
          <w:tcPr>
            <w:tcW w:w="10360" w:type="dxa"/>
            <w:vAlign w:val="bottom"/>
          </w:tcPr>
          <w:p>
            <w:pPr>
              <w:jc w:val="center"/>
              <w:ind w:right="957"/>
              <w:spacing w:after="0"/>
              <w:rPr>
                <w:sz w:val="20"/>
                <w:szCs w:val="20"/>
                <w:color w:val="auto"/>
              </w:rPr>
            </w:pPr>
            <w:r>
              <w:rPr>
                <w:rFonts w:ascii="Arial" w:cs="Arial" w:eastAsia="Arial" w:hAnsi="Arial"/>
                <w:sz w:val="17"/>
                <w:szCs w:val="17"/>
                <w:b w:val="1"/>
                <w:bCs w:val="1"/>
                <w:color w:val="auto"/>
                <w:w w:val="97"/>
              </w:rPr>
              <w:t>ANNUAL REPORT ON FORM 10-K</w:t>
            </w:r>
          </w:p>
        </w:tc>
      </w:tr>
      <w:tr>
        <w:trPr>
          <w:trHeight w:val="205"/>
        </w:trPr>
        <w:tc>
          <w:tcPr>
            <w:tcW w:w="1060" w:type="dxa"/>
            <w:vAlign w:val="bottom"/>
          </w:tcPr>
          <w:p>
            <w:pPr>
              <w:spacing w:after="0"/>
              <w:rPr>
                <w:sz w:val="17"/>
                <w:szCs w:val="17"/>
                <w:color w:val="auto"/>
              </w:rPr>
            </w:pPr>
          </w:p>
        </w:tc>
        <w:tc>
          <w:tcPr>
            <w:tcW w:w="10360" w:type="dxa"/>
            <w:vAlign w:val="bottom"/>
          </w:tcPr>
          <w:p>
            <w:pPr>
              <w:jc w:val="center"/>
              <w:ind w:right="957"/>
              <w:spacing w:after="0"/>
              <w:rPr>
                <w:sz w:val="20"/>
                <w:szCs w:val="20"/>
                <w:color w:val="auto"/>
              </w:rPr>
            </w:pPr>
            <w:r>
              <w:rPr>
                <w:rFonts w:ascii="Arial" w:cs="Arial" w:eastAsia="Arial" w:hAnsi="Arial"/>
                <w:sz w:val="17"/>
                <w:szCs w:val="17"/>
                <w:b w:val="1"/>
                <w:bCs w:val="1"/>
                <w:color w:val="auto"/>
                <w:w w:val="96"/>
              </w:rPr>
              <w:t>FOR THE FISCAL YEAR ENDED DECEMBER 31, 2007</w:t>
            </w:r>
          </w:p>
        </w:tc>
      </w:tr>
      <w:tr>
        <w:trPr>
          <w:trHeight w:val="216"/>
        </w:trPr>
        <w:tc>
          <w:tcPr>
            <w:tcW w:w="1060" w:type="dxa"/>
            <w:vAlign w:val="bottom"/>
          </w:tcPr>
          <w:p>
            <w:pPr>
              <w:spacing w:after="0"/>
              <w:rPr>
                <w:sz w:val="18"/>
                <w:szCs w:val="18"/>
                <w:color w:val="auto"/>
              </w:rPr>
            </w:pPr>
          </w:p>
        </w:tc>
        <w:tc>
          <w:tcPr>
            <w:tcW w:w="10360" w:type="dxa"/>
            <w:vAlign w:val="bottom"/>
          </w:tcPr>
          <w:p>
            <w:pPr>
              <w:jc w:val="center"/>
              <w:ind w:right="977"/>
              <w:spacing w:after="0"/>
              <w:rPr>
                <w:sz w:val="20"/>
                <w:szCs w:val="20"/>
                <w:color w:val="auto"/>
              </w:rPr>
            </w:pPr>
            <w:r>
              <w:rPr>
                <w:rFonts w:ascii="Arial" w:cs="Arial" w:eastAsia="Arial" w:hAnsi="Arial"/>
                <w:sz w:val="17"/>
                <w:szCs w:val="17"/>
                <w:b w:val="1"/>
                <w:bCs w:val="1"/>
                <w:color w:val="auto"/>
              </w:rPr>
              <w:t>INDEX</w:t>
            </w:r>
          </w:p>
        </w:tc>
      </w:tr>
      <w:tr>
        <w:trPr>
          <w:trHeight w:val="423"/>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w:t>
            </w:r>
          </w:p>
        </w:tc>
        <w:tc>
          <w:tcPr>
            <w:tcW w:w="10360" w:type="dxa"/>
            <w:vAlign w:val="bottom"/>
          </w:tcPr>
          <w:p>
            <w:pPr>
              <w:spacing w:after="0"/>
              <w:rPr>
                <w:sz w:val="24"/>
                <w:szCs w:val="24"/>
                <w:color w:val="auto"/>
              </w:rPr>
            </w:pP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w:t>
            </w:r>
          </w:p>
        </w:tc>
        <w:tc>
          <w:tcPr>
            <w:tcW w:w="10360" w:type="dxa"/>
            <w:vAlign w:val="bottom"/>
          </w:tcPr>
          <w:p>
            <w:pPr>
              <w:ind w:left="100"/>
              <w:spacing w:after="0"/>
              <w:rPr>
                <w:sz w:val="20"/>
                <w:szCs w:val="20"/>
                <w:color w:val="auto"/>
              </w:rPr>
            </w:pPr>
            <w:r>
              <w:rPr>
                <w:rFonts w:ascii="Arial" w:cs="Arial" w:eastAsia="Arial" w:hAnsi="Arial"/>
                <w:sz w:val="17"/>
                <w:szCs w:val="17"/>
                <w:color w:val="auto"/>
              </w:rPr>
              <w:t>Business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1A.</w:t>
            </w:r>
          </w:p>
        </w:tc>
        <w:tc>
          <w:tcPr>
            <w:tcW w:w="10360" w:type="dxa"/>
            <w:vAlign w:val="bottom"/>
          </w:tcPr>
          <w:p>
            <w:pPr>
              <w:ind w:left="100"/>
              <w:spacing w:after="0"/>
              <w:rPr>
                <w:sz w:val="20"/>
                <w:szCs w:val="20"/>
                <w:color w:val="auto"/>
              </w:rPr>
            </w:pPr>
            <w:r>
              <w:rPr>
                <w:rFonts w:ascii="Arial" w:cs="Arial" w:eastAsia="Arial" w:hAnsi="Arial"/>
                <w:sz w:val="17"/>
                <w:szCs w:val="17"/>
                <w:color w:val="auto"/>
              </w:rPr>
              <w:t>Risk Factors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1B.</w:t>
            </w:r>
          </w:p>
        </w:tc>
        <w:tc>
          <w:tcPr>
            <w:tcW w:w="10360" w:type="dxa"/>
            <w:vAlign w:val="bottom"/>
          </w:tcPr>
          <w:p>
            <w:pPr>
              <w:ind w:left="100"/>
              <w:spacing w:after="0"/>
              <w:rPr>
                <w:sz w:val="20"/>
                <w:szCs w:val="20"/>
                <w:color w:val="auto"/>
              </w:rPr>
            </w:pPr>
            <w:r>
              <w:rPr>
                <w:rFonts w:ascii="Arial" w:cs="Arial" w:eastAsia="Arial" w:hAnsi="Arial"/>
                <w:sz w:val="17"/>
                <w:szCs w:val="17"/>
                <w:color w:val="auto"/>
              </w:rPr>
              <w:t>Unresolved Staff Comments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2.</w:t>
            </w:r>
          </w:p>
        </w:tc>
        <w:tc>
          <w:tcPr>
            <w:tcW w:w="10360" w:type="dxa"/>
            <w:vAlign w:val="bottom"/>
          </w:tcPr>
          <w:p>
            <w:pPr>
              <w:ind w:left="100"/>
              <w:spacing w:after="0"/>
              <w:rPr>
                <w:sz w:val="20"/>
                <w:szCs w:val="20"/>
                <w:color w:val="auto"/>
              </w:rPr>
            </w:pPr>
            <w:r>
              <w:rPr>
                <w:rFonts w:ascii="Arial" w:cs="Arial" w:eastAsia="Arial" w:hAnsi="Arial"/>
                <w:sz w:val="17"/>
                <w:szCs w:val="17"/>
                <w:color w:val="auto"/>
              </w:rPr>
              <w:t>Properties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3.</w:t>
            </w:r>
          </w:p>
        </w:tc>
        <w:tc>
          <w:tcPr>
            <w:tcW w:w="10360" w:type="dxa"/>
            <w:vAlign w:val="bottom"/>
          </w:tcPr>
          <w:p>
            <w:pPr>
              <w:ind w:left="100"/>
              <w:spacing w:after="0"/>
              <w:rPr>
                <w:sz w:val="20"/>
                <w:szCs w:val="20"/>
                <w:color w:val="auto"/>
              </w:rPr>
            </w:pPr>
            <w:r>
              <w:rPr>
                <w:rFonts w:ascii="Arial" w:cs="Arial" w:eastAsia="Arial" w:hAnsi="Arial"/>
                <w:sz w:val="17"/>
                <w:szCs w:val="17"/>
                <w:color w:val="auto"/>
              </w:rPr>
              <w:t>Legal Proceedings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4.</w:t>
            </w:r>
          </w:p>
        </w:tc>
        <w:tc>
          <w:tcPr>
            <w:tcW w:w="10360" w:type="dxa"/>
            <w:vAlign w:val="bottom"/>
          </w:tcPr>
          <w:p>
            <w:pPr>
              <w:ind w:left="100"/>
              <w:spacing w:after="0"/>
              <w:rPr>
                <w:sz w:val="20"/>
                <w:szCs w:val="20"/>
                <w:color w:val="auto"/>
              </w:rPr>
            </w:pPr>
            <w:r>
              <w:rPr>
                <w:rFonts w:ascii="Arial" w:cs="Arial" w:eastAsia="Arial" w:hAnsi="Arial"/>
                <w:sz w:val="17"/>
                <w:szCs w:val="17"/>
                <w:color w:val="auto"/>
              </w:rPr>
              <w:t>Submission of Matters to a Vote of Security Holders</w:t>
            </w:r>
          </w:p>
        </w:tc>
      </w:tr>
      <w:tr>
        <w:trPr>
          <w:trHeight w:val="429"/>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II</w:t>
            </w:r>
          </w:p>
        </w:tc>
        <w:tc>
          <w:tcPr>
            <w:tcW w:w="10360" w:type="dxa"/>
            <w:vAlign w:val="bottom"/>
          </w:tcPr>
          <w:p>
            <w:pPr>
              <w:spacing w:after="0"/>
              <w:rPr>
                <w:sz w:val="24"/>
                <w:szCs w:val="24"/>
                <w:color w:val="auto"/>
              </w:rPr>
            </w:pPr>
          </w:p>
        </w:tc>
      </w:tr>
      <w:tr>
        <w:trPr>
          <w:trHeight w:val="205"/>
        </w:trPr>
        <w:tc>
          <w:tcPr>
            <w:tcW w:w="1060" w:type="dxa"/>
            <w:vAlign w:val="bottom"/>
          </w:tcPr>
          <w:p>
            <w:pPr>
              <w:jc w:val="right"/>
              <w:spacing w:after="0"/>
              <w:rPr>
                <w:sz w:val="20"/>
                <w:szCs w:val="20"/>
                <w:color w:val="auto"/>
              </w:rPr>
            </w:pPr>
            <w:r>
              <w:rPr>
                <w:rFonts w:ascii="Arial" w:cs="Arial" w:eastAsia="Arial" w:hAnsi="Arial"/>
                <w:sz w:val="17"/>
                <w:szCs w:val="17"/>
                <w:color w:val="auto"/>
              </w:rPr>
              <w:t>Item 5.</w:t>
            </w:r>
          </w:p>
        </w:tc>
        <w:tc>
          <w:tcPr>
            <w:tcW w:w="10360" w:type="dxa"/>
            <w:vAlign w:val="bottom"/>
          </w:tcPr>
          <w:p>
            <w:pPr>
              <w:ind w:left="100"/>
              <w:spacing w:after="0"/>
              <w:rPr>
                <w:sz w:val="20"/>
                <w:szCs w:val="20"/>
                <w:color w:val="auto"/>
              </w:rPr>
            </w:pPr>
            <w:r>
              <w:rPr>
                <w:rFonts w:ascii="Arial" w:cs="Arial" w:eastAsia="Arial" w:hAnsi="Arial"/>
                <w:sz w:val="17"/>
                <w:szCs w:val="17"/>
                <w:color w:val="auto"/>
              </w:rPr>
              <w:t>Market for Registrant’s Common Equity, Related Stockholder Matters and Issuer Purchases</w:t>
            </w:r>
          </w:p>
        </w:tc>
      </w:tr>
      <w:tr>
        <w:trPr>
          <w:trHeight w:val="212"/>
        </w:trPr>
        <w:tc>
          <w:tcPr>
            <w:tcW w:w="106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7"/>
                <w:szCs w:val="17"/>
                <w:color w:val="auto"/>
              </w:rPr>
              <w:t>of Equity Securities.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6.</w:t>
            </w:r>
          </w:p>
        </w:tc>
        <w:tc>
          <w:tcPr>
            <w:tcW w:w="10360" w:type="dxa"/>
            <w:vAlign w:val="bottom"/>
          </w:tcPr>
          <w:p>
            <w:pPr>
              <w:ind w:left="100"/>
              <w:spacing w:after="0"/>
              <w:rPr>
                <w:sz w:val="20"/>
                <w:szCs w:val="20"/>
                <w:color w:val="auto"/>
              </w:rPr>
            </w:pPr>
            <w:r>
              <w:rPr>
                <w:rFonts w:ascii="Arial" w:cs="Arial" w:eastAsia="Arial" w:hAnsi="Arial"/>
                <w:sz w:val="17"/>
                <w:szCs w:val="17"/>
                <w:color w:val="auto"/>
              </w:rPr>
              <w:t>Selected Financial Data</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7.</w:t>
            </w:r>
          </w:p>
        </w:tc>
        <w:tc>
          <w:tcPr>
            <w:tcW w:w="10360" w:type="dxa"/>
            <w:vAlign w:val="bottom"/>
          </w:tcPr>
          <w:p>
            <w:pPr>
              <w:ind w:left="1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7A.</w:t>
            </w:r>
          </w:p>
        </w:tc>
        <w:tc>
          <w:tcPr>
            <w:tcW w:w="10360" w:type="dxa"/>
            <w:vAlign w:val="bottom"/>
          </w:tcPr>
          <w:p>
            <w:pPr>
              <w:ind w:left="100"/>
              <w:spacing w:after="0"/>
              <w:rPr>
                <w:sz w:val="20"/>
                <w:szCs w:val="20"/>
                <w:color w:val="auto"/>
              </w:rPr>
            </w:pPr>
            <w:r>
              <w:rPr>
                <w:rFonts w:ascii="Arial" w:cs="Arial" w:eastAsia="Arial" w:hAnsi="Arial"/>
                <w:sz w:val="17"/>
                <w:szCs w:val="17"/>
                <w:color w:val="auto"/>
              </w:rPr>
              <w:t>Quantitative and Qualitative Disclosures About Market Risk</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8.</w:t>
            </w:r>
          </w:p>
        </w:tc>
        <w:tc>
          <w:tcPr>
            <w:tcW w:w="10360" w:type="dxa"/>
            <w:vAlign w:val="bottom"/>
          </w:tcPr>
          <w:p>
            <w:pPr>
              <w:ind w:left="100"/>
              <w:spacing w:after="0"/>
              <w:rPr>
                <w:sz w:val="20"/>
                <w:szCs w:val="20"/>
                <w:color w:val="auto"/>
              </w:rPr>
            </w:pPr>
            <w:r>
              <w:rPr>
                <w:rFonts w:ascii="Arial" w:cs="Arial" w:eastAsia="Arial" w:hAnsi="Arial"/>
                <w:sz w:val="17"/>
                <w:szCs w:val="17"/>
                <w:color w:val="auto"/>
              </w:rPr>
              <w:t>Financial Statements and Supplementary Data</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w:t>
            </w:r>
          </w:p>
        </w:tc>
        <w:tc>
          <w:tcPr>
            <w:tcW w:w="10360" w:type="dxa"/>
            <w:vAlign w:val="bottom"/>
          </w:tcPr>
          <w:p>
            <w:pPr>
              <w:ind w:left="10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9A.</w:t>
            </w:r>
          </w:p>
        </w:tc>
        <w:tc>
          <w:tcPr>
            <w:tcW w:w="10360" w:type="dxa"/>
            <w:vAlign w:val="bottom"/>
          </w:tcPr>
          <w:p>
            <w:pPr>
              <w:ind w:left="100"/>
              <w:spacing w:after="0"/>
              <w:rPr>
                <w:sz w:val="20"/>
                <w:szCs w:val="20"/>
                <w:color w:val="auto"/>
              </w:rPr>
            </w:pPr>
            <w:r>
              <w:rPr>
                <w:rFonts w:ascii="Arial" w:cs="Arial" w:eastAsia="Arial" w:hAnsi="Arial"/>
                <w:sz w:val="17"/>
                <w:szCs w:val="17"/>
                <w:color w:val="auto"/>
              </w:rPr>
              <w:t>Controls and Procedures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9B.</w:t>
            </w:r>
          </w:p>
        </w:tc>
        <w:tc>
          <w:tcPr>
            <w:tcW w:w="10360" w:type="dxa"/>
            <w:vAlign w:val="bottom"/>
          </w:tcPr>
          <w:p>
            <w:pPr>
              <w:ind w:left="100"/>
              <w:spacing w:after="0"/>
              <w:rPr>
                <w:sz w:val="20"/>
                <w:szCs w:val="20"/>
                <w:color w:val="auto"/>
              </w:rPr>
            </w:pPr>
            <w:r>
              <w:rPr>
                <w:rFonts w:ascii="Arial" w:cs="Arial" w:eastAsia="Arial" w:hAnsi="Arial"/>
                <w:sz w:val="17"/>
                <w:szCs w:val="17"/>
                <w:color w:val="auto"/>
              </w:rPr>
              <w:t>Other Information</w:t>
            </w:r>
          </w:p>
        </w:tc>
      </w:tr>
      <w:tr>
        <w:trPr>
          <w:trHeight w:val="436"/>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III</w:t>
            </w:r>
          </w:p>
        </w:tc>
        <w:tc>
          <w:tcPr>
            <w:tcW w:w="10360" w:type="dxa"/>
            <w:vAlign w:val="bottom"/>
          </w:tcPr>
          <w:p>
            <w:pPr>
              <w:spacing w:after="0"/>
              <w:rPr>
                <w:sz w:val="24"/>
                <w:szCs w:val="24"/>
                <w:color w:val="auto"/>
              </w:rPr>
            </w:pP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10.</w:t>
            </w:r>
          </w:p>
        </w:tc>
        <w:tc>
          <w:tcPr>
            <w:tcW w:w="10360" w:type="dxa"/>
            <w:vAlign w:val="bottom"/>
          </w:tcPr>
          <w:p>
            <w:pPr>
              <w:ind w:left="100"/>
              <w:spacing w:after="0"/>
              <w:rPr>
                <w:sz w:val="20"/>
                <w:szCs w:val="20"/>
                <w:color w:val="auto"/>
              </w:rPr>
            </w:pPr>
            <w:r>
              <w:rPr>
                <w:rFonts w:ascii="Arial" w:cs="Arial" w:eastAsia="Arial" w:hAnsi="Arial"/>
                <w:sz w:val="17"/>
                <w:szCs w:val="17"/>
                <w:color w:val="auto"/>
              </w:rPr>
              <w:t>Directors, Executive Officers and Corporate Governance</w:t>
            </w:r>
          </w:p>
        </w:tc>
      </w:tr>
      <w:tr>
        <w:trPr>
          <w:trHeight w:val="211"/>
        </w:trPr>
        <w:tc>
          <w:tcPr>
            <w:tcW w:w="1060" w:type="dxa"/>
            <w:vAlign w:val="bottom"/>
          </w:tcPr>
          <w:p>
            <w:pPr>
              <w:jc w:val="right"/>
              <w:spacing w:after="0"/>
              <w:rPr>
                <w:sz w:val="20"/>
                <w:szCs w:val="20"/>
                <w:color w:val="auto"/>
              </w:rPr>
            </w:pPr>
            <w:r>
              <w:rPr>
                <w:rFonts w:ascii="Arial" w:cs="Arial" w:eastAsia="Arial" w:hAnsi="Arial"/>
                <w:sz w:val="17"/>
                <w:szCs w:val="17"/>
                <w:color w:val="auto"/>
              </w:rPr>
              <w:t>Item 11.</w:t>
            </w:r>
          </w:p>
        </w:tc>
        <w:tc>
          <w:tcPr>
            <w:tcW w:w="10360" w:type="dxa"/>
            <w:vAlign w:val="bottom"/>
          </w:tcPr>
          <w:p>
            <w:pPr>
              <w:ind w:left="100"/>
              <w:spacing w:after="0"/>
              <w:rPr>
                <w:sz w:val="20"/>
                <w:szCs w:val="20"/>
                <w:color w:val="auto"/>
              </w:rPr>
            </w:pPr>
            <w:r>
              <w:rPr>
                <w:rFonts w:ascii="Arial" w:cs="Arial" w:eastAsia="Arial" w:hAnsi="Arial"/>
                <w:sz w:val="17"/>
                <w:szCs w:val="17"/>
                <w:color w:val="auto"/>
              </w:rPr>
              <w:t>Executive Compensation</w:t>
            </w:r>
          </w:p>
        </w:tc>
      </w:tr>
      <w:tr>
        <w:trPr>
          <w:trHeight w:val="205"/>
        </w:trPr>
        <w:tc>
          <w:tcPr>
            <w:tcW w:w="1060" w:type="dxa"/>
            <w:vAlign w:val="bottom"/>
          </w:tcPr>
          <w:p>
            <w:pPr>
              <w:jc w:val="right"/>
              <w:spacing w:after="0"/>
              <w:rPr>
                <w:sz w:val="20"/>
                <w:szCs w:val="20"/>
                <w:color w:val="auto"/>
              </w:rPr>
            </w:pPr>
            <w:r>
              <w:rPr>
                <w:rFonts w:ascii="Arial" w:cs="Arial" w:eastAsia="Arial" w:hAnsi="Arial"/>
                <w:sz w:val="17"/>
                <w:szCs w:val="17"/>
                <w:color w:val="auto"/>
              </w:rPr>
              <w:t>Item 12.</w:t>
            </w:r>
          </w:p>
        </w:tc>
        <w:tc>
          <w:tcPr>
            <w:tcW w:w="10360" w:type="dxa"/>
            <w:vAlign w:val="bottom"/>
          </w:tcPr>
          <w:p>
            <w:pPr>
              <w:ind w:left="100"/>
              <w:spacing w:after="0"/>
              <w:rPr>
                <w:sz w:val="20"/>
                <w:szCs w:val="20"/>
                <w:color w:val="auto"/>
              </w:rPr>
            </w:pPr>
            <w:r>
              <w:rPr>
                <w:rFonts w:ascii="Arial" w:cs="Arial" w:eastAsia="Arial" w:hAnsi="Arial"/>
                <w:sz w:val="17"/>
                <w:szCs w:val="17"/>
                <w:color w:val="auto"/>
              </w:rPr>
              <w:t>Security Ownership of Certain Beneficial Owners and Management and Related Stockholder</w:t>
            </w:r>
          </w:p>
        </w:tc>
      </w:tr>
      <w:tr>
        <w:trPr>
          <w:trHeight w:val="212"/>
        </w:trPr>
        <w:tc>
          <w:tcPr>
            <w:tcW w:w="106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7"/>
                <w:szCs w:val="17"/>
                <w:color w:val="auto"/>
              </w:rPr>
              <w:t>Matters</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13.</w:t>
            </w:r>
          </w:p>
        </w:tc>
        <w:tc>
          <w:tcPr>
            <w:tcW w:w="10360" w:type="dxa"/>
            <w:vAlign w:val="bottom"/>
          </w:tcPr>
          <w:p>
            <w:pPr>
              <w:ind w:left="100"/>
              <w:spacing w:after="0"/>
              <w:rPr>
                <w:sz w:val="20"/>
                <w:szCs w:val="20"/>
                <w:color w:val="auto"/>
              </w:rPr>
            </w:pPr>
            <w:r>
              <w:rPr>
                <w:rFonts w:ascii="Arial" w:cs="Arial" w:eastAsia="Arial" w:hAnsi="Arial"/>
                <w:sz w:val="17"/>
                <w:szCs w:val="17"/>
                <w:color w:val="auto"/>
              </w:rPr>
              <w:t>Certain Relationships and Related Transactions, and Director Independence</w:t>
            </w: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14.</w:t>
            </w:r>
          </w:p>
        </w:tc>
        <w:tc>
          <w:tcPr>
            <w:tcW w:w="10360" w:type="dxa"/>
            <w:vAlign w:val="bottom"/>
          </w:tcPr>
          <w:p>
            <w:pPr>
              <w:ind w:left="100"/>
              <w:spacing w:after="0"/>
              <w:rPr>
                <w:sz w:val="20"/>
                <w:szCs w:val="20"/>
                <w:color w:val="auto"/>
              </w:rPr>
            </w:pPr>
            <w:r>
              <w:rPr>
                <w:rFonts w:ascii="Arial" w:cs="Arial" w:eastAsia="Arial" w:hAnsi="Arial"/>
                <w:sz w:val="17"/>
                <w:szCs w:val="17"/>
                <w:color w:val="auto"/>
              </w:rPr>
              <w:t>Principal Accountant Fees and Services</w:t>
            </w:r>
          </w:p>
        </w:tc>
      </w:tr>
      <w:tr>
        <w:trPr>
          <w:trHeight w:val="436"/>
        </w:trPr>
        <w:tc>
          <w:tcPr>
            <w:tcW w:w="1060" w:type="dxa"/>
            <w:vAlign w:val="bottom"/>
          </w:tcPr>
          <w:p>
            <w:pPr>
              <w:ind w:left="180"/>
              <w:spacing w:after="0"/>
              <w:rPr>
                <w:sz w:val="20"/>
                <w:szCs w:val="20"/>
                <w:color w:val="auto"/>
              </w:rPr>
            </w:pPr>
            <w:r>
              <w:rPr>
                <w:rFonts w:ascii="Arial" w:cs="Arial" w:eastAsia="Arial" w:hAnsi="Arial"/>
                <w:sz w:val="17"/>
                <w:szCs w:val="17"/>
                <w:b w:val="1"/>
                <w:bCs w:val="1"/>
                <w:color w:val="auto"/>
              </w:rPr>
              <w:t>PART IV</w:t>
            </w:r>
          </w:p>
        </w:tc>
        <w:tc>
          <w:tcPr>
            <w:tcW w:w="10360" w:type="dxa"/>
            <w:vAlign w:val="bottom"/>
          </w:tcPr>
          <w:p>
            <w:pPr>
              <w:spacing w:after="0"/>
              <w:rPr>
                <w:sz w:val="24"/>
                <w:szCs w:val="24"/>
                <w:color w:val="auto"/>
              </w:rPr>
            </w:pPr>
          </w:p>
        </w:tc>
      </w:tr>
      <w:tr>
        <w:trPr>
          <w:trHeight w:val="218"/>
        </w:trPr>
        <w:tc>
          <w:tcPr>
            <w:tcW w:w="1060" w:type="dxa"/>
            <w:vAlign w:val="bottom"/>
          </w:tcPr>
          <w:p>
            <w:pPr>
              <w:jc w:val="right"/>
              <w:spacing w:after="0"/>
              <w:rPr>
                <w:sz w:val="20"/>
                <w:szCs w:val="20"/>
                <w:color w:val="auto"/>
              </w:rPr>
            </w:pPr>
            <w:r>
              <w:rPr>
                <w:rFonts w:ascii="Arial" w:cs="Arial" w:eastAsia="Arial" w:hAnsi="Arial"/>
                <w:sz w:val="17"/>
                <w:szCs w:val="17"/>
                <w:color w:val="auto"/>
              </w:rPr>
              <w:t>Item 15.</w:t>
            </w:r>
          </w:p>
        </w:tc>
        <w:tc>
          <w:tcPr>
            <w:tcW w:w="10360" w:type="dxa"/>
            <w:vAlign w:val="bottom"/>
          </w:tcPr>
          <w:p>
            <w:pPr>
              <w:ind w:left="100"/>
              <w:spacing w:after="0"/>
              <w:rPr>
                <w:sz w:val="20"/>
                <w:szCs w:val="20"/>
                <w:color w:val="auto"/>
              </w:rPr>
            </w:pPr>
            <w:r>
              <w:rPr>
                <w:rFonts w:ascii="Arial" w:cs="Arial" w:eastAsia="Arial" w:hAnsi="Arial"/>
                <w:sz w:val="17"/>
                <w:szCs w:val="17"/>
                <w:color w:val="auto"/>
              </w:rPr>
              <w:t>Exhibits and Financial Statement Schedules</w:t>
            </w:r>
          </w:p>
        </w:tc>
      </w:tr>
      <w:tr>
        <w:trPr>
          <w:trHeight w:val="218"/>
        </w:trPr>
        <w:tc>
          <w:tcPr>
            <w:tcW w:w="106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7"/>
                <w:szCs w:val="17"/>
                <w:color w:val="auto"/>
              </w:rPr>
              <w:t>Signatures</w:t>
            </w:r>
          </w:p>
        </w:tc>
      </w:tr>
      <w:tr>
        <w:trPr>
          <w:trHeight w:val="218"/>
        </w:trPr>
        <w:tc>
          <w:tcPr>
            <w:tcW w:w="106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7"/>
                <w:szCs w:val="17"/>
                <w:color w:val="auto"/>
              </w:rPr>
              <w:t>Exhibit Index</w:t>
            </w:r>
          </w:p>
        </w:tc>
      </w:tr>
      <w:tr>
        <w:trPr>
          <w:trHeight w:val="520"/>
        </w:trPr>
        <w:tc>
          <w:tcPr>
            <w:tcW w:w="106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9"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This annual report on Form 10-K and the documents incorporated by reference herein contain forward-looking statements within the meaning of the Private Securities Litigation Reform Act of 1995 and Section 21E of the Securities Exchange Act of 1934, as amended, that involve substantial risks and uncertainties.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These forward-looking statements include, among other things, statements about:</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obtain new contracts with the U.S. government for sales of BioThrax® (Anthrax Vaccine Adsorbed), our FDA-approved anthrax vaccine, and our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performance under those contracts, including the timing of deliveries;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our plans for future sales of BioThrax;</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plans to pursue label expansions and improvements for BioThrax;</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plans to expand our manufacturing facilities and capabilities;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rate and degree of market acceptance and clinical utility of our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ongoing and planned development programs, preclinical studies and clinical trials;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identify and acquire or in-license products and product candidates that satisfy our selection criteria;</w:t>
      </w:r>
    </w:p>
    <w:p>
      <w:pPr>
        <w:spacing w:after="0" w:line="74" w:lineRule="exact"/>
        <w:rPr>
          <w:sz w:val="20"/>
          <w:szCs w:val="20"/>
          <w:color w:val="auto"/>
        </w:rPr>
      </w:pPr>
    </w:p>
    <w:p>
      <w:pPr>
        <w:ind w:right="1560"/>
        <w:spacing w:after="0" w:line="330" w:lineRule="auto"/>
        <w:rPr>
          <w:sz w:val="20"/>
          <w:szCs w:val="20"/>
          <w:color w:val="auto"/>
        </w:rPr>
      </w:pPr>
      <w:r>
        <w:rPr>
          <w:rFonts w:ascii="Arial" w:cs="Arial" w:eastAsia="Arial" w:hAnsi="Arial"/>
          <w:sz w:val="17"/>
          <w:szCs w:val="17"/>
          <w:color w:val="auto"/>
        </w:rPr>
        <w:t>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portfolio;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265"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spacing w:after="0" w:line="13"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3" w:lineRule="exact"/>
        <w:rPr>
          <w:sz w:val="20"/>
          <w:szCs w:val="20"/>
          <w:color w:val="auto"/>
        </w:rPr>
      </w:pPr>
    </w:p>
    <w:p>
      <w:pPr>
        <w:ind w:right="100" w:firstLine="308"/>
        <w:spacing w:after="0" w:line="341" w:lineRule="auto"/>
        <w:rPr>
          <w:sz w:val="20"/>
          <w:szCs w:val="20"/>
          <w:color w:val="auto"/>
        </w:rPr>
      </w:pPr>
      <w:r>
        <w:rPr>
          <w:rFonts w:ascii="Arial" w:cs="Arial" w:eastAsia="Arial" w:hAnsi="Arial"/>
          <w:sz w:val="15"/>
          <w:szCs w:val="15"/>
          <w:color w:val="auto"/>
        </w:rPr>
        <w:t>You should read this annual report, including the documents that we have incorporated by reference herein and filed as exhibits hereto, completely and with the understanding that our actual future results may be materially different from what we expect. We do not assume any obligation to update any forward-looking statements.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5"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19"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are a profitable multinational biopharmaceutical company focused on the development, manufacture and commercialization of immunobiotics, consisting of vaccines and therapeutics that assist the body’s immune system to prevent or treat disease. We manufacture and market BioThrax ®, also referred to as anthrax vaccine adsorbed, or AVA, the only vaccine approved by the U.S. Food and Drug Administration, or FDA, for the prevention of anthrax infection. We use internally generated cash flows from the sale of BioThrax to fund the development of a product pipeline that addresses a variety of infectious diseases and other medical conditions.</w:t>
      </w:r>
    </w:p>
    <w:p>
      <w:pPr>
        <w:spacing w:after="0" w:line="155"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We develop immunobiotics for use against infectious diseases that have resulted in significant unmet or underserved public health needs and against biological agents that are potential weapons of bioterrorism and biowarfare. In addition to our licensed BioThrax product, we have product candidates in both advanced and earlier stages of development. Our advanced stage product candidates consist of an anthrax immune globulin therapeutic candidate, a typhoid vaccine candidate and a hepatitis B therapeutic vaccine candidate. Our earlier stage programs include botulinum vaccines, group B streptococcus vaccine and chlamydia vaccine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156210</wp:posOffset>
            </wp:positionV>
            <wp:extent cx="72790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 w:name="page4"/>
    <w:bookmarkEnd w:id="3"/>
    <w:p>
      <w:pPr>
        <w:ind w:right="20" w:firstLine="308"/>
        <w:spacing w:after="0" w:line="286" w:lineRule="auto"/>
        <w:rPr>
          <w:sz w:val="20"/>
          <w:szCs w:val="20"/>
          <w:color w:val="auto"/>
        </w:rPr>
      </w:pPr>
      <w:r>
        <w:rPr>
          <w:rFonts w:ascii="Arial" w:cs="Arial" w:eastAsia="Arial" w:hAnsi="Arial"/>
          <w:sz w:val="16"/>
          <w:szCs w:val="16"/>
          <w:color w:val="auto"/>
        </w:rPr>
        <w:t>BioThrax is approved for pre-exposure prevention of anthrax infection by all routes of exposure, including inhalation. We are currently pursuing a label expansion for BioThrax as a post-exposure prophylaxis for anthrax infection in combination with antibiotic treatment, as well as a number of improvements for BioThrax, including an extension of expiry dating, a reduction in the number of required doses, and the addition of a second route of administration.</w:t>
      </w:r>
    </w:p>
    <w:p>
      <w:pPr>
        <w:spacing w:after="0" w:line="163"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Revenues from product sales of BioThrax were $169.8 million in 2007, $148.0 million in 2006 and $127.3 million in 2005. The U.S. Department of Defense, or DoD, and the U.S. Department of Health and Human Services, or HHS, have been the principal customers for BioThrax. Since 1998, we have been a party to two procurement contracts for BioThrax with the DoD pursuant to which we have supplied over 10 million doses of BioThrax for immunization of military personnel, and the DoD has vaccinated more than 1.8 million military personnel with more than 7.1 million doses of BioThrax. We are not currently party to a procurement contract with the DoD. Since May 2005, we have supplied over 16 million doses of BioThrax to HHS for inclusion in the strategic national stockpile, or SNS. On September 25, 2007, we entered into a three-year agreement with HHS to supply 18.75 million doses of BioThrax to HHS for placement into the SNS, of which an additional 12.2 million doses remain to be delivered. We believe that in the future the DoD will procure additional doses of BioThrax directly from HHS to satisfy ongoing requirements for its active immunization program, and that these purchases may result in HHS procuring additional doses from us.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product candidates in advanced stages of development are:</w:t>
      </w:r>
    </w:p>
    <w:p>
      <w:pPr>
        <w:spacing w:after="0" w:line="215" w:lineRule="exact"/>
        <w:rPr>
          <w:sz w:val="20"/>
          <w:szCs w:val="20"/>
          <w:color w:val="auto"/>
        </w:rPr>
      </w:pPr>
    </w:p>
    <w:p>
      <w:pPr>
        <w:jc w:val="both"/>
        <w:ind w:left="620" w:right="200" w:hanging="310"/>
        <w:spacing w:after="0" w:line="180" w:lineRule="auto"/>
        <w:tabs>
          <w:tab w:leader="none" w:pos="620" w:val="left"/>
        </w:tabs>
        <w:numPr>
          <w:ilvl w:val="0"/>
          <w:numId w:val="2"/>
        </w:numPr>
        <w:rPr>
          <w:rFonts w:ascii="Arial" w:cs="Arial" w:eastAsia="Arial" w:hAnsi="Arial"/>
          <w:sz w:val="40"/>
          <w:szCs w:val="40"/>
          <w:b w:val="1"/>
          <w:bCs w:val="1"/>
          <w:color w:val="auto"/>
          <w:vertAlign w:val="subscript"/>
        </w:rPr>
      </w:pPr>
      <w:r>
        <w:rPr>
          <w:rFonts w:ascii="Arial" w:cs="Arial" w:eastAsia="Arial" w:hAnsi="Arial"/>
          <w:sz w:val="16"/>
          <w:szCs w:val="16"/>
          <w:i w:val="1"/>
          <w:iCs w:val="1"/>
          <w:color w:val="auto"/>
        </w:rPr>
        <w:t xml:space="preserve">Anthrax immune globulin therapeutic — </w:t>
      </w:r>
      <w:r>
        <w:rPr>
          <w:rFonts w:ascii="Arial" w:cs="Arial" w:eastAsia="Arial" w:hAnsi="Arial"/>
          <w:sz w:val="16"/>
          <w:szCs w:val="16"/>
          <w:color w:val="auto"/>
        </w:rPr>
        <w:t>an intravenous therapeutic antibody product candidate for the treatment of post-symptomatic anthrax infection,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we are developing in part with funding from the National Institute of Allergy and Infectious Diseases of the National Institutes of Health, or NIAID, for which we expect to initiate a pivotal human trial and pivotal animal studies in 2008 and 2009;</w:t>
      </w:r>
    </w:p>
    <w:p>
      <w:pPr>
        <w:spacing w:after="0" w:line="1" w:lineRule="exact"/>
        <w:rPr>
          <w:rFonts w:ascii="Arial" w:cs="Arial" w:eastAsia="Arial" w:hAnsi="Arial"/>
          <w:sz w:val="40"/>
          <w:szCs w:val="40"/>
          <w:b w:val="1"/>
          <w:bCs w:val="1"/>
          <w:color w:val="auto"/>
          <w:vertAlign w:val="subscript"/>
        </w:rPr>
      </w:pPr>
    </w:p>
    <w:p>
      <w:pPr>
        <w:ind w:left="620" w:hanging="310"/>
        <w:spacing w:after="0" w:line="186" w:lineRule="auto"/>
        <w:tabs>
          <w:tab w:leader="none" w:pos="62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Typhoid vaccine — </w:t>
      </w:r>
      <w:r>
        <w:rPr>
          <w:rFonts w:ascii="Arial" w:cs="Arial" w:eastAsia="Arial" w:hAnsi="Arial"/>
          <w:sz w:val="15"/>
          <w:szCs w:val="15"/>
          <w:color w:val="auto"/>
        </w:rPr>
        <w:t>a single-dose, drinkable vaccine, for which we have completed a Phase I clinical program with trials in the United States,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Kingdom and Vietnam, and are conducting a Phase II clinical program, which includes a recently completed clinical trial in Vietnam and planned clinical trials in the United States and in India; and</w:t>
      </w:r>
    </w:p>
    <w:p>
      <w:pPr>
        <w:ind w:left="620" w:right="60" w:hanging="310"/>
        <w:spacing w:after="0" w:line="182" w:lineRule="auto"/>
        <w:tabs>
          <w:tab w:leader="none" w:pos="620" w:val="left"/>
        </w:tabs>
        <w:numPr>
          <w:ilvl w:val="0"/>
          <w:numId w:val="2"/>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Hepatitis B therapeutic vaccine — </w:t>
      </w:r>
      <w:r>
        <w:rPr>
          <w:rFonts w:ascii="Arial" w:cs="Arial" w:eastAsia="Arial" w:hAnsi="Arial"/>
          <w:sz w:val="14"/>
          <w:szCs w:val="14"/>
          <w:color w:val="auto"/>
        </w:rPr>
        <w:t>a multiple-dose, drinkable therapeutic vaccine for the treatment of chronic carriers of hepatitis B infection, for which we have</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a Phase I clinical trial in the United Kingdom and are conducting a Phase II clinical program.</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product pipeline also includes the following earlier stage product candidates:</w:t>
      </w:r>
    </w:p>
    <w:p>
      <w:pPr>
        <w:spacing w:after="0" w:line="215" w:lineRule="exact"/>
        <w:rPr>
          <w:sz w:val="20"/>
          <w:szCs w:val="20"/>
          <w:color w:val="auto"/>
        </w:rPr>
      </w:pPr>
    </w:p>
    <w:p>
      <w:pPr>
        <w:ind w:left="620" w:right="240" w:hanging="310"/>
        <w:spacing w:after="0" w:line="181" w:lineRule="auto"/>
        <w:tabs>
          <w:tab w:leader="none" w:pos="620" w:val="left"/>
        </w:tabs>
        <w:numPr>
          <w:ilvl w:val="0"/>
          <w:numId w:val="3"/>
        </w:numPr>
        <w:rPr>
          <w:rFonts w:ascii="Arial" w:cs="Arial" w:eastAsia="Arial" w:hAnsi="Arial"/>
          <w:sz w:val="34"/>
          <w:szCs w:val="34"/>
          <w:b w:val="1"/>
          <w:bCs w:val="1"/>
          <w:color w:val="auto"/>
          <w:vertAlign w:val="subscript"/>
        </w:rPr>
      </w:pPr>
      <w:r>
        <w:rPr>
          <w:rFonts w:ascii="Arial" w:cs="Arial" w:eastAsia="Arial" w:hAnsi="Arial"/>
          <w:sz w:val="14"/>
          <w:szCs w:val="14"/>
          <w:i w:val="1"/>
          <w:iCs w:val="1"/>
          <w:color w:val="auto"/>
        </w:rPr>
        <w:t xml:space="preserve">Group B streptococcus vaccine — </w:t>
      </w:r>
      <w:r>
        <w:rPr>
          <w:rFonts w:ascii="Arial" w:cs="Arial" w:eastAsia="Arial" w:hAnsi="Arial"/>
          <w:sz w:val="14"/>
          <w:szCs w:val="14"/>
          <w:color w:val="auto"/>
        </w:rPr>
        <w:t>a multiple-dose, injectable vaccine for administration to women of childbearing age for protection of the fetus and newborn</w:t>
      </w:r>
      <w:r>
        <w:rPr>
          <w:rFonts w:ascii="Arial" w:cs="Arial" w:eastAsia="Arial" w:hAnsi="Arial"/>
          <w:sz w:val="14"/>
          <w:szCs w:val="14"/>
          <w:i w:val="1"/>
          <w:iCs w:val="1"/>
          <w:color w:val="auto"/>
        </w:rPr>
        <w:t xml:space="preserve"> </w:t>
      </w:r>
      <w:r>
        <w:rPr>
          <w:rFonts w:ascii="Arial" w:cs="Arial" w:eastAsia="Arial" w:hAnsi="Arial"/>
          <w:sz w:val="14"/>
          <w:szCs w:val="14"/>
          <w:color w:val="auto"/>
        </w:rPr>
        <w:t>babies, for which we have successfully completed a Phase I clinical trial in the United Kingdom and are preparing to initiate a second Phase I clinical trial;</w:t>
      </w:r>
    </w:p>
    <w:p>
      <w:pPr>
        <w:spacing w:after="0" w:line="1" w:lineRule="exact"/>
        <w:rPr>
          <w:rFonts w:ascii="Arial" w:cs="Arial" w:eastAsia="Arial" w:hAnsi="Arial"/>
          <w:sz w:val="34"/>
          <w:szCs w:val="34"/>
          <w:b w:val="1"/>
          <w:bCs w:val="1"/>
          <w:color w:val="auto"/>
          <w:vertAlign w:val="subscript"/>
        </w:rPr>
      </w:pPr>
    </w:p>
    <w:p>
      <w:pPr>
        <w:ind w:left="620" w:hanging="310"/>
        <w:spacing w:after="0" w:line="186" w:lineRule="auto"/>
        <w:tabs>
          <w:tab w:leader="none" w:pos="620" w:val="left"/>
        </w:tabs>
        <w:numPr>
          <w:ilvl w:val="0"/>
          <w:numId w:val="3"/>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Next generation anthrax vaccine — </w:t>
      </w:r>
      <w:r>
        <w:rPr>
          <w:rFonts w:ascii="Arial" w:cs="Arial" w:eastAsia="Arial" w:hAnsi="Arial"/>
          <w:sz w:val="15"/>
          <w:szCs w:val="15"/>
          <w:color w:val="auto"/>
        </w:rPr>
        <w:t>additional anthrax vaccine product candidates that would incorporate one or more advanced characteristics, such as a reduced</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doses, room temperature storage, novel adjuvants, recombinant subunits, an enhanced immune response, longer expiry dating, or a novel delivery method;</w:t>
      </w:r>
    </w:p>
    <w:p>
      <w:pPr>
        <w:ind w:left="620" w:right="40" w:hanging="310"/>
        <w:spacing w:after="0" w:line="182" w:lineRule="auto"/>
        <w:tabs>
          <w:tab w:leader="none" w:pos="620" w:val="left"/>
        </w:tabs>
        <w:numPr>
          <w:ilvl w:val="0"/>
          <w:numId w:val="3"/>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Botulinum vaccines— </w:t>
      </w:r>
      <w:r>
        <w:rPr>
          <w:rFonts w:ascii="Arial" w:cs="Arial" w:eastAsia="Arial" w:hAnsi="Arial"/>
          <w:sz w:val="14"/>
          <w:szCs w:val="14"/>
          <w:color w:val="auto"/>
        </w:rPr>
        <w:t>two prophylactic vaccine product candidates to protect against illness caused by botulinum toxin which we are developing in collaboration</w:t>
      </w:r>
      <w:r>
        <w:rPr>
          <w:rFonts w:ascii="Arial" w:cs="Arial" w:eastAsia="Arial" w:hAnsi="Arial"/>
          <w:sz w:val="14"/>
          <w:szCs w:val="14"/>
          <w:i w:val="1"/>
          <w:iCs w:val="1"/>
          <w:color w:val="auto"/>
        </w:rPr>
        <w:t xml:space="preserve"> </w:t>
      </w:r>
      <w:r>
        <w:rPr>
          <w:rFonts w:ascii="Arial" w:cs="Arial" w:eastAsia="Arial" w:hAnsi="Arial"/>
          <w:sz w:val="14"/>
          <w:szCs w:val="14"/>
          <w:color w:val="auto"/>
        </w:rPr>
        <w:t>with the United Kingdom Health Protection Agency, or HPA; and</w:t>
      </w:r>
    </w:p>
    <w:p>
      <w:pPr>
        <w:ind w:left="620" w:right="260" w:hanging="310"/>
        <w:spacing w:after="0"/>
        <w:tabs>
          <w:tab w:leader="none" w:pos="620" w:val="left"/>
        </w:tabs>
        <w:numPr>
          <w:ilvl w:val="0"/>
          <w:numId w:val="3"/>
        </w:numPr>
        <w:rPr>
          <w:rFonts w:ascii="Arial" w:cs="Arial" w:eastAsia="Arial" w:hAnsi="Arial"/>
          <w:sz w:val="34"/>
          <w:szCs w:val="34"/>
          <w:b w:val="1"/>
          <w:bCs w:val="1"/>
          <w:color w:val="auto"/>
          <w:vertAlign w:val="subscript"/>
        </w:rPr>
      </w:pPr>
      <w:r>
        <w:rPr>
          <w:rFonts w:ascii="Arial" w:cs="Arial" w:eastAsia="Arial" w:hAnsi="Arial"/>
          <w:sz w:val="14"/>
          <w:szCs w:val="14"/>
          <w:i w:val="1"/>
          <w:iCs w:val="1"/>
          <w:color w:val="auto"/>
        </w:rPr>
        <w:t xml:space="preserve">Chlamydia vaccine — </w:t>
      </w:r>
      <w:r>
        <w:rPr>
          <w:rFonts w:ascii="Arial" w:cs="Arial" w:eastAsia="Arial" w:hAnsi="Arial"/>
          <w:sz w:val="14"/>
          <w:szCs w:val="14"/>
          <w:color w:val="auto"/>
        </w:rPr>
        <w:t>an injectable vaccine for administration to adolescents designed to prevent illness caused by all clinically relevant strains of</w:t>
      </w:r>
      <w:r>
        <w:rPr>
          <w:rFonts w:ascii="Arial" w:cs="Arial" w:eastAsia="Arial" w:hAnsi="Arial"/>
          <w:sz w:val="14"/>
          <w:szCs w:val="14"/>
          <w:i w:val="1"/>
          <w:iCs w:val="1"/>
          <w:color w:val="auto"/>
        </w:rPr>
        <w:t xml:space="preserve"> Chlamydia trachomatis</w:t>
      </w:r>
      <w:r>
        <w:rPr>
          <w:rFonts w:ascii="Arial" w:cs="Arial" w:eastAsia="Arial" w:hAnsi="Arial"/>
          <w:sz w:val="14"/>
          <w:szCs w:val="14"/>
          <w:color w:val="auto"/>
        </w:rPr>
        <w:t>.</w:t>
      </w:r>
    </w:p>
    <w:p>
      <w:pPr>
        <w:spacing w:after="0" w:line="217" w:lineRule="exact"/>
        <w:rPr>
          <w:sz w:val="20"/>
          <w:szCs w:val="20"/>
          <w:color w:val="auto"/>
        </w:rPr>
      </w:pPr>
    </w:p>
    <w:p>
      <w:pPr>
        <w:ind w:right="120" w:firstLine="308"/>
        <w:spacing w:after="0" w:line="272" w:lineRule="auto"/>
        <w:rPr>
          <w:sz w:val="20"/>
          <w:szCs w:val="20"/>
          <w:color w:val="auto"/>
        </w:rPr>
      </w:pPr>
      <w:r>
        <w:rPr>
          <w:rFonts w:ascii="Arial" w:cs="Arial" w:eastAsia="Arial" w:hAnsi="Arial"/>
          <w:sz w:val="16"/>
          <w:szCs w:val="16"/>
          <w:color w:val="auto"/>
        </w:rPr>
        <w:t>We have established collaborations and funding arrangements for some of our product candidates. Our anthrax immune globulin therapeutic candidate is funded in part by NIAID under a development contract valued at up to $9.5 million that NIAID awarded us in the third quarter of 2007 to conduct animal efficacy studies and clinical trials, and under two grants valued at up to $3.8 million in the aggregate that NIAID awarded us in 2006 for non-clinical safety and efficacy studies and clinical trial planning for this product candidate. NIAID also has agreed to fund, manage and conduct a Phase I clinical trial of our group B streptococcus vaccine candidate. The Wellcome Trust provided funding for our Phase I and Phase II clinical trials of our typhoid vaccine candidate in Vietnam. In May 2006, we entered into a license and co-development agreement with Sanofi Pasteur, the vaccines business of Sanofi Aventis, under which we granted Sanofi Pasteur an exclusive, worldwide license under our proprietary technology to develop and commercialize our Neisseria meningitis B vaccine candidate in exchange for payment to us of upfront and development fees, milestone payments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ind w:right="80" w:firstLine="308"/>
        <w:spacing w:after="0" w:line="258" w:lineRule="auto"/>
        <w:rPr>
          <w:sz w:val="20"/>
          <w:szCs w:val="20"/>
          <w:color w:val="auto"/>
        </w:rPr>
      </w:pPr>
      <w:r>
        <w:rPr>
          <w:rFonts w:ascii="Arial" w:cs="Arial" w:eastAsia="Arial" w:hAnsi="Arial"/>
          <w:sz w:val="17"/>
          <w:szCs w:val="17"/>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 As a result of this reorganization, BioPort became our wholly owned subsidiary. We subsequently renamed BioPort as Emergent BioDefense Operations Lansing Inc.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Our Strategy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goal is to become a worldwide leader in developing, manufacturing and commercializing immunobiotics. Key elements of our strategy to achieve this goal are:</w:t>
      </w:r>
    </w:p>
    <w:p>
      <w:pPr>
        <w:spacing w:after="0" w:line="238" w:lineRule="exact"/>
        <w:rPr>
          <w:sz w:val="20"/>
          <w:szCs w:val="20"/>
          <w:color w:val="auto"/>
        </w:rPr>
      </w:pPr>
    </w:p>
    <w:p>
      <w:pPr>
        <w:ind w:right="300" w:firstLine="308"/>
        <w:spacing w:after="0" w:line="272" w:lineRule="auto"/>
        <w:rPr>
          <w:sz w:val="20"/>
          <w:szCs w:val="20"/>
          <w:color w:val="auto"/>
        </w:rPr>
      </w:pPr>
      <w:r>
        <w:rPr>
          <w:rFonts w:ascii="Arial" w:cs="Arial" w:eastAsia="Arial" w:hAnsi="Arial"/>
          <w:sz w:val="17"/>
          <w:szCs w:val="17"/>
          <w:i w:val="1"/>
          <w:iCs w:val="1"/>
          <w:color w:val="auto"/>
        </w:rPr>
        <w:t xml:space="preserve">Focus on core capabilities in product development and manufacturing. </w:t>
      </w:r>
      <w:r>
        <w:rPr>
          <w:rFonts w:ascii="Arial" w:cs="Arial" w:eastAsia="Arial" w:hAnsi="Arial"/>
          <w:sz w:val="17"/>
          <w:szCs w:val="17"/>
          <w:color w:val="auto"/>
        </w:rPr>
        <w:t>We focus our efforts on immunobiotic product development and manufacturing,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are our core capabilities.</w:t>
      </w:r>
    </w:p>
    <w:p>
      <w:pPr>
        <w:spacing w:after="0" w:line="172" w:lineRule="exact"/>
        <w:rPr>
          <w:sz w:val="20"/>
          <w:szCs w:val="20"/>
          <w:color w:val="auto"/>
        </w:rPr>
      </w:pPr>
    </w:p>
    <w:p>
      <w:pPr>
        <w:jc w:val="both"/>
        <w:ind w:right="320" w:firstLine="308"/>
        <w:spacing w:after="0" w:line="308" w:lineRule="auto"/>
        <w:rPr>
          <w:sz w:val="20"/>
          <w:szCs w:val="20"/>
          <w:color w:val="auto"/>
        </w:rPr>
      </w:pPr>
      <w:r>
        <w:rPr>
          <w:rFonts w:ascii="Arial" w:cs="Arial" w:eastAsia="Arial" w:hAnsi="Arial"/>
          <w:sz w:val="14"/>
          <w:szCs w:val="14"/>
          <w:i w:val="1"/>
          <w:iCs w:val="1"/>
          <w:color w:val="auto"/>
        </w:rPr>
        <w:t xml:space="preserve">Acquire additional late-stage product candidates. </w:t>
      </w:r>
      <w:r>
        <w:rPr>
          <w:rFonts w:ascii="Arial" w:cs="Arial" w:eastAsia="Arial" w:hAnsi="Arial"/>
          <w:sz w:val="14"/>
          <w:szCs w:val="14"/>
          <w:color w:val="auto"/>
        </w:rPr>
        <w:t>We seek to obtain product candidates through acquisitions and licensing arrangements with third parties, with a</w:t>
      </w:r>
      <w:r>
        <w:rPr>
          <w:rFonts w:ascii="Arial" w:cs="Arial" w:eastAsia="Arial" w:hAnsi="Arial"/>
          <w:sz w:val="14"/>
          <w:szCs w:val="14"/>
          <w:i w:val="1"/>
          <w:iCs w:val="1"/>
          <w:color w:val="auto"/>
        </w:rPr>
        <w:t xml:space="preserve"> </w:t>
      </w:r>
      <w:r>
        <w:rPr>
          <w:rFonts w:ascii="Arial" w:cs="Arial" w:eastAsia="Arial" w:hAnsi="Arial"/>
          <w:sz w:val="14"/>
          <w:szCs w:val="14"/>
          <w:color w:val="auto"/>
        </w:rPr>
        <w:t>primary focus on late-stage development programs. This approach enables us to avoid the expense and time entailed in early-stage research activities and, we believe, minimize product development and commercialization risks and may enable us to accelerate product development timelines. Specifically, we are primarily seeking to acquire one or more additional product candidates that are either in Phase III clinical trials or well positioned for entry into Phase III clinical trials in the near term.</w:t>
      </w:r>
    </w:p>
    <w:p>
      <w:pPr>
        <w:spacing w:after="0" w:line="1" w:lineRule="exact"/>
        <w:rPr>
          <w:sz w:val="20"/>
          <w:szCs w:val="20"/>
          <w:color w:val="auto"/>
        </w:rPr>
      </w:pPr>
    </w:p>
    <w:p>
      <w:pPr>
        <w:jc w:val="both"/>
        <w:ind w:right="320"/>
        <w:spacing w:after="0" w:line="263" w:lineRule="auto"/>
        <w:rPr>
          <w:sz w:val="20"/>
          <w:szCs w:val="20"/>
          <w:color w:val="auto"/>
        </w:rPr>
      </w:pPr>
      <w:r>
        <w:rPr>
          <w:rFonts w:ascii="Arial" w:cs="Arial" w:eastAsia="Arial" w:hAnsi="Arial"/>
          <w:sz w:val="17"/>
          <w:szCs w:val="17"/>
          <w:color w:val="auto"/>
        </w:rPr>
        <w:t>Additionally, we may announce from time to time the acquisition or license of early stage product candidates or the entry into collaborations to continue to refresh the earlier phases of our product development programs.</w:t>
      </w:r>
    </w:p>
    <w:p>
      <w:pPr>
        <w:spacing w:after="0" w:line="180"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i w:val="1"/>
          <w:iCs w:val="1"/>
          <w:color w:val="auto"/>
        </w:rPr>
        <w:t xml:space="preserve">Mitigate costs in advancing selected pipeline products by seeking governmental and other third party grants and support. </w:t>
      </w:r>
      <w:r>
        <w:rPr>
          <w:rFonts w:ascii="Arial" w:cs="Arial" w:eastAsia="Arial" w:hAnsi="Arial"/>
          <w:sz w:val="15"/>
          <w:szCs w:val="15"/>
          <w:color w:val="auto"/>
        </w:rPr>
        <w:t>We seek non-dilutive funding arrangements</w:t>
      </w:r>
      <w:r>
        <w:rPr>
          <w:rFonts w:ascii="Arial" w:cs="Arial" w:eastAsia="Arial" w:hAnsi="Arial"/>
          <w:sz w:val="15"/>
          <w:szCs w:val="15"/>
          <w:i w:val="1"/>
          <w:iCs w:val="1"/>
          <w:color w:val="auto"/>
        </w:rPr>
        <w:t xml:space="preserve"> </w:t>
      </w:r>
      <w:r>
        <w:rPr>
          <w:rFonts w:ascii="Arial" w:cs="Arial" w:eastAsia="Arial" w:hAnsi="Arial"/>
          <w:sz w:val="15"/>
          <w:szCs w:val="15"/>
          <w:color w:val="auto"/>
        </w:rPr>
        <w:t>with government agencies and non-governmental organizations, or NGOs, including clinical trial sponsorship, grants and development contracts, to advance the development of our product candidates. For example, the Centers for Disease Control and Prevention, or CDC, is independently conducting a clinical trial to evaluate whether as few as three doses of BioThrax administered over six months, with booster doses up to three years apart, will confer an adequate immune response. In addition, NIAID has completed an independent animal efficacy study of BioThrax in combination with antibiotics as a post-exposure prophylaxis for anthrax infection. NIAID in collaboration with the BioMedical Advanced Research &amp; Development Authority, or BARDA, of HHS also has awarded us funding for animal efficacy studies and clinical trials of our anthrax immune globulin therapeutic candidate. BARDA also has awarded funding of up to $11.5 million to support our post-exposure prophylaxis indication for BioThrax, of which $8.8 million was paid in the fourth quarter of 2007. The Wellcome Trust provided funding for our Phase I and Phase II clinical trials of our typhoid vaccine candidate in Vietnam. In addition, NIAID has agreed to fund, manage and conduct a Phase I clinical trial of our group B streptococcus vaccine candidate. We believe many of our product candidates may be of interest to governments and philanthropic organizations. We plan to continue to encourage government entities and NGO’s to continue to conduct studies of, and provide financial support for the development of, our licensed product and product candidates.</w:t>
      </w:r>
    </w:p>
    <w:p>
      <w:pPr>
        <w:spacing w:after="0" w:line="169"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i w:val="1"/>
          <w:iCs w:val="1"/>
          <w:color w:val="auto"/>
        </w:rPr>
        <w:t xml:space="preserve">Fund product development through internally-generated cashflows. </w:t>
      </w:r>
      <w:r>
        <w:rPr>
          <w:rFonts w:ascii="Arial" w:cs="Arial" w:eastAsia="Arial" w:hAnsi="Arial"/>
          <w:sz w:val="16"/>
          <w:szCs w:val="16"/>
          <w:color w:val="auto"/>
        </w:rPr>
        <w:t>We generate revenues and cash flows from sales of BioThrax. In turn, we use these cash flows to</w:t>
      </w:r>
      <w:r>
        <w:rPr>
          <w:rFonts w:ascii="Arial" w:cs="Arial" w:eastAsia="Arial" w:hAnsi="Arial"/>
          <w:sz w:val="16"/>
          <w:szCs w:val="16"/>
          <w:i w:val="1"/>
          <w:iCs w:val="1"/>
          <w:color w:val="auto"/>
        </w:rPr>
        <w:t xml:space="preserve"> </w:t>
      </w:r>
      <w:r>
        <w:rPr>
          <w:rFonts w:ascii="Arial" w:cs="Arial" w:eastAsia="Arial" w:hAnsi="Arial"/>
          <w:sz w:val="16"/>
          <w:szCs w:val="16"/>
          <w:color w:val="auto"/>
        </w:rPr>
        <w:t>fund our development efforts, which we believe gives us an advantage over many of our competitors that rely primarily on external sources of funds. The revenues we derive from the sale of BioThrax help to insulate us from fluctuations in the capital markets and the uncertainties of development funding decisions by government agencies and NGO’s. We are focused on increasing sales of BioThrax to the U.S. government, expanding the market for BioThrax to other customers and pursuing a label expansion and a number of improvements for BioThrax, including an extension of expiry dating, a reduction in the number of required doses and the addition of another route of administration. We seek to strike an appropriate balance between maintaining current profitability and continuing to invest in our product development pipeline, which we believe will maximize long term value.</w:t>
      </w:r>
    </w:p>
    <w:p>
      <w:pPr>
        <w:spacing w:after="0" w:line="176"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i w:val="1"/>
          <w:iCs w:val="1"/>
          <w:color w:val="auto"/>
        </w:rPr>
        <w:t xml:space="preserve">Leverage internal manufacturing capabilities and infrastructure. </w:t>
      </w:r>
      <w:r>
        <w:rPr>
          <w:rFonts w:ascii="Arial" w:cs="Arial" w:eastAsia="Arial" w:hAnsi="Arial"/>
          <w:sz w:val="16"/>
          <w:szCs w:val="16"/>
          <w:color w:val="auto"/>
        </w:rPr>
        <w:t>Since 1998, we have manufactured BioThrax at our vaccine manufacturing facility Lansing,</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The Lansing manufacturing facility is a multi-building vaccine production campus located on approximately 12.5 acres. To augment our existing manufacturing capabilities, we constructed a new 50,000 square foot manufacturing facility on our Lansing campus. We are currently conducting validation and qualification activities required for regulatory approval. We expect that this new facility will have the potential to reduce our manufacturing costs for BioThrax, while increasing dramatically our capacity to manufacture doses of BioThrax annually. This new facility will also allow us to manufacture other fermentation-based products, including production of our own vaccine candidates, as well as potentially allow us to provide contract manufacturing services for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Market Opportunity</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effective public health management. According to a 2006 report issued by Frost &amp; Sullivan, a market research organization, from 2002 to 2005, annual worldwide vaccine sales increased from $6.7 billion to $9.9 billion, a compound annual growth rate of approximately 14%. In this same report it is estimated that the worldwide sales of vaccines will grow at a compound annual rate of approximately 10.5% from 2005 through 2012. New vaccine technologies, coupled with a greater understanding of how infectious microorganisms,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78"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Most non-pediatric commercial vaccines are paid for directly by patients or paid for or reimbursed by managed care organizations, other private health plans or public insurers. With respect to certain diseases affecting general public health, particularly in developing countries, public health authorities or NGO’s may fund the cost of developing vaccines against these diseases. According to a 2006 report issued by Frost &amp; Sullivan, public purchases of vaccines, including immunization programs and government stockpiles, account for approximately 90% of the total volume of worldwide vaccine sales. Alternatively, private market purchases of vaccines represent only 10% of total worldwide vaccine sales and yet account for approximately 60% of total worldwide vaccine revenues in 2005.</w:t>
      </w:r>
    </w:p>
    <w:p>
      <w:pPr>
        <w:spacing w:after="0" w:line="173"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The market for biodefense countermeasures, including vaccines and therapeutics, has grown dramatically as a result of the increased awareness of the threat of global terror activity in the wake of the September 11, 2001 terrorist attacks and the October 2001 anthrax letter attacks. The U.S. government is the principal source of worldwide biodefense spending. Most U.S. government spending on biodefense programs results from development funding awarded by NIAID, BARDA and the DoD, and procurement of countermeasures by HHS, the CDC and the DoD. The U.S. government is now the largest source of development and procurement funding for academic institutions and biotechnology companies conducting biodefense research or developing vaccines and immunotherapies directed at potential agents of bioterror or biowarfare.</w:t>
      </w:r>
    </w:p>
    <w:p>
      <w:pPr>
        <w:spacing w:after="0" w:line="185"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The Project BioShield Act, which became law in 2004, authorizes the procurement of countermeasures for biological, chemical, radiological and nuclear attacks for the SNS, which is a national repository of medical assets and countermeasures designed to provide federal, state and local public health agencies with medical supplies needed to treat those affected by terrorist attacks, natural disasters, industrial accidents and other public health emergencies. Project BioShield provided appropriations of $5.6 billion to be expended over ten years. The Pandemic and All-Hazards Preparedness Act, passed in 2006, established BARDA as the agency responsible for awarding procurement contracts for biomedical countermeasures and providing development funding for advanced research and development in the biodefense arena, and supplements the funding available under Project BioShield for radiological, nuclear, chemical and biological countermeasures, and provides funding for infectious disease pandemics. Funding for BARDA is created by annual appropriations by Congress. Congress also appropriates annual funding for the CDC for the procurement of medical assets and countermeasures for the SNS and for NIAID to conduct biodefense research. This appropriation funding supplements amounts available under Project BioShield.</w:t>
      </w:r>
    </w:p>
    <w:p>
      <w:pPr>
        <w:spacing w:after="0" w:line="175" w:lineRule="exact"/>
        <w:rPr>
          <w:sz w:val="20"/>
          <w:szCs w:val="20"/>
          <w:color w:val="auto"/>
        </w:rPr>
      </w:pPr>
    </w:p>
    <w:p>
      <w:pPr>
        <w:ind w:right="40" w:firstLine="308"/>
        <w:spacing w:after="0" w:line="275" w:lineRule="auto"/>
        <w:rPr>
          <w:sz w:val="20"/>
          <w:szCs w:val="20"/>
          <w:color w:val="auto"/>
        </w:rPr>
      </w:pPr>
      <w:r>
        <w:rPr>
          <w:rFonts w:ascii="Arial" w:cs="Arial" w:eastAsia="Arial" w:hAnsi="Arial"/>
          <w:sz w:val="16"/>
          <w:szCs w:val="16"/>
          <w:color w:val="auto"/>
        </w:rPr>
        <w:t>The DoD procures biodefense countermeasures that it administers primarily through the Military Vaccine Agency, or MilVax. MilVax administers various vaccination programs for military personnel, including vaccines for common infectious diseases, such as influenza, and vaccines to protect against specific bioterrorism threats, such as anthrax and smallpox. The level of spending by the DoD for MilVax is a function of the size of the U.S. military and the DoD’s protocols with respect to vaccine stockpile management and active immunization. The DoD provides development funding for biodefense vaccines through its Joint Vaccine Acquisition Program, or JVAP. We believe that in the future the DoD will procure additional doses of BioThrax directly from HHS to satisfy ongoing requirements for its active immunization program and that these purchases may result in HHS procuring additional doses from us.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to the U.S. government, we believe that other potential additional markets for the sale of biodefense countermeasures include:</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state and local governments, which we expect may be interested in these products to protect emergency responders, such as police, fire and emergency medical personnel;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governments, including both defense and public health agencies;</w:t>
      </w:r>
    </w:p>
    <w:p>
      <w:pPr>
        <w:spacing w:after="0" w:line="66" w:lineRule="exact"/>
        <w:rPr>
          <w:sz w:val="20"/>
          <w:szCs w:val="20"/>
          <w:color w:val="auto"/>
        </w:rPr>
      </w:pPr>
    </w:p>
    <w:p>
      <w:pPr>
        <w:ind w:right="2900"/>
        <w:spacing w:after="0" w:line="351" w:lineRule="auto"/>
        <w:rPr>
          <w:sz w:val="20"/>
          <w:szCs w:val="20"/>
          <w:color w:val="auto"/>
        </w:rPr>
      </w:pPr>
      <w:r>
        <w:rPr>
          <w:rFonts w:ascii="Arial" w:cs="Arial" w:eastAsia="Arial" w:hAnsi="Arial"/>
          <w:sz w:val="17"/>
          <w:szCs w:val="17"/>
          <w:color w:val="auto"/>
        </w:rPr>
        <w:t>NGO’s and multinational companies, including the U.S. Postal Service and transportation and security companies; and health care providers, including hospitals and clinics.</w:t>
      </w:r>
    </w:p>
    <w:p>
      <w:pPr>
        <w:spacing w:after="0" w:line="172"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ind w:firstLine="308"/>
        <w:spacing w:after="0" w:line="272" w:lineRule="auto"/>
        <w:rPr>
          <w:sz w:val="20"/>
          <w:szCs w:val="20"/>
          <w:color w:val="auto"/>
        </w:rPr>
      </w:pPr>
      <w:r>
        <w:rPr>
          <w:rFonts w:ascii="Arial" w:cs="Arial" w:eastAsia="Arial" w:hAnsi="Arial"/>
          <w:sz w:val="17"/>
          <w:szCs w:val="17"/>
          <w:color w:val="auto"/>
        </w:rPr>
        <w:t>Although there have been modest sales to these markets to date, we believe that they may comprise an important growth opportunity for the overall biodefense market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Scientific Background</w:t>
      </w:r>
    </w:p>
    <w:p>
      <w:pPr>
        <w:spacing w:after="0" w:line="219" w:lineRule="exact"/>
        <w:rPr>
          <w:sz w:val="20"/>
          <w:szCs w:val="20"/>
          <w:color w:val="auto"/>
        </w:rPr>
      </w:pPr>
    </w:p>
    <w:p>
      <w:pPr>
        <w:ind w:right="100" w:firstLine="308"/>
        <w:spacing w:after="0" w:line="272" w:lineRule="auto"/>
        <w:rPr>
          <w:sz w:val="20"/>
          <w:szCs w:val="20"/>
          <w:color w:val="auto"/>
        </w:rPr>
      </w:pPr>
      <w:r>
        <w:rPr>
          <w:rFonts w:ascii="Arial" w:cs="Arial" w:eastAsia="Arial" w:hAnsi="Arial"/>
          <w:sz w:val="16"/>
          <w:szCs w:val="16"/>
          <w:color w:val="auto"/>
        </w:rPr>
        <w:t>The immune system provides protection against pathogens, such as bacteria and viruses, through immune responses that are generated by a type of white blood cell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to that antigen is enhanced. Generally, there are two types of specific immune responses: humoral immunity and cell-mediated immunity. Humoral immunity is provided by proteins, known as antibodies or immune globulins, that are produced by lymphocytes. Antibodies are effective in dealing with pathogens before the pathogens enter cells. Cell-mediated immunity is provided by lymphocytes that generally deal with threats from cells that are already infected with pathogens by directly killing infected cells or by interacting with other immune cells to initiate the production of antibodies or activating cells that kill and eliminate infected cells.</w:t>
      </w:r>
    </w:p>
    <w:p>
      <w:pPr>
        <w:spacing w:after="0" w:line="178"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A vaccine is normally given to a healthy person as a prophylaxis in order to generate an immune response that will protect against future infection and disease caused by a specific pathogen. Following vaccination, the immune system’s memory of antigens presented by a vaccine allows for an immune response to be generated against a pathogen in order to provide protection against disease. A therapeutic vaccine is slightly different in that it acts to strengthen or modify the immune response in patients already infected with bacterial and viral pathogens in order to clear the pathogens from the infected host. Without treatment, such patients can be subject to recurring bouts of the disease.</w:t>
      </w:r>
    </w:p>
    <w:p>
      <w:pPr>
        <w:spacing w:after="0" w:line="184" w:lineRule="exact"/>
        <w:rPr>
          <w:sz w:val="20"/>
          <w:szCs w:val="20"/>
          <w:color w:val="auto"/>
        </w:rPr>
      </w:pPr>
    </w:p>
    <w:p>
      <w:pPr>
        <w:ind w:right="120" w:firstLine="308"/>
        <w:spacing w:after="0" w:line="299" w:lineRule="auto"/>
        <w:rPr>
          <w:sz w:val="20"/>
          <w:szCs w:val="20"/>
          <w:color w:val="auto"/>
        </w:rPr>
      </w:pPr>
      <w:r>
        <w:rPr>
          <w:rFonts w:ascii="Arial" w:cs="Arial" w:eastAsia="Arial" w:hAnsi="Arial"/>
          <w:sz w:val="15"/>
          <w:szCs w:val="15"/>
          <w:color w:val="auto"/>
        </w:rPr>
        <w:t>An immune globulin, also known as a polyclonal antibody, is a therapeutic that provides an immediate protective effect. Immune globulin is normally made by collecting plasma from individuals who have contracted a particular disease or who have been vaccinated against a particular disease and whose plasma contains protective antibodies, known as IgG, generated by a humoral immune response to pathogen exposure or vaccination. These antibodies are isolated by fractionation of the plasma, purified and then administered either intravenously or by intramuscular injection to patients. Because it normally takes several weeks to generate antibodies after vaccination, immune globulins are used in situations in which it is not possible to wait for active immunization to generate the protective immune response.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Products</w:t>
      </w:r>
    </w:p>
    <w:p>
      <w:pPr>
        <w:spacing w:after="0" w:line="21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The following table summarizes key information about our marketed product, BioThrax, and our other advanced and earlier stage product candidates. We use multiple technologies to develop our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botulinum vaccine, for which HPA has the non-exclusive right to make, use and sell to meet public health requirements in the United Kingdom, and our Neisseria meningitis B vaccine candidate that we are developing in collaboration with Sanofi Pasteur.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Borders>
              <w:right w:val="single" w:sz="8" w:color="auto"/>
            </w:tcBorders>
          </w:tcPr>
          <w:p>
            <w:pPr>
              <w:spacing w:after="0"/>
              <w:rPr>
                <w:sz w:val="17"/>
                <w:szCs w:val="17"/>
                <w:color w:val="auto"/>
              </w:rPr>
            </w:pPr>
          </w:p>
        </w:tc>
        <w:tc>
          <w:tcPr>
            <w:tcW w:w="28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7"/>
                <w:szCs w:val="17"/>
                <w:b w:val="1"/>
                <w:bCs w:val="1"/>
                <w:color w:val="auto"/>
                <w:w w:val="97"/>
              </w:rPr>
              <w:t>Immunobiotic Product or Product</w:t>
            </w:r>
          </w:p>
        </w:tc>
        <w:tc>
          <w:tcPr>
            <w:tcW w:w="2240" w:type="dxa"/>
            <w:vAlign w:val="bottom"/>
            <w:tcBorders>
              <w:top w:val="single" w:sz="8" w:color="auto"/>
              <w:right w:val="single" w:sz="8" w:color="auto"/>
            </w:tcBorders>
          </w:tcPr>
          <w:p>
            <w:pPr>
              <w:spacing w:after="0"/>
              <w:rPr>
                <w:sz w:val="17"/>
                <w:szCs w:val="17"/>
                <w:color w:val="auto"/>
              </w:rPr>
            </w:pPr>
          </w:p>
        </w:tc>
        <w:tc>
          <w:tcPr>
            <w:tcW w:w="3200" w:type="dxa"/>
            <w:vAlign w:val="bottom"/>
            <w:tcBorders>
              <w:top w:val="single" w:sz="8" w:color="auto"/>
              <w:right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040"/>
              <w:spacing w:after="0"/>
              <w:rPr>
                <w:sz w:val="20"/>
                <w:szCs w:val="20"/>
                <w:color w:val="auto"/>
              </w:rPr>
            </w:pPr>
            <w:r>
              <w:rPr>
                <w:rFonts w:ascii="Arial" w:cs="Arial" w:eastAsia="Arial" w:hAnsi="Arial"/>
                <w:sz w:val="17"/>
                <w:szCs w:val="17"/>
                <w:b w:val="1"/>
                <w:bCs w:val="1"/>
                <w:color w:val="auto"/>
              </w:rPr>
              <w:t>Candidate</w:t>
            </w: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b w:val="1"/>
                <w:bCs w:val="1"/>
                <w:color w:val="auto"/>
                <w:w w:val="93"/>
              </w:rPr>
              <w:t>Prophylactic or Therapeutic</w:t>
            </w:r>
          </w:p>
        </w:tc>
        <w:tc>
          <w:tcPr>
            <w:tcW w:w="320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7"/>
                <w:szCs w:val="17"/>
                <w:b w:val="1"/>
                <w:bCs w:val="1"/>
                <w:color w:val="auto"/>
              </w:rPr>
              <w:t>Stage of Development</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Pre-exposure 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FDA approved</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w w:val="96"/>
              </w:rPr>
              <w:t>BioThrax (Anthrax Vaccine Adsorbed)</w:t>
            </w:r>
          </w:p>
        </w:tc>
        <w:tc>
          <w:tcPr>
            <w:tcW w:w="224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Post-approval label expansion; animal</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vMerge w:val="continue"/>
          </w:tcPr>
          <w:p>
            <w:pPr>
              <w:spacing w:after="0"/>
              <w:rPr>
                <w:sz w:val="17"/>
                <w:szCs w:val="17"/>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Post-exposure prophylactic*</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efficacy and human safety and</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2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3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immunogenicity studies ongoing; BLA</w:t>
            </w: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0" w:type="dxa"/>
            <w:vAlign w:val="bottom"/>
            <w:tcBorders>
              <w:right w:val="single" w:sz="8" w:color="auto"/>
            </w:tcBorders>
          </w:tcPr>
          <w:p>
            <w:pPr>
              <w:spacing w:after="0"/>
              <w:rPr>
                <w:sz w:val="8"/>
                <w:szCs w:val="8"/>
                <w:color w:val="auto"/>
              </w:rPr>
            </w:pPr>
          </w:p>
        </w:tc>
        <w:tc>
          <w:tcPr>
            <w:tcW w:w="288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supplement planned</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Next generation anthrax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Pre-exposure 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 and Phase 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Anthrax immune globulin*</w:t>
            </w:r>
          </w:p>
        </w:tc>
        <w:tc>
          <w:tcPr>
            <w:tcW w:w="224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Therapeutic</w:t>
            </w: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w w:val="99"/>
              </w:rPr>
              <w:t>Pivotal animal studies and pivotal human</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trial planned for 2008 and 2009</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Typhoid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Hepatitis B therapeutic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Therapeutic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Group B streptococcus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Phase I</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Botulinum vaccines*</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Chlamydia vaccine</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Prophylactic</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Preclinical</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Neisseria meningitis B vaccine</w:t>
            </w:r>
          </w:p>
        </w:tc>
        <w:tc>
          <w:tcPr>
            <w:tcW w:w="224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Prophylactic</w:t>
            </w:r>
          </w:p>
        </w:tc>
        <w:tc>
          <w:tcPr>
            <w:tcW w:w="32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7"/>
                <w:szCs w:val="17"/>
                <w:color w:val="auto"/>
              </w:rPr>
              <w:t>Preclinical; commercialization rights out-</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Borders>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licensed to Sanofi Pasteur</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2"/>
        </w:trPr>
        <w:tc>
          <w:tcPr>
            <w:tcW w:w="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ind w:left="820" w:right="20" w:hanging="202"/>
        <w:spacing w:after="0" w:line="276"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We currently intend to rely on the FDA animal rule in seeking marketing approval for indications or product candidates marked with an asterisk.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animal studies and any additional supporting data. For more information about the FDA animal rule, see “Government Regulation — Clinical Trials.”</w:t>
      </w:r>
    </w:p>
    <w:p>
      <w:pPr>
        <w:spacing w:after="0" w:line="173" w:lineRule="exact"/>
        <w:rPr>
          <w:sz w:val="20"/>
          <w:szCs w:val="20"/>
          <w:color w:val="auto"/>
        </w:rPr>
      </w:pPr>
    </w:p>
    <w:p>
      <w:pPr>
        <w:jc w:val="both"/>
        <w:ind w:right="300" w:firstLine="308"/>
        <w:spacing w:after="0" w:line="286" w:lineRule="auto"/>
        <w:rPr>
          <w:sz w:val="20"/>
          <w:szCs w:val="20"/>
          <w:color w:val="auto"/>
        </w:rPr>
      </w:pPr>
      <w:r>
        <w:rPr>
          <w:rFonts w:ascii="Arial" w:cs="Arial" w:eastAsia="Arial" w:hAnsi="Arial"/>
          <w:sz w:val="16"/>
          <w:szCs w:val="16"/>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BioThrax (Anthrax Vaccine Adsorbed)</w:t>
      </w:r>
    </w:p>
    <w:p>
      <w:pPr>
        <w:spacing w:after="0" w:line="219" w:lineRule="exact"/>
        <w:rPr>
          <w:sz w:val="20"/>
          <w:szCs w:val="20"/>
          <w:color w:val="auto"/>
        </w:rPr>
      </w:pPr>
    </w:p>
    <w:p>
      <w:pPr>
        <w:ind w:right="240" w:firstLine="308"/>
        <w:spacing w:after="0" w:line="299"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Anthrax is a potentially fatal disease caused by the spore forming bacterium</w:t>
      </w:r>
      <w:r>
        <w:rPr>
          <w:rFonts w:ascii="Arial" w:cs="Arial" w:eastAsia="Arial" w:hAnsi="Arial"/>
          <w:sz w:val="15"/>
          <w:szCs w:val="15"/>
          <w:i w:val="1"/>
          <w:iCs w:val="1"/>
          <w:color w:val="auto"/>
        </w:rPr>
        <w:t xml:space="preserve"> Bacillus anthracis. </w:t>
      </w:r>
      <w:r>
        <w:rPr>
          <w:rFonts w:ascii="Arial" w:cs="Arial" w:eastAsia="Arial" w:hAnsi="Arial"/>
          <w:sz w:val="15"/>
          <w:szCs w:val="15"/>
          <w:color w:val="auto"/>
        </w:rPr>
        <w:t>Anthrax bacteria are naturally occurring, and</w:t>
      </w:r>
      <w:r>
        <w:rPr>
          <w:rFonts w:ascii="Arial" w:cs="Arial" w:eastAsia="Arial" w:hAnsi="Arial"/>
          <w:sz w:val="15"/>
          <w:szCs w:val="15"/>
          <w:i w:val="1"/>
          <w:iCs w:val="1"/>
          <w:color w:val="auto"/>
        </w:rPr>
        <w:t xml:space="preserve"> </w:t>
      </w:r>
      <w:r>
        <w:rPr>
          <w:rFonts w:ascii="Arial" w:cs="Arial" w:eastAsia="Arial" w:hAnsi="Arial"/>
          <w:sz w:val="15"/>
          <w:szCs w:val="15"/>
          <w:color w:val="auto"/>
        </w:rPr>
        <w:t>spores are found in soil throughout the world. Anthrax spores can withstand extreme heat, cold and drought for long periods and can survive without nutrients or air for extended periods. Anthrax infections occur if the spores enter the body through a cut, abrasion or open sore, or by ingestion or inhalation of the spores. Once inside the body, anthrax spores germinate into bacteria that then multiply. Anthrax bacteria secrete three proteins: protective antigen, lethal factor and edema factor, which individually are non-toxic but can become highly toxic if allowed to interact on the surface of human or animal cells.</w:t>
      </w:r>
    </w:p>
    <w:p>
      <w:pPr>
        <w:spacing w:after="0" w:line="156"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149"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malaise, or weakness, lasting up to a few days. After a brief period of improvement, the release of anthrax toxins may cause an abrupt deterioration of the infected person, with the sudden onset of symptoms, including fever, shock and respiratory failure as the lungs fill with fluids.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59" w:lineRule="exact"/>
        <w:rPr>
          <w:sz w:val="20"/>
          <w:szCs w:val="20"/>
          <w:color w:val="auto"/>
        </w:rPr>
      </w:pPr>
    </w:p>
    <w:p>
      <w:pPr>
        <w:ind w:right="380" w:firstLine="308"/>
        <w:spacing w:after="0" w:line="341" w:lineRule="auto"/>
        <w:rPr>
          <w:sz w:val="20"/>
          <w:szCs w:val="20"/>
          <w:color w:val="auto"/>
        </w:rPr>
      </w:pPr>
      <w:r>
        <w:rPr>
          <w:rFonts w:ascii="Arial" w:cs="Arial" w:eastAsia="Arial" w:hAnsi="Arial"/>
          <w:sz w:val="15"/>
          <w:szCs w:val="15"/>
          <w:i w:val="1"/>
          <w:iCs w:val="1"/>
          <w:color w:val="auto"/>
        </w:rPr>
        <w:t xml:space="preserve">Market opportunity and current treatments. </w:t>
      </w:r>
      <w:r>
        <w:rPr>
          <w:rFonts w:ascii="Arial" w:cs="Arial" w:eastAsia="Arial" w:hAnsi="Arial"/>
          <w:sz w:val="15"/>
          <w:szCs w:val="15"/>
          <w:color w:val="auto"/>
        </w:rPr>
        <w:t>To date, the principal customer for anthrax countermeasures has been the U.S. government, specifically the DoD and</w:t>
      </w:r>
      <w:r>
        <w:rPr>
          <w:rFonts w:ascii="Arial" w:cs="Arial" w:eastAsia="Arial" w:hAnsi="Arial"/>
          <w:sz w:val="15"/>
          <w:szCs w:val="15"/>
          <w:i w:val="1"/>
          <w:iCs w:val="1"/>
          <w:color w:val="auto"/>
        </w:rPr>
        <w:t xml:space="preserve"> </w:t>
      </w:r>
      <w:r>
        <w:rPr>
          <w:rFonts w:ascii="Arial" w:cs="Arial" w:eastAsia="Arial" w:hAnsi="Arial"/>
          <w:sz w:val="15"/>
          <w:szCs w:val="15"/>
          <w:color w:val="auto"/>
        </w:rPr>
        <w:t>HHS. We believe that federal, state and local governments and allied foreign governments are significant potential customers for anthrax countermeasures.</w:t>
      </w:r>
    </w:p>
    <w:p>
      <w:pPr>
        <w:spacing w:after="0" w:line="125" w:lineRule="exact"/>
        <w:rPr>
          <w:sz w:val="20"/>
          <w:szCs w:val="20"/>
          <w:color w:val="auto"/>
        </w:rPr>
      </w:pPr>
    </w:p>
    <w:p>
      <w:pPr>
        <w:ind w:right="20" w:firstLine="308"/>
        <w:spacing w:after="0" w:line="293" w:lineRule="auto"/>
        <w:rPr>
          <w:sz w:val="20"/>
          <w:szCs w:val="20"/>
          <w:color w:val="auto"/>
        </w:rPr>
      </w:pPr>
      <w:r>
        <w:rPr>
          <w:rFonts w:ascii="Arial" w:cs="Arial" w:eastAsia="Arial" w:hAnsi="Arial"/>
          <w:sz w:val="15"/>
          <w:szCs w:val="15"/>
          <w:color w:val="auto"/>
        </w:rPr>
        <w:t>The only FDA-approved product for pre-exposure prophylaxis of anthrax infection is BioThrax. The only FDA-approved products for post-exposure prophylaxis of anthrax infection are antibiotics, which are typically administered over a 60-day period. Antibiotics are effective against anthrax post-exposure by killing the anthrax bacteria before the bacteria can release anthrax toxins into the body. However, antibiotics are not effective against anthrax toxins once the toxins are present in the body. Nor are antibiotics effective against anthrax spores that are in the body and dormant following exposure. Anthrax spores may remain in the body for extended periods, which can potentially germinate into bacterium following the end of antibiotic treatment and lead to infection. Infection may also occur if patients do not adhere to the prolonged course of antibiotic treatment or are not able to remain on antibiotics for extended periods of time. In addition, antibiotics may not be effective against antibiotic resistant strains of anthrax. Because of these limitations, the CDC recommends administering BioThrax in combination with antibiotics under an investigation new drug application, or IND, with informed consent of the patient as a post-exposure prophylaxis for anthrax infection as an emergency public health intervention.</w:t>
      </w:r>
    </w:p>
    <w:p>
      <w:pPr>
        <w:spacing w:after="0" w:line="162" w:lineRule="exact"/>
        <w:rPr>
          <w:sz w:val="20"/>
          <w:szCs w:val="20"/>
          <w:color w:val="auto"/>
        </w:rPr>
      </w:pPr>
    </w:p>
    <w:p>
      <w:pPr>
        <w:ind w:right="80" w:firstLine="308"/>
        <w:spacing w:after="0" w:line="286" w:lineRule="auto"/>
        <w:rPr>
          <w:sz w:val="20"/>
          <w:szCs w:val="20"/>
          <w:color w:val="auto"/>
        </w:rPr>
      </w:pPr>
      <w:r>
        <w:rPr>
          <w:rFonts w:ascii="Arial" w:cs="Arial" w:eastAsia="Arial" w:hAnsi="Arial"/>
          <w:sz w:val="16"/>
          <w:szCs w:val="16"/>
          <w:color w:val="auto"/>
        </w:rPr>
        <w:t>Although BioThrax is not currently approved by the FDA for post-exposure prophylaxis, as discussed below, we are actively pursuing a label expansion for this indication. We are also developing an anthrax immune globulin therapeutic product candidate and we recently acquired a monoclonal anthrax antibody product candidate, both of which are deigned for post-exposure use. Several other companies also are developing post-exposure anthrax therapeutic products.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total revenues from BioThrax sales were $169.8 million in 2007, $148.0 million in 2006 and $127.3 million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60" w:firstLine="308"/>
        <w:spacing w:after="0" w:line="294" w:lineRule="auto"/>
        <w:rPr>
          <w:sz w:val="20"/>
          <w:szCs w:val="20"/>
          <w:color w:val="auto"/>
        </w:rPr>
      </w:pPr>
      <w:r>
        <w:rPr>
          <w:rFonts w:ascii="Arial" w:cs="Arial" w:eastAsia="Arial" w:hAnsi="Arial"/>
          <w:sz w:val="15"/>
          <w:szCs w:val="15"/>
          <w:i w:val="1"/>
          <w:iCs w:val="1"/>
          <w:color w:val="auto"/>
        </w:rPr>
        <w:t xml:space="preserve">Description and benefits of BioThrax. </w:t>
      </w:r>
      <w:r>
        <w:rPr>
          <w:rFonts w:ascii="Arial" w:cs="Arial" w:eastAsia="Arial" w:hAnsi="Arial"/>
          <w:sz w:val="15"/>
          <w:szCs w:val="15"/>
          <w:color w:val="auto"/>
        </w:rPr>
        <w:t xml:space="preserve">BioThrax is the only FDA-approved vaccine for the prevention of anthrax infection. It is approved by the FDA as a pre-exposure prophylaxis for use in adults who are at high risk of exposure to anthrax spores. BioThrax is manufactured from a sterile culture filtrate, made from a non-virulent strain of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and contains no dead or live bacteria. Based on its current product labeling, BioThrax is administered by subcutaneous injection in three initial doses followed by three additional doses, with an annual booster dose recommended thereafter. The three initial doses are given two weeks apart over a thirty-day period followed by three additional doses given at six, 12 and 18 months following the first vaccination. BioThrax includes aluminum hydroxide, or alum, as an adjuvant. BioThrax is not currently approved as a post-exposure prophylaxis. Following the October 2001 anthrax letter attacks, however, the CDC provided BioThrax under an IND protocol for administration on a voluntary basis to Capitol Hill employees and certain others who may have been exposed to anthrax.</w:t>
      </w:r>
    </w:p>
    <w:p>
      <w:pPr>
        <w:spacing w:after="0" w:line="162" w:lineRule="exact"/>
        <w:rPr>
          <w:sz w:val="20"/>
          <w:szCs w:val="20"/>
          <w:color w:val="auto"/>
        </w:rPr>
      </w:pPr>
    </w:p>
    <w:p>
      <w:pPr>
        <w:ind w:right="20" w:firstLine="308"/>
        <w:spacing w:after="0" w:line="254" w:lineRule="auto"/>
        <w:rPr>
          <w:sz w:val="20"/>
          <w:szCs w:val="20"/>
          <w:color w:val="auto"/>
        </w:rPr>
      </w:pPr>
      <w:r>
        <w:rPr>
          <w:rFonts w:ascii="Arial" w:cs="Arial" w:eastAsia="Arial" w:hAnsi="Arial"/>
          <w:sz w:val="17"/>
          <w:szCs w:val="17"/>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 to applicable notice and comment requirements. In December 2005, based on a review of data from the study used to support the original marketing approval of BioThrax and other studies of the use of BioThrax in humans, including studies by the CDC and the DoD, the FDA issued a final order regarding BioThrax. In the final order, the FDA affirmed the approval of BioThrax and found, among other things, that:</w:t>
      </w:r>
    </w:p>
    <w:p>
      <w:pPr>
        <w:spacing w:after="0" w:line="203" w:lineRule="exact"/>
        <w:rPr>
          <w:sz w:val="20"/>
          <w:szCs w:val="20"/>
          <w:color w:val="auto"/>
        </w:rPr>
      </w:pPr>
    </w:p>
    <w:p>
      <w:pPr>
        <w:ind w:left="620" w:hanging="310"/>
        <w:spacing w:after="0"/>
        <w:tabs>
          <w:tab w:leader="none" w:pos="620" w:val="left"/>
        </w:tabs>
        <w:numPr>
          <w:ilvl w:val="0"/>
          <w:numId w:val="5"/>
        </w:numPr>
        <w:rPr>
          <w:rFonts w:ascii="Arial" w:cs="Arial" w:eastAsia="Arial" w:hAnsi="Arial"/>
          <w:sz w:val="23"/>
          <w:szCs w:val="23"/>
          <w:b w:val="1"/>
          <w:bCs w:val="1"/>
          <w:color w:val="auto"/>
        </w:rPr>
      </w:pPr>
      <w:r>
        <w:rPr>
          <w:rFonts w:ascii="Arial" w:cs="Arial" w:eastAsia="Arial" w:hAnsi="Arial"/>
          <w:sz w:val="17"/>
          <w:szCs w:val="17"/>
          <w:color w:val="auto"/>
        </w:rPr>
        <w:t>BioThrax is safe and effective;</w:t>
      </w:r>
    </w:p>
    <w:p>
      <w:pPr>
        <w:spacing w:after="0" w:line="5" w:lineRule="exact"/>
        <w:rPr>
          <w:rFonts w:ascii="Arial" w:cs="Arial" w:eastAsia="Arial" w:hAnsi="Arial"/>
          <w:sz w:val="23"/>
          <w:szCs w:val="23"/>
          <w:b w:val="1"/>
          <w:bCs w:val="1"/>
          <w:color w:val="auto"/>
        </w:rPr>
      </w:pPr>
    </w:p>
    <w:p>
      <w:pPr>
        <w:ind w:left="620" w:right="20" w:hanging="310"/>
        <w:spacing w:after="0" w:line="183" w:lineRule="auto"/>
        <w:tabs>
          <w:tab w:leader="none" w:pos="620" w:val="left"/>
        </w:tabs>
        <w:numPr>
          <w:ilvl w:val="0"/>
          <w:numId w:val="5"/>
        </w:numPr>
        <w:rPr>
          <w:rFonts w:ascii="Arial" w:cs="Arial" w:eastAsia="Arial" w:hAnsi="Arial"/>
          <w:sz w:val="32"/>
          <w:szCs w:val="32"/>
          <w:b w:val="1"/>
          <w:bCs w:val="1"/>
          <w:color w:val="auto"/>
          <w:vertAlign w:val="subscript"/>
        </w:rPr>
      </w:pPr>
      <w:r>
        <w:rPr>
          <w:rFonts w:ascii="Arial" w:cs="Arial" w:eastAsia="Arial" w:hAnsi="Arial"/>
          <w:sz w:val="14"/>
          <w:szCs w:val="14"/>
          <w:color w:val="auto"/>
        </w:rPr>
        <w:t>the study used to support the original marketing approval of BioThrax constituted a well controlled human efficacy study in which BioThrax was 92.5% effective in preventing inhalational and cutaneous anthrax;</w:t>
      </w:r>
    </w:p>
    <w:p>
      <w:pPr>
        <w:spacing w:after="0" w:line="1" w:lineRule="exact"/>
        <w:rPr>
          <w:rFonts w:ascii="Arial" w:cs="Arial" w:eastAsia="Arial" w:hAnsi="Arial"/>
          <w:sz w:val="32"/>
          <w:szCs w:val="32"/>
          <w:b w:val="1"/>
          <w:bCs w:val="1"/>
          <w:color w:val="auto"/>
          <w:vertAlign w:val="subscript"/>
        </w:rPr>
      </w:pPr>
    </w:p>
    <w:p>
      <w:pPr>
        <w:ind w:left="620" w:right="22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as reported by the Institute of Medicine, studies in humans and animal models support the conclusion that BioThrax is effective against anthrax strains that are dependent upon the anthrax toxin as a mechanism of virulence by all routes of exposure, including inhalation;</w:t>
      </w:r>
    </w:p>
    <w:p>
      <w:pPr>
        <w:ind w:left="620" w:right="16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periodic evaluations of reports in the vaccine adverse event reporting system database maintained by the CDC and the FDA confirm that BioThrax continues to be safe for its intended use; and</w:t>
      </w:r>
    </w:p>
    <w:p>
      <w:pPr>
        <w:ind w:left="620" w:right="260" w:hanging="310"/>
        <w:spacing w:after="0" w:line="182" w:lineRule="auto"/>
        <w:tabs>
          <w:tab w:leader="none" w:pos="620" w:val="left"/>
        </w:tabs>
        <w:numPr>
          <w:ilvl w:val="0"/>
          <w:numId w:val="5"/>
        </w:numPr>
        <w:rPr>
          <w:rFonts w:ascii="Arial" w:cs="Arial" w:eastAsia="Arial" w:hAnsi="Arial"/>
          <w:sz w:val="33"/>
          <w:szCs w:val="33"/>
          <w:b w:val="1"/>
          <w:bCs w:val="1"/>
          <w:color w:val="auto"/>
          <w:vertAlign w:val="subscript"/>
        </w:rPr>
      </w:pPr>
      <w:r>
        <w:rPr>
          <w:rFonts w:ascii="Arial" w:cs="Arial" w:eastAsia="Arial" w:hAnsi="Arial"/>
          <w:sz w:val="14"/>
          <w:szCs w:val="14"/>
          <w:color w:val="auto"/>
        </w:rPr>
        <w:t>as reported by an independent advisory panel to the FDA, the CDC data suggest that BioThrax is fairly well tolerated with systemic reactions and severe local reactions being relatively rare.</w:t>
      </w:r>
    </w:p>
    <w:p>
      <w:pPr>
        <w:spacing w:after="0" w:line="198" w:lineRule="exact"/>
        <w:rPr>
          <w:sz w:val="20"/>
          <w:szCs w:val="20"/>
          <w:color w:val="auto"/>
        </w:rPr>
      </w:pPr>
    </w:p>
    <w:p>
      <w:pPr>
        <w:ind w:right="200" w:firstLine="308"/>
        <w:spacing w:after="0" w:line="279" w:lineRule="auto"/>
        <w:rPr>
          <w:sz w:val="20"/>
          <w:szCs w:val="20"/>
          <w:color w:val="auto"/>
        </w:rPr>
      </w:pPr>
      <w:r>
        <w:rPr>
          <w:rFonts w:ascii="Arial" w:cs="Arial" w:eastAsia="Arial" w:hAnsi="Arial"/>
          <w:sz w:val="16"/>
          <w:szCs w:val="16"/>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170" w:lineRule="exact"/>
        <w:rPr>
          <w:sz w:val="20"/>
          <w:szCs w:val="20"/>
          <w:color w:val="auto"/>
        </w:rPr>
      </w:pPr>
    </w:p>
    <w:p>
      <w:pPr>
        <w:ind w:right="340" w:firstLine="308"/>
        <w:spacing w:after="0" w:line="294" w:lineRule="auto"/>
        <w:rPr>
          <w:sz w:val="20"/>
          <w:szCs w:val="20"/>
          <w:color w:val="auto"/>
        </w:rPr>
      </w:pPr>
      <w:r>
        <w:rPr>
          <w:rFonts w:ascii="Arial" w:cs="Arial" w:eastAsia="Arial" w:hAnsi="Arial"/>
          <w:sz w:val="15"/>
          <w:szCs w:val="15"/>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an event. These putative serious adverse events, including diabetes, heart attacks, autoimmune diseases, including Guillian Barre syndrome, lupus and multiple sclerosis, lymphoma and death, have not been causally linked to the administration of BioThrax.</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BioThrax development activities. </w:t>
      </w:r>
      <w:r>
        <w:rPr>
          <w:rFonts w:ascii="Arial" w:cs="Arial" w:eastAsia="Arial" w:hAnsi="Arial"/>
          <w:sz w:val="17"/>
          <w:szCs w:val="17"/>
          <w:color w:val="auto"/>
        </w:rPr>
        <w:t>We are actively pursuing label expansions and improvements for BioThrax, including the following:</w:t>
      </w:r>
    </w:p>
    <w:p>
      <w:pPr>
        <w:spacing w:after="0" w:line="215" w:lineRule="exact"/>
        <w:rPr>
          <w:sz w:val="20"/>
          <w:szCs w:val="20"/>
          <w:color w:val="auto"/>
        </w:rPr>
      </w:pPr>
    </w:p>
    <w:p>
      <w:pPr>
        <w:ind w:left="620" w:hanging="310"/>
        <w:spacing w:after="0" w:line="185" w:lineRule="auto"/>
        <w:tabs>
          <w:tab w:leader="none" w:pos="620" w:val="left"/>
        </w:tabs>
        <w:numPr>
          <w:ilvl w:val="0"/>
          <w:numId w:val="6"/>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Extend expiry dating. </w:t>
      </w:r>
      <w:r>
        <w:rPr>
          <w:rFonts w:ascii="Arial" w:cs="Arial" w:eastAsia="Arial" w:hAnsi="Arial"/>
          <w:sz w:val="16"/>
          <w:szCs w:val="16"/>
          <w:color w:val="auto"/>
        </w:rPr>
        <w:t>The current FDA-approved expiry dating of BioThrax is three years. In December 2006, based on data generated from our ongoing stability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we submitted a supplement to our biologics license application, or BLA, for BioThrax to extend the expiry dating from three years to four years, which, if granted, would allow BioThrax to be stockpiled for a longer period of time. This application is still pending and we continue to discuss with FDA the requirements for approval of this supplement. We are unable to predict whether or when this application might be approved.</w:t>
      </w:r>
    </w:p>
    <w:p>
      <w:pPr>
        <w:spacing w:after="0" w:line="3" w:lineRule="exact"/>
        <w:rPr>
          <w:rFonts w:ascii="Arial" w:cs="Arial" w:eastAsia="Arial" w:hAnsi="Arial"/>
          <w:sz w:val="45"/>
          <w:szCs w:val="45"/>
          <w:b w:val="1"/>
          <w:bCs w:val="1"/>
          <w:color w:val="auto"/>
          <w:vertAlign w:val="subscript"/>
        </w:rPr>
      </w:pPr>
    </w:p>
    <w:p>
      <w:pPr>
        <w:ind w:left="620" w:right="140" w:hanging="310"/>
        <w:spacing w:after="0" w:line="186" w:lineRule="auto"/>
        <w:tabs>
          <w:tab w:leader="none" w:pos="620" w:val="left"/>
        </w:tabs>
        <w:numPr>
          <w:ilvl w:val="0"/>
          <w:numId w:val="6"/>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Add second route of administration. </w:t>
      </w:r>
      <w:r>
        <w:rPr>
          <w:rFonts w:ascii="Arial" w:cs="Arial" w:eastAsia="Arial" w:hAnsi="Arial"/>
          <w:sz w:val="15"/>
          <w:szCs w:val="15"/>
          <w:color w:val="auto"/>
        </w:rPr>
        <w:t>We have applied to the FDA using interim data from the CDC study to add a second route of administration of BioThrax to</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intramuscular injection in addition to subcutaneous injection. We believe that intramuscular injection may result in fewer local reactions than subcutaneous injection. We may be required to wait for full study data to be submitted to the FDA before consideration of our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183515</wp:posOffset>
            </wp:positionV>
            <wp:extent cx="72790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left="620" w:right="80" w:hanging="310"/>
        <w:spacing w:after="0" w:line="203" w:lineRule="auto"/>
        <w:tabs>
          <w:tab w:leader="none" w:pos="620" w:val="left"/>
        </w:tabs>
        <w:numPr>
          <w:ilvl w:val="0"/>
          <w:numId w:val="7"/>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Reduce doses for pre-exposure prophylaxis. </w:t>
      </w:r>
      <w:r>
        <w:rPr>
          <w:rFonts w:ascii="Arial" w:cs="Arial" w:eastAsia="Arial" w:hAnsi="Arial"/>
          <w:sz w:val="17"/>
          <w:szCs w:val="17"/>
          <w:color w:val="auto"/>
        </w:rPr>
        <w:t>We have applied to the FDA to reduce the number of required doses of BioThrax for pre-exposure prophylaxis from</w:t>
      </w:r>
      <w:r>
        <w:rPr>
          <w:rFonts w:ascii="Arial" w:cs="Arial" w:eastAsia="Arial" w:hAnsi="Arial"/>
          <w:sz w:val="17"/>
          <w:szCs w:val="17"/>
          <w:i w:val="1"/>
          <w:iCs w:val="1"/>
          <w:color w:val="auto"/>
        </w:rPr>
        <w:t xml:space="preserve"> </w:t>
      </w:r>
      <w:r>
        <w:rPr>
          <w:rFonts w:ascii="Arial" w:cs="Arial" w:eastAsia="Arial" w:hAnsi="Arial"/>
          <w:sz w:val="17"/>
          <w:szCs w:val="17"/>
          <w:color w:val="auto"/>
        </w:rPr>
        <w:t>six to five, with an annual booster dose thereafter. Our application is based on an analysis of interim data from an ongoing clinical trial being conducted by the CDC to evaluate whether as few as three doses of BioThrax, administered over six months, with booster doses up to three years apart, will confer an adequate immune response. The FDA has requested additional data, some of which may not be available until we receive final data from the CDC dose reduction trial, which we expect at the end of 2008. The FDA may not approve dose reduction based on interim data. If the final data from the CDC dose-reduction trial support a further reduction of doses, we plan to file an additional BLA supplement with FDA for approval of a three-dose regimen, with booster doses thereafter up to three years apart.</w:t>
      </w:r>
    </w:p>
    <w:p>
      <w:pPr>
        <w:spacing w:after="0" w:line="3" w:lineRule="exact"/>
        <w:rPr>
          <w:rFonts w:ascii="Arial" w:cs="Arial" w:eastAsia="Arial" w:hAnsi="Arial"/>
          <w:sz w:val="46"/>
          <w:szCs w:val="46"/>
          <w:b w:val="1"/>
          <w:bCs w:val="1"/>
          <w:color w:val="auto"/>
          <w:vertAlign w:val="subscript"/>
        </w:rPr>
      </w:pPr>
    </w:p>
    <w:p>
      <w:pPr>
        <w:ind w:left="620" w:right="20" w:hanging="310"/>
        <w:spacing w:after="0" w:line="263" w:lineRule="auto"/>
        <w:tabs>
          <w:tab w:leader="none" w:pos="620" w:val="left"/>
        </w:tabs>
        <w:numPr>
          <w:ilvl w:val="0"/>
          <w:numId w:val="7"/>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Expand label indication to include post-exposure prophylaxis. </w:t>
      </w:r>
      <w:r>
        <w:rPr>
          <w:rFonts w:ascii="Arial" w:cs="Arial" w:eastAsia="Arial" w:hAnsi="Arial"/>
          <w:sz w:val="15"/>
          <w:szCs w:val="15"/>
          <w:color w:val="auto"/>
        </w:rPr>
        <w:t>We plan to seek approval of BioThrax in combination with antibiotic therapy as a post-exposure</w:t>
      </w:r>
      <w:r>
        <w:rPr>
          <w:rFonts w:ascii="Arial" w:cs="Arial" w:eastAsia="Arial" w:hAnsi="Arial"/>
          <w:sz w:val="15"/>
          <w:szCs w:val="15"/>
          <w:i w:val="1"/>
          <w:iCs w:val="1"/>
          <w:color w:val="auto"/>
        </w:rPr>
        <w:t xml:space="preserve"> </w:t>
      </w:r>
      <w:r>
        <w:rPr>
          <w:rFonts w:ascii="Arial" w:cs="Arial" w:eastAsia="Arial" w:hAnsi="Arial"/>
          <w:sz w:val="15"/>
          <w:szCs w:val="15"/>
          <w:color w:val="auto"/>
        </w:rPr>
        <w:t>prophylaxis for anthrax infection. In October 2007, we completed a human clinical trial of BioThrax for the post-exposure indication using the anticipated dosing schedule of three doses of BioThrax given two weeks apart. The purpose of this trial was to collect data that, in combination with data from our non-clinical studies, will be used to design our pivotal human clinical trial for this indication. We are currently conducting non-clinical studies for the post-exposure indication pursuant to the FDA animal rule. In these studies, we are evaluating the effect of a humanized dose of BioThrax in combination with antibiotics compared to antibiotics alone in rabbits exposed by inhalation to anthrax spores. We also plan to conduct one or more pivotal studies in non-human primates. The timing of such studies depends on the development of a non-human primate model by NIAID. In 2005, NIAID completed a proof-of-concept study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the administration of BioThrax in combination with an antibiotic to non-human primates infected with anthrax. We believe that the data from our rabbit and non-human primate efficacy studies, together with the human immunogenicity data, if favorable, will be sufficient to support the filing with the FDA of a BLA supplement for marketing approval of BioThrax for the post-exposure indication. In February 2007, the FDA granted Fast Track designation for BioThrax as a post-exposure prophylaxis for anthrax infection. In September 2007, BARDA awarded us up to $11.5 million in development funding for this indication, $8.8 million of which was paid in the fourth quarter of 2007.</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Next Generation Anthrax Vaccine</w:t>
      </w:r>
    </w:p>
    <w:p>
      <w:pPr>
        <w:spacing w:after="0" w:line="219" w:lineRule="exact"/>
        <w:rPr>
          <w:sz w:val="20"/>
          <w:szCs w:val="20"/>
          <w:color w:val="auto"/>
        </w:rPr>
      </w:pPr>
    </w:p>
    <w:p>
      <w:pPr>
        <w:ind w:right="240" w:firstLine="308"/>
        <w:spacing w:after="0" w:line="313" w:lineRule="auto"/>
        <w:rPr>
          <w:sz w:val="20"/>
          <w:szCs w:val="20"/>
          <w:color w:val="auto"/>
        </w:rPr>
      </w:pPr>
      <w:r>
        <w:rPr>
          <w:rFonts w:ascii="Arial" w:cs="Arial" w:eastAsia="Arial" w:hAnsi="Arial"/>
          <w:sz w:val="15"/>
          <w:szCs w:val="15"/>
          <w:color w:val="auto"/>
        </w:rPr>
        <w:t xml:space="preserve">We have established a program to develop additional anthrax vaccine product candidates that would incorporate advanced characteristics, including one or more of the following: reduced number of doses, room temperature storage, enhanced immune response, longer expiry dating, or novel delivery method. We are evaluating candidates based on recombinant protective antigens, or rPA, of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as well as a candidate based on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toxoid technology.</w:t>
      </w:r>
    </w:p>
    <w:p>
      <w:pPr>
        <w:spacing w:after="0" w:line="147" w:lineRule="exact"/>
        <w:rPr>
          <w:sz w:val="20"/>
          <w:szCs w:val="20"/>
          <w:color w:val="auto"/>
        </w:rPr>
      </w:pPr>
    </w:p>
    <w:p>
      <w:pPr>
        <w:ind w:right="20" w:firstLine="308"/>
        <w:spacing w:after="0" w:line="274" w:lineRule="auto"/>
        <w:rPr>
          <w:sz w:val="20"/>
          <w:szCs w:val="20"/>
          <w:color w:val="auto"/>
        </w:rPr>
      </w:pPr>
      <w:r>
        <w:rPr>
          <w:rFonts w:ascii="Arial" w:cs="Arial" w:eastAsia="Arial" w:hAnsi="Arial"/>
          <w:sz w:val="15"/>
          <w:szCs w:val="15"/>
          <w:color w:val="auto"/>
        </w:rPr>
        <w:t xml:space="preserve">Our most advanced product candidate in this program is based on BioThrax combined with an adjuvant, known as VaxImmune </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(CPG adjuvant), which we licensed from Coley Pharmaceuticals which was recently acquired by Pfizer, Inc. The DoD’s Defense Advanced Research Projects Agency, or DARPA, previously funded a double-blind Phase I clinical trial of BioThrax plus VaxImmune vaccine candidate pursuant to a collaboration among DARPA, Pfizer and us. That trial, which was completed in 2005 and involved 69 healthy volunteers, was designed to evaluate the safety and immunogenicity of this product candidate compared to BioThrax alone and to VaxImmune alone. In this Phase I trial, the product candidate was administered in three doses by intramuscular injection at two week intervals. In this trial, the BioThrax VaxImmune combination vaccine candidate elicited an enhanced immune response. The immunogenicity results from this trial were statistically significant.</w:t>
      </w:r>
    </w:p>
    <w:p>
      <w:pPr>
        <w:spacing w:after="0" w:line="174"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 xml:space="preserve">The results of a clinical trial are statistically significant if they are unlikely to have occurred by chance. We determined the statistical significance of the trial results based on a widely used, conventional statistical method that establishes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of the results. Under this method, a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of 0.05 or less represents statistical significance. Immune responses observed in a group of vaccine trial participants can be compared with those observed in other groups of trial participants or with an assumed response rate. Immunogenicity alone does not establish efficacy for purposes of regulatory approval. Immunogenicity data only provide indications of efficacy and are neither required nor sufficient to enable a product candidate to proceed to Phase II clinical development. Phase I clinical trials are required to establish the safety of a product candidate, not its immunogenicity, before Phase II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0" w:name="page11"/>
    <w:bookmarkEnd w:id="10"/>
    <w:p>
      <w:pPr>
        <w:ind w:firstLine="308"/>
        <w:spacing w:after="0" w:line="292" w:lineRule="auto"/>
        <w:rPr>
          <w:sz w:val="20"/>
          <w:szCs w:val="20"/>
          <w:color w:val="auto"/>
        </w:rPr>
      </w:pPr>
      <w:r>
        <w:rPr>
          <w:rFonts w:ascii="Arial" w:cs="Arial" w:eastAsia="Arial" w:hAnsi="Arial"/>
          <w:sz w:val="15"/>
          <w:szCs w:val="15"/>
          <w:color w:val="auto"/>
        </w:rPr>
        <w:t xml:space="preserve">The immunogenicity parameters for this trial were the mean peak antibody concentration in trial participants who received the BioThrax Vaximmune combination vaccine candidate as compared to trial participants who received BioThrax alone and the median time to achieve mean peak immune response. In this trial, the mean peak concentration of antibodies to anthrax protective antigen in participants who received the product candidate was approximately 6.3 times higher than in participants who received BioThrax alone. This result was statistically significant, with a </w:t>
      </w:r>
      <w:r>
        <w:rPr>
          <w:rFonts w:ascii="Arial" w:cs="Arial" w:eastAsia="Arial" w:hAnsi="Arial"/>
          <w:sz w:val="15"/>
          <w:szCs w:val="15"/>
          <w:i w:val="1"/>
          <w:iCs w:val="1"/>
          <w:color w:val="auto"/>
        </w:rPr>
        <w:t>P</w:t>
      </w:r>
      <w:r>
        <w:rPr>
          <w:rFonts w:ascii="Arial" w:cs="Arial" w:eastAsia="Arial" w:hAnsi="Arial"/>
          <w:sz w:val="15"/>
          <w:szCs w:val="15"/>
          <w:color w:val="auto"/>
        </w:rPr>
        <w:t xml:space="preserve"> value of less than 0.001. Participants who received BioThrax alone achieved a mean peak concentration of antibodies to anthrax protective antigen approximately 42.5 days after first injection. Participants who received the BioThrax VaxImmune combination product candidate achieved this same mean antibody concentration approximately 21 days earlier. This result was statistically significant, with a </w:t>
      </w:r>
      <w:r>
        <w:rPr>
          <w:rFonts w:ascii="Arial" w:cs="Arial" w:eastAsia="Arial" w:hAnsi="Arial"/>
          <w:sz w:val="15"/>
          <w:szCs w:val="15"/>
          <w:i w:val="1"/>
          <w:iCs w:val="1"/>
          <w:color w:val="auto"/>
        </w:rPr>
        <w:t>P</w:t>
      </w:r>
      <w:r>
        <w:rPr>
          <w:rFonts w:ascii="Arial" w:cs="Arial" w:eastAsia="Arial" w:hAnsi="Arial"/>
          <w:sz w:val="15"/>
          <w:szCs w:val="15"/>
          <w:color w:val="auto"/>
        </w:rPr>
        <w:t xml:space="preserve"> value of less than 0.001. In this trial, there was a slightly higher frequency of moderate injection site reactions and systemic adverse events in the volunteers who received the product candidate as compared to volunteers who received BioThrax alone or VaxImmune alone. One volunteer withdrew from this trial because of an adverse event. There were no serious adverse events reported that the trial investigators considered related to the product candidate, to BioThrax or to VaxImmune.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Anthrax Immune Globulin</w:t>
      </w:r>
    </w:p>
    <w:p>
      <w:pPr>
        <w:spacing w:after="0" w:line="219" w:lineRule="exact"/>
        <w:rPr>
          <w:sz w:val="20"/>
          <w:szCs w:val="20"/>
          <w:color w:val="auto"/>
        </w:rPr>
      </w:pPr>
    </w:p>
    <w:p>
      <w:pPr>
        <w:ind w:right="20" w:firstLine="308"/>
        <w:spacing w:after="0" w:line="290" w:lineRule="auto"/>
        <w:rPr>
          <w:sz w:val="20"/>
          <w:szCs w:val="20"/>
          <w:color w:val="auto"/>
        </w:rPr>
      </w:pPr>
      <w:r>
        <w:rPr>
          <w:rFonts w:ascii="Arial" w:cs="Arial" w:eastAsia="Arial" w:hAnsi="Arial"/>
          <w:sz w:val="15"/>
          <w:szCs w:val="15"/>
          <w:color w:val="auto"/>
        </w:rPr>
        <w:t>We are developing a human anthrax immune globulin therapeutic product as a treatment for patients who present with symptoms of anthrax disease. We expect that, if approved, this product would be prescribed as a single-dose intravenous infusion either as a monotherapy or in conjunction with an antibiotic. We are developing our anthrax immune globulin therapeutic product candidate using plasma produced by healthy donors who have been immunized with BioThrax. We have engaged Talecris Biotherapeutics, Inc. to fractionate, purify and fill our anthrax immune globulin therapeutic product candidate at its FDA-approved facilities. We have manufactured two full-scale lots of this product candidate under current good manufacturing practices, or cGMP, using a validated and approved process at Talecris. We plan to rely on the FDA’s animal rule to support approval of our anthrax immune globulin therapeutic product candidate. We currently are conducting efficacy studies of this product candidate in infected rabbits, and we plan to conduct further efficacy studies in infected non-human primates in 2008 and 2009. In March 2007, we filed an IND for a Phase I clinical trial to evaluate the safety and pharmacokinetics of our anthrax immune globulin therapeutic candidate in healthy human volunteers. We expect to commence this trial in 2008. NIAID has provided us grant funding of up to $13.4 million for a combination of initiatives, including studies designed to assess the tolerability, pharmacokinetics and efficacy of this product candidate in infected rabbits, the development and validation of product assays, and a human clinical trial to evaluate safety and pharmacokinetics. We believe that favorable data from the animal efficacy studies and safety and pharmacokinetic data from the human clinical trial would be sufficient to support an application to the FDA for marketing approval of this product candidate.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Anthrax Monoclonal</w:t>
      </w:r>
    </w:p>
    <w:p>
      <w:pPr>
        <w:spacing w:after="0" w:line="219" w:lineRule="exact"/>
        <w:rPr>
          <w:sz w:val="20"/>
          <w:szCs w:val="20"/>
          <w:color w:val="auto"/>
        </w:rPr>
      </w:pPr>
    </w:p>
    <w:p>
      <w:pPr>
        <w:ind w:right="260" w:firstLine="308"/>
        <w:spacing w:after="0" w:line="254" w:lineRule="auto"/>
        <w:rPr>
          <w:sz w:val="20"/>
          <w:szCs w:val="20"/>
          <w:color w:val="auto"/>
        </w:rPr>
      </w:pPr>
      <w:r>
        <w:rPr>
          <w:rFonts w:ascii="Arial" w:cs="Arial" w:eastAsia="Arial" w:hAnsi="Arial"/>
          <w:sz w:val="17"/>
          <w:szCs w:val="17"/>
          <w:color w:val="auto"/>
        </w:rPr>
        <w:t>In addition to our anthrax immune globulin product candidate, which is a polyclonal antibody therapeutic, we recently acquired a monoclonal antibody therapeutic from AVANIR Pharmaceuticals. This human monoclonal antibody product candidate is being developed as an intravenous treatment for patients who present with symptoms of anthrax disease and is being funded in part with a grant from NIAID to support efficacy testing in non-human primates and the establishment of cGMP manufacturing process.</w:t>
      </w:r>
    </w:p>
    <w:p>
      <w:pPr>
        <w:ind w:right="20" w:firstLine="308"/>
        <w:spacing w:after="0" w:line="263" w:lineRule="auto"/>
        <w:rPr>
          <w:sz w:val="20"/>
          <w:szCs w:val="20"/>
          <w:color w:val="auto"/>
        </w:rPr>
      </w:pPr>
      <w:r>
        <w:rPr>
          <w:rFonts w:ascii="Arial" w:cs="Arial" w:eastAsia="Arial" w:hAnsi="Arial"/>
          <w:sz w:val="17"/>
          <w:szCs w:val="17"/>
          <w:color w:val="auto"/>
        </w:rPr>
        <w:t>We believe that anthrax therapeutics would be eligible to be procured by HHS under Project BioShield for inclusion in the SNS prior to receiving marketing approval, provided that the product candidate is deemed to be licensable</w:t>
      </w:r>
      <w:r>
        <w:rPr>
          <w:rFonts w:ascii="Arial" w:cs="Arial" w:eastAsia="Arial" w:hAnsi="Arial"/>
          <w:sz w:val="17"/>
          <w:szCs w:val="17"/>
          <w:b w:val="1"/>
          <w:bCs w:val="1"/>
          <w:color w:val="auto"/>
        </w:rPr>
        <w: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Typhoid Vaccine</w:t>
      </w:r>
    </w:p>
    <w:p>
      <w:pPr>
        <w:spacing w:after="0" w:line="219"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Typhoid, also known as typhoid fever, is caused by infection with the bacterium</w:t>
      </w:r>
      <w:r>
        <w:rPr>
          <w:rFonts w:ascii="Arial" w:cs="Arial" w:eastAsia="Arial" w:hAnsi="Arial"/>
          <w:sz w:val="17"/>
          <w:szCs w:val="17"/>
          <w:i w:val="1"/>
          <w:iCs w:val="1"/>
          <w:color w:val="auto"/>
        </w:rPr>
        <w:t xml:space="preserve"> Salmonella enterica (type typhi). </w:t>
      </w:r>
      <w:r>
        <w:rPr>
          <w:rFonts w:ascii="Arial" w:cs="Arial" w:eastAsia="Arial" w:hAnsi="Arial"/>
          <w:sz w:val="17"/>
          <w:szCs w:val="17"/>
          <w:color w:val="auto"/>
        </w:rPr>
        <w:t>Typhoid is characterized by fever,</w:t>
      </w:r>
      <w:r>
        <w:rPr>
          <w:rFonts w:ascii="Arial" w:cs="Arial" w:eastAsia="Arial" w:hAnsi="Arial"/>
          <w:sz w:val="17"/>
          <w:szCs w:val="17"/>
          <w:i w:val="1"/>
          <w:iCs w:val="1"/>
          <w:color w:val="auto"/>
        </w:rPr>
        <w:t xml:space="preserve"> </w:t>
      </w:r>
      <w:r>
        <w:rPr>
          <w:rFonts w:ascii="Arial" w:cs="Arial" w:eastAsia="Arial" w:hAnsi="Arial"/>
          <w:sz w:val="17"/>
          <w:szCs w:val="17"/>
          <w:color w:val="auto"/>
        </w:rPr>
        <w:t>headache, constipation, malaise, 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185" w:lineRule="exact"/>
        <w:rPr>
          <w:sz w:val="20"/>
          <w:szCs w:val="20"/>
          <w:color w:val="auto"/>
        </w:rPr>
      </w:pPr>
    </w:p>
    <w:p>
      <w:pPr>
        <w:ind w:right="40" w:firstLine="308"/>
        <w:spacing w:after="0" w:line="294" w:lineRule="auto"/>
        <w:rPr>
          <w:sz w:val="20"/>
          <w:szCs w:val="20"/>
          <w:color w:val="auto"/>
        </w:rPr>
      </w:pPr>
      <w:r>
        <w:rPr>
          <w:rFonts w:ascii="Arial" w:cs="Arial" w:eastAsia="Arial" w:hAnsi="Arial"/>
          <w:sz w:val="15"/>
          <w:szCs w:val="15"/>
          <w:i w:val="1"/>
          <w:iCs w:val="1"/>
          <w:color w:val="auto"/>
        </w:rPr>
        <w:t xml:space="preserve">Prevalence, market opportunity and current treatment. </w:t>
      </w:r>
      <w:r>
        <w:rPr>
          <w:rFonts w:ascii="Arial" w:cs="Arial" w:eastAsia="Arial" w:hAnsi="Arial"/>
          <w:sz w:val="15"/>
          <w:szCs w:val="15"/>
          <w:color w:val="auto"/>
        </w:rPr>
        <w:t>Typhoid fever continues to be a public health problem in many developing countries with an estimated 22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cases of typhoid occurring per year worldwide, resulting in approximately 200,000 deaths annually. Increasing multi-drug resistance of typhoid reduces effective treatment options, increases treatment costs and results in higher rates of serious complications and deaths. According to the CDC, approximately 400 cases of typhoid are reported annually in the United States, of which approximately 70% are contracted abroad. The CDC recommends that all persons from the United States traveling to developing countries consider receiving a typhoid vaccination, with travelers to Asia, Africa and Latin America deemed to be especially at risk. According to the U.S. Office of Travel and Tourism, over 30 million people travel annually to typhoid endemic areas. This travelers market represents our primary target market. Potential additional markets include U.S. military personnel deployed in regions where typhoid is endemic as well as children and adults living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72790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20" w:firstLine="308"/>
        <w:spacing w:after="0" w:line="293" w:lineRule="auto"/>
        <w:rPr>
          <w:sz w:val="20"/>
          <w:szCs w:val="20"/>
          <w:color w:val="auto"/>
        </w:rPr>
      </w:pPr>
      <w:r>
        <w:rPr>
          <w:rFonts w:ascii="Arial" w:cs="Arial" w:eastAsia="Arial" w:hAnsi="Arial"/>
          <w:sz w:val="15"/>
          <w:szCs w:val="15"/>
          <w:color w:val="auto"/>
        </w:rPr>
        <w:t>One oral typhoid vaccine and one injectable typhoid vaccine are currently approved for administration in both the United States and Europe and are primarily sold for use in the travelers market. The approved oral typhoid vaccine is available in liquid and capsule formulations. Both formulations require multiple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not effectively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for typhoid could be as high as 20%. Although vaccines are available, the World Health Organization, or WHO, has stated that improved vaccines against typhoid fever are desirable, especially for children 2 years of age and older.</w:t>
      </w:r>
    </w:p>
    <w:p>
      <w:pPr>
        <w:spacing w:after="0" w:line="162"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typhoid vaccine that contains deletions in two genes of the</w:t>
      </w:r>
      <w:r>
        <w:rPr>
          <w:rFonts w:ascii="Arial" w:cs="Arial" w:eastAsia="Arial" w:hAnsi="Arial"/>
          <w:sz w:val="17"/>
          <w:szCs w:val="17"/>
          <w:i w:val="1"/>
          <w:iCs w:val="1"/>
          <w:color w:val="auto"/>
        </w:rPr>
        <w:t xml:space="preserve"> Salmonella typhi </w:t>
      </w:r>
      <w:r>
        <w:rPr>
          <w:rFonts w:ascii="Arial" w:cs="Arial" w:eastAsia="Arial" w:hAnsi="Arial"/>
          <w:sz w:val="17"/>
          <w:szCs w:val="17"/>
          <w:color w:val="auto"/>
        </w:rPr>
        <w:t>bacterium</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eliminate 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 If we are unable to establish that our typhoid vaccine product candidate can induce a sufficient immune response after one drinkable dose, this competitive advantage will not be realized.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completed the following clinical trials of our typhoid vaccine candidate in the United States and Europe:</w:t>
      </w:r>
    </w:p>
    <w:p>
      <w:pPr>
        <w:spacing w:after="0" w:line="215" w:lineRule="exact"/>
        <w:rPr>
          <w:sz w:val="20"/>
          <w:szCs w:val="20"/>
          <w:color w:val="auto"/>
        </w:rPr>
      </w:pPr>
    </w:p>
    <w:p>
      <w:pPr>
        <w:ind w:left="620" w:hanging="310"/>
        <w:spacing w:after="0" w:line="180" w:lineRule="auto"/>
        <w:tabs>
          <w:tab w:leader="none" w:pos="620" w:val="left"/>
        </w:tabs>
        <w:numPr>
          <w:ilvl w:val="0"/>
          <w:numId w:val="8"/>
        </w:numPr>
        <w:rPr>
          <w:rFonts w:ascii="Arial" w:cs="Arial" w:eastAsia="Arial" w:hAnsi="Arial"/>
          <w:sz w:val="40"/>
          <w:szCs w:val="40"/>
          <w:b w:val="1"/>
          <w:bCs w:val="1"/>
          <w:color w:val="auto"/>
          <w:vertAlign w:val="subscript"/>
        </w:rPr>
      </w:pPr>
      <w:r>
        <w:rPr>
          <w:rFonts w:ascii="Arial" w:cs="Arial" w:eastAsia="Arial" w:hAnsi="Arial"/>
          <w:sz w:val="16"/>
          <w:szCs w:val="16"/>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immune responses, and well tolerated.</w:t>
      </w:r>
    </w:p>
    <w:p>
      <w:pPr>
        <w:spacing w:after="0" w:line="1" w:lineRule="exact"/>
        <w:rPr>
          <w:rFonts w:ascii="Arial" w:cs="Arial" w:eastAsia="Arial" w:hAnsi="Arial"/>
          <w:sz w:val="40"/>
          <w:szCs w:val="40"/>
          <w:b w:val="1"/>
          <w:bCs w:val="1"/>
          <w:color w:val="auto"/>
          <w:vertAlign w:val="subscript"/>
        </w:rPr>
      </w:pPr>
    </w:p>
    <w:p>
      <w:pPr>
        <w:ind w:left="620" w:right="40" w:hanging="310"/>
        <w:spacing w:after="0" w:line="226" w:lineRule="auto"/>
        <w:tabs>
          <w:tab w:leader="none" w:pos="620" w:val="left"/>
        </w:tabs>
        <w:numPr>
          <w:ilvl w:val="0"/>
          <w:numId w:val="8"/>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 The immunogenicity parameter for this trial was the proportion of trial participants with an immune response to the product candidate on day seven after dosing or day 28 after dosing. To be considered adequately immunogenic, 50% of the participants receiving a vaccine dose had to satisfy the primary immunogenicity endpoint. We performed analyses on both an intent to treat and a per protocol basis. Intent to treat analysis is based on the participants who receive a dose of vaccine. A per protocol analysis is based on the participants who complete a trial and substantially comply with the trial protocol. In both the intent to treat population and the per protocol population, 100% of the trial participants in the highest dose group and 56% of the participants in the lowest dose group had an immune response on day seven or day 28. The immune response rate for the highest dose group was statistically significantly greater than the immune response rate for the lowest dose group.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was 0.0068 in the intent to treat population and 0.0073 in the per protocol population.</w:t>
      </w:r>
    </w:p>
    <w:p>
      <w:pPr>
        <w:spacing w:after="0" w:line="4" w:lineRule="exact"/>
        <w:rPr>
          <w:rFonts w:ascii="Arial" w:cs="Arial" w:eastAsia="Arial" w:hAnsi="Arial"/>
          <w:sz w:val="45"/>
          <w:szCs w:val="45"/>
          <w:b w:val="1"/>
          <w:bCs w:val="1"/>
          <w:color w:val="auto"/>
          <w:vertAlign w:val="subscript"/>
        </w:rPr>
      </w:pPr>
    </w:p>
    <w:p>
      <w:pPr>
        <w:ind w:left="620" w:right="80" w:hanging="310"/>
        <w:spacing w:after="0" w:line="226" w:lineRule="auto"/>
        <w:tabs>
          <w:tab w:leader="none" w:pos="620" w:val="left"/>
        </w:tabs>
        <w:numPr>
          <w:ilvl w:val="0"/>
          <w:numId w:val="8"/>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An open-label, non-placebo controlled, single dose Phase I clinical trial conducted in the United States in 32 healthy adult volunteers. The purpose of this trial was to evaluate the safety and immunogenicity of two different presentations 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The immunogenicity parameter for this trial was the proportion of trial participants with an immune response to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following administration of a single dose of the vaccine candidate. The immune response rate was 94% for the participants who received the bottled water presentation and 93% for the participants who received the tap water presentation. The response rate for both groups was statistically significantly higher than the assumed response rate of 50%. The </w:t>
      </w:r>
      <w:r>
        <w:rPr>
          <w:rFonts w:ascii="Arial" w:cs="Arial" w:eastAsia="Arial" w:hAnsi="Arial"/>
          <w:sz w:val="16"/>
          <w:szCs w:val="16"/>
          <w:i w:val="1"/>
          <w:iCs w:val="1"/>
          <w:color w:val="auto"/>
        </w:rPr>
        <w:t>P</w:t>
      </w:r>
      <w:r>
        <w:rPr>
          <w:rFonts w:ascii="Arial" w:cs="Arial" w:eastAsia="Arial" w:hAnsi="Arial"/>
          <w:sz w:val="16"/>
          <w:szCs w:val="16"/>
          <w:color w:val="auto"/>
        </w:rPr>
        <w:t xml:space="preserve"> value was 0.0005 for the participants who received the bottled water presentation and 0.001 for the participants who received the tap water presentation. Because the two presentations were similarly immunogenic and both were well tolerated by trial participants, we selected the tap water presentation for further development based on its relative convenience.</w:t>
      </w:r>
    </w:p>
    <w:p>
      <w:pPr>
        <w:spacing w:after="0" w:line="202"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In these three clinical trials, our typhoid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 and intend to move the development program forward into Phase II safety and immunogenicity trials in the target populations that will be the focus of the Phase III efficacy trials to follow.</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completed the following clinical trials of our typhoid vaccine candidate in endemic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72790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left="620" w:right="40" w:hanging="310"/>
        <w:spacing w:after="0" w:line="217" w:lineRule="auto"/>
        <w:tabs>
          <w:tab w:leader="none" w:pos="620" w:val="left"/>
        </w:tabs>
        <w:numPr>
          <w:ilvl w:val="0"/>
          <w:numId w:val="9"/>
        </w:numPr>
        <w:rPr>
          <w:rFonts w:ascii="Arial" w:cs="Arial" w:eastAsia="Arial" w:hAnsi="Arial"/>
          <w:sz w:val="39"/>
          <w:szCs w:val="39"/>
          <w:b w:val="1"/>
          <w:bCs w:val="1"/>
          <w:color w:val="auto"/>
          <w:vertAlign w:val="subscript"/>
        </w:rPr>
      </w:pPr>
      <w:r>
        <w:rPr>
          <w:rFonts w:ascii="Arial" w:cs="Arial" w:eastAsia="Arial" w:hAnsi="Arial"/>
          <w:sz w:val="15"/>
          <w:szCs w:val="15"/>
          <w:color w:val="auto"/>
        </w:rPr>
        <w:t>A single-blind, placebo controlled Phase I clinical trial of our vaccine candidate in Vietnam in 27 healthy adult volunteers using the dose and regimen established in our Phase I clinical trials in the United States. The Wellcome Trust provided funding for the Phase I trial in Vietnam. The purpose of the trial was to evaluate the safety and immunogenicity of the vaccine candidate when administered as a single oral dose in adults living in an endemic area. Based on initial data from this trial, the vaccine candidate met the criterion for immunogenicity, with approximately 68% of subjects who received the vaccine candidate mounting a humoral antibody response. The vaccine candidate was well tolerated by trial participants, with no serious adverse events reported.</w:t>
      </w:r>
    </w:p>
    <w:p>
      <w:pPr>
        <w:spacing w:after="0" w:line="3" w:lineRule="exact"/>
        <w:rPr>
          <w:rFonts w:ascii="Arial" w:cs="Arial" w:eastAsia="Arial" w:hAnsi="Arial"/>
          <w:sz w:val="39"/>
          <w:szCs w:val="39"/>
          <w:b w:val="1"/>
          <w:bCs w:val="1"/>
          <w:color w:val="auto"/>
          <w:vertAlign w:val="subscript"/>
        </w:rPr>
      </w:pPr>
    </w:p>
    <w:p>
      <w:pPr>
        <w:ind w:left="620" w:hanging="310"/>
        <w:spacing w:after="0" w:line="229" w:lineRule="auto"/>
        <w:tabs>
          <w:tab w:leader="none" w:pos="620" w:val="left"/>
        </w:tabs>
        <w:numPr>
          <w:ilvl w:val="0"/>
          <w:numId w:val="9"/>
        </w:numPr>
        <w:rPr>
          <w:rFonts w:ascii="Arial" w:cs="Arial" w:eastAsia="Arial" w:hAnsi="Arial"/>
          <w:sz w:val="45"/>
          <w:szCs w:val="45"/>
          <w:b w:val="1"/>
          <w:bCs w:val="1"/>
          <w:color w:val="auto"/>
          <w:vertAlign w:val="subscript"/>
        </w:rPr>
      </w:pPr>
      <w:r>
        <w:rPr>
          <w:rFonts w:ascii="Arial" w:cs="Arial" w:eastAsia="Arial" w:hAnsi="Arial"/>
          <w:sz w:val="16"/>
          <w:szCs w:val="16"/>
          <w:color w:val="auto"/>
        </w:rPr>
        <w:t xml:space="preserve">A single-blind randomized, placebo controlled, Phase II clinical trial of our vaccine candidate in Vietnam in 151 healthy children between the ages of 5 and 14 years. A total of 101 children received the vaccine candidate and 50 children received placebo. This was our first trial involving a pediatric population. We conducted this trial in collaboration with the Wellcome Trust, Oxford University and the Hospital for Tropical Diseases, Ho Chi Minh City, Vietnam. The Wellcome Trust provided funding for this trial. The purpose of this trial was to evaluate the safety and immunogenicity of the vaccine candidate in children in an endemic area. The immunogenicity parameter for this trial was the percentage of trial participants with an immune response to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following administration of a single oral dose of the vaccine candidate. In this trial, 93% of the children receiving a vaccine dose developed an immune response as measured by increases in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LPS-specific IgG antibody levels, which is suggestive of systemic protective immunity, and 94% of the children receiving a vaccine dose developed an immune response as measured by increase in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LPS-specific IgA antibody levels, which is suggestive of mucosal protective immunity. In the aggregate, 97% of the children receiving a vaccine dose developed an immune response, which was statistically significantly greater than the percentage of children receiving placebo who developed an immune response. The vaccine candidate was well tolerated by trial participants, with no serious adverse events reported.</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remainder of our planned clinical development program for this vaccine candidate consists of the following:</w:t>
      </w:r>
    </w:p>
    <w:p>
      <w:pPr>
        <w:spacing w:after="0" w:line="215" w:lineRule="exact"/>
        <w:rPr>
          <w:sz w:val="20"/>
          <w:szCs w:val="20"/>
          <w:color w:val="auto"/>
        </w:rPr>
      </w:pPr>
    </w:p>
    <w:p>
      <w:pPr>
        <w:ind w:left="620" w:right="220" w:hanging="310"/>
        <w:spacing w:after="0" w:line="180" w:lineRule="auto"/>
        <w:tabs>
          <w:tab w:leader="none" w:pos="620" w:val="left"/>
        </w:tabs>
        <w:numPr>
          <w:ilvl w:val="0"/>
          <w:numId w:val="10"/>
        </w:numPr>
        <w:rPr>
          <w:rFonts w:ascii="Arial" w:cs="Arial" w:eastAsia="Arial" w:hAnsi="Arial"/>
          <w:sz w:val="40"/>
          <w:szCs w:val="40"/>
          <w:b w:val="1"/>
          <w:bCs w:val="1"/>
          <w:color w:val="auto"/>
          <w:vertAlign w:val="subscript"/>
        </w:rPr>
      </w:pPr>
      <w:r>
        <w:rPr>
          <w:rFonts w:ascii="Arial" w:cs="Arial" w:eastAsia="Arial" w:hAnsi="Arial"/>
          <w:sz w:val="16"/>
          <w:szCs w:val="16"/>
          <w:i w:val="1"/>
          <w:iCs w:val="1"/>
          <w:color w:val="auto"/>
        </w:rPr>
        <w:t xml:space="preserve">Phase II clinical trial. </w:t>
      </w:r>
      <w:r>
        <w:rPr>
          <w:rFonts w:ascii="Arial" w:cs="Arial" w:eastAsia="Arial" w:hAnsi="Arial"/>
          <w:sz w:val="16"/>
          <w:szCs w:val="16"/>
          <w:color w:val="auto"/>
        </w:rPr>
        <w:t>We plan to conduct a randomized, double-blind, placebo-controlled, dose escalation Phase II clinical trial in the United States in healthy</w:t>
      </w:r>
      <w:r>
        <w:rPr>
          <w:rFonts w:ascii="Arial" w:cs="Arial" w:eastAsia="Arial" w:hAnsi="Arial"/>
          <w:sz w:val="16"/>
          <w:szCs w:val="16"/>
          <w:i w:val="1"/>
          <w:iCs w:val="1"/>
          <w:color w:val="auto"/>
        </w:rPr>
        <w:t xml:space="preserve"> </w:t>
      </w:r>
      <w:r>
        <w:rPr>
          <w:rFonts w:ascii="Arial" w:cs="Arial" w:eastAsia="Arial" w:hAnsi="Arial"/>
          <w:sz w:val="16"/>
          <w:szCs w:val="16"/>
          <w:color w:val="auto"/>
        </w:rPr>
        <w:t>adults to evaluate the immunogenicity, safety and tolerability of our typhoid vaccine at a range of dose levels. Clinical trial supplies for this study were manufactured at a new manufacturing facility under scaled up conditions.</w:t>
      </w:r>
    </w:p>
    <w:p>
      <w:pPr>
        <w:spacing w:after="0" w:line="1" w:lineRule="exact"/>
        <w:rPr>
          <w:rFonts w:ascii="Arial" w:cs="Arial" w:eastAsia="Arial" w:hAnsi="Arial"/>
          <w:sz w:val="40"/>
          <w:szCs w:val="40"/>
          <w:b w:val="1"/>
          <w:bCs w:val="1"/>
          <w:color w:val="auto"/>
          <w:vertAlign w:val="subscript"/>
        </w:rPr>
      </w:pPr>
    </w:p>
    <w:p>
      <w:pPr>
        <w:ind w:left="620" w:right="20" w:hanging="310"/>
        <w:spacing w:after="0" w:line="186"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Phase II clinical trial. </w:t>
      </w:r>
      <w:r>
        <w:rPr>
          <w:rFonts w:ascii="Arial" w:cs="Arial" w:eastAsia="Arial" w:hAnsi="Arial"/>
          <w:sz w:val="15"/>
          <w:szCs w:val="15"/>
          <w:color w:val="auto"/>
        </w:rPr>
        <w:t>We plan to conduct a Phase II clinical trial in India in children under five years of age as a step towards conducting a Phase III clinical trial</w:t>
      </w:r>
      <w:r>
        <w:rPr>
          <w:rFonts w:ascii="Arial" w:cs="Arial" w:eastAsia="Arial" w:hAnsi="Arial"/>
          <w:sz w:val="15"/>
          <w:szCs w:val="15"/>
          <w:i w:val="1"/>
          <w:iCs w:val="1"/>
          <w:color w:val="auto"/>
        </w:rPr>
        <w:t xml:space="preserve"> </w:t>
      </w:r>
      <w:r>
        <w:rPr>
          <w:rFonts w:ascii="Arial" w:cs="Arial" w:eastAsia="Arial" w:hAnsi="Arial"/>
          <w:sz w:val="15"/>
          <w:szCs w:val="15"/>
          <w:color w:val="auto"/>
        </w:rPr>
        <w:t>in an area where the incidence of disease is prevalent. The purpose of this Phase II trial is to evaluate the safety and immunogenicity of our vaccine candidate in the target population in preparation for our planned Phase III clinical study.</w:t>
      </w:r>
    </w:p>
    <w:p>
      <w:pPr>
        <w:ind w:left="620" w:right="140" w:hanging="310"/>
        <w:spacing w:after="0" w:line="182" w:lineRule="auto"/>
        <w:tabs>
          <w:tab w:leader="none" w:pos="620" w:val="left"/>
        </w:tabs>
        <w:numPr>
          <w:ilvl w:val="0"/>
          <w:numId w:val="10"/>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Disease surveillance study. </w:t>
      </w:r>
      <w:r>
        <w:rPr>
          <w:rFonts w:ascii="Arial" w:cs="Arial" w:eastAsia="Arial" w:hAnsi="Arial"/>
          <w:sz w:val="14"/>
          <w:szCs w:val="14"/>
          <w:color w:val="auto"/>
        </w:rPr>
        <w:t>We plan to conduct a disease surveillance study in India to confirm that a sufficient number of subjects will be included in the Phase</w:t>
      </w:r>
      <w:r>
        <w:rPr>
          <w:rFonts w:ascii="Arial" w:cs="Arial" w:eastAsia="Arial" w:hAnsi="Arial"/>
          <w:sz w:val="14"/>
          <w:szCs w:val="14"/>
          <w:i w:val="1"/>
          <w:iCs w:val="1"/>
          <w:color w:val="auto"/>
        </w:rPr>
        <w:t xml:space="preserve"> </w:t>
      </w:r>
      <w:r>
        <w:rPr>
          <w:rFonts w:ascii="Arial" w:cs="Arial" w:eastAsia="Arial" w:hAnsi="Arial"/>
          <w:sz w:val="14"/>
          <w:szCs w:val="14"/>
          <w:color w:val="auto"/>
        </w:rPr>
        <w:t>III trial. The Wellcome Trust has provided funding for this surveillance study.</w:t>
      </w:r>
    </w:p>
    <w:p>
      <w:pPr>
        <w:ind w:left="620" w:right="40" w:hanging="310"/>
        <w:spacing w:after="0" w:line="203"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Phase III clinical trial. </w:t>
      </w:r>
      <w:r>
        <w:rPr>
          <w:rFonts w:ascii="Arial" w:cs="Arial" w:eastAsia="Arial" w:hAnsi="Arial"/>
          <w:sz w:val="15"/>
          <w:szCs w:val="15"/>
          <w:color w:val="auto"/>
        </w:rPr>
        <w:t>We plan to conduct a single-blind Phase III clinical trial in India, where typhoid is endemic. The purpose of this trial will be to evaluate</w:t>
      </w:r>
      <w:r>
        <w:rPr>
          <w:rFonts w:ascii="Arial" w:cs="Arial" w:eastAsia="Arial" w:hAnsi="Arial"/>
          <w:sz w:val="15"/>
          <w:szCs w:val="15"/>
          <w:i w:val="1"/>
          <w:iCs w:val="1"/>
          <w:color w:val="auto"/>
        </w:rPr>
        <w:t xml:space="preserve"> </w:t>
      </w:r>
      <w:r>
        <w:rPr>
          <w:rFonts w:ascii="Arial" w:cs="Arial" w:eastAsia="Arial" w:hAnsi="Arial"/>
          <w:sz w:val="15"/>
          <w:szCs w:val="15"/>
          <w:color w:val="auto"/>
        </w:rPr>
        <w:t>the efficacy of our vaccine candidate in children who are likely to be exposed to the typhoid bacterium. We expect to undertake the primary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spacing w:after="0" w:line="3" w:lineRule="exact"/>
        <w:rPr>
          <w:rFonts w:ascii="Arial" w:cs="Arial" w:eastAsia="Arial" w:hAnsi="Arial"/>
          <w:sz w:val="39"/>
          <w:szCs w:val="39"/>
          <w:b w:val="1"/>
          <w:bCs w:val="1"/>
          <w:color w:val="auto"/>
          <w:vertAlign w:val="subscript"/>
        </w:rPr>
      </w:pPr>
    </w:p>
    <w:p>
      <w:pPr>
        <w:ind w:left="620" w:right="100" w:hanging="310"/>
        <w:spacing w:after="0" w:line="186" w:lineRule="auto"/>
        <w:tabs>
          <w:tab w:leader="none" w:pos="620" w:val="left"/>
        </w:tabs>
        <w:numPr>
          <w:ilvl w:val="0"/>
          <w:numId w:val="10"/>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Tolerability and immunogenicity study. </w:t>
      </w:r>
      <w:r>
        <w:rPr>
          <w:rFonts w:ascii="Arial" w:cs="Arial" w:eastAsia="Arial" w:hAnsi="Arial"/>
          <w:sz w:val="15"/>
          <w:szCs w:val="15"/>
          <w:color w:val="auto"/>
        </w:rPr>
        <w:t>Concurrently with our planned Phase III clinical trial in India, we plan to conduct a Phase III clinical trial in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or Europe in healthy volunteers. The purpose of this trial will be to evaluate the safety and immunogenicity of our vaccine candidate to support marketing approval in the United Sates and Europe.</w:t>
      </w:r>
    </w:p>
    <w:p>
      <w:pPr>
        <w:spacing w:after="0" w:line="198" w:lineRule="exact"/>
        <w:rPr>
          <w:sz w:val="20"/>
          <w:szCs w:val="20"/>
          <w:color w:val="auto"/>
        </w:rPr>
      </w:pPr>
    </w:p>
    <w:p>
      <w:pPr>
        <w:ind w:right="180" w:firstLine="308"/>
        <w:spacing w:after="0" w:line="279" w:lineRule="auto"/>
        <w:rPr>
          <w:sz w:val="20"/>
          <w:szCs w:val="20"/>
          <w:color w:val="auto"/>
        </w:rPr>
      </w:pPr>
      <w:r>
        <w:rPr>
          <w:rFonts w:ascii="Arial" w:cs="Arial" w:eastAsia="Arial" w:hAnsi="Arial"/>
          <w:sz w:val="16"/>
          <w:szCs w:val="16"/>
          <w:color w:val="auto"/>
        </w:rPr>
        <w:t>Since typhoid fever in Asia is largely a disease of children, we are conducting our Phase II, and plan to conduct our Phase III, clinical trials in children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 We plan to seek additional grant funding for the further development of this product candidate.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Hepatitis B Therapeutic Vaccine</w:t>
      </w:r>
    </w:p>
    <w:p>
      <w:pPr>
        <w:spacing w:after="0" w:line="219" w:lineRule="exact"/>
        <w:rPr>
          <w:sz w:val="20"/>
          <w:szCs w:val="20"/>
          <w:color w:val="auto"/>
        </w:rPr>
      </w:pPr>
    </w:p>
    <w:p>
      <w:pPr>
        <w:ind w:right="160" w:firstLine="308"/>
        <w:spacing w:after="0" w:line="299"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Hepatitis B is a highly infectious virus transmitted from person to person by contact with blood and bodily fluids. Most hepatitis B infections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adults result in acute hepatitis, with the immune system eventually clearing the infection. However, in approximately 8% to 10% of infected adults and a much larger proportion of infected children, the immune system fails to clear the virus, resulting in immune tolerance of the virus and chronic infection. In addition, pregnant women suffering from hepatitis B can pass the infection on to their babies during childbirth. Babies born infected rarely clear the infection, with over 90% becoming chronically infected. According to the WHO, as many as 40% of people with chronic hepatitis B infection develop serious liver disease, including cirrhosis and liver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72790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100" w:firstLine="308"/>
        <w:spacing w:after="0" w:line="303" w:lineRule="auto"/>
        <w:rPr>
          <w:sz w:val="20"/>
          <w:szCs w:val="20"/>
          <w:color w:val="auto"/>
        </w:rPr>
      </w:pPr>
      <w:r>
        <w:rPr>
          <w:rFonts w:ascii="Arial" w:cs="Arial" w:eastAsia="Arial" w:hAnsi="Arial"/>
          <w:sz w:val="15"/>
          <w:szCs w:val="15"/>
          <w:i w:val="1"/>
          <w:iCs w:val="1"/>
          <w:color w:val="auto"/>
        </w:rPr>
        <w:t xml:space="preserve">Prevalence, market opportunity and current treatment. </w:t>
      </w:r>
      <w:r>
        <w:rPr>
          <w:rFonts w:ascii="Arial" w:cs="Arial" w:eastAsia="Arial" w:hAnsi="Arial"/>
          <w:sz w:val="15"/>
          <w:szCs w:val="15"/>
          <w:color w:val="auto"/>
        </w:rPr>
        <w:t>Chronic infection with the hepatitis B virus is a global problem, with an estimated 350 million chronically</w:t>
      </w:r>
      <w:r>
        <w:rPr>
          <w:rFonts w:ascii="Arial" w:cs="Arial" w:eastAsia="Arial" w:hAnsi="Arial"/>
          <w:sz w:val="15"/>
          <w:szCs w:val="15"/>
          <w:i w:val="1"/>
          <w:iCs w:val="1"/>
          <w:color w:val="auto"/>
        </w:rPr>
        <w:t xml:space="preserve"> </w:t>
      </w:r>
      <w:r>
        <w:rPr>
          <w:rFonts w:ascii="Arial" w:cs="Arial" w:eastAsia="Arial" w:hAnsi="Arial"/>
          <w:sz w:val="15"/>
          <w:szCs w:val="15"/>
          <w:color w:val="auto"/>
        </w:rPr>
        <w:t>infected individuals worldwide. The WHO estimates that approximately one million people per year worldwide die from complications of hepatitis B infection. 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155"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 a large number of people who are chronically infected with hepatitis B and require treatment to prevent the development of liver disease and to reduce the risk of transmitting the infection to others.</w:t>
      </w:r>
    </w:p>
    <w:p>
      <w:pPr>
        <w:spacing w:after="0" w:line="18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There is no vaccine currently on the market that is licensed as a therapeutic treatment for chronic hepatitis B infection. Currently available therapies for this patient population consist mainly of antiviral drugs and immunotherapies, such as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interferons have side effects that reduce patient compliance.</w:t>
      </w:r>
    </w:p>
    <w:p>
      <w:pPr>
        <w:spacing w:after="0" w:line="185" w:lineRule="exact"/>
        <w:rPr>
          <w:sz w:val="20"/>
          <w:szCs w:val="20"/>
          <w:color w:val="auto"/>
        </w:rPr>
      </w:pPr>
    </w:p>
    <w:p>
      <w:pPr>
        <w:ind w:right="26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therapeutic vaccine for treatment of patients with chronic hepatitis B infection.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our vaccine candidate to be administered in multiple drinkable doses over several months. It may require further booster doses. Because chronic carriers have weak cellular immune responses to the hepatitis B virus, they cannot clear the virus. Our vaccine candidate is intended to redirect the immune system to make strong cellular responses to a hepatitis B antigen known as the hepatitis B core protein in chronic carriers, which we believe will lead to a suppression of viral replication and associated liver damage.</w:t>
      </w:r>
    </w:p>
    <w:p>
      <w:pPr>
        <w:spacing w:after="0" w:line="185" w:lineRule="exact"/>
        <w:rPr>
          <w:sz w:val="20"/>
          <w:szCs w:val="20"/>
          <w:color w:val="auto"/>
        </w:rPr>
      </w:pPr>
    </w:p>
    <w:p>
      <w:pPr>
        <w:ind w:firstLine="308"/>
        <w:spacing w:after="0" w:line="245" w:lineRule="auto"/>
        <w:rPr>
          <w:sz w:val="20"/>
          <w:szCs w:val="20"/>
          <w:color w:val="auto"/>
        </w:rPr>
      </w:pPr>
      <w:r>
        <w:rPr>
          <w:rFonts w:ascii="Arial" w:cs="Arial" w:eastAsia="Arial" w:hAnsi="Arial"/>
          <w:sz w:val="16"/>
          <w:szCs w:val="16"/>
          <w:color w:val="auto"/>
        </w:rPr>
        <w:t xml:space="preserve">Our vaccine candidate uses our proprietary </w:t>
      </w:r>
      <w:r>
        <w:rPr>
          <w:rFonts w:ascii="Arial" w:cs="Arial" w:eastAsia="Arial" w:hAnsi="Arial"/>
          <w:sz w:val="16"/>
          <w:szCs w:val="16"/>
          <w:i w:val="1"/>
          <w:iCs w:val="1"/>
          <w:color w:val="auto"/>
        </w:rPr>
        <w:t>spi</w:t>
      </w:r>
      <w:r>
        <w:rPr>
          <w:rFonts w:ascii="Arial" w:cs="Arial" w:eastAsia="Arial" w:hAnsi="Arial"/>
          <w:sz w:val="16"/>
          <w:szCs w:val="16"/>
          <w:color w:val="auto"/>
        </w:rPr>
        <w:t>-VEC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(attenuated salmonella vaccine vector) oral delivery system technology to deliver the hepatitis B core antigen to the human immune system. s</w:t>
      </w:r>
      <w:r>
        <w:rPr>
          <w:rFonts w:ascii="Arial" w:cs="Arial" w:eastAsia="Arial" w:hAnsi="Arial"/>
          <w:sz w:val="16"/>
          <w:szCs w:val="16"/>
          <w:i w:val="1"/>
          <w:iCs w:val="1"/>
          <w:color w:val="auto"/>
        </w:rPr>
        <w:t>pi</w:t>
      </w:r>
      <w:r>
        <w:rPr>
          <w:rFonts w:ascii="Arial" w:cs="Arial" w:eastAsia="Arial" w:hAnsi="Arial"/>
          <w:sz w:val="16"/>
          <w:szCs w:val="16"/>
          <w:color w:val="auto"/>
        </w:rPr>
        <w:t xml:space="preserve">-VEC is based on our live attenuated typhoid vaccine and employs recombinant technology to insert the gene for hepatitis B core into the live attenuated </w:t>
      </w:r>
      <w:r>
        <w:rPr>
          <w:rFonts w:ascii="Arial" w:cs="Arial" w:eastAsia="Arial" w:hAnsi="Arial"/>
          <w:sz w:val="16"/>
          <w:szCs w:val="16"/>
          <w:i w:val="1"/>
          <w:iCs w:val="1"/>
          <w:color w:val="auto"/>
        </w:rPr>
        <w:t>Salmonella</w:t>
      </w:r>
      <w:r>
        <w:rPr>
          <w:rFonts w:ascii="Arial" w:cs="Arial" w:eastAsia="Arial" w:hAnsi="Arial"/>
          <w:sz w:val="16"/>
          <w:szCs w:val="16"/>
          <w:color w:val="auto"/>
        </w:rPr>
        <w:t xml:space="preserve"> bacteria. The bacteria produce the antigen once inside the patient. Because we are relying on recombinant technology to insert the gene for hepatitis B core into a vector delivery system, we do not need to separately purify the hepatitis B core antigen.</w:t>
      </w:r>
    </w:p>
    <w:p>
      <w:pPr>
        <w:spacing w:after="0" w:line="194" w:lineRule="exact"/>
        <w:rPr>
          <w:sz w:val="20"/>
          <w:szCs w:val="20"/>
          <w:color w:val="auto"/>
        </w:rPr>
      </w:pPr>
    </w:p>
    <w:p>
      <w:pPr>
        <w:jc w:val="both"/>
        <w:ind w:right="100" w:firstLine="308"/>
        <w:spacing w:after="0" w:line="262" w:lineRule="auto"/>
        <w:rPr>
          <w:sz w:val="20"/>
          <w:szCs w:val="20"/>
          <w:color w:val="auto"/>
        </w:rPr>
      </w:pPr>
      <w:r>
        <w:rPr>
          <w:rFonts w:ascii="Arial" w:cs="Arial" w:eastAsia="Arial" w:hAnsi="Arial"/>
          <w:sz w:val="17"/>
          <w:szCs w:val="17"/>
          <w:color w:val="auto"/>
        </w:rPr>
        <w:t>We have completed a program of pharmacology and toxicity studies of our hepatitis B therapeutic vaccine candidate in animals. In mice that were administered our vaccine candidate, the hepatitis B core antigen was produced and immune responses were elicited against the antigen. In separate toxicity studies also conducted in mice, our vaccine candidate was non-toxic.</w:t>
      </w:r>
    </w:p>
    <w:p>
      <w:pPr>
        <w:spacing w:after="0" w:line="180"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In February 2004, we completed an open-label, dose escalating Phase I clinical trial of our vaccine candidate in the United Kingdom in 30 healthy adult volunteers. The purpose of this trial was to evaluate the safety and immunogenicity of two dose levels of our vaccine candidate. In this trial, we administered the two doses of vaccine over a period of approximately two months. The primary immunogenicity parameter for this trial was the proportion of trial participants with an immune response to the product candidate on day 28 after dosing or day 84 after dosing. In this trial, 50% of the participants in the low dose group and 40% of the participants in the high dose group demonstrated an immune response on day 28 or day 84. The results in the low dose group reflect a confidence interval of 19.0% to 81.0%. The results in the high dose group reflect a confidence interval of 18.5% to 61.5%. These confidence intervals indicate a 95% likelihood that the true value is within the range specified. The secondary immunogenicity endpoint for this trial was the proportion of participants who demonstrated the type of immune response known to be important in promoting clearance of the hepatitis B virus at any point during the trial. In this trial, 100% of the participants in the high dose group and 90% of the participants in the low dose group demonstrated such a response. We did not conduct a statistical analysis of the results from the secondary immunogenicity endpoint. The vaccine candidate was well tolerated by trial participants, with no serious adverse events reported.</w:t>
      </w:r>
    </w:p>
    <w:p>
      <w:pPr>
        <w:spacing w:after="0" w:line="179"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In the fourth quarter of 2006, we initiated a Phase II clinical trial of our vaccine candidate in trial participants chronically infected with the hepatitis B virus in the United Kingdom. The protocol provides for a placebo controlled, randomized, dose escalating study to be conducted in 45 chronic carriers of hepatitis B. We subsequently expanded this trial to Serbia to increase the rate of participant recruitment. If necessary, we may expand the trial to additional sites around the world to accelerate subject recruitment. The primary purpose of this trial is to evaluate the safety and tolerability of six monthly doses of our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right="60" w:firstLine="308"/>
        <w:spacing w:after="0" w:line="258" w:lineRule="auto"/>
        <w:rPr>
          <w:sz w:val="20"/>
          <w:szCs w:val="20"/>
          <w:color w:val="auto"/>
        </w:rPr>
      </w:pPr>
      <w:r>
        <w:rPr>
          <w:rFonts w:ascii="Arial" w:cs="Arial" w:eastAsia="Arial" w:hAnsi="Arial"/>
          <w:sz w:val="17"/>
          <w:szCs w:val="17"/>
          <w:color w:val="auto"/>
        </w:rPr>
        <w:t>The secondary purpose is to investigate whether the vaccine candidate can reduce the hepatitis B viral DNA load, a recognized surrogate endpoint for treatment of hepatitis B using current therapeutics. If the results of this Phase II clinical trial are favorable, we expect to submit an IND to the FDA to conduct one or more clinical trials of this vaccine candidate in the United States as may be appropriate to support approval of the product in the United States as well as in Europe. The FDA IND must become effective before we can conduct any clinical trials in the United States.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Group B Streptococcus Vaccine</w:t>
      </w:r>
    </w:p>
    <w:p>
      <w:pPr>
        <w:spacing w:after="0" w:line="219"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Group B streptococcus is a bacterium that causes illness in newborn babies, pregnant women, the elderly and adults with other illnesses,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diabetes or liver disease. 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184" w:lineRule="exact"/>
        <w:rPr>
          <w:sz w:val="20"/>
          <w:szCs w:val="20"/>
          <w:color w:val="auto"/>
        </w:rPr>
      </w:pPr>
    </w:p>
    <w:p>
      <w:pPr>
        <w:ind w:right="60" w:firstLine="308"/>
        <w:spacing w:after="0" w:line="294" w:lineRule="auto"/>
        <w:rPr>
          <w:sz w:val="20"/>
          <w:szCs w:val="20"/>
          <w:color w:val="auto"/>
        </w:rPr>
      </w:pPr>
      <w:r>
        <w:rPr>
          <w:rFonts w:ascii="Arial" w:cs="Arial" w:eastAsia="Arial" w:hAnsi="Arial"/>
          <w:sz w:val="15"/>
          <w:szCs w:val="15"/>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 with late onset disease die. A high number of survivors of late onset disease are left with permanent disabilities, with up to one-third suffering long-term mental or physical handicaps. Group B streptococcus infections in the elderly cause blood infections, skin or soft tissue infections and pneumonia.</w:t>
      </w:r>
    </w:p>
    <w:p>
      <w:pPr>
        <w:spacing w:after="0" w:line="162" w:lineRule="exact"/>
        <w:rPr>
          <w:sz w:val="20"/>
          <w:szCs w:val="20"/>
          <w:color w:val="auto"/>
        </w:rPr>
      </w:pPr>
    </w:p>
    <w:p>
      <w:pPr>
        <w:ind w:right="100" w:firstLine="308"/>
        <w:spacing w:after="0" w:line="255"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Concern about the number of group B streptococcus neonatal infections prompted the CDC to recommend</w:t>
      </w:r>
      <w:r>
        <w:rPr>
          <w:rFonts w:ascii="Arial" w:cs="Arial" w:eastAsia="Arial" w:hAnsi="Arial"/>
          <w:sz w:val="17"/>
          <w:szCs w:val="17"/>
          <w:i w:val="1"/>
          <w:iCs w:val="1"/>
          <w:color w:val="auto"/>
        </w:rPr>
        <w:t xml:space="preserve"> </w:t>
      </w:r>
      <w:r>
        <w:rPr>
          <w:rFonts w:ascii="Arial" w:cs="Arial" w:eastAsia="Arial" w:hAnsi="Arial"/>
          <w:sz w:val="17"/>
          <w:szCs w:val="17"/>
          <w:color w:val="auto"/>
        </w:rPr>
        <w:t>routine screening of pregnant women for group B streptococcus bacteria and preventative antibiotic treatment at the time of labor for women found to be infected.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 infections each year in the United States. In a study of 338 of these cases of neonatal infections, the death rate was approximately 6%. The NIH has identified prevention of group B streptococcus infection in newborns as a major vaccine objective. We expect the target market for our vaccine candidate to be women of childbearing age.</w:t>
      </w:r>
    </w:p>
    <w:p>
      <w:pPr>
        <w:spacing w:after="0" w:line="187"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Approximately 10% to 30% of women are found to be carrying the bacterium as a normal component of the vaginal microflora. 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bacteria. Direct vaccination of newborns is not effective because their immune systems are too immature to respond effectively to the vaccine. Antibiotics are used to treat babies after infection.</w:t>
      </w:r>
    </w:p>
    <w:p>
      <w:pPr>
        <w:spacing w:after="0" w:line="184" w:lineRule="exact"/>
        <w:rPr>
          <w:sz w:val="20"/>
          <w:szCs w:val="20"/>
          <w:color w:val="auto"/>
        </w:rPr>
      </w:pPr>
    </w:p>
    <w:p>
      <w:pPr>
        <w:jc w:val="both"/>
        <w:ind w:right="20" w:firstLine="308"/>
        <w:spacing w:after="0" w:line="262" w:lineRule="auto"/>
        <w:rPr>
          <w:sz w:val="20"/>
          <w:szCs w:val="20"/>
          <w:color w:val="auto"/>
        </w:rPr>
      </w:pPr>
      <w:r>
        <w:rPr>
          <w:rFonts w:ascii="Arial" w:cs="Arial" w:eastAsia="Arial" w:hAnsi="Arial"/>
          <w:sz w:val="17"/>
          <w:szCs w:val="17"/>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180" w:lineRule="exact"/>
        <w:rPr>
          <w:sz w:val="20"/>
          <w:szCs w:val="20"/>
          <w:color w:val="auto"/>
        </w:rPr>
      </w:pPr>
    </w:p>
    <w:p>
      <w:pPr>
        <w:ind w:right="40" w:firstLine="308"/>
        <w:spacing w:after="0" w:line="279" w:lineRule="auto"/>
        <w:rPr>
          <w:sz w:val="20"/>
          <w:szCs w:val="20"/>
          <w:color w:val="auto"/>
        </w:rPr>
      </w:pPr>
      <w:r>
        <w:rPr>
          <w:rFonts w:ascii="Arial" w:cs="Arial" w:eastAsia="Arial" w:hAnsi="Arial"/>
          <w:sz w:val="16"/>
          <w:szCs w:val="16"/>
          <w:i w:val="1"/>
          <w:iCs w:val="1"/>
          <w:color w:val="auto"/>
        </w:rPr>
        <w:t xml:space="preserve">Description and development status. </w:t>
      </w:r>
      <w:r>
        <w:rPr>
          <w:rFonts w:ascii="Arial" w:cs="Arial" w:eastAsia="Arial" w:hAnsi="Arial"/>
          <w:sz w:val="16"/>
          <w:szCs w:val="16"/>
          <w:color w:val="auto"/>
        </w:rPr>
        <w:t>We are developing a recombinant protein subunit group B streptococcus vaccine initially for administration to women of</w:t>
      </w:r>
      <w:r>
        <w:rPr>
          <w:rFonts w:ascii="Arial" w:cs="Arial" w:eastAsia="Arial" w:hAnsi="Arial"/>
          <w:sz w:val="16"/>
          <w:szCs w:val="16"/>
          <w:i w:val="1"/>
          <w:iCs w:val="1"/>
          <w:color w:val="auto"/>
        </w:rPr>
        <w:t xml:space="preserve"> </w:t>
      </w:r>
      <w:r>
        <w:rPr>
          <w:rFonts w:ascii="Arial" w:cs="Arial" w:eastAsia="Arial" w:hAnsi="Arial"/>
          <w:sz w:val="16"/>
          <w:szCs w:val="16"/>
          <w:color w:val="auto"/>
        </w:rPr>
        <w:t>childbearing age for protection of the fetus and newborn babies. We are designing our vaccine candidate to be administered by injection with an alum adjuvant in a three-dose regimen. We expect that a booster dose may also be required. We anticipate that the vaccine will elicit an antibody response resulting in the production of antibody in the mother, which may then cross the placenta to protect the fetus and the newborn baby by passive immunity.</w:t>
      </w:r>
    </w:p>
    <w:p>
      <w:pPr>
        <w:spacing w:after="0" w:line="170"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have identified several novel surface associated proteins and are working on the development of two of these proteins as components of our vaccine candidate. We believe that a combination of proteins will be required to provide effective protection. We have conducted preclinical studies in which we evaluated the safety and immunogenicity of these proteins. Based on the results of these preclinical studies, we have initiated a clinical development program. 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The protein was administered with alum as an adjuvant and tested at four different dose levels. Subjects received two doses of vaccine given 28 days apart.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36195</wp:posOffset>
            </wp:positionV>
            <wp:extent cx="72790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firstLine="308"/>
        <w:spacing w:after="0" w:line="256" w:lineRule="auto"/>
        <w:rPr>
          <w:sz w:val="20"/>
          <w:szCs w:val="20"/>
          <w:color w:val="auto"/>
        </w:rPr>
      </w:pPr>
      <w:r>
        <w:rPr>
          <w:rFonts w:ascii="Arial" w:cs="Arial" w:eastAsia="Arial" w:hAnsi="Arial"/>
          <w:sz w:val="17"/>
          <w:szCs w:val="17"/>
          <w:color w:val="auto"/>
        </w:rPr>
        <w:t xml:space="preserve">In this trial, the protein was immunogenic at all dose levels tested. We performed analyses on both intent to treat and a per protocol basis. In both the intent to treat population and the per protocol population, the immune response rate was 83% at the lowest dose tested and 100% at the highest dose tested. The response rate for both the highest dose group and the lowest dose group was statistically significantly higher than the assumed response rate of 50%. For the lowest dose group, the </w:t>
      </w:r>
      <w:r>
        <w:rPr>
          <w:rFonts w:ascii="Arial" w:cs="Arial" w:eastAsia="Arial" w:hAnsi="Arial"/>
          <w:sz w:val="17"/>
          <w:szCs w:val="17"/>
          <w:i w:val="1"/>
          <w:iCs w:val="1"/>
          <w:color w:val="auto"/>
        </w:rPr>
        <w:t>P</w:t>
      </w:r>
      <w:r>
        <w:rPr>
          <w:rFonts w:ascii="Arial" w:cs="Arial" w:eastAsia="Arial" w:hAnsi="Arial"/>
          <w:sz w:val="17"/>
          <w:szCs w:val="17"/>
          <w:color w:val="auto"/>
        </w:rPr>
        <w:t xml:space="preserve"> value was 0.0386 in both the intent to treat population and the per protocol population. For the highest dose group, the </w:t>
      </w:r>
      <w:r>
        <w:rPr>
          <w:rFonts w:ascii="Arial" w:cs="Arial" w:eastAsia="Arial" w:hAnsi="Arial"/>
          <w:sz w:val="17"/>
          <w:szCs w:val="17"/>
          <w:i w:val="1"/>
          <w:iCs w:val="1"/>
          <w:color w:val="auto"/>
        </w:rPr>
        <w:t>P</w:t>
      </w:r>
      <w:r>
        <w:rPr>
          <w:rFonts w:ascii="Arial" w:cs="Arial" w:eastAsia="Arial" w:hAnsi="Arial"/>
          <w:sz w:val="17"/>
          <w:szCs w:val="17"/>
          <w:color w:val="auto"/>
        </w:rPr>
        <w:t xml:space="preserve"> value was 0.0039 in the intent to treat population and 0.0078 in the per protocol population. The vaccine candidate was well tolerated by trial participants at all dose levels tested, with no serious adverse event s reported. None of the subjects withdrew due to an adverse event.</w:t>
      </w:r>
    </w:p>
    <w:p>
      <w:pPr>
        <w:spacing w:after="0" w:line="185"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In the fourth quarter of 2006, we entered in to a clinical trial agreement with NIAID under which NIAID has agreed to fund, manage and conduct a Phase I clinical trial of our group B streptococcus vaccine product candidate. In the proposed study, NIAID would test the same recombinant subunit antigen we evaluated in our Phase I trial in the United Kingdom alone and in combination with a second recombinant subunit antigen. The second recombinant subunit antigen would also be tested separately. The trial is to be conducted at a NIAID clinical research site, with NIAID serving as the IND sponsor. An IND must become effective before the clinical trial may begin.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Botulinum Vaccines</w:t>
      </w:r>
    </w:p>
    <w:p>
      <w:pPr>
        <w:spacing w:after="0" w:line="219" w:lineRule="exact"/>
        <w:rPr>
          <w:sz w:val="20"/>
          <w:szCs w:val="20"/>
          <w:color w:val="auto"/>
        </w:rPr>
      </w:pPr>
    </w:p>
    <w:p>
      <w:pPr>
        <w:ind w:right="80" w:firstLine="308"/>
        <w:spacing w:after="0" w:line="272" w:lineRule="auto"/>
        <w:rPr>
          <w:sz w:val="20"/>
          <w:szCs w:val="20"/>
          <w:color w:val="auto"/>
        </w:rPr>
      </w:pPr>
      <w:r>
        <w:rPr>
          <w:rFonts w:ascii="Arial" w:cs="Arial" w:eastAsia="Arial" w:hAnsi="Arial"/>
          <w:sz w:val="16"/>
          <w:szCs w:val="16"/>
          <w:i w:val="1"/>
          <w:iCs w:val="1"/>
          <w:color w:val="auto"/>
        </w:rPr>
        <w:t xml:space="preserve">Disease overview. </w:t>
      </w:r>
      <w:r>
        <w:rPr>
          <w:rFonts w:ascii="Arial" w:cs="Arial" w:eastAsia="Arial" w:hAnsi="Arial"/>
          <w:sz w:val="16"/>
          <w:szCs w:val="16"/>
          <w:color w:val="auto"/>
        </w:rPr>
        <w:t>Botulism is a frequently fatal disease caused by botulinum toxins produced by the bacterium</w:t>
      </w:r>
      <w:r>
        <w:rPr>
          <w:rFonts w:ascii="Arial" w:cs="Arial" w:eastAsia="Arial" w:hAnsi="Arial"/>
          <w:sz w:val="16"/>
          <w:szCs w:val="16"/>
          <w:i w:val="1"/>
          <w:iCs w:val="1"/>
          <w:color w:val="auto"/>
        </w:rPr>
        <w:t xml:space="preserve"> Clostridium botulinum. Clostridium botulinum </w:t>
      </w:r>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widely distributed in soil and aquatic environments throughout the world. Botulinum bacteria produce seven distinct serotypes, each of which elicits a distinct antibody response. Naturally occurring outbreaks of botulism in humans have been reported from exposure to four of the seven serotypes: A, B, E and F. Botulism normally occurs when an individual 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 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178"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As with anthrax countermeasures, we believe that the U.S. government and foreign, state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governments will be the principal potential customers for botulinum countermeasures, including both vaccines and therapeutics. Because botulinum toxin is stable when purified and extremely potent when administered in very small quantities, it has the potential to be used as a biological weapon, either through deliberate contamination of food supply or drinking water or as an aerosol.</w:t>
      </w:r>
    </w:p>
    <w:p>
      <w:pPr>
        <w:spacing w:after="0" w:line="185" w:lineRule="exact"/>
        <w:rPr>
          <w:sz w:val="20"/>
          <w:szCs w:val="20"/>
          <w:color w:val="auto"/>
        </w:rPr>
      </w:pPr>
    </w:p>
    <w:p>
      <w:pPr>
        <w:ind w:right="120" w:firstLine="308"/>
        <w:spacing w:after="0" w:line="270" w:lineRule="auto"/>
        <w:rPr>
          <w:sz w:val="20"/>
          <w:szCs w:val="20"/>
          <w:color w:val="auto"/>
        </w:rPr>
      </w:pPr>
      <w:r>
        <w:rPr>
          <w:rFonts w:ascii="Arial" w:cs="Arial" w:eastAsia="Arial" w:hAnsi="Arial"/>
          <w:sz w:val="16"/>
          <w:szCs w:val="16"/>
          <w:color w:val="auto"/>
        </w:rPr>
        <w:t xml:space="preserve">Currently, there is no FDA-approved botulinum vaccine on the market, although the DoD has provided development funding to various competitors of ours for the development of a recombinant botulinum vaccine that addresses two of the seven serotypes of botulinum neurotoxin. These two botulinum serotypes, A and B, are responsible for approximately 85% of all cases of botulism. Because of the rapid onset of symptoms following infection with the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 Currently, the only FDA-approved treatment for botulism is a human botulinum IG product for the treatment of infant botulism caused by type A or type B </w:t>
      </w:r>
      <w:r>
        <w:rPr>
          <w:rFonts w:ascii="Arial" w:cs="Arial" w:eastAsia="Arial" w:hAnsi="Arial"/>
          <w:sz w:val="16"/>
          <w:szCs w:val="16"/>
          <w:i w:val="1"/>
          <w:iCs w:val="1"/>
          <w:color w:val="auto"/>
        </w:rPr>
        <w:t>Clostridium botulinum.</w:t>
      </w:r>
      <w:r>
        <w:rPr>
          <w:rFonts w:ascii="Arial" w:cs="Arial" w:eastAsia="Arial" w:hAnsi="Arial"/>
          <w:sz w:val="16"/>
          <w:szCs w:val="16"/>
          <w:color w:val="auto"/>
        </w:rPr>
        <w:t xml:space="preserve"> The supply of this product is limited. The product was derived from plasma taken from individuals who had been vaccinated with an experimental pentavalent botulinum toxoid vaccine that is no longer in production. In addition, the CDC manages a supply of experimental botulinum IG derived from equine plasma. However, the experimental equine IG is subject to important shortcomings. First, because the human body recognizes the equine IG as a foreign substance, its efficacy may be limited. In addition, the antibody immune response against the equine IG can lead to potential severe side effects, including anaphylactic shock, if the equine IG is administered more than once. To screen for sensitivity to the equine IG, patients are given small challenge doses of the equine IG before receiving a full dose. HHS has awarded a development and supply contract to a competitor of ours for development and supply of a botulinum IG derived from equine plasma that addresses five of the seven serotypes of botulinum neurotoxin.</w:t>
      </w:r>
    </w:p>
    <w:p>
      <w:pPr>
        <w:spacing w:after="0" w:line="181"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two vaccine candidates to protect against illness caused by botulinum toxin. The first is a recombinant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subunit trivalent botulinum vaccine for protection against botulinum serotypes A, B and E in collaboration with HPA. We hold an exclusive license from HPA to the recombinant technology that we are using in the development of our vaccine candidate. HPA is also providing us with process development and toxicology expertise, access to its facilities and specialized manufacturing capabilities. We are designing this vaccine candidate to be administered by intramuscular injection with an alum adjuvant in a three-dose regimen. Our recombinant vaccine candidate is based on a fragment of the botulinum toxin that we have selected as an antigen because we believe it to be non-toxic and immunogenic.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right="100" w:firstLine="308"/>
        <w:spacing w:after="0" w:line="256" w:lineRule="auto"/>
        <w:rPr>
          <w:sz w:val="20"/>
          <w:szCs w:val="20"/>
          <w:color w:val="auto"/>
        </w:rPr>
      </w:pPr>
      <w:r>
        <w:rPr>
          <w:rFonts w:ascii="Arial" w:cs="Arial" w:eastAsia="Arial" w:hAnsi="Arial"/>
          <w:sz w:val="17"/>
          <w:szCs w:val="17"/>
          <w:color w:val="auto"/>
        </w:rPr>
        <w:t xml:space="preserve">We are producing this recombinant antigen in an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expression system. We believe that our technology will allow us to develop a stable product with possible cross-protection against a range of toxin subtypes and ease of formulation into a multivalent vaccine. We have established a small scale production process for botulinum serotypes A, B, and E and have conducted proof-of-concept studies of this vaccine candidate in mice for all three of these serotypes. In these studies, the vaccine elicited antibodies and provided protection against challenge with the botulinum toxin. We anticipate that the manufacture of our recombinant vaccine in a cGMP facility will not require the high level of containment that is required for the production of conventional, non-recombinant toxoid vaccines that involve cultivation of the disease-causing organism.</w:t>
      </w:r>
    </w:p>
    <w:p>
      <w:pPr>
        <w:spacing w:after="0" w:line="185"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Our second vaccine candidate is also a trivalent botulinum toxoid vaccine using a combination of botulinum serotypes A, B and E. Initially our candidate was developed using botulinum serotype B derived from the starting material from a pentavalent botulinum toxoid vaccine developed by the Michigan Department of Public Health and serotype A from HPA. We are designing this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 We have completed a proof-of-concept study of this vaccine candidate in mice, which confirmed the suitability of the vaccine for further development. Should we recieve U.S. government funding, we plan to file an IND to initiate a Phase I clinical trial to evaluate the safety of this vaccine candidate in healthy volunteers. Our regulatory plan also includes reliance on safety and immunogenicity data from the pentavalent botulinum toxoid vaccine previously manufactured by the State of Michigan, including the results of a Phase II safety and immunogenicity clinical trial conducted by the DoD from July 1998 to May 2000, animal efficacy data and use of the pentavalent vaccine by the CDC in immunizing at risk laboratory personnel.</w:t>
      </w:r>
    </w:p>
    <w:p>
      <w:pPr>
        <w:spacing w:after="0" w:line="179" w:lineRule="exact"/>
        <w:rPr>
          <w:sz w:val="20"/>
          <w:szCs w:val="20"/>
          <w:color w:val="auto"/>
        </w:rPr>
      </w:pPr>
    </w:p>
    <w:p>
      <w:pPr>
        <w:jc w:val="both"/>
        <w:ind w:right="500" w:firstLine="308"/>
        <w:spacing w:after="0" w:line="262" w:lineRule="auto"/>
        <w:rPr>
          <w:sz w:val="20"/>
          <w:szCs w:val="20"/>
          <w:color w:val="auto"/>
        </w:rPr>
      </w:pPr>
      <w:r>
        <w:rPr>
          <w:rFonts w:ascii="Arial" w:cs="Arial" w:eastAsia="Arial" w:hAnsi="Arial"/>
          <w:sz w:val="17"/>
          <w:szCs w:val="17"/>
          <w:color w:val="auto"/>
        </w:rPr>
        <w:t>In addition to our botulinum vaccine programs, we are developing a human botulinum immune globulin candidate in collaboration with HPA as an intravenous therapeutic for symptomatic botulinum exposure. We believe that botulinum immune globulin has the potential to provide immediate protection from the effects of botulinum toxin.</w:t>
      </w:r>
    </w:p>
    <w:p>
      <w:pPr>
        <w:spacing w:after="0" w:line="180" w:lineRule="exact"/>
        <w:rPr>
          <w:sz w:val="20"/>
          <w:szCs w:val="20"/>
          <w:color w:val="auto"/>
        </w:rPr>
      </w:pPr>
    </w:p>
    <w:p>
      <w:pPr>
        <w:ind w:right="80" w:firstLine="308"/>
        <w:spacing w:after="0" w:line="313" w:lineRule="auto"/>
        <w:rPr>
          <w:sz w:val="20"/>
          <w:szCs w:val="20"/>
          <w:color w:val="auto"/>
        </w:rPr>
      </w:pPr>
      <w:r>
        <w:rPr>
          <w:rFonts w:ascii="Arial" w:cs="Arial" w:eastAsia="Arial" w:hAnsi="Arial"/>
          <w:sz w:val="15"/>
          <w:szCs w:val="15"/>
          <w:color w:val="auto"/>
        </w:rPr>
        <w:t>We plan to rely on the FDA animal rule in connection with the development of our botulinum-related product candidates. We have applied for U.S. government funding to support the further development of our botulinum-related product candidates. We will continue to assess, and may alter, our future development plans for these products based on the U.S. government’s interest in providing development funding for, and procuring, botulinum countermeasures.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Chlamydia Vaccine</w:t>
      </w:r>
    </w:p>
    <w:p>
      <w:pPr>
        <w:spacing w:after="0" w:line="219" w:lineRule="exact"/>
        <w:rPr>
          <w:sz w:val="20"/>
          <w:szCs w:val="20"/>
          <w:color w:val="auto"/>
        </w:rPr>
      </w:pPr>
    </w:p>
    <w:p>
      <w:pPr>
        <w:ind w:right="100" w:firstLine="308"/>
        <w:spacing w:after="0" w:line="258"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Chlamydia is the most prevalent sexually transmitted bacterial disease in the world. It is caused by infection with the bacterium</w:t>
      </w:r>
      <w:r>
        <w:rPr>
          <w:rFonts w:ascii="Arial" w:cs="Arial" w:eastAsia="Arial" w:hAnsi="Arial"/>
          <w:sz w:val="17"/>
          <w:szCs w:val="17"/>
          <w:i w:val="1"/>
          <w:iCs w:val="1"/>
          <w:color w:val="auto"/>
        </w:rPr>
        <w:t xml:space="preserve"> Chlamydia trachomatis. Chlamydia trachomatis </w:t>
      </w:r>
      <w:r>
        <w:rPr>
          <w:rFonts w:ascii="Arial" w:cs="Arial" w:eastAsia="Arial" w:hAnsi="Arial"/>
          <w:sz w:val="17"/>
          <w:szCs w:val="17"/>
          <w:color w:val="auto"/>
        </w:rPr>
        <w:t>can cause urogenital disorders such as uritheritis, cervicitis, pelvic inflammatory disease, ectopic pregnancy and infertility among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females and is the leading cause of non-gonococcal uritheritis and epidemiditis in males.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also causes the ocular disease trachoma, which is a form of vesicular conjunctivitis. Trachoma is the leading cause of preventable blindness worldwide.</w:t>
      </w:r>
    </w:p>
    <w:p>
      <w:pPr>
        <w:spacing w:after="0" w:line="18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i w:val="1"/>
          <w:iCs w:val="1"/>
          <w:color w:val="auto"/>
        </w:rPr>
        <w:t xml:space="preserve">Prevalence, market opportunity and current treatment. </w:t>
      </w:r>
      <w:r>
        <w:rPr>
          <w:rFonts w:ascii="Arial" w:cs="Arial" w:eastAsia="Arial" w:hAnsi="Arial"/>
          <w:sz w:val="16"/>
          <w:szCs w:val="16"/>
          <w:color w:val="auto"/>
        </w:rPr>
        <w:t>The WHO estimates that approximately 92 million new cases of</w:t>
      </w:r>
      <w:r>
        <w:rPr>
          <w:rFonts w:ascii="Arial" w:cs="Arial" w:eastAsia="Arial" w:hAnsi="Arial"/>
          <w:sz w:val="16"/>
          <w:szCs w:val="16"/>
          <w:i w:val="1"/>
          <w:iCs w:val="1"/>
          <w:color w:val="auto"/>
        </w:rPr>
        <w:t xml:space="preserve"> Chlamydia trachomatis </w:t>
      </w:r>
      <w:r>
        <w:rPr>
          <w:rFonts w:ascii="Arial" w:cs="Arial" w:eastAsia="Arial" w:hAnsi="Arial"/>
          <w:sz w:val="16"/>
          <w:szCs w:val="16"/>
          <w:color w:val="auto"/>
        </w:rPr>
        <w:t>infection occur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annually worldwide, of which approximately four million occur in North America.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infections are the most commonly reported notifiable disease in the United States, with an estimated 2.8 million Americans becoming infected with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each year. Epidemiological studies indicate that in the United States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infections are most prevalent among young sexually active individuals between the ages of 15 to 24. There is no vaccine currently on the market for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However, screening tests and effective antibiotic treatments have been effective at containing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 the United States and Europe. Although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infection can be treated with antibiotics, control measures based on antimicrobial treatment alone are difficult due to the incidence of infection, the percentage of asymptomatic infections and deficiencies in diagnosis.</w:t>
      </w:r>
    </w:p>
    <w:p>
      <w:pPr>
        <w:spacing w:after="0" w:line="176"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i w:val="1"/>
          <w:iCs w:val="1"/>
          <w:color w:val="auto"/>
        </w:rPr>
        <w:t xml:space="preserve">Description and development status. </w:t>
      </w:r>
      <w:r>
        <w:rPr>
          <w:rFonts w:ascii="Arial" w:cs="Arial" w:eastAsia="Arial" w:hAnsi="Arial"/>
          <w:sz w:val="16"/>
          <w:szCs w:val="16"/>
          <w:color w:val="auto"/>
        </w:rPr>
        <w:t>We are developing a recombinant protein subunit chlamydia vaccine for all clinically relevant strains of</w:t>
      </w:r>
      <w:r>
        <w:rPr>
          <w:rFonts w:ascii="Arial" w:cs="Arial" w:eastAsia="Arial" w:hAnsi="Arial"/>
          <w:sz w:val="16"/>
          <w:szCs w:val="16"/>
          <w:i w:val="1"/>
          <w:iCs w:val="1"/>
          <w:color w:val="auto"/>
        </w:rPr>
        <w:t xml:space="preserve"> Chlamydia trachomatis, </w:t>
      </w:r>
      <w:r>
        <w:rPr>
          <w:rFonts w:ascii="Arial" w:cs="Arial" w:eastAsia="Arial" w:hAnsi="Arial"/>
          <w:sz w:val="16"/>
          <w:szCs w:val="16"/>
          <w:color w:val="auto"/>
        </w:rPr>
        <w:t xml:space="preserve">including strains that cause ocular disease. We are designing our vaccine candidate to be administered by injection with a novel adjuvant in a three-dose regimen. We are currently evaluating in-license opportunities for the adjuvant. We have cloned our vaccine candidate and produced it in </w:t>
      </w:r>
      <w:r>
        <w:rPr>
          <w:rFonts w:ascii="Arial" w:cs="Arial" w:eastAsia="Arial" w:hAnsi="Arial"/>
          <w:sz w:val="16"/>
          <w:szCs w:val="16"/>
          <w:i w:val="1"/>
          <w:iCs w:val="1"/>
          <w:color w:val="auto"/>
        </w:rPr>
        <w:t>E. coli.</w:t>
      </w:r>
      <w:r>
        <w:rPr>
          <w:rFonts w:ascii="Arial" w:cs="Arial" w:eastAsia="Arial" w:hAnsi="Arial"/>
          <w:sz w:val="16"/>
          <w:szCs w:val="16"/>
          <w:color w:val="auto"/>
        </w:rPr>
        <w:t xml:space="preserve"> In studies in mice, our vaccine candidate protected against both upper reproductive tract disease and lower reproductive tract infection induced by </w:t>
      </w:r>
      <w:r>
        <w:rPr>
          <w:rFonts w:ascii="Arial" w:cs="Arial" w:eastAsia="Arial" w:hAnsi="Arial"/>
          <w:sz w:val="16"/>
          <w:szCs w:val="16"/>
          <w:i w:val="1"/>
          <w:iCs w:val="1"/>
          <w:color w:val="auto"/>
        </w:rPr>
        <w:t>Chlamydia trachomatis.</w:t>
      </w:r>
      <w:r>
        <w:rPr>
          <w:rFonts w:ascii="Arial" w:cs="Arial" w:eastAsia="Arial" w:hAnsi="Arial"/>
          <w:sz w:val="16"/>
          <w:szCs w:val="16"/>
          <w:color w:val="auto"/>
        </w:rPr>
        <w:t xml:space="preserve"> In addition, the fertility of mice immunized with our vaccine candidate was equivalent to that observed in healthy animals.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Meningitis B Vaccine</w:t>
      </w:r>
    </w:p>
    <w:p>
      <w:pPr>
        <w:spacing w:after="0" w:line="219" w:lineRule="exact"/>
        <w:rPr>
          <w:sz w:val="20"/>
          <w:szCs w:val="20"/>
          <w:color w:val="auto"/>
        </w:rPr>
      </w:pPr>
    </w:p>
    <w:p>
      <w:pPr>
        <w:ind w:right="260" w:firstLine="308"/>
        <w:spacing w:after="0" w:line="313" w:lineRule="auto"/>
        <w:rPr>
          <w:sz w:val="20"/>
          <w:szCs w:val="20"/>
          <w:color w:val="auto"/>
        </w:rPr>
      </w:pPr>
      <w:r>
        <w:rPr>
          <w:rFonts w:ascii="Arial" w:cs="Arial" w:eastAsia="Arial" w:hAnsi="Arial"/>
          <w:sz w:val="15"/>
          <w:szCs w:val="15"/>
          <w:i w:val="1"/>
          <w:iCs w:val="1"/>
          <w:color w:val="auto"/>
        </w:rPr>
        <w:t xml:space="preserve">Disease overview. </w:t>
      </w:r>
      <w:r>
        <w:rPr>
          <w:rFonts w:ascii="Arial" w:cs="Arial" w:eastAsia="Arial" w:hAnsi="Arial"/>
          <w:sz w:val="15"/>
          <w:szCs w:val="15"/>
          <w:color w:val="auto"/>
        </w:rPr>
        <w:t>Meningococcal disease is a life threatening condition caused by infection with the bacterium</w:t>
      </w:r>
      <w:r>
        <w:rPr>
          <w:rFonts w:ascii="Arial" w:cs="Arial" w:eastAsia="Arial" w:hAnsi="Arial"/>
          <w:sz w:val="15"/>
          <w:szCs w:val="15"/>
          <w:i w:val="1"/>
          <w:iCs w:val="1"/>
          <w:color w:val="auto"/>
        </w:rPr>
        <w:t xml:space="preserve"> Neisseria meningitidis. Neisseria meningitidis </w:t>
      </w:r>
      <w:r>
        <w:rPr>
          <w:rFonts w:ascii="Arial" w:cs="Arial" w:eastAsia="Arial" w:hAnsi="Arial"/>
          <w:sz w:val="15"/>
          <w:szCs w:val="15"/>
          <w:color w:val="auto"/>
        </w:rPr>
        <w:t>is</w:t>
      </w:r>
      <w:r>
        <w:rPr>
          <w:rFonts w:ascii="Arial" w:cs="Arial" w:eastAsia="Arial" w:hAnsi="Arial"/>
          <w:sz w:val="15"/>
          <w:szCs w:val="15"/>
          <w:i w:val="1"/>
          <w:iCs w:val="1"/>
          <w:color w:val="auto"/>
        </w:rPr>
        <w:t xml:space="preserve"> </w:t>
      </w:r>
      <w:r>
        <w:rPr>
          <w:rFonts w:ascii="Arial" w:cs="Arial" w:eastAsia="Arial" w:hAnsi="Arial"/>
          <w:sz w:val="15"/>
          <w:szCs w:val="15"/>
          <w:color w:val="auto"/>
        </w:rPr>
        <w:t>classified into 12 groups based on differences in the surface coating of the bacterium that elicit distinct immune responses. According to the WHO, group B is the most common cause of endemic meningitis in industrialized countries, accounting for 30% to 40% of cases in North America and 30% to 80% of cases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2790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right="500" w:firstLine="308"/>
        <w:spacing w:after="0" w:line="341" w:lineRule="auto"/>
        <w:rPr>
          <w:sz w:val="20"/>
          <w:szCs w:val="20"/>
          <w:color w:val="auto"/>
        </w:rPr>
      </w:pPr>
      <w:r>
        <w:rPr>
          <w:rFonts w:ascii="Arial" w:cs="Arial" w:eastAsia="Arial" w:hAnsi="Arial"/>
          <w:sz w:val="15"/>
          <w:szCs w:val="15"/>
          <w:color w:val="auto"/>
        </w:rPr>
        <w:t>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12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i w:val="1"/>
          <w:iCs w:val="1"/>
          <w:color w:val="auto"/>
        </w:rPr>
        <w:t xml:space="preserve">Prevalence, market opportunity and current treatment. </w:t>
      </w:r>
      <w:r>
        <w:rPr>
          <w:rFonts w:ascii="Arial" w:cs="Arial" w:eastAsia="Arial" w:hAnsi="Arial"/>
          <w:sz w:val="17"/>
          <w:szCs w:val="17"/>
          <w:color w:val="auto"/>
        </w:rPr>
        <w:t>The WHO estimates that approximately 1.2 million cases of bacterial meningitis occur annually worldwide,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in approximately 135,000 deaths. The WHO estimates that approximately 500,000 of these cases and 50,000 of these deaths are caused by the bacterium </w:t>
      </w:r>
      <w:r>
        <w:rPr>
          <w:rFonts w:ascii="Arial" w:cs="Arial" w:eastAsia="Arial" w:hAnsi="Arial"/>
          <w:sz w:val="17"/>
          <w:szCs w:val="17"/>
          <w:i w:val="1"/>
          <w:iCs w:val="1"/>
          <w:color w:val="auto"/>
        </w:rPr>
        <w:t xml:space="preserve">Neisseria meningitidis. </w:t>
      </w:r>
      <w:r>
        <w:rPr>
          <w:rFonts w:ascii="Arial" w:cs="Arial" w:eastAsia="Arial" w:hAnsi="Arial"/>
          <w:sz w:val="17"/>
          <w:szCs w:val="17"/>
          <w:color w:val="auto"/>
        </w:rPr>
        <w:t>In the United States, 2,333 cases of meningococcal disease were reported in 2001, with approximately one-third due to group B. In 2003, 1,756</w:t>
      </w:r>
      <w:r>
        <w:rPr>
          <w:rFonts w:ascii="Arial" w:cs="Arial" w:eastAsia="Arial" w:hAnsi="Arial"/>
          <w:sz w:val="17"/>
          <w:szCs w:val="17"/>
          <w:i w:val="1"/>
          <w:iCs w:val="1"/>
          <w:color w:val="auto"/>
        </w:rPr>
        <w:t xml:space="preserve"> </w:t>
      </w:r>
      <w:r>
        <w:rPr>
          <w:rFonts w:ascii="Arial" w:cs="Arial" w:eastAsia="Arial" w:hAnsi="Arial"/>
          <w:sz w:val="17"/>
          <w:szCs w:val="17"/>
          <w:color w:val="auto"/>
        </w:rPr>
        <w:t>cases of meningococcal disease were reported in the United States. Currently, there is no meningitis vaccine on the market that is protective against group B meningococcal infection. Current meningitis B treatments include antibiotics and clinical support. The rapid progression of the infection means that antibiotic therapy can be ineffective in preventing serious morbidity and mortality.</w:t>
      </w:r>
    </w:p>
    <w:p>
      <w:pPr>
        <w:spacing w:after="0" w:line="185"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meningitis B vaccine for babies, children and adolescents. We are designing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vaccine candidate to be administered by injection with an alum adjuvant in a two-dose regimen for children under age five and a single-dose regimen for children over age five. We do not expect that a booster dose will be required. We anticipate that the vaccine will consist of two or three protein antigens. We are currently evaluating a pool of more than 40 protein candidates in a number of preclinical studies. We are producing recombinant proteins in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We have entered into a collaboration agreement with Sanofi Pasteur for this vaccine candidate.</w:t>
      </w:r>
    </w:p>
    <w:p>
      <w:pPr>
        <w:spacing w:after="0" w:line="184" w:lineRule="exact"/>
        <w:rPr>
          <w:sz w:val="20"/>
          <w:szCs w:val="20"/>
          <w:color w:val="auto"/>
        </w:rPr>
      </w:pPr>
    </w:p>
    <w:p>
      <w:pPr>
        <w:ind w:right="100" w:firstLine="308"/>
        <w:spacing w:after="0" w:line="275" w:lineRule="auto"/>
        <w:rPr>
          <w:sz w:val="20"/>
          <w:szCs w:val="20"/>
          <w:color w:val="auto"/>
        </w:rPr>
      </w:pPr>
      <w:r>
        <w:rPr>
          <w:rFonts w:ascii="Arial" w:cs="Arial" w:eastAsia="Arial" w:hAnsi="Arial"/>
          <w:sz w:val="16"/>
          <w:szCs w:val="16"/>
          <w:i w:val="1"/>
          <w:iCs w:val="1"/>
          <w:color w:val="auto"/>
        </w:rPr>
        <w:t xml:space="preserve">Collaboration. </w:t>
      </w:r>
      <w:r>
        <w:rPr>
          <w:rFonts w:ascii="Arial" w:cs="Arial" w:eastAsia="Arial" w:hAnsi="Arial"/>
          <w:sz w:val="16"/>
          <w:szCs w:val="16"/>
          <w:color w:val="auto"/>
        </w:rPr>
        <w:t>In May 2006, we entered into a license and co-development agreement effective April 1, 2006 with Sanofi Pasteur, the vaccines business of Sanofi</w:t>
      </w:r>
      <w:r>
        <w:rPr>
          <w:rFonts w:ascii="Arial" w:cs="Arial" w:eastAsia="Arial" w:hAnsi="Arial"/>
          <w:sz w:val="16"/>
          <w:szCs w:val="16"/>
          <w:i w:val="1"/>
          <w:iCs w:val="1"/>
          <w:color w:val="auto"/>
        </w:rPr>
        <w:t xml:space="preserve"> </w:t>
      </w:r>
      <w:r>
        <w:rPr>
          <w:rFonts w:ascii="Arial" w:cs="Arial" w:eastAsia="Arial" w:hAnsi="Arial"/>
          <w:sz w:val="16"/>
          <w:szCs w:val="16"/>
          <w:color w:val="auto"/>
        </w:rPr>
        <w:t>Aventis, 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 exclusive basis and other specified antigens on a co-exclusive basis. Sanofi Pasteur has agreed to use commercially reasonable efforts to develop and commercialize a meningitis B vaccine in the United States, the European Union and other major market countries.</w:t>
      </w:r>
    </w:p>
    <w:p>
      <w:pPr>
        <w:spacing w:after="0" w:line="171"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rights or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85"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Under the agreement, Sanofi Pasteur paid us an initial fee of €3 million. In addition, Sanofi Pasteur has agreed to pay all expenses incurred by us under the development program, and we have received approximately €7.4 million since the inception of this arrangement.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56" w:lineRule="exact"/>
        <w:rPr>
          <w:sz w:val="20"/>
          <w:szCs w:val="20"/>
          <w:color w:val="auto"/>
        </w:rPr>
      </w:pPr>
    </w:p>
    <w:p>
      <w:pPr>
        <w:ind w:right="140" w:firstLine="308"/>
        <w:spacing w:after="0" w:line="313" w:lineRule="auto"/>
        <w:rPr>
          <w:sz w:val="20"/>
          <w:szCs w:val="20"/>
          <w:color w:val="auto"/>
        </w:rPr>
      </w:pPr>
      <w:r>
        <w:rPr>
          <w:rFonts w:ascii="Arial" w:cs="Arial" w:eastAsia="Arial" w:hAnsi="Arial"/>
          <w:sz w:val="15"/>
          <w:szCs w:val="15"/>
          <w:color w:val="auto"/>
        </w:rPr>
        <w:t>The term of the agreement ends, on a country-by-country basis, upon the later of ten years from first commercial sale or the expiration of the last-to-expire patent covering a licensed product in such country. Sanofi Pasteur may terminate the agreement for convenience upon six months’ prior written notice. Sanofi Pasteur also may terminate the agreement upon any change of control involving us or as a result of our uncured material breach of the agreement or bankruptcy.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Manufacturing</w:t>
      </w:r>
    </w:p>
    <w:p>
      <w:pPr>
        <w:spacing w:after="0" w:line="219" w:lineRule="exact"/>
        <w:rPr>
          <w:sz w:val="20"/>
          <w:szCs w:val="20"/>
          <w:color w:val="auto"/>
        </w:rPr>
      </w:pPr>
    </w:p>
    <w:p>
      <w:pPr>
        <w:ind w:right="60" w:firstLine="308"/>
        <w:spacing w:after="0" w:line="303" w:lineRule="auto"/>
        <w:rPr>
          <w:sz w:val="20"/>
          <w:szCs w:val="20"/>
          <w:color w:val="auto"/>
        </w:rPr>
      </w:pPr>
      <w:r>
        <w:rPr>
          <w:rFonts w:ascii="Arial" w:cs="Arial" w:eastAsia="Arial" w:hAnsi="Arial"/>
          <w:sz w:val="15"/>
          <w:szCs w:val="15"/>
          <w:color w:val="auto"/>
        </w:rPr>
        <w:t>We conduct our primary vaccine manufacturing operations at a multi-building campus on approximately 12.5 acres in Lansing, Michigan. To augment our existing manufacturing capabilities, we have constructed a new 50,000 square foot manufacturing facility on our Lansing campus. We substantially completed construction of this facility in 2006, and are currently conducting validation and qualification activities required for regulatory approval. This new facility is a large scale manufacturing plant that we can use to produce multiple fermentation based vaccine products, subject to complying with appropriate change-over procedures.</w:t>
      </w:r>
    </w:p>
    <w:p>
      <w:pPr>
        <w:spacing w:after="0" w:line="155" w:lineRule="exact"/>
        <w:rPr>
          <w:sz w:val="20"/>
          <w:szCs w:val="20"/>
          <w:color w:val="auto"/>
        </w:rPr>
      </w:pPr>
    </w:p>
    <w:p>
      <w:pPr>
        <w:ind w:right="260" w:firstLine="308"/>
        <w:spacing w:after="0" w:line="341" w:lineRule="auto"/>
        <w:rPr>
          <w:sz w:val="20"/>
          <w:szCs w:val="20"/>
          <w:color w:val="auto"/>
        </w:rPr>
      </w:pPr>
      <w:r>
        <w:rPr>
          <w:rFonts w:ascii="Arial" w:cs="Arial" w:eastAsia="Arial" w:hAnsi="Arial"/>
          <w:sz w:val="15"/>
          <w:szCs w:val="15"/>
          <w:color w:val="auto"/>
        </w:rPr>
        <w:t>We also own two buildings in Frederick, Maryland that are available to support our future manufacturing requirements. We are also performing initial engineering designs and preliminary utility build out of one of these buildings. We may elect to lease all or a substantial portion of, or sell, one of these facilities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72790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ind w:right="60" w:firstLine="308"/>
        <w:spacing w:after="0" w:line="272" w:lineRule="auto"/>
        <w:rPr>
          <w:sz w:val="20"/>
          <w:szCs w:val="20"/>
          <w:color w:val="auto"/>
        </w:rPr>
      </w:pPr>
      <w:r>
        <w:rPr>
          <w:rFonts w:ascii="Arial" w:cs="Arial" w:eastAsia="Arial" w:hAnsi="Arial"/>
          <w:sz w:val="16"/>
          <w:szCs w:val="16"/>
          <w:color w:val="auto"/>
        </w:rPr>
        <w:t>We manufacture BioThrax at our facilities in Lansing, Michigan using well established vaccine manufacturing procedures. We currently rely on contract manufacturers and other third parties to manufacture the supplies for our other vaccine and therapeutic product candidates we require for our preclinical studies and clinical trials. We typically acquire these supplies on a purchase order basis. We anticipate that we may use our existing plant facilities in Michigan, including our recently commissioned pilot plant and, when completed and approved, our planned new plant facilities in Michigan to support both continued process development and the manufacture of clinical supplies of our product candidates. However, we also expect that we will continue to use third parties for production of preclinical and clinical supplies of some of our product candidates. We believe that manufacturing our products and product candidates independently will provide us cost savings and greater control over the manufacturing and regulatory approval and oversight processes accelerate product development timelines and allow us to expand our base of manufacturing know-how that we can then apply to the development and manufacture of future product candidates.</w:t>
      </w:r>
    </w:p>
    <w:p>
      <w:pPr>
        <w:spacing w:after="0" w:line="178"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Hollister-Stier Laboratories LLC performs the contract filling operation for BioThrax vials at its FDA-approved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2010.</w:t>
      </w:r>
    </w:p>
    <w:p>
      <w:pPr>
        <w:spacing w:after="0" w:line="185"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Talecris Biotherapeutics has agreed to perform plasma fractionation and purification and contract filling of our anthrax immune globulin therapeutic candidate at its FDA-approved facilities located in Melville, New York and Clayton, North Carolina. Subject to limited exceptions, we have agreed to obtain all manufacturing requirements for our anthrax immune globulin therapeutic candidate exclusively from Talecris. While our agreement with Talecris remains in effect, Talecris has agreed not to market, sell or acquire any competing product that contains anthrax immune globulin as an active ingredient. Talecris has agreed to perform plasma fractionation and purification and contract filling for the manufacture of our anthrax immune globulin therapeutic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 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We have the right to terminate the contract, under specified circumstances, if we discontinue our production of anthrax immune globulin source plasma or the development of our anthrax immune globulin therapeutic candidate.</w:t>
      </w:r>
    </w:p>
    <w:p>
      <w:pPr>
        <w:spacing w:after="0" w:line="176" w:lineRule="exact"/>
        <w:rPr>
          <w:sz w:val="20"/>
          <w:szCs w:val="20"/>
          <w:color w:val="auto"/>
        </w:rPr>
      </w:pPr>
    </w:p>
    <w:p>
      <w:pPr>
        <w:ind w:right="160" w:firstLine="308"/>
        <w:spacing w:after="0" w:line="286" w:lineRule="auto"/>
        <w:rPr>
          <w:sz w:val="20"/>
          <w:szCs w:val="20"/>
          <w:color w:val="auto"/>
        </w:rPr>
      </w:pPr>
      <w:r>
        <w:rPr>
          <w:rFonts w:ascii="Arial" w:cs="Arial" w:eastAsia="Arial" w:hAnsi="Arial"/>
          <w:sz w:val="16"/>
          <w:szCs w:val="16"/>
          <w:color w:val="auto"/>
        </w:rPr>
        <w:t>We used a contract manufacturer for the supply of our typhoid vaccine candidate for the Phase I and Phase II trials in Vietnam. We may use a different contract manufacturer for the supply of this vaccine candidate for the Phase II study in India, for the Phase III clinical supply, and for commercial manufacturing. We also plan to use a contract manufacturer for the clinical and commercial supplies of our group B streptococcus vaccine candidate.</w:t>
      </w:r>
    </w:p>
    <w:p>
      <w:pPr>
        <w:spacing w:after="0" w:line="163"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We also expect that we will rely on third parties for a portion of the manufacturing process for commercial supplies of other product candidates that we successfully develop, including fermentation for some of our vaccine product candidates and contract fill and finish operations. The manufacture of immunobiotic products and the scale-up process necessary to manufacture quantities of immunobiotics sufficient for commercial launch are complex. If we are unable to secure a relationship with third party contract manufacturers that can provide sufficient supplies for the commercial launch of our product candidates, our ability to capture market share may be adversely affected.</w:t>
      </w:r>
    </w:p>
    <w:p>
      <w:pPr>
        <w:spacing w:after="0" w:line="184"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In addition, 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Marketing and Sales</w:t>
      </w:r>
    </w:p>
    <w:p>
      <w:pPr>
        <w:spacing w:after="0" w:line="219"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We currently market and sell BioThrax directly to the U.S. government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at the state and local level, where we expect there will be interest in these products to protect emergency responders such as police, fire and emergency medical personnel, and other personnel whose occupation may cause them to be at a high risk of exposure to biothreats.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44450</wp:posOffset>
            </wp:positionV>
            <wp:extent cx="72790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right="40" w:firstLine="308"/>
        <w:spacing w:after="0" w:line="262" w:lineRule="auto"/>
        <w:rPr>
          <w:sz w:val="20"/>
          <w:szCs w:val="20"/>
          <w:color w:val="auto"/>
        </w:rPr>
      </w:pPr>
      <w:r>
        <w:rPr>
          <w:rFonts w:ascii="Arial" w:cs="Arial" w:eastAsia="Arial" w:hAnsi="Arial"/>
          <w:sz w:val="17"/>
          <w:szCs w:val="17"/>
          <w:color w:val="auto"/>
        </w:rPr>
        <w:t>We have established marketing and sales offices in Singapore and Munich, Germany, and a joint venture in Malaysia, to target sales of biodefense products to foreign governments. We have augmented our international efforts by engaging third party marketing representatives to identify potential opportunities to sell BioThrax in the Middle East, India, Australia, and several countries in Southeast Asia and Europe.</w:t>
      </w:r>
    </w:p>
    <w:p>
      <w:pPr>
        <w:spacing w:after="0" w:line="180"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We expect to increase our sales and marketing resources to market and sell commercial products for which we retain commercialization or co-commercialization rights. 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that overlap with markets for our biodefense products, such as the market for typhoid vaccines and other vaccines for travelers to developing countries. We anticipate that our internal marketing and sales organization will be complemented by selective co-promotion and other arrangements with leading pharmaceutical and biotechnology companies, especially in situations in which the collaborator has particular expertise or resources for the commercialization of our products or product candidates or to access particular markets.</w:t>
      </w:r>
    </w:p>
    <w:p>
      <w:pPr>
        <w:spacing w:after="0" w:line="159" w:lineRule="exact"/>
        <w:rPr>
          <w:sz w:val="20"/>
          <w:szCs w:val="20"/>
          <w:color w:val="auto"/>
        </w:rPr>
      </w:pPr>
    </w:p>
    <w:p>
      <w:pPr>
        <w:ind w:right="120" w:firstLine="308"/>
        <w:spacing w:after="0" w:line="256" w:lineRule="auto"/>
        <w:rPr>
          <w:sz w:val="20"/>
          <w:szCs w:val="20"/>
          <w:color w:val="auto"/>
        </w:rPr>
      </w:pPr>
      <w:r>
        <w:rPr>
          <w:rFonts w:ascii="Arial" w:cs="Arial" w:eastAsia="Arial" w:hAnsi="Arial"/>
          <w:sz w:val="17"/>
          <w:szCs w:val="17"/>
          <w:color w:val="auto"/>
        </w:rPr>
        <w:t>We have entered into an agreement with Ninebio Sdn. Bhd. to form a joint venture in Malaysia that will focus on creating critical biologics infrastructure and supplying biodefense countermeasures, including BioThrax and other medical and complementary products and services to the Government of Malaysia. It is anticipated that the joint venture will also supply such products and services to certain member countries of the Organisation of the Islamic Conference and other countries within Asia. 9Bio is a Malaysian Government owned company and one of the National Institutes of Health under the Ministry of Health. The Government of Malaysia, through 9Bio, has selected us as one of its principal partners to assist, as a contract service provider, in building vaccine development and manufacturing infrastructure. The joint venture will be majority owned by 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Competition</w:t>
      </w:r>
    </w:p>
    <w:p>
      <w:pPr>
        <w:spacing w:after="0" w:line="219"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 GlaxoSmithKline, Sanofi-Aventis, Wyeth, Merck and Novartis generated over 80% of total worldwide vaccine revenues in 2005. The concentration of the industry reflects a number of factors, including:</w:t>
      </w:r>
    </w:p>
    <w:p>
      <w:pPr>
        <w:sectPr>
          <w:pgSz w:w="11900" w:h="16838" w:orient="portrait"/>
          <w:cols w:equalWidth="0" w:num="1">
            <w:col w:w="11400"/>
          </w:cols>
          <w:pgMar w:left="240" w:top="131" w:right="259" w:bottom="1440" w:gutter="0" w:footer="0" w:header="0"/>
        </w:sectPr>
      </w:pP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the need for significant, long-term investment in research and development;</w:t>
      </w:r>
    </w:p>
    <w:p>
      <w:pPr>
        <w:spacing w:after="0" w:line="74" w:lineRule="exact"/>
        <w:rPr>
          <w:sz w:val="20"/>
          <w:szCs w:val="20"/>
          <w:color w:val="auto"/>
        </w:rPr>
      </w:pPr>
    </w:p>
    <w:p>
      <w:pPr>
        <w:ind w:right="1040"/>
        <w:spacing w:after="0" w:line="351" w:lineRule="auto"/>
        <w:rPr>
          <w:sz w:val="20"/>
          <w:szCs w:val="20"/>
          <w:color w:val="auto"/>
        </w:rPr>
      </w:pPr>
      <w:r>
        <w:rPr>
          <w:rFonts w:ascii="Arial" w:cs="Arial" w:eastAsia="Arial" w:hAnsi="Arial"/>
          <w:sz w:val="17"/>
          <w:szCs w:val="17"/>
          <w:color w:val="auto"/>
        </w:rPr>
        <w:t>the importance of manufacturing capacity, capability and specialty know-how, such as techniques, processes and biological starting materials; and the high regulatory burden for prophylactic products, which generally are administered to healthy people.</w:t>
      </w:r>
    </w:p>
    <w:p>
      <w:pPr>
        <w:spacing w:after="0" w:line="172"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These factors have created a significant barrier to entry into the vaccine industry.</w:t>
      </w:r>
    </w:p>
    <w:p>
      <w:pPr>
        <w:spacing w:after="0" w:line="215" w:lineRule="exact"/>
        <w:rPr>
          <w:sz w:val="20"/>
          <w:szCs w:val="20"/>
          <w:color w:val="auto"/>
        </w:rPr>
      </w:pPr>
    </w:p>
    <w:p>
      <w:pPr>
        <w:ind w:right="340" w:firstLine="308"/>
        <w:spacing w:after="0" w:line="273" w:lineRule="auto"/>
        <w:rPr>
          <w:sz w:val="20"/>
          <w:szCs w:val="20"/>
          <w:color w:val="auto"/>
        </w:rPr>
      </w:pPr>
      <w:r>
        <w:rPr>
          <w:rFonts w:ascii="Arial" w:cs="Arial" w:eastAsia="Arial" w:hAnsi="Arial"/>
          <w:sz w:val="16"/>
          <w:szCs w:val="16"/>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narrowly focused companies, including Cangene, Human Genome Sciences, Acambis, Avant Immunotherapeutics, Dor BioPharma, Dynport Vaccine Company LLC, Elusys, Bavarian Nordic, Pharmathene and Avecia, may also prove to be significant competitors, particularly through collaborative arrangements with large and established companies or through significant development or procurement contracts with governmental agencies or philanthropic organizations.</w:t>
      </w:r>
    </w:p>
    <w:p>
      <w:pPr>
        <w:spacing w:after="0" w:line="176"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Our biodefense product candidates face significant competition for U.S. government funding for both development and procurement of medical countermeasures for biological, chemical and nuclear threats, diagnostic testing systems and other emergency preparedness countermeasures.</w:t>
      </w:r>
    </w:p>
    <w:p>
      <w:pPr>
        <w:spacing w:after="0" w:line="172" w:lineRule="exact"/>
        <w:rPr>
          <w:sz w:val="20"/>
          <w:szCs w:val="20"/>
          <w:color w:val="auto"/>
        </w:rPr>
      </w:pPr>
    </w:p>
    <w:p>
      <w:pPr>
        <w:ind w:right="280" w:firstLine="308"/>
        <w:spacing w:after="0" w:line="31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72790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0" w:name="page21"/>
    <w:bookmarkEnd w:id="20"/>
    <w:p>
      <w:pPr>
        <w:ind w:right="280" w:firstLine="308"/>
        <w:spacing w:after="0" w:line="272"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Specifically, the competition for BioThrax and our product candidates includes the following:</w:t>
      </w:r>
    </w:p>
    <w:p>
      <w:pPr>
        <w:spacing w:after="0" w:line="215" w:lineRule="exact"/>
        <w:rPr>
          <w:sz w:val="20"/>
          <w:szCs w:val="20"/>
          <w:color w:val="auto"/>
        </w:rPr>
      </w:pPr>
    </w:p>
    <w:p>
      <w:pPr>
        <w:ind w:left="920" w:right="100" w:hanging="302"/>
        <w:spacing w:after="0" w:line="206" w:lineRule="auto"/>
        <w:tabs>
          <w:tab w:leader="none" w:pos="920" w:val="left"/>
        </w:tabs>
        <w:numPr>
          <w:ilvl w:val="0"/>
          <w:numId w:val="11"/>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BioThrax</w:t>
      </w:r>
      <w:r>
        <w:rPr>
          <w:rFonts w:ascii="Arial" w:cs="Arial" w:eastAsia="Arial" w:hAnsi="Arial"/>
          <w:sz w:val="16"/>
          <w:szCs w:val="16"/>
          <w:color w:val="auto"/>
        </w:rPr>
        <w:t>. Although BioThrax is the only product approved by the FDA for human use for the prevention of anthrax infection, we face significant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for the supply of this vaccine to the U.S. government. Various agencies of the U.S. government are providing funding to our competitors for development of an anthrax vaccine based on recombinant protective antigen. Avecia is currently developing a recombinant protective antigen based anthrax vaccine. HHS has issued an RFP for grants to develop and procure a recombinant protective antigen based anthrax vaccine which could reduce demand for BioThrax. In addition, HPA manufactures an anthrax vaccine for use by the government of the United Kingdom. Other countries as well may have anthrax vaccines for use by or in development for their own internal purposes.</w:t>
      </w:r>
    </w:p>
    <w:p>
      <w:pPr>
        <w:spacing w:after="0" w:line="4" w:lineRule="exact"/>
        <w:rPr>
          <w:rFonts w:ascii="Arial" w:cs="Arial" w:eastAsia="Arial" w:hAnsi="Arial"/>
          <w:sz w:val="45"/>
          <w:szCs w:val="45"/>
          <w:b w:val="1"/>
          <w:bCs w:val="1"/>
          <w:color w:val="auto"/>
          <w:vertAlign w:val="subscript"/>
        </w:rPr>
      </w:pPr>
    </w:p>
    <w:p>
      <w:pPr>
        <w:ind w:left="920" w:right="20" w:hanging="302"/>
        <w:spacing w:after="0" w:line="214"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Anthrax immune globulin and monoclonal therapeutic. </w:t>
      </w:r>
      <w:r>
        <w:rPr>
          <w:rFonts w:ascii="Arial" w:cs="Arial" w:eastAsia="Arial" w:hAnsi="Arial"/>
          <w:sz w:val="15"/>
          <w:szCs w:val="15"/>
          <w:color w:val="auto"/>
        </w:rPr>
        <w:t>Cangene is currently developing an anthrax immune globulin based on plasma collected from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military personnel who have been vaccinated with BioThrax; Human Genome Sciences is developing a monoclonal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referred to as ABthrax</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as a post-exposure therapeutic for anthrax infection; Elusys Therapeutics is developing a monoclonal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known as Anthim™, as a pre-exposure and post-exposure prophylaxis for anthrax infection, as well as an active treatment of disease; and PharmAthene and Medarex are collaborating to develop a human antibody to </w:t>
      </w:r>
      <w:r>
        <w:rPr>
          <w:rFonts w:ascii="Arial" w:cs="Arial" w:eastAsia="Arial" w:hAnsi="Arial"/>
          <w:sz w:val="15"/>
          <w:szCs w:val="15"/>
          <w:i w:val="1"/>
          <w:iCs w:val="1"/>
          <w:color w:val="auto"/>
        </w:rPr>
        <w:t>Bacillus anthracis,</w:t>
      </w:r>
      <w:r>
        <w:rPr>
          <w:rFonts w:ascii="Arial" w:cs="Arial" w:eastAsia="Arial" w:hAnsi="Arial"/>
          <w:sz w:val="15"/>
          <w:szCs w:val="15"/>
          <w:color w:val="auto"/>
        </w:rPr>
        <w:t xml:space="preserve"> known as Valortim</w:t>
      </w:r>
      <w:r>
        <w:rPr>
          <w:rFonts w:ascii="Arial" w:cs="Arial" w:eastAsia="Arial" w:hAnsi="Arial"/>
          <w:sz w:val="24"/>
          <w:szCs w:val="24"/>
          <w:color w:val="auto"/>
          <w:vertAlign w:val="superscript"/>
        </w:rPr>
        <w:t>™</w:t>
      </w:r>
      <w:r>
        <w:rPr>
          <w:rFonts w:ascii="Arial" w:cs="Arial" w:eastAsia="Arial" w:hAnsi="Arial"/>
          <w:sz w:val="15"/>
          <w:szCs w:val="15"/>
          <w:color w:val="auto"/>
        </w:rPr>
        <w:t>, to protect human cells from damage by anthrax toxins. The FDA has granted Fast Track designation and orphan drug status for ABthrax and Valortim. HHS awarded contracts to Human Genome Sciences and Cangene in 2005 to supply their anthrax therapeutics for evaluation of efficacy as a post-exposure therapeutic for anthrax infection.</w:t>
      </w:r>
    </w:p>
    <w:p>
      <w:pPr>
        <w:spacing w:after="0" w:line="5" w:lineRule="exact"/>
        <w:rPr>
          <w:rFonts w:ascii="Arial" w:cs="Arial" w:eastAsia="Arial" w:hAnsi="Arial"/>
          <w:sz w:val="39"/>
          <w:szCs w:val="39"/>
          <w:b w:val="1"/>
          <w:bCs w:val="1"/>
          <w:color w:val="auto"/>
          <w:vertAlign w:val="subscript"/>
        </w:rPr>
      </w:pPr>
    </w:p>
    <w:p>
      <w:pPr>
        <w:ind w:left="920" w:right="20" w:hanging="302"/>
        <w:spacing w:after="0" w:line="187" w:lineRule="auto"/>
        <w:tabs>
          <w:tab w:leader="none" w:pos="920" w:val="left"/>
        </w:tabs>
        <w:numPr>
          <w:ilvl w:val="0"/>
          <w:numId w:val="11"/>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Botulinum</w:t>
      </w:r>
      <w:r>
        <w:rPr>
          <w:rFonts w:ascii="Arial" w:cs="Arial" w:eastAsia="Arial" w:hAnsi="Arial"/>
          <w:sz w:val="17"/>
          <w:szCs w:val="17"/>
          <w:color w:val="auto"/>
        </w:rPr>
        <w:t>. In April 2005, the DoD provided additional funding to DynPort Vaccine Company LLC for the continued development of a recombinant bivalent</w:t>
      </w:r>
      <w:r>
        <w:rPr>
          <w:rFonts w:ascii="Arial" w:cs="Arial" w:eastAsia="Arial" w:hAnsi="Arial"/>
          <w:sz w:val="17"/>
          <w:szCs w:val="17"/>
          <w:i w:val="1"/>
          <w:iCs w:val="1"/>
          <w:color w:val="auto"/>
        </w:rPr>
        <w:t xml:space="preserve"> </w:t>
      </w:r>
      <w:r>
        <w:rPr>
          <w:rFonts w:ascii="Arial" w:cs="Arial" w:eastAsia="Arial" w:hAnsi="Arial"/>
          <w:sz w:val="17"/>
          <w:szCs w:val="17"/>
          <w:color w:val="auto"/>
        </w:rPr>
        <w:t>botulinum vaccine for protection against botulinum serotypes A and B. This vaccine is called bivalent because it addresses two of the seven serotypes of botulinum neurotoxin. In June 2006, HHS awarded a five-year development and supply contract with a base value of $362 million to Cangene for a heptavalent botulinum immune globulin derived from equine plasma. The contract provides for the supply of 200,000 doses of a botulinum immune globulin for the SNS.</w:t>
      </w:r>
    </w:p>
    <w:p>
      <w:pPr>
        <w:spacing w:after="0" w:line="4" w:lineRule="exact"/>
        <w:rPr>
          <w:rFonts w:ascii="Arial" w:cs="Arial" w:eastAsia="Arial" w:hAnsi="Arial"/>
          <w:sz w:val="46"/>
          <w:szCs w:val="46"/>
          <w:b w:val="1"/>
          <w:bCs w:val="1"/>
          <w:color w:val="auto"/>
          <w:vertAlign w:val="subscript"/>
        </w:rPr>
      </w:pPr>
    </w:p>
    <w:p>
      <w:pPr>
        <w:ind w:left="920" w:right="180" w:hanging="302"/>
        <w:spacing w:after="0" w:line="184" w:lineRule="auto"/>
        <w:tabs>
          <w:tab w:leader="none" w:pos="920" w:val="left"/>
        </w:tabs>
        <w:numPr>
          <w:ilvl w:val="0"/>
          <w:numId w:val="11"/>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Typhoid vaccine. </w:t>
      </w:r>
      <w:r>
        <w:rPr>
          <w:rFonts w:ascii="Arial" w:cs="Arial" w:eastAsia="Arial" w:hAnsi="Arial"/>
          <w:sz w:val="16"/>
          <w:szCs w:val="16"/>
          <w:color w:val="auto"/>
        </w:rPr>
        <w:t>One oral typhoid vaccine and one injectable typhoid vaccine are currently approved and administered in the United States and Europe.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combination vaccines are available for the prevention of hepatitis A and typhoid infections. Antibiotics typically are used to treat typhoid after infection. Avant Immunotherapeutics Inc. has announced it has an oral, single dose, live attenuated typhoid vaccine candidate in Phase II clinical development with funding from NIAID.</w:t>
      </w:r>
    </w:p>
    <w:p>
      <w:pPr>
        <w:ind w:left="920" w:right="360" w:hanging="302"/>
        <w:spacing w:after="0" w:line="182" w:lineRule="auto"/>
        <w:tabs>
          <w:tab w:leader="none" w:pos="920" w:val="left"/>
        </w:tabs>
        <w:numPr>
          <w:ilvl w:val="0"/>
          <w:numId w:val="11"/>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Hepatitis B therapeutic vaccine. </w:t>
      </w:r>
      <w:r>
        <w:rPr>
          <w:rFonts w:ascii="Arial" w:cs="Arial" w:eastAsia="Arial" w:hAnsi="Arial"/>
          <w:sz w:val="14"/>
          <w:szCs w:val="14"/>
          <w:color w:val="auto"/>
        </w:rPr>
        <w:t>Currently available therapies for this patient population consist mainly of antiviral drugs and immunotherapies,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interferons. There are multiple follow on antivirus and immunotherapies as well as therapeutic vaccines being developed by potential competitors.</w:t>
      </w:r>
    </w:p>
    <w:p>
      <w:pPr>
        <w:ind w:left="920" w:right="720" w:hanging="302"/>
        <w:spacing w:after="0" w:line="182" w:lineRule="auto"/>
        <w:tabs>
          <w:tab w:leader="none" w:pos="920" w:val="left"/>
        </w:tabs>
        <w:numPr>
          <w:ilvl w:val="0"/>
          <w:numId w:val="11"/>
        </w:numPr>
        <w:rPr>
          <w:rFonts w:ascii="Arial" w:cs="Arial" w:eastAsia="Arial" w:hAnsi="Arial"/>
          <w:sz w:val="33"/>
          <w:szCs w:val="33"/>
          <w:b w:val="1"/>
          <w:bCs w:val="1"/>
          <w:color w:val="auto"/>
          <w:vertAlign w:val="subscript"/>
        </w:rPr>
      </w:pPr>
      <w:r>
        <w:rPr>
          <w:rFonts w:ascii="Arial" w:cs="Arial" w:eastAsia="Arial" w:hAnsi="Arial"/>
          <w:sz w:val="14"/>
          <w:szCs w:val="14"/>
          <w:i w:val="1"/>
          <w:iCs w:val="1"/>
          <w:color w:val="auto"/>
        </w:rPr>
        <w:t xml:space="preserve">Group B streptococcus vaccine. </w:t>
      </w:r>
      <w:r>
        <w:rPr>
          <w:rFonts w:ascii="Arial" w:cs="Arial" w:eastAsia="Arial" w:hAnsi="Arial"/>
          <w:sz w:val="14"/>
          <w:szCs w:val="14"/>
          <w:color w:val="auto"/>
        </w:rPr>
        <w:t>The existing method of prevention of group B streptococcus infection in neonates is the targeted administration of</w:t>
      </w:r>
      <w:r>
        <w:rPr>
          <w:rFonts w:ascii="Arial" w:cs="Arial" w:eastAsia="Arial" w:hAnsi="Arial"/>
          <w:sz w:val="14"/>
          <w:szCs w:val="14"/>
          <w:i w:val="1"/>
          <w:iCs w:val="1"/>
          <w:color w:val="auto"/>
        </w:rPr>
        <w:t xml:space="preserve"> </w:t>
      </w:r>
      <w:r>
        <w:rPr>
          <w:rFonts w:ascii="Arial" w:cs="Arial" w:eastAsia="Arial" w:hAnsi="Arial"/>
          <w:sz w:val="14"/>
          <w:szCs w:val="14"/>
          <w:color w:val="auto"/>
        </w:rPr>
        <w:t>intravenous antibiotics to women during labor. A number of competitors have passive immune vaccines in preclinical development.</w:t>
      </w:r>
    </w:p>
    <w:p>
      <w:pPr>
        <w:ind w:left="920" w:right="20" w:hanging="302"/>
        <w:spacing w:after="0" w:line="186"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Chlamydia vaccine. </w:t>
      </w:r>
      <w:r>
        <w:rPr>
          <w:rFonts w:ascii="Arial" w:cs="Arial" w:eastAsia="Arial" w:hAnsi="Arial"/>
          <w:sz w:val="15"/>
          <w:szCs w:val="15"/>
          <w:color w:val="auto"/>
        </w:rPr>
        <w:t>There is no vaccine currently on the market for chlamydia. Although we are not aware of any competing chlamydia vaccine candidate in</w:t>
      </w:r>
      <w:r>
        <w:rPr>
          <w:rFonts w:ascii="Arial" w:cs="Arial" w:eastAsia="Arial" w:hAnsi="Arial"/>
          <w:sz w:val="15"/>
          <w:szCs w:val="15"/>
          <w:i w:val="1"/>
          <w:iCs w:val="1"/>
          <w:color w:val="auto"/>
        </w:rPr>
        <w:t xml:space="preserve"> </w:t>
      </w:r>
      <w:r>
        <w:rPr>
          <w:rFonts w:ascii="Arial" w:cs="Arial" w:eastAsia="Arial" w:hAnsi="Arial"/>
          <w:sz w:val="15"/>
          <w:szCs w:val="15"/>
          <w:color w:val="auto"/>
        </w:rPr>
        <w:t>clinical development, competitors may have chlamydia vaccine candidates in preclinical development. Screening tests and targeted antibiotic treatments have been effective at containing chlamydia in the United States and Europe, which may have the effect of decreasing demand for a vaccine.</w:t>
      </w:r>
    </w:p>
    <w:p>
      <w:pPr>
        <w:ind w:left="920" w:right="60" w:hanging="302"/>
        <w:spacing w:after="0" w:line="186" w:lineRule="auto"/>
        <w:tabs>
          <w:tab w:leader="none" w:pos="920" w:val="left"/>
        </w:tabs>
        <w:numPr>
          <w:ilvl w:val="0"/>
          <w:numId w:val="11"/>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Meningitis B vaccine. </w:t>
      </w:r>
      <w:r>
        <w:rPr>
          <w:rFonts w:ascii="Arial" w:cs="Arial" w:eastAsia="Arial" w:hAnsi="Arial"/>
          <w:sz w:val="15"/>
          <w:szCs w:val="15"/>
          <w:color w:val="auto"/>
        </w:rPr>
        <w:t>Currently, there is no meningitis vaccine on the market that is protective against group B meningococcal infection. Novartis markets a</w:t>
      </w:r>
      <w:r>
        <w:rPr>
          <w:rFonts w:ascii="Arial" w:cs="Arial" w:eastAsia="Arial" w:hAnsi="Arial"/>
          <w:sz w:val="15"/>
          <w:szCs w:val="15"/>
          <w:i w:val="1"/>
          <w:iCs w:val="1"/>
          <w:color w:val="auto"/>
        </w:rPr>
        <w:t xml:space="preserve"> </w:t>
      </w:r>
      <w:r>
        <w:rPr>
          <w:rFonts w:ascii="Arial" w:cs="Arial" w:eastAsia="Arial" w:hAnsi="Arial"/>
          <w:sz w:val="15"/>
          <w:szCs w:val="15"/>
          <w:color w:val="auto"/>
        </w:rPr>
        <w:t>meningitis B vaccine in New Zealand to people under the age of 20 and is also developing a broad coverage protein subunit vaccine candidate. Current meningitis B treatment strategies include antibiotics and clinical support.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Intellectual Property and Licenses</w:t>
      </w:r>
    </w:p>
    <w:p>
      <w:pPr>
        <w:spacing w:after="0" w:line="219"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72790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firstLine="308"/>
        <w:spacing w:after="0" w:line="262" w:lineRule="auto"/>
        <w:rPr>
          <w:sz w:val="20"/>
          <w:szCs w:val="20"/>
          <w:color w:val="auto"/>
        </w:rPr>
      </w:pPr>
      <w:r>
        <w:rPr>
          <w:rFonts w:ascii="Arial" w:cs="Arial" w:eastAsia="Arial" w:hAnsi="Arial"/>
          <w:sz w:val="17"/>
          <w:szCs w:val="17"/>
          <w:color w:val="auto"/>
        </w:rPr>
        <w:t>As of February 22, 2008, we owned or licensed exclusively a total of 14 U.S. patents and 27 U.S. patent applications relating to our biodefense and commercial product candidates,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180" w:lineRule="exact"/>
        <w:rPr>
          <w:sz w:val="20"/>
          <w:szCs w:val="20"/>
          <w:color w:val="auto"/>
        </w:rPr>
      </w:pPr>
    </w:p>
    <w:p>
      <w:pPr>
        <w:ind w:right="280" w:firstLine="308"/>
        <w:spacing w:after="0" w:line="272" w:lineRule="auto"/>
        <w:rPr>
          <w:sz w:val="20"/>
          <w:szCs w:val="20"/>
          <w:color w:val="auto"/>
        </w:rPr>
      </w:pPr>
      <w:r>
        <w:rPr>
          <w:rFonts w:ascii="Arial" w:cs="Arial" w:eastAsia="Arial" w:hAnsi="Arial"/>
          <w:sz w:val="17"/>
          <w:szCs w:val="17"/>
          <w:color w:val="auto"/>
        </w:rPr>
        <w:t>We consider of great importance the patent rights that we own or exclusively licensed from HPA relating to our recombinant bivalent botulinum vaccine candidate and our botulinum toxoid vaccine.</w:t>
      </w:r>
    </w:p>
    <w:p>
      <w:pPr>
        <w:spacing w:after="0" w:line="172" w:lineRule="exact"/>
        <w:rPr>
          <w:sz w:val="20"/>
          <w:szCs w:val="20"/>
          <w:color w:val="auto"/>
        </w:rPr>
      </w:pPr>
    </w:p>
    <w:p>
      <w:pPr>
        <w:ind w:right="220" w:firstLine="308"/>
        <w:spacing w:after="0" w:line="256" w:lineRule="auto"/>
        <w:rPr>
          <w:sz w:val="20"/>
          <w:szCs w:val="20"/>
          <w:color w:val="auto"/>
        </w:rPr>
      </w:pPr>
      <w:r>
        <w:rPr>
          <w:rFonts w:ascii="Arial" w:cs="Arial" w:eastAsia="Arial" w:hAnsi="Arial"/>
          <w:sz w:val="17"/>
          <w:szCs w:val="17"/>
          <w:color w:val="auto"/>
        </w:rPr>
        <w:t>We consider the following patents that we own or have licensed exclusively to be most important to the protection of our commercial vaccine candidates that are in clinical development.</w:t>
      </w:r>
    </w:p>
    <w:p>
      <w:pPr>
        <w:spacing w:after="0" w:line="198" w:lineRule="exact"/>
        <w:rPr>
          <w:sz w:val="20"/>
          <w:szCs w:val="20"/>
          <w:color w:val="auto"/>
        </w:rPr>
      </w:pPr>
    </w:p>
    <w:p>
      <w:pPr>
        <w:ind w:left="540" w:right="120" w:hanging="230"/>
        <w:spacing w:after="0" w:line="213" w:lineRule="auto"/>
        <w:tabs>
          <w:tab w:leader="none" w:pos="540" w:val="left"/>
        </w:tabs>
        <w:numPr>
          <w:ilvl w:val="0"/>
          <w:numId w:val="12"/>
        </w:numPr>
        <w:rPr>
          <w:rFonts w:ascii="Arial" w:cs="Arial" w:eastAsia="Arial" w:hAnsi="Arial"/>
          <w:sz w:val="45"/>
          <w:szCs w:val="45"/>
          <w:b w:val="1"/>
          <w:bCs w:val="1"/>
          <w:color w:val="auto"/>
          <w:vertAlign w:val="subscript"/>
        </w:rPr>
      </w:pPr>
      <w:r>
        <w:rPr>
          <w:rFonts w:ascii="Arial" w:cs="Arial" w:eastAsia="Arial" w:hAnsi="Arial"/>
          <w:sz w:val="16"/>
          <w:szCs w:val="16"/>
          <w:i w:val="1"/>
          <w:iCs w:val="1"/>
          <w:color w:val="auto"/>
        </w:rPr>
        <w:t xml:space="preserve">Typhoid vaccine. </w:t>
      </w:r>
      <w:r>
        <w:rPr>
          <w:rFonts w:ascii="Arial" w:cs="Arial" w:eastAsia="Arial" w:hAnsi="Arial"/>
          <w:sz w:val="16"/>
          <w:szCs w:val="16"/>
          <w:color w:val="auto"/>
        </w:rPr>
        <w:t>We hold three U.S. patents relating to our typhoid vaccine candidate. These patents have claims to the composition of matter of the vaccine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 and methods of use of live attenuated </w:t>
      </w:r>
      <w:r>
        <w:rPr>
          <w:rFonts w:ascii="Arial" w:cs="Arial" w:eastAsia="Arial" w:hAnsi="Arial"/>
          <w:sz w:val="16"/>
          <w:szCs w:val="16"/>
          <w:i w:val="1"/>
          <w:iCs w:val="1"/>
          <w:color w:val="auto"/>
        </w:rPr>
        <w:t>Salmonella typhi</w:t>
      </w:r>
      <w:r>
        <w:rPr>
          <w:rFonts w:ascii="Arial" w:cs="Arial" w:eastAsia="Arial" w:hAnsi="Arial"/>
          <w:sz w:val="16"/>
          <w:szCs w:val="16"/>
          <w:color w:val="auto"/>
        </w:rPr>
        <w:t xml:space="preserve"> bacteria as vaccines for the treatment and prevention of typhoid and for the delivery of vaccine antigens. In addition, we have three pending U.S. patent applications with claims to additional compositions and methods of therapy that are generally related to our typhoid vaccine candidate. Our issued U.S. patents expire, and, if issued, our U.S. patent applications would expire, between 2015 and 2020. We hold 46 foreign counterparts to our issued U.S. patents relating to our typhoid vaccine candidate, including counterparts under the European Patent Convention and in Japan, that expire, and 15 foreign patent applications that, if issued, would expire, between 2015 and 2020. Additional patents relating to our typhoid vaccine and delivery of vaccine antigens are discussed below under “STM technology.”</w:t>
      </w:r>
    </w:p>
    <w:p>
      <w:pPr>
        <w:spacing w:after="0" w:line="4" w:lineRule="exact"/>
        <w:rPr>
          <w:rFonts w:ascii="Arial" w:cs="Arial" w:eastAsia="Arial" w:hAnsi="Arial"/>
          <w:sz w:val="45"/>
          <w:szCs w:val="45"/>
          <w:b w:val="1"/>
          <w:bCs w:val="1"/>
          <w:color w:val="auto"/>
          <w:vertAlign w:val="subscript"/>
        </w:rPr>
      </w:pPr>
    </w:p>
    <w:p>
      <w:pPr>
        <w:ind w:left="540" w:right="40" w:hanging="230"/>
        <w:spacing w:after="0" w:line="202" w:lineRule="auto"/>
        <w:tabs>
          <w:tab w:leader="none" w:pos="540" w:val="left"/>
        </w:tabs>
        <w:numPr>
          <w:ilvl w:val="0"/>
          <w:numId w:val="12"/>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Our hepatitis B therapeutic vaccine candidate uses our proprietary</w:t>
      </w:r>
      <w:r>
        <w:rPr>
          <w:rFonts w:ascii="Arial" w:cs="Arial" w:eastAsia="Arial" w:hAnsi="Arial"/>
          <w:sz w:val="17"/>
          <w:szCs w:val="17"/>
          <w:i w:val="1"/>
          <w:iCs w:val="1"/>
          <w:color w:val="auto"/>
        </w:rPr>
        <w:t xml:space="preserve"> spi</w:t>
      </w:r>
      <w:r>
        <w:rPr>
          <w:rFonts w:ascii="Arial" w:cs="Arial" w:eastAsia="Arial" w:hAnsi="Arial"/>
          <w:sz w:val="17"/>
          <w:szCs w:val="17"/>
          <w:color w:val="auto"/>
        </w:rPr>
        <w:t>-VEC oral delivery system technology to deliver hepatitis 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 xml:space="preserve">-VEC is based on our live attenuated typhoid vaccine candidate and employed recombinant technology to insert the gene for hepatitis B core antigen into the live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bacteria. As a result, the patents relating to our typhoid vaccine candidate also protect our hepatitis B therapeutic vaccine candidate. In addition, we hold one U.S. patent with claims to the use of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organisms for the delivery of hepatitis B vaccine antigens, which expire in 2019.We also have three pending U.S. patent applications relating to our hepatitis B therapeutic vaccine candidate, which if issued also would expire in 2019. We have five foreign patent applications relating to our hepatitis B therapeutic vaccine candidate that, if issued, would expire in 2019.</w:t>
      </w:r>
    </w:p>
    <w:p>
      <w:pPr>
        <w:spacing w:after="0" w:line="3" w:lineRule="exact"/>
        <w:rPr>
          <w:rFonts w:ascii="Arial" w:cs="Arial" w:eastAsia="Arial" w:hAnsi="Arial"/>
          <w:sz w:val="46"/>
          <w:szCs w:val="46"/>
          <w:b w:val="1"/>
          <w:bCs w:val="1"/>
          <w:color w:val="auto"/>
          <w:vertAlign w:val="subscript"/>
        </w:rPr>
      </w:pPr>
    </w:p>
    <w:p>
      <w:pPr>
        <w:ind w:left="540" w:right="20" w:hanging="230"/>
        <w:spacing w:after="0" w:line="196" w:lineRule="auto"/>
        <w:tabs>
          <w:tab w:leader="none" w:pos="540" w:val="left"/>
        </w:tabs>
        <w:numPr>
          <w:ilvl w:val="0"/>
          <w:numId w:val="12"/>
        </w:numPr>
        <w:rPr>
          <w:rFonts w:ascii="Arial" w:cs="Arial" w:eastAsia="Arial" w:hAnsi="Arial"/>
          <w:sz w:val="46"/>
          <w:szCs w:val="46"/>
          <w:b w:val="1"/>
          <w:bCs w:val="1"/>
          <w:color w:val="auto"/>
          <w:vertAlign w:val="subscript"/>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We hold three U.S. patents relating to our group B streptococcus vaccine candidate with claims to the composition of matter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vaccine candidate and methods of use for the prevention or treatment of infection caused by </w:t>
      </w:r>
      <w:r>
        <w:rPr>
          <w:rFonts w:ascii="Arial" w:cs="Arial" w:eastAsia="Arial" w:hAnsi="Arial"/>
          <w:sz w:val="17"/>
          <w:szCs w:val="17"/>
          <w:i w:val="1"/>
          <w:iCs w:val="1"/>
          <w:color w:val="auto"/>
        </w:rPr>
        <w:t>Streptococcus agalactiae.</w:t>
      </w:r>
      <w:r>
        <w:rPr>
          <w:rFonts w:ascii="Arial" w:cs="Arial" w:eastAsia="Arial" w:hAnsi="Arial"/>
          <w:sz w:val="17"/>
          <w:szCs w:val="17"/>
          <w:color w:val="auto"/>
        </w:rPr>
        <w:t xml:space="preserve"> In addition, we have seven pending U.S. patent applications with claims to additional compositions and methods of therapy relating to our group B streptococcus vaccine candidate. Our issued U.S. patents expire, and, if issued, our U.S. patent applications would expire, between 2019 and 2027. We hold 82 foreign counterpart patents relating to our group B streptococcus vaccine candidate, including counterparts under the European Patent Convention and in Japan, that expire, and 34 foreign patent applications that, if issued, would expire, in 2019.</w:t>
      </w:r>
    </w:p>
    <w:p>
      <w:pPr>
        <w:ind w:left="540" w:hanging="230"/>
        <w:spacing w:after="0" w:line="216" w:lineRule="auto"/>
        <w:tabs>
          <w:tab w:leader="none" w:pos="540" w:val="left"/>
        </w:tabs>
        <w:numPr>
          <w:ilvl w:val="0"/>
          <w:numId w:val="12"/>
        </w:numPr>
        <w:rPr>
          <w:rFonts w:ascii="Arial" w:cs="Arial" w:eastAsia="Arial" w:hAnsi="Arial"/>
          <w:sz w:val="39"/>
          <w:szCs w:val="39"/>
          <w:b w:val="1"/>
          <w:bCs w:val="1"/>
          <w:color w:val="auto"/>
          <w:vertAlign w:val="subscript"/>
        </w:rPr>
      </w:pPr>
      <w:r>
        <w:rPr>
          <w:rFonts w:ascii="Arial" w:cs="Arial" w:eastAsia="Arial" w:hAnsi="Arial"/>
          <w:sz w:val="15"/>
          <w:szCs w:val="15"/>
          <w:i w:val="1"/>
          <w:iCs w:val="1"/>
          <w:color w:val="auto"/>
        </w:rPr>
        <w:t xml:space="preserve">STM technology. </w:t>
      </w:r>
      <w:r>
        <w:rPr>
          <w:rFonts w:ascii="Arial" w:cs="Arial" w:eastAsia="Arial" w:hAnsi="Arial"/>
          <w:sz w:val="15"/>
          <w:szCs w:val="15"/>
          <w:color w:val="auto"/>
        </w:rPr>
        <w:t>We own three U.S. patents with claims to methods for the identification of virulence genes using our signature tagged mutagenesis, or STM,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technology, which we used to identify and develop the gene mutations that form the basis of our typhoid vaccine and hepatitis B therapeutic vaccine candidates. We also own 16 foreign counterpart patents, including counterparts under the European Patent Convention and in Japan. These patents relating to the STM method will expire in 2015. We also hold 16 foreign patent applications that, if issued would expire in 2015. Our rights under these patents are licensed on a limited non-exclusive basis to third parties to practice the STM method with respect to specific microorganisms, not including </w:t>
      </w:r>
      <w:r>
        <w:rPr>
          <w:rFonts w:ascii="Arial" w:cs="Arial" w:eastAsia="Arial" w:hAnsi="Arial"/>
          <w:sz w:val="15"/>
          <w:szCs w:val="15"/>
          <w:i w:val="1"/>
          <w:iCs w:val="1"/>
          <w:color w:val="auto"/>
        </w:rPr>
        <w:t>Salmonella typh</w:t>
      </w:r>
      <w:r>
        <w:rPr>
          <w:rFonts w:ascii="Arial" w:cs="Arial" w:eastAsia="Arial" w:hAnsi="Arial"/>
          <w:sz w:val="15"/>
          <w:szCs w:val="15"/>
          <w:color w:val="auto"/>
        </w:rPr>
        <w:t>i or hepatitis virus.</w:t>
      </w:r>
    </w:p>
    <w:p>
      <w:pPr>
        <w:spacing w:after="0" w:line="199"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 products. In addition, our competitors may independently develop similar technologies or duplicate any technology developed by us, and the rights granted under any issued patents may not provide us with any meaningful competitive advantages against these competitors. We may become subject to patent interference proceedings or claims that our products infringe or violate the intellectual property rights of third parties.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161290</wp:posOffset>
            </wp:positionV>
            <wp:extent cx="72790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firstLine="308"/>
        <w:spacing w:after="0" w:line="272" w:lineRule="auto"/>
        <w:rPr>
          <w:sz w:val="20"/>
          <w:szCs w:val="20"/>
          <w:color w:val="auto"/>
        </w:rPr>
      </w:pPr>
      <w:r>
        <w:rPr>
          <w:rFonts w:ascii="Arial" w:cs="Arial" w:eastAsia="Arial" w:hAnsi="Arial"/>
          <w:sz w:val="16"/>
          <w:szCs w:val="16"/>
          <w:color w:val="auto"/>
        </w:rPr>
        <w:t>We also rely on trade secrets relating to manufacturing processes and product development to protect our business. Because we do not have patent protection for BioThrax or for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75" w:lineRule="exact"/>
        <w:rPr>
          <w:sz w:val="20"/>
          <w:szCs w:val="20"/>
          <w:color w:val="auto"/>
        </w:rPr>
      </w:pPr>
    </w:p>
    <w:p>
      <w:pPr>
        <w:ind w:right="60" w:firstLine="308"/>
        <w:spacing w:after="0" w:line="299" w:lineRule="auto"/>
        <w:rPr>
          <w:sz w:val="20"/>
          <w:szCs w:val="20"/>
          <w:color w:val="auto"/>
        </w:rPr>
      </w:pPr>
      <w:r>
        <w:rPr>
          <w:rFonts w:ascii="Arial" w:cs="Arial" w:eastAsia="Arial" w:hAnsi="Arial"/>
          <w:sz w:val="15"/>
          <w:szCs w:val="15"/>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current product portfolio or development pipeline are our agreements with HPA, which are described below. We also have a license agreement with the Bavarian State Ministry of the Environment, Public Health and Consumer Protection, or StMUGV, relating to a viral vector technology that we may use in the development of future product candidates, which is also described below.</w:t>
      </w:r>
    </w:p>
    <w:p>
      <w:pPr>
        <w:spacing w:after="0" w:line="156"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i w:val="1"/>
          <w:iCs w:val="1"/>
          <w:color w:val="auto"/>
        </w:rPr>
        <w:t xml:space="preserve">HPA agreements. </w:t>
      </w:r>
      <w:r>
        <w:rPr>
          <w:rFonts w:ascii="Arial" w:cs="Arial" w:eastAsia="Arial" w:hAnsi="Arial"/>
          <w:sz w:val="17"/>
          <w:szCs w:val="17"/>
          <w:color w:val="auto"/>
        </w:rPr>
        <w:t>In November 2004, we entered into two separate license agreements with HPA for our botulinum toxoid vaccine and our recombinant bivalent</w:t>
      </w:r>
      <w:r>
        <w:rPr>
          <w:rFonts w:ascii="Arial" w:cs="Arial" w:eastAsia="Arial" w:hAnsi="Arial"/>
          <w:sz w:val="17"/>
          <w:szCs w:val="17"/>
          <w:i w:val="1"/>
          <w:iCs w:val="1"/>
          <w:color w:val="auto"/>
        </w:rPr>
        <w:t xml:space="preserve"> </w:t>
      </w:r>
      <w:r>
        <w:rPr>
          <w:rFonts w:ascii="Arial" w:cs="Arial" w:eastAsia="Arial" w:hAnsi="Arial"/>
          <w:sz w:val="17"/>
          <w:szCs w:val="17"/>
          <w:color w:val="auto"/>
        </w:rPr>
        <w:t>botulinum vaccine candidate. 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84"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 xml:space="preserve">The licensed patent portfolio includes three U.S. patents with claims to the composition of matter of recombinant components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and the use of such components in vaccines for the treatment or prevention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infection or toxicity. These patents expire in 2016. Additional composition of matter and method of use claims are pending in four U.S. patent applications, which if issued as patents also would expire in 2016. The licensed portfolio also includes five foreign patents and three foreign applications, which if issued would expire in 2016.</w:t>
      </w:r>
    </w:p>
    <w:p>
      <w:pPr>
        <w:spacing w:after="0" w:line="185"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180"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85" w:lineRule="exact"/>
        <w:rPr>
          <w:sz w:val="20"/>
          <w:szCs w:val="20"/>
          <w:color w:val="auto"/>
        </w:rPr>
      </w:pPr>
    </w:p>
    <w:p>
      <w:pPr>
        <w:ind w:right="140" w:firstLine="308"/>
        <w:spacing w:after="0" w:line="279" w:lineRule="auto"/>
        <w:rPr>
          <w:sz w:val="20"/>
          <w:szCs w:val="20"/>
          <w:color w:val="auto"/>
        </w:rPr>
      </w:pPr>
      <w:r>
        <w:rPr>
          <w:rFonts w:ascii="Arial" w:cs="Arial" w:eastAsia="Arial" w:hAnsi="Arial"/>
          <w:sz w:val="16"/>
          <w:szCs w:val="16"/>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$1.0 million under each development agreement to compensate HPA for this development work. HPA also agreed to provide us with clinical supplies of the botulinum toxoid product and the recombinant botulinum product for clinical trials.</w:t>
      </w:r>
    </w:p>
    <w:p>
      <w:pPr>
        <w:spacing w:after="0" w:line="170" w:lineRule="exact"/>
        <w:rPr>
          <w:sz w:val="20"/>
          <w:szCs w:val="20"/>
          <w:color w:val="auto"/>
        </w:rPr>
      </w:pPr>
    </w:p>
    <w:p>
      <w:pPr>
        <w:ind w:right="80" w:firstLine="308"/>
        <w:spacing w:after="0" w:line="275" w:lineRule="auto"/>
        <w:rPr>
          <w:sz w:val="20"/>
          <w:szCs w:val="20"/>
          <w:color w:val="auto"/>
        </w:rPr>
      </w:pPr>
      <w:r>
        <w:rPr>
          <w:rFonts w:ascii="Arial" w:cs="Arial" w:eastAsia="Arial" w:hAnsi="Arial"/>
          <w:sz w:val="16"/>
          <w:szCs w:val="16"/>
          <w:color w:val="auto"/>
        </w:rPr>
        <w:t>The term of each development agreement lasts until the development activities are completed. Each of the development agreements automatically terminates if the applicable license agreement is terminated. 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right="60" w:firstLine="308"/>
        <w:spacing w:after="0" w:line="276" w:lineRule="auto"/>
        <w:rPr>
          <w:sz w:val="20"/>
          <w:szCs w:val="20"/>
          <w:color w:val="auto"/>
        </w:rPr>
      </w:pPr>
      <w:r>
        <w:rPr>
          <w:rFonts w:ascii="Arial" w:cs="Arial" w:eastAsia="Arial" w:hAnsi="Arial"/>
          <w:sz w:val="16"/>
          <w:szCs w:val="16"/>
          <w:i w:val="1"/>
          <w:iCs w:val="1"/>
          <w:color w:val="auto"/>
        </w:rPr>
        <w:t xml:space="preserve">MVA platform technology. </w:t>
      </w:r>
      <w:r>
        <w:rPr>
          <w:rFonts w:ascii="Arial" w:cs="Arial" w:eastAsia="Arial" w:hAnsi="Arial"/>
          <w:sz w:val="16"/>
          <w:szCs w:val="16"/>
          <w:color w:val="auto"/>
        </w:rPr>
        <w:t>In July 2006, in connection with our acquisition of ViVacs GmbH, or Vivacs, a German limited liability company, we acquired a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StMUGV that provides us the non-exclusive, worldwide right to develop and produce viruses and viral products, including recombinant viral vectors, using the modified vaccinia Ankara virus, or MVA. Under the license agreement, we are required to pay StMUGV a percentage of the net revenue or license fees, that we receive from products developed using MVA that are used for research or other purposes and a percentage of the license fees that we receive from products developed using MVA that are licensed as starting material for the production of a smallpox vaccine.</w:t>
      </w:r>
    </w:p>
    <w:p>
      <w:pPr>
        <w:spacing w:after="0" w:line="173" w:lineRule="exact"/>
        <w:rPr>
          <w:sz w:val="20"/>
          <w:szCs w:val="20"/>
          <w:color w:val="auto"/>
        </w:rPr>
      </w:pPr>
    </w:p>
    <w:p>
      <w:pPr>
        <w:ind w:right="200" w:firstLine="308"/>
        <w:spacing w:after="0" w:line="303" w:lineRule="auto"/>
        <w:rPr>
          <w:sz w:val="20"/>
          <w:szCs w:val="20"/>
          <w:color w:val="auto"/>
        </w:rPr>
      </w:pPr>
      <w:r>
        <w:rPr>
          <w:rFonts w:ascii="Arial" w:cs="Arial" w:eastAsia="Arial" w:hAnsi="Arial"/>
          <w:sz w:val="15"/>
          <w:szCs w:val="15"/>
          <w:color w:val="auto"/>
        </w:rPr>
        <w:t>The license agreement does not have a specified term. In addition, StMUGV may terminate the license agreement upon the insolvency or liquidation of our wholly owned subsidiary, Emergent Product Development GmbH, formerly ViVacs GmbH. Our MVA platform technology, which is based on these licensed rights, could potentially be used as a viral vector for delivery of multiple vaccine antigens for different disease-causing organisms using recombinant technology. We are currently exploring potential product candidates based on our MVA platform, include a broadly cross protective influenza vaccine candidate.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Government Regulation</w:t>
      </w:r>
    </w:p>
    <w:p>
      <w:pPr>
        <w:spacing w:after="0" w:line="219"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 and product candidates.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U.S. Government Regulation</w:t>
      </w:r>
    </w:p>
    <w:p>
      <w:pPr>
        <w:spacing w:after="0" w:line="219"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 a product. Violations of regulatory requirements also may result in enforcement actions, including withdrawal of product approval, labeling restrictions, seizure of products, fines, injunctions or civil or criminal penalties.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process required by the FDA under these laws before our product candidates may be marketed in the United States generally involves the following:</w:t>
      </w:r>
    </w:p>
    <w:p>
      <w:pPr>
        <w:ind w:left="620" w:hanging="310"/>
        <w:spacing w:after="0" w:line="199" w:lineRule="auto"/>
        <w:tabs>
          <w:tab w:leader="none" w:pos="620" w:val="left"/>
        </w:tabs>
        <w:numPr>
          <w:ilvl w:val="0"/>
          <w:numId w:val="13"/>
        </w:numPr>
        <w:rPr>
          <w:rFonts w:ascii="Arial" w:cs="Arial" w:eastAsia="Arial" w:hAnsi="Arial"/>
          <w:sz w:val="46"/>
          <w:szCs w:val="46"/>
          <w:b w:val="1"/>
          <w:bCs w:val="1"/>
          <w:color w:val="auto"/>
          <w:vertAlign w:val="subscript"/>
        </w:rPr>
      </w:pPr>
      <w:r>
        <w:rPr>
          <w:rFonts w:ascii="Arial" w:cs="Arial" w:eastAsia="Arial" w:hAnsi="Arial"/>
          <w:sz w:val="17"/>
          <w:szCs w:val="17"/>
          <w:color w:val="auto"/>
        </w:rPr>
        <w:t>preclinical laboratory and animal tests;</w:t>
      </w:r>
    </w:p>
    <w:p>
      <w:pPr>
        <w:spacing w:after="0" w:line="69" w:lineRule="exact"/>
        <w:rPr>
          <w:rFonts w:ascii="Arial" w:cs="Arial" w:eastAsia="Arial" w:hAnsi="Arial"/>
          <w:sz w:val="46"/>
          <w:szCs w:val="46"/>
          <w:b w:val="1"/>
          <w:bCs w:val="1"/>
          <w:color w:val="auto"/>
          <w:vertAlign w:val="subscript"/>
        </w:rPr>
      </w:pPr>
    </w:p>
    <w:p>
      <w:pPr>
        <w:ind w:left="620" w:hanging="310"/>
        <w:spacing w:after="0" w:line="181" w:lineRule="auto"/>
        <w:tabs>
          <w:tab w:leader="none" w:pos="620" w:val="left"/>
        </w:tabs>
        <w:numPr>
          <w:ilvl w:val="0"/>
          <w:numId w:val="13"/>
        </w:numPr>
        <w:rPr>
          <w:rFonts w:ascii="Arial" w:cs="Arial" w:eastAsia="Arial" w:hAnsi="Arial"/>
          <w:sz w:val="23"/>
          <w:szCs w:val="23"/>
          <w:b w:val="1"/>
          <w:bCs w:val="1"/>
          <w:color w:val="auto"/>
          <w:vertAlign w:val="subscript"/>
        </w:rPr>
      </w:pPr>
      <w:r>
        <w:rPr>
          <w:rFonts w:ascii="Arial" w:cs="Arial" w:eastAsia="Arial" w:hAnsi="Arial"/>
          <w:sz w:val="12"/>
          <w:szCs w:val="12"/>
          <w:color w:val="auto"/>
        </w:rPr>
        <w:t>submission to the FDA of an IND, which must become effective before clinical trials may begin;</w:t>
      </w:r>
    </w:p>
    <w:p>
      <w:pPr>
        <w:spacing w:after="0" w:line="69" w:lineRule="exact"/>
        <w:rPr>
          <w:rFonts w:ascii="Arial" w:cs="Arial" w:eastAsia="Arial" w:hAnsi="Arial"/>
          <w:sz w:val="23"/>
          <w:szCs w:val="23"/>
          <w:b w:val="1"/>
          <w:bCs w:val="1"/>
          <w:color w:val="auto"/>
          <w:vertAlign w:val="subscript"/>
        </w:rPr>
      </w:pPr>
    </w:p>
    <w:p>
      <w:pPr>
        <w:ind w:left="620" w:hanging="310"/>
        <w:spacing w:after="0" w:line="181" w:lineRule="auto"/>
        <w:tabs>
          <w:tab w:leader="none" w:pos="620" w:val="left"/>
        </w:tabs>
        <w:numPr>
          <w:ilvl w:val="0"/>
          <w:numId w:val="13"/>
        </w:numPr>
        <w:rPr>
          <w:rFonts w:ascii="Arial" w:cs="Arial" w:eastAsia="Arial" w:hAnsi="Arial"/>
          <w:sz w:val="23"/>
          <w:szCs w:val="23"/>
          <w:b w:val="1"/>
          <w:bCs w:val="1"/>
          <w:color w:val="auto"/>
          <w:vertAlign w:val="subscript"/>
        </w:rPr>
      </w:pPr>
      <w:r>
        <w:rPr>
          <w:rFonts w:ascii="Arial" w:cs="Arial" w:eastAsia="Arial" w:hAnsi="Arial"/>
          <w:sz w:val="12"/>
          <w:szCs w:val="12"/>
          <w:color w:val="auto"/>
        </w:rPr>
        <w:t>completion of human clinical trials and other studies to establish the safety and efficacy of the proposed product for each intended use;</w:t>
      </w:r>
    </w:p>
    <w:p>
      <w:pPr>
        <w:spacing w:after="0" w:line="69" w:lineRule="exact"/>
        <w:rPr>
          <w:rFonts w:ascii="Arial" w:cs="Arial" w:eastAsia="Arial" w:hAnsi="Arial"/>
          <w:sz w:val="23"/>
          <w:szCs w:val="23"/>
          <w:b w:val="1"/>
          <w:bCs w:val="1"/>
          <w:color w:val="auto"/>
          <w:vertAlign w:val="subscript"/>
        </w:rPr>
      </w:pPr>
    </w:p>
    <w:p>
      <w:pPr>
        <w:ind w:left="620" w:right="20" w:hanging="310"/>
        <w:spacing w:after="0" w:line="183" w:lineRule="auto"/>
        <w:tabs>
          <w:tab w:leader="none" w:pos="620" w:val="left"/>
        </w:tabs>
        <w:numPr>
          <w:ilvl w:val="0"/>
          <w:numId w:val="13"/>
        </w:numPr>
        <w:rPr>
          <w:rFonts w:ascii="Arial" w:cs="Arial" w:eastAsia="Arial" w:hAnsi="Arial"/>
          <w:sz w:val="32"/>
          <w:szCs w:val="32"/>
          <w:b w:val="1"/>
          <w:bCs w:val="1"/>
          <w:color w:val="auto"/>
          <w:vertAlign w:val="subscript"/>
        </w:rPr>
      </w:pPr>
      <w:r>
        <w:rPr>
          <w:rFonts w:ascii="Arial" w:cs="Arial" w:eastAsia="Arial" w:hAnsi="Arial"/>
          <w:sz w:val="14"/>
          <w:szCs w:val="14"/>
          <w:color w:val="auto"/>
        </w:rPr>
        <w:t>FDA review of facilities in which the product is manufactured, processed, packed and held to determine compliance with cGMP requirements designed to assure the product’s continued quality; and</w:t>
      </w:r>
    </w:p>
    <w:p>
      <w:pPr>
        <w:spacing w:after="0" w:line="1" w:lineRule="exact"/>
        <w:rPr>
          <w:rFonts w:ascii="Arial" w:cs="Arial" w:eastAsia="Arial" w:hAnsi="Arial"/>
          <w:sz w:val="32"/>
          <w:szCs w:val="32"/>
          <w:b w:val="1"/>
          <w:bCs w:val="1"/>
          <w:color w:val="auto"/>
          <w:vertAlign w:val="subscript"/>
        </w:rPr>
      </w:pPr>
    </w:p>
    <w:p>
      <w:pPr>
        <w:ind w:left="620" w:right="440" w:hanging="310"/>
        <w:spacing w:after="0" w:line="182" w:lineRule="auto"/>
        <w:tabs>
          <w:tab w:leader="none" w:pos="620" w:val="left"/>
        </w:tabs>
        <w:numPr>
          <w:ilvl w:val="0"/>
          <w:numId w:val="13"/>
        </w:numPr>
        <w:rPr>
          <w:rFonts w:ascii="Arial" w:cs="Arial" w:eastAsia="Arial" w:hAnsi="Arial"/>
          <w:sz w:val="33"/>
          <w:szCs w:val="33"/>
          <w:b w:val="1"/>
          <w:bCs w:val="1"/>
          <w:color w:val="auto"/>
          <w:vertAlign w:val="subscript"/>
        </w:rPr>
      </w:pPr>
      <w:r>
        <w:rPr>
          <w:rFonts w:ascii="Arial" w:cs="Arial" w:eastAsia="Arial" w:hAnsi="Arial"/>
          <w:sz w:val="14"/>
          <w:szCs w:val="14"/>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198" w:lineRule="exact"/>
        <w:rPr>
          <w:sz w:val="20"/>
          <w:szCs w:val="20"/>
          <w:color w:val="auto"/>
        </w:rPr>
      </w:pPr>
    </w:p>
    <w:p>
      <w:pPr>
        <w:ind w:right="820" w:firstLine="308"/>
        <w:spacing w:after="0" w:line="272" w:lineRule="auto"/>
        <w:rPr>
          <w:sz w:val="20"/>
          <w:szCs w:val="20"/>
          <w:color w:val="auto"/>
        </w:rPr>
      </w:pPr>
      <w:r>
        <w:rPr>
          <w:rFonts w:ascii="Arial" w:cs="Arial" w:eastAsia="Arial" w:hAnsi="Arial"/>
          <w:sz w:val="17"/>
          <w:szCs w:val="17"/>
          <w:color w:val="auto"/>
        </w:rPr>
        <w:t>The research, development and approval process requires substantial time, effort and financial resources, and approvals may not be granted on a timely or commercially viable basis, if at all.</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Preclinical Studies and the IND</w:t>
      </w:r>
    </w:p>
    <w:p>
      <w:pPr>
        <w:spacing w:after="0" w:line="219"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left="320"/>
        <w:spacing w:after="0"/>
        <w:rPr>
          <w:sz w:val="20"/>
          <w:szCs w:val="20"/>
          <w:color w:val="auto"/>
        </w:rPr>
      </w:pPr>
      <w:r>
        <w:rPr>
          <w:rFonts w:ascii="Arial" w:cs="Arial" w:eastAsia="Arial" w:hAnsi="Arial"/>
          <w:sz w:val="17"/>
          <w:szCs w:val="17"/>
          <w:b w:val="1"/>
          <w:bCs w:val="1"/>
          <w:color w:val="auto"/>
        </w:rPr>
        <w:t>Clinical Trials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Human clinical trials are typically conducted in three sequential phases, which may overlap:</w:t>
      </w:r>
    </w:p>
    <w:p>
      <w:pPr>
        <w:spacing w:after="0" w:line="215" w:lineRule="exact"/>
        <w:rPr>
          <w:sz w:val="20"/>
          <w:szCs w:val="20"/>
          <w:color w:val="auto"/>
        </w:rPr>
      </w:pPr>
    </w:p>
    <w:p>
      <w:pPr>
        <w:ind w:left="620" w:right="380" w:hanging="310"/>
        <w:spacing w:after="0" w:line="181" w:lineRule="auto"/>
        <w:tabs>
          <w:tab w:leader="none" w:pos="620"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4"/>
          <w:szCs w:val="14"/>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1" w:lineRule="exact"/>
        <w:rPr>
          <w:rFonts w:ascii="Arial" w:cs="Arial" w:eastAsia="Arial" w:hAnsi="Arial"/>
          <w:sz w:val="34"/>
          <w:szCs w:val="34"/>
          <w:b w:val="1"/>
          <w:bCs w:val="1"/>
          <w:color w:val="auto"/>
          <w:vertAlign w:val="subscript"/>
        </w:rPr>
      </w:pPr>
    </w:p>
    <w:p>
      <w:pPr>
        <w:ind w:left="620" w:right="100" w:hanging="310"/>
        <w:spacing w:after="0" w:line="182" w:lineRule="auto"/>
        <w:tabs>
          <w:tab w:leader="none" w:pos="620" w:val="left"/>
        </w:tabs>
        <w:numPr>
          <w:ilvl w:val="0"/>
          <w:numId w:val="14"/>
        </w:numPr>
        <w:rPr>
          <w:rFonts w:ascii="Arial" w:cs="Arial" w:eastAsia="Arial" w:hAnsi="Arial"/>
          <w:sz w:val="33"/>
          <w:szCs w:val="33"/>
          <w:b w:val="1"/>
          <w:bCs w:val="1"/>
          <w:color w:val="auto"/>
          <w:vertAlign w:val="subscript"/>
        </w:rPr>
      </w:pPr>
      <w:r>
        <w:rPr>
          <w:rFonts w:ascii="Arial" w:cs="Arial" w:eastAsia="Arial" w:hAnsi="Arial"/>
          <w:sz w:val="14"/>
          <w:szCs w:val="14"/>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jc w:val="both"/>
        <w:ind w:left="620" w:right="80" w:hanging="310"/>
        <w:spacing w:after="0" w:line="186" w:lineRule="auto"/>
        <w:tabs>
          <w:tab w:leader="none" w:pos="620" w:val="left"/>
        </w:tabs>
        <w:numPr>
          <w:ilvl w:val="0"/>
          <w:numId w:val="14"/>
        </w:numPr>
        <w:rPr>
          <w:rFonts w:ascii="Arial" w:cs="Arial" w:eastAsia="Arial" w:hAnsi="Arial"/>
          <w:sz w:val="39"/>
          <w:szCs w:val="39"/>
          <w:b w:val="1"/>
          <w:bCs w:val="1"/>
          <w:color w:val="auto"/>
          <w:vertAlign w:val="subscript"/>
        </w:rPr>
      </w:pPr>
      <w:r>
        <w:rPr>
          <w:rFonts w:ascii="Arial" w:cs="Arial" w:eastAsia="Arial" w:hAnsi="Arial"/>
          <w:sz w:val="15"/>
          <w:szCs w:val="15"/>
          <w:color w:val="auto"/>
        </w:rPr>
        <w:t>A Phase III clinical trial is undertaken if a Phase II clinical trial demonstrates that a dosage range of the drug or biologic is effective and has an acceptable safety profile. In a Phase III clinical trial, the drug or biologic is administered to an expanded population, often at geographically dispersed clinical trial sites, to further evaluate dosage and clinical efficacy and to further test for safety.</w:t>
      </w:r>
    </w:p>
    <w:p>
      <w:pPr>
        <w:spacing w:after="0" w:line="198" w:lineRule="exact"/>
        <w:rPr>
          <w:sz w:val="20"/>
          <w:szCs w:val="20"/>
          <w:color w:val="auto"/>
        </w:rPr>
      </w:pPr>
    </w:p>
    <w:p>
      <w:pPr>
        <w:ind w:right="320" w:firstLine="308"/>
        <w:spacing w:after="0" w:line="262" w:lineRule="auto"/>
        <w:rPr>
          <w:sz w:val="20"/>
          <w:szCs w:val="20"/>
          <w:color w:val="auto"/>
        </w:rPr>
      </w:pPr>
      <w:r>
        <w:rPr>
          <w:rFonts w:ascii="Arial" w:cs="Arial" w:eastAsia="Arial" w:hAnsi="Arial"/>
          <w:sz w:val="17"/>
          <w:szCs w:val="17"/>
          <w:color w:val="auto"/>
        </w:rPr>
        <w:t>Clinical trials must be conducted in compliance with good clinical practice, or GCP, requirements. In addition, federal law now requires the listing, on a publicly-available website, of registry and results information for most clinical trials that we conduct. The federal requirements for submission of results information will be phased-in over the next three years. Some states have similar clinical trial reporting laws.</w:t>
      </w:r>
    </w:p>
    <w:p>
      <w:pPr>
        <w:spacing w:after="0" w:line="180"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approval of such products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requirements including post-marketing study requirements, restrictions imposed on marketing or distribution or requirements to provide information to patients.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Approval</w:t>
      </w:r>
    </w:p>
    <w:p>
      <w:pPr>
        <w:spacing w:after="0" w:line="219" w:lineRule="exact"/>
        <w:rPr>
          <w:sz w:val="20"/>
          <w:szCs w:val="20"/>
          <w:color w:val="auto"/>
        </w:rPr>
      </w:pPr>
    </w:p>
    <w:p>
      <w:pPr>
        <w:ind w:right="60" w:firstLine="308"/>
        <w:spacing w:after="0" w:line="279" w:lineRule="auto"/>
        <w:rPr>
          <w:sz w:val="20"/>
          <w:szCs w:val="20"/>
          <w:color w:val="auto"/>
        </w:rPr>
      </w:pPr>
      <w:r>
        <w:rPr>
          <w:rFonts w:ascii="Arial" w:cs="Arial" w:eastAsia="Arial" w:hAnsi="Arial"/>
          <w:sz w:val="16"/>
          <w:szCs w:val="16"/>
          <w:color w:val="auto"/>
        </w:rPr>
        <w:t>In the United States, if a product is regulated as a drug, an NDA must be submitted and approved before 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Both NDAs and BLAs must contain data and information on the finished product, including manufacturing, product stability and proposed product labeling.</w:t>
      </w:r>
    </w:p>
    <w:p>
      <w:pPr>
        <w:spacing w:after="0" w:line="170"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 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8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FDA may deny an NDA or BLA if the applicable regulatory criteria are not satisfied or may require additional clinical data. Even if additional clinical data is submitted, the FDA may ultimately decide that the NDA or BLA does not satisfy the 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risk evaluation and mitigation strategy, or otherwise limit the scope of any 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5" w:name="page26"/>
    <w:bookmarkEnd w:id="25"/>
    <w:p>
      <w:pPr>
        <w:ind w:left="320"/>
        <w:spacing w:after="0"/>
        <w:rPr>
          <w:sz w:val="20"/>
          <w:szCs w:val="20"/>
          <w:color w:val="auto"/>
        </w:rPr>
      </w:pPr>
      <w:r>
        <w:rPr>
          <w:rFonts w:ascii="Arial" w:cs="Arial" w:eastAsia="Arial" w:hAnsi="Arial"/>
          <w:sz w:val="17"/>
          <w:szCs w:val="17"/>
          <w:b w:val="1"/>
          <w:bCs w:val="1"/>
          <w:color w:val="auto"/>
        </w:rPr>
        <w:t>Fast Track Designation</w:t>
      </w:r>
    </w:p>
    <w:p>
      <w:pPr>
        <w:spacing w:after="0" w:line="219"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In February 2007, the FDA granted Fast Track designation for BioThrax as a post-exposure prophylaxis for anthrax infection. The FDA’s Fast Track programs, one of which is Fast Track designation, are designed to facilitate the development and review of new drugs and biologics that are intended to treat serious or life-threatening conditions and that demonstrate the potential to address unmet medical needs for the conditions. Fast Track designation applies to a combination of the product and the specific indication for which it is being studied. Thus, it is the development program for a specific drug or biologic for a specific indication that receives Fast Track designation. The sponsor of a product designated as being in a Fast Track drug development program may engage in early communication with the FDA, including timely meetings and early feedback on clinical trials. Products in Fast Track drug development programs also may receive priority review or accelerated approval and sponsors may be able to submit portions of an application before the complete application is submitted. The FDA may notify a sponsor that its program is no longer classified as a Fast Track development program if the Fast Track designation is no longer supported by emerging data or the designated drug development program is no longer being pursued.</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Ongoing Regulation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products manufactured or distributed by us pursuant to FDA clearances or approvals are subject to pervasive and continuing regulation by the FDA, including:</w:t>
      </w:r>
    </w:p>
    <w:p>
      <w:pPr>
        <w:sectPr>
          <w:pgSz w:w="11900" w:h="16838" w:orient="portrait"/>
          <w:cols w:equalWidth="0" w:num="1">
            <w:col w:w="11400"/>
          </w:cols>
          <w:pgMar w:left="240" w:top="127" w:right="259" w:bottom="1440" w:gutter="0" w:footer="0" w:header="0"/>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recordkeeping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periodic reporting requirements;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cGMP requirements related to all stages of manufacturing, testing, storage, packaging, labeling and distribution of finished dosage forms of the product;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reporting of adverse experiences with the drug or biologic;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advertising and promotion restrictions.</w:t>
      </w:r>
    </w:p>
    <w:p>
      <w:pPr>
        <w:spacing w:after="0" w:line="265" w:lineRule="exact"/>
        <w:rPr>
          <w:sz w:val="20"/>
          <w:szCs w:val="20"/>
          <w:color w:val="auto"/>
        </w:rPr>
      </w:pPr>
    </w:p>
    <w:p>
      <w:pPr>
        <w:sectPr>
          <w:pgSz w:w="11900" w:h="16838" w:orient="portrait"/>
          <w:cols w:equalWidth="0" w:num="2">
            <w:col w:w="400" w:space="220"/>
            <w:col w:w="10780"/>
          </w:cols>
          <w:pgMar w:left="240" w:top="127" w:right="259" w:bottom="1440" w:gutter="0" w:footer="0" w:header="0"/>
          <w:type w:val="continuous"/>
        </w:sectPr>
      </w:pPr>
    </w:p>
    <w:p>
      <w:pPr>
        <w:spacing w:after="0" w:line="13" w:lineRule="exact"/>
        <w:rPr>
          <w:sz w:val="20"/>
          <w:szCs w:val="20"/>
          <w:color w:val="auto"/>
        </w:rPr>
      </w:pPr>
    </w:p>
    <w:p>
      <w:pPr>
        <w:jc w:val="both"/>
        <w:ind w:right="140" w:firstLine="308"/>
        <w:spacing w:after="0" w:line="262" w:lineRule="auto"/>
        <w:rPr>
          <w:sz w:val="20"/>
          <w:szCs w:val="20"/>
          <w:color w:val="auto"/>
        </w:rPr>
      </w:pPr>
      <w:r>
        <w:rPr>
          <w:rFonts w:ascii="Arial" w:cs="Arial" w:eastAsia="Arial" w:hAnsi="Arial"/>
          <w:sz w:val="17"/>
          <w:szCs w:val="17"/>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certain planned changes to the approved product, product labeling or manufacturing process.</w:t>
      </w:r>
    </w:p>
    <w:p>
      <w:pPr>
        <w:spacing w:after="0" w:line="180" w:lineRule="exact"/>
        <w:rPr>
          <w:sz w:val="20"/>
          <w:szCs w:val="20"/>
          <w:color w:val="auto"/>
        </w:rPr>
      </w:pPr>
    </w:p>
    <w:p>
      <w:pPr>
        <w:ind w:firstLine="308"/>
        <w:spacing w:after="0" w:line="254" w:lineRule="auto"/>
        <w:rPr>
          <w:sz w:val="20"/>
          <w:szCs w:val="20"/>
          <w:color w:val="auto"/>
        </w:rPr>
      </w:pPr>
      <w:r>
        <w:rPr>
          <w:rFonts w:ascii="Arial" w:cs="Arial" w:eastAsia="Arial" w:hAnsi="Arial"/>
          <w:sz w:val="17"/>
          <w:szCs w:val="17"/>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 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91" w:lineRule="exact"/>
        <w:rPr>
          <w:sz w:val="20"/>
          <w:szCs w:val="20"/>
          <w:color w:val="auto"/>
        </w:rPr>
      </w:pPr>
    </w:p>
    <w:p>
      <w:pPr>
        <w:ind w:right="380" w:firstLine="308"/>
        <w:spacing w:after="0" w:line="286" w:lineRule="auto"/>
        <w:rPr>
          <w:sz w:val="20"/>
          <w:szCs w:val="20"/>
          <w:color w:val="auto"/>
        </w:rPr>
      </w:pPr>
      <w:r>
        <w:rPr>
          <w:rFonts w:ascii="Arial" w:cs="Arial" w:eastAsia="Arial" w:hAnsi="Arial"/>
          <w:sz w:val="16"/>
          <w:szCs w:val="16"/>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sectPr>
          <w:pgSz w:w="11900" w:h="16838" w:orient="portrait"/>
          <w:cols w:equalWidth="0" w:num="1">
            <w:col w:w="11400"/>
          </w:cols>
          <w:pgMar w:left="240" w:top="127" w:right="259" w:bottom="1440" w:gutter="0" w:footer="0" w:header="0"/>
          <w:type w:val="continuous"/>
        </w:sectPr>
      </w:pPr>
    </w:p>
    <w:p>
      <w:pPr>
        <w:spacing w:after="0" w:line="14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restrictions on the marketing or manufacturing of a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warning letters;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the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refusal to approve pending applications or supplements to approved applications;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voluntary or mandatory product recall;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or disgorgement of profits or revenue;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suspension or withdrawal of regulatory approvals;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refusal to permit the import or export of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seizure;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104775</wp:posOffset>
            </wp:positionV>
            <wp:extent cx="72790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27" w:right="259" w:bottom="1440" w:gutter="0" w:footer="0" w:header="0"/>
          <w:type w:val="continuous"/>
        </w:sectPr>
      </w:pPr>
    </w:p>
    <w:bookmarkStart w:id="26" w:name="page27"/>
    <w:bookmarkEnd w:id="26"/>
    <w:p>
      <w:pPr>
        <w:ind w:left="320"/>
        <w:spacing w:after="0"/>
        <w:rPr>
          <w:sz w:val="20"/>
          <w:szCs w:val="20"/>
          <w:color w:val="auto"/>
        </w:rPr>
      </w:pPr>
      <w:r>
        <w:rPr>
          <w:rFonts w:ascii="Arial" w:cs="Arial" w:eastAsia="Arial" w:hAnsi="Arial"/>
          <w:sz w:val="17"/>
          <w:szCs w:val="17"/>
          <w:b w:val="1"/>
          <w:bCs w:val="1"/>
          <w:color w:val="auto"/>
        </w:rPr>
        <w:t>BioThrax Lot Release and FDA Review</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Because of the complex manufacturing processes for most biological products, the FDA requires that each product lot of an approved biologic, including vaccines, undergo thorough testing for purity, potency, identity and sterility. Before a lot of BioThrax can be used, we must submit a sample of the vaccine lot and a lot release protocol to the FDA. The lot release protocol documents reflect the results of our tests for potency, safety, sterility and any additional assays mandated by our BLA for BioThrax and a summary of relevant manufacturing details. The FDA reviews the manufacturing and testing information provided in the lot release protocol and may elect to perform confirmatory testing on lot samples that we submit. We cannot distribute a lot of BioThrax until the FDA releases it. The length of the FDA review process depends on a number of factors, including reviewer questions, license supplement approval, reviewer availability, and whether our internal testing of product samples is completed before or concurrently with FDA testing.</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 of Immune Globulin Products</w:t>
      </w:r>
    </w:p>
    <w:p>
      <w:pPr>
        <w:spacing w:after="0" w:line="219"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Products derived from humans, including our immune globulin therapeutic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Legislation and Regulation Related to Bioterrorism Counteragents and Pandemic Preparedness</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Because some of our products or product candidates are intended for the treatment of diseases that may result from acts of bioterrorism or for pandemic preparedness, they may be subject to the specific legislation and regulation described below.</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Project BioShield</w:t>
      </w:r>
    </w:p>
    <w:p>
      <w:pPr>
        <w:spacing w:after="0" w:line="219"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The Project BioShield Act of 2004 provides expedited procedures for bioterrorism related procurement and awarding of research grants, making it easier for HHS to quickly commit funds to countermeasure projects. Project BioShield relaxes procedures under the Federal Acquisition Regulation for procuring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w:t>
      </w:r>
    </w:p>
    <w:p>
      <w:pPr>
        <w:spacing w:after="0" w:line="173"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Under Project BioShield, the Secretary of HHS, with the concurrence of the Secretary of the Department of Homeland Security and upon the approval of the President, can contract to purchase unapproved countermeasures for the SNS in specified circumstances. Congress is notified of a recommendation for a stockpile purchase after Presidential approval. Project BioShield specifies that a company supplying the countermeasure to the SNS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sectPr>
          <w:pgSz w:w="11900" w:h="16838" w:orient="portrait"/>
          <w:cols w:equalWidth="0" w:num="1">
            <w:col w:w="11420"/>
          </w:cols>
          <w:pgMar w:left="240" w:top="127" w:right="239" w:bottom="1440" w:gutter="0" w:footer="0" w:header="0"/>
        </w:sectPr>
      </w:pPr>
    </w:p>
    <w:p>
      <w:pPr>
        <w:spacing w:after="0" w:line="15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agent for which the countermeasure is designed can cause serious or life-threatening disease;</w:t>
      </w:r>
    </w:p>
    <w:p>
      <w:pPr>
        <w:spacing w:after="0" w:line="74" w:lineRule="exact"/>
        <w:rPr>
          <w:sz w:val="20"/>
          <w:szCs w:val="20"/>
          <w:color w:val="auto"/>
        </w:rPr>
      </w:pPr>
    </w:p>
    <w:p>
      <w:pPr>
        <w:ind w:right="3180"/>
        <w:spacing w:after="0" w:line="341" w:lineRule="auto"/>
        <w:rPr>
          <w:sz w:val="20"/>
          <w:szCs w:val="20"/>
          <w:color w:val="auto"/>
        </w:rPr>
      </w:pPr>
      <w:r>
        <w:rPr>
          <w:rFonts w:ascii="Arial" w:cs="Arial" w:eastAsia="Arial" w:hAnsi="Arial"/>
          <w:sz w:val="17"/>
          <w:szCs w:val="17"/>
          <w:color w:val="auto"/>
        </w:rPr>
        <w:t>the product may reasonably be believed to be effective in detecting, diagnosing, treating or preventing the disease; the known and potential benefits of the product outweigh its known and potential risks; and there is no adequate alternative to the product that is approved and available.</w:t>
      </w:r>
    </w:p>
    <w:p>
      <w:pPr>
        <w:spacing w:after="0" w:line="180"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ind w:left="320"/>
        <w:spacing w:after="0"/>
        <w:rPr>
          <w:sz w:val="20"/>
          <w:szCs w:val="20"/>
          <w:color w:val="auto"/>
        </w:rPr>
      </w:pPr>
      <w:r>
        <w:rPr>
          <w:rFonts w:ascii="Arial" w:cs="Arial" w:eastAsia="Arial" w:hAnsi="Arial"/>
          <w:sz w:val="15"/>
          <w:szCs w:val="15"/>
          <w:color w:val="auto"/>
        </w:rPr>
        <w:t>Although this provision permits the Secretary of HHS to circumvent the FDA approval process, its use would be limited to rare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2790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27" w:name="page28"/>
    <w:bookmarkEnd w:id="27"/>
    <w:p>
      <w:pPr>
        <w:ind w:left="320"/>
        <w:spacing w:after="0"/>
        <w:rPr>
          <w:sz w:val="20"/>
          <w:szCs w:val="20"/>
          <w:color w:val="auto"/>
        </w:rPr>
      </w:pPr>
      <w:r>
        <w:rPr>
          <w:rFonts w:ascii="Arial" w:cs="Arial" w:eastAsia="Arial" w:hAnsi="Arial"/>
          <w:sz w:val="17"/>
          <w:szCs w:val="17"/>
          <w:b w:val="1"/>
          <w:bCs w:val="1"/>
          <w:color w:val="auto"/>
        </w:rPr>
        <w:t>Safety Act</w:t>
      </w:r>
    </w:p>
    <w:p>
      <w:pPr>
        <w:spacing w:after="0" w:line="2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The Support Anti-Terrorism by Fostering Effective Technologies Act, or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Public Readiness and Emergency Preparedness Act</w:t>
      </w:r>
    </w:p>
    <w:p>
      <w:pPr>
        <w:spacing w:after="0" w:line="219"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color w:val="auto"/>
        </w:rPr>
        <w:t>The Public Readiness and Emergency Preparedness Act, or PREP Act, enacted by Congress in 2005 provides immunity for manufacturers from all claims under state or federal law for“loss” arising out of the administration or use of a “covered countermeasure.“ However, injured persons may still bring a suit for “willful misconduct” against the manufacturer under some circumstances. “Covered countermeasures” include security 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risk”of a future public health emergency. On February 1, 2007, the Secretary of HHS issued the first declaration under the PREP Act to protect countermeasures from liability that are necessary to prepare the nation for an avian influenza pandemic. We have applied for a PREP Act declaration for BioThrax in connection with our September 2007 BioThrax procurement contract with HHS. To date, the Secretary has not issued the declaration for BioThrax or for any of our product candidates.We cannot predict whether the PREP Act will provide protections for our products or product candidates in the future, whether Congress will fund the relevant compensation programs or if the necessary prerequisites for immunity would be triggered with respect to our product or product candidates.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Foreign Regulation</w:t>
      </w:r>
    </w:p>
    <w:p>
      <w:pPr>
        <w:spacing w:after="0" w:line="219" w:lineRule="exact"/>
        <w:rPr>
          <w:sz w:val="20"/>
          <w:szCs w:val="20"/>
          <w:color w:val="auto"/>
        </w:rPr>
      </w:pPr>
    </w:p>
    <w:p>
      <w:pPr>
        <w:ind w:right="140" w:firstLine="308"/>
        <w:spacing w:after="0" w:line="299" w:lineRule="auto"/>
        <w:rPr>
          <w:sz w:val="20"/>
          <w:szCs w:val="20"/>
          <w:color w:val="auto"/>
        </w:rPr>
      </w:pPr>
      <w:r>
        <w:rPr>
          <w:rFonts w:ascii="Arial" w:cs="Arial" w:eastAsia="Arial" w:hAnsi="Arial"/>
          <w:sz w:val="15"/>
          <w:szCs w:val="15"/>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 conduct of clinical trials, marketing authorization, pricing and reimbursement vary from country to country.</w:t>
      </w:r>
    </w:p>
    <w:p>
      <w:pPr>
        <w:spacing w:after="0" w:line="156"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decentralized/mutual recognition procedure.</w:t>
      </w:r>
    </w:p>
    <w:p>
      <w:pPr>
        <w:spacing w:after="0" w:line="185" w:lineRule="exact"/>
        <w:rPr>
          <w:sz w:val="20"/>
          <w:szCs w:val="20"/>
          <w:color w:val="auto"/>
        </w:rPr>
      </w:pPr>
    </w:p>
    <w:p>
      <w:pPr>
        <w:ind w:right="140" w:firstLine="308"/>
        <w:spacing w:after="0" w:line="275" w:lineRule="auto"/>
        <w:rPr>
          <w:sz w:val="20"/>
          <w:szCs w:val="20"/>
          <w:color w:val="auto"/>
        </w:rPr>
      </w:pPr>
      <w:r>
        <w:rPr>
          <w:rFonts w:ascii="Arial" w:cs="Arial" w:eastAsia="Arial" w:hAnsi="Arial"/>
          <w:sz w:val="16"/>
          <w:szCs w:val="16"/>
          <w:color w:val="auto"/>
        </w:rPr>
        <w:t>The centralized procedure provides for the grant of a single marketing authorization that is valid for all European Union member states. The centralized procedure is currently mandatory for products developed 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171"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The decentralized/mutual recognition procedures provide for mutual recognition of national approval decisions. Under these procedures, the holder of a national marketing authorization may submit an application to a member state of its choice (the reference member state, or RMS) and identify other member states in which it also wishes to seek approval (concerned member states, or CMS). The RMS reviews the application and circulates an assessment report to each CMS, which must then decide whether to accept the RMS determination. If a member state does not accept the RMS position, the disputed points are referred to the Committee for Medicinal Products for Human Use, or CHMP, within the European Medicines Agency, or EMEA. The CHMP adopts an opinion, which the European Commission uses as a basis for a decision that is binding on all member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ind w:firstLine="308"/>
        <w:spacing w:after="0" w:line="275" w:lineRule="auto"/>
        <w:rPr>
          <w:sz w:val="20"/>
          <w:szCs w:val="20"/>
          <w:color w:val="auto"/>
        </w:rPr>
      </w:pPr>
      <w:r>
        <w:rPr>
          <w:rFonts w:ascii="Arial" w:cs="Arial" w:eastAsia="Arial" w:hAnsi="Arial"/>
          <w:sz w:val="16"/>
          <w:szCs w:val="16"/>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WHO,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Orphan Drugs</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Requests for orphan drug designation must be submitted prior to submission of an application for marketing authorization. Biologics may qualify for designation as an orphan drug.</w:t>
      </w:r>
    </w:p>
    <w:p>
      <w:pPr>
        <w:spacing w:after="0" w:line="185" w:lineRule="exact"/>
        <w:rPr>
          <w:sz w:val="20"/>
          <w:szCs w:val="20"/>
          <w:color w:val="auto"/>
        </w:rPr>
      </w:pPr>
    </w:p>
    <w:p>
      <w:pPr>
        <w:ind w:right="120" w:firstLine="308"/>
        <w:spacing w:after="0" w:line="293" w:lineRule="auto"/>
        <w:rPr>
          <w:sz w:val="20"/>
          <w:szCs w:val="20"/>
          <w:color w:val="auto"/>
        </w:rPr>
      </w:pPr>
      <w:r>
        <w:rPr>
          <w:rFonts w:ascii="Arial" w:cs="Arial" w:eastAsia="Arial" w:hAnsi="Arial"/>
          <w:sz w:val="15"/>
          <w:szCs w:val="15"/>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 subsequent application from another person if the FDA determines that the application is for a different product or different use, or if the FDA determines that the subsequent product is clinically superior or that the holder of the initial orphan 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62"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The European Union operates an equivalent system to encourage the development and marketing of medicinal products for rare diseases. Applications for orphan designations are submitted to the EMEA and reviewed by a Committee on Orphan Medicinal Products, or COMP, comprising representatives of the member states, patient groups and other persons. The final decision is made by the European Commission.</w:t>
      </w:r>
    </w:p>
    <w:p>
      <w:pPr>
        <w:spacing w:after="0" w:line="180"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A product can be designated as an orphan drug if it is intended for either (i) a life-threatening or chronically debilitating condition affecting not more than 5 in 10,000 persons in the European Community when the application is made or a life-threatening, seriously debilitating; or (ii) a serious and chronic condition in the European Community for which, without incentives, it is unlikely that the marketing of the product in the European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 The COMP assesses the orphan status at both the time of first designation and also in parallel with the review of every marketing authorization application for an orphan medicine.</w:t>
      </w:r>
    </w:p>
    <w:p>
      <w:pPr>
        <w:spacing w:after="0" w:line="187"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even if they are similar, are safer, more effective or otherwise clinically superior to it.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 of our products or product candidates have been designated as orphan drugs.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Reimbursement and Pricing Controls</w:t>
      </w:r>
    </w:p>
    <w:p>
      <w:pPr>
        <w:spacing w:after="0" w:line="219" w:lineRule="exact"/>
        <w:rPr>
          <w:sz w:val="20"/>
          <w:szCs w:val="20"/>
          <w:color w:val="auto"/>
        </w:rPr>
      </w:pPr>
    </w:p>
    <w:p>
      <w:pPr>
        <w:ind w:right="120" w:firstLine="308"/>
        <w:spacing w:after="0" w:line="272" w:lineRule="auto"/>
        <w:rPr>
          <w:sz w:val="20"/>
          <w:szCs w:val="20"/>
          <w:color w:val="auto"/>
        </w:rPr>
      </w:pPr>
      <w:r>
        <w:rPr>
          <w:rFonts w:ascii="Arial" w:cs="Arial" w:eastAsia="Arial" w:hAnsi="Arial"/>
          <w:sz w:val="17"/>
          <w:szCs w:val="17"/>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172" w:lineRule="exact"/>
        <w:rPr>
          <w:sz w:val="20"/>
          <w:szCs w:val="20"/>
          <w:color w:val="auto"/>
        </w:rPr>
      </w:pPr>
    </w:p>
    <w:p>
      <w:pPr>
        <w:ind w:right="120" w:firstLine="308"/>
        <w:spacing w:after="0" w:line="286" w:lineRule="auto"/>
        <w:rPr>
          <w:sz w:val="20"/>
          <w:szCs w:val="20"/>
          <w:color w:val="auto"/>
        </w:rPr>
      </w:pPr>
      <w:r>
        <w:rPr>
          <w:rFonts w:ascii="Arial" w:cs="Arial" w:eastAsia="Arial" w:hAnsi="Arial"/>
          <w:sz w:val="16"/>
          <w:szCs w:val="16"/>
          <w:color w:val="auto"/>
        </w:rPr>
        <w:t>In the United States, there is an increasing focus on drug and biologic pricing in recent years. There are currently no direct government price controls over private sector purchases in the United States. However, the Veterans Health Care Act establishes mandatory price discounts for certain federal purchasers, including the Veterans Administration, Department of Defense, and the Public Health Service; the discounts are based on prices charged to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31115</wp:posOffset>
            </wp:positionV>
            <wp:extent cx="72790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ind w:right="20" w:firstLine="308"/>
        <w:spacing w:after="0" w:line="293" w:lineRule="auto"/>
        <w:rPr>
          <w:sz w:val="20"/>
          <w:szCs w:val="20"/>
          <w:color w:val="auto"/>
        </w:rPr>
      </w:pPr>
      <w:r>
        <w:rPr>
          <w:rFonts w:ascii="Arial" w:cs="Arial" w:eastAsia="Arial" w:hAnsi="Arial"/>
          <w:sz w:val="15"/>
          <w:szCs w:val="15"/>
          <w:color w:val="auto"/>
        </w:rPr>
        <w:t>Under the Medicaid program (a joint federal/state program that provides medical coverage to certain low income families and individuals), pharmaceutical manufacturers must pay prescribed rebates on specified drugs and biologics to enable them to be eligible for reimbursement. Vaccines are generally exempt from these rebate requirements and generally are not provided through Medicaid. Medicare (the federal program that provides medical coverage for the elderly and disabled) generally reimburses for physician-administered drugs and biologics on the basis of the product’s average sales price, although the vaccines that are reimbursed under Part B (Influenza, Pneumococcal and Hepatitis B) are reimbursed based on average wholesale price. Outpatient drugs and other vaccines may be reimbursed under Medicare Part D. Part D is administered through private entities that attempt to negotiate price concessions from pharmaceutical manufacturers.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w:t>
      </w:r>
    </w:p>
    <w:p>
      <w:pPr>
        <w:spacing w:after="0" w:line="162" w:lineRule="exact"/>
        <w:rPr>
          <w:sz w:val="20"/>
          <w:szCs w:val="20"/>
          <w:color w:val="auto"/>
        </w:rPr>
      </w:pPr>
    </w:p>
    <w:p>
      <w:pPr>
        <w:ind w:right="80" w:firstLine="308"/>
        <w:spacing w:after="0" w:line="273" w:lineRule="auto"/>
        <w:rPr>
          <w:sz w:val="20"/>
          <w:szCs w:val="20"/>
          <w:color w:val="auto"/>
        </w:rPr>
      </w:pPr>
      <w:r>
        <w:rPr>
          <w:rFonts w:ascii="Arial" w:cs="Arial" w:eastAsia="Arial" w:hAnsi="Arial"/>
          <w:sz w:val="16"/>
          <w:szCs w:val="16"/>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 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176" w:lineRule="exact"/>
        <w:rPr>
          <w:sz w:val="20"/>
          <w:szCs w:val="20"/>
          <w:color w:val="auto"/>
        </w:rPr>
      </w:pPr>
    </w:p>
    <w:p>
      <w:pPr>
        <w:ind w:right="140" w:firstLine="308"/>
        <w:spacing w:after="0" w:line="275" w:lineRule="auto"/>
        <w:rPr>
          <w:sz w:val="20"/>
          <w:szCs w:val="20"/>
          <w:color w:val="auto"/>
        </w:rPr>
      </w:pPr>
      <w:r>
        <w:rPr>
          <w:rFonts w:ascii="Arial" w:cs="Arial" w:eastAsia="Arial" w:hAnsi="Arial"/>
          <w:sz w:val="16"/>
          <w:szCs w:val="16"/>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Vaccines for Children Program implemented by the U.S. Congress in 1994. The Vaccines for Children Program is designed to help pay for vaccinations to disadvantaged children, including uninsured children, children on Medicaid and underinsured children who receive vaccinations at federally qualified health centers.</w:t>
      </w:r>
    </w:p>
    <w:p>
      <w:pPr>
        <w:spacing w:after="0" w:line="171" w:lineRule="exact"/>
        <w:rPr>
          <w:sz w:val="20"/>
          <w:szCs w:val="20"/>
          <w:color w:val="auto"/>
        </w:rPr>
      </w:pPr>
    </w:p>
    <w:p>
      <w:pPr>
        <w:ind w:right="280" w:firstLine="308"/>
        <w:spacing w:after="0" w:line="275" w:lineRule="auto"/>
        <w:rPr>
          <w:sz w:val="20"/>
          <w:szCs w:val="20"/>
          <w:color w:val="auto"/>
        </w:rPr>
      </w:pPr>
      <w:r>
        <w:rPr>
          <w:rFonts w:ascii="Arial" w:cs="Arial" w:eastAsia="Arial" w:hAnsi="Arial"/>
          <w:sz w:val="16"/>
          <w:szCs w:val="16"/>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Regulations Regarding Government Contracting</w:t>
      </w:r>
    </w:p>
    <w:p>
      <w:pPr>
        <w:spacing w:after="0" w:line="219"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Our status as a government contractor in the United States and elsewhere means that we are also subject to various statutes and regulations, including the Federal Acquisition Regulation, which governs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Vaccine Injury Compensation Program</w:t>
      </w:r>
    </w:p>
    <w:p>
      <w:pPr>
        <w:spacing w:after="0" w:line="219"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ind w:left="320"/>
        <w:spacing w:after="0"/>
        <w:rPr>
          <w:sz w:val="20"/>
          <w:szCs w:val="20"/>
          <w:color w:val="auto"/>
        </w:rPr>
      </w:pPr>
      <w:r>
        <w:rPr>
          <w:rFonts w:ascii="Arial" w:cs="Arial" w:eastAsia="Arial" w:hAnsi="Arial"/>
          <w:sz w:val="17"/>
          <w:szCs w:val="17"/>
          <w:b w:val="1"/>
          <w:bCs w:val="1"/>
          <w:color w:val="auto"/>
        </w:rPr>
        <w:t>Hazardous Materials and Select Agents</w:t>
      </w:r>
    </w:p>
    <w:p>
      <w:pPr>
        <w:spacing w:after="0" w:line="219"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85" w:lineRule="exact"/>
        <w:rPr>
          <w:sz w:val="20"/>
          <w:szCs w:val="20"/>
          <w:color w:val="auto"/>
        </w:rPr>
      </w:pPr>
    </w:p>
    <w:p>
      <w:pPr>
        <w:ind w:right="80" w:firstLine="308"/>
        <w:spacing w:after="0" w:line="279" w:lineRule="auto"/>
        <w:rPr>
          <w:sz w:val="20"/>
          <w:szCs w:val="20"/>
          <w:color w:val="auto"/>
        </w:rPr>
      </w:pPr>
      <w:r>
        <w:rPr>
          <w:rFonts w:ascii="Arial" w:cs="Arial" w:eastAsia="Arial" w:hAnsi="Arial"/>
          <w:sz w:val="16"/>
          <w:szCs w:val="16"/>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particular, this legislation and related regulations require that we:</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develop and implement biosafety, security and emergency response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restrict access to select agents and toxins;</w:t>
      </w:r>
    </w:p>
    <w:p>
      <w:pPr>
        <w:spacing w:after="0" w:line="74" w:lineRule="exact"/>
        <w:rPr>
          <w:sz w:val="20"/>
          <w:szCs w:val="20"/>
          <w:color w:val="auto"/>
        </w:rPr>
      </w:pPr>
    </w:p>
    <w:p>
      <w:pPr>
        <w:ind w:right="4740"/>
        <w:spacing w:after="0" w:line="374" w:lineRule="auto"/>
        <w:rPr>
          <w:sz w:val="20"/>
          <w:szCs w:val="20"/>
          <w:color w:val="auto"/>
        </w:rPr>
      </w:pPr>
      <w:r>
        <w:rPr>
          <w:rFonts w:ascii="Arial" w:cs="Arial" w:eastAsia="Arial" w:hAnsi="Arial"/>
          <w:sz w:val="15"/>
          <w:szCs w:val="15"/>
          <w:color w:val="auto"/>
        </w:rPr>
        <w:t>provide appropriate training to our employees for safety, security and emergency response; comply with strict requirements governing transfer of select agents and toxins;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provide timely notice to the government of any theft, loss or release of a select agent or toxin;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maintain detailed records of information necessary to give a complete accounting of all activities related to select agents and toxins.</w:t>
      </w:r>
    </w:p>
    <w:p>
      <w:pPr>
        <w:spacing w:after="0" w:line="288" w:lineRule="exact"/>
        <w:rPr>
          <w:sz w:val="20"/>
          <w:szCs w:val="20"/>
          <w:color w:val="auto"/>
        </w:rPr>
      </w:pPr>
    </w:p>
    <w:p>
      <w:pPr>
        <w:sectPr>
          <w:pgSz w:w="11900" w:h="16838" w:orient="portrait"/>
          <w:cols w:equalWidth="0" w:num="2">
            <w:col w:w="400" w:space="220"/>
            <w:col w:w="10800"/>
          </w:cols>
          <w:pgMar w:left="240" w:top="127"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Regulations</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 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 the Medicaid rebate requirements of the Omnibus Budget Reconciliation Act of 1990 and the Veterans Health Care Act of 1992. All of these activities are also potentially subject to federal and state consumer protection and unfair competition laws.</w:t>
      </w:r>
    </w:p>
    <w:p>
      <w:pPr>
        <w:spacing w:after="0" w:line="176" w:lineRule="exact"/>
        <w:rPr>
          <w:sz w:val="20"/>
          <w:szCs w:val="20"/>
          <w:color w:val="auto"/>
        </w:rPr>
      </w:pPr>
    </w:p>
    <w:p>
      <w:pPr>
        <w:ind w:right="160" w:firstLine="308"/>
        <w:spacing w:after="0" w:line="299" w:lineRule="auto"/>
        <w:rPr>
          <w:sz w:val="20"/>
          <w:szCs w:val="20"/>
          <w:color w:val="auto"/>
        </w:rPr>
      </w:pPr>
      <w:r>
        <w:rPr>
          <w:rFonts w:ascii="Arial" w:cs="Arial" w:eastAsia="Arial" w:hAnsi="Arial"/>
          <w:sz w:val="15"/>
          <w:szCs w:val="15"/>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Personnel</w:t>
      </w:r>
    </w:p>
    <w:p>
      <w:pPr>
        <w:spacing w:after="0" w:line="219" w:lineRule="exact"/>
        <w:rPr>
          <w:sz w:val="20"/>
          <w:szCs w:val="20"/>
          <w:color w:val="auto"/>
        </w:rPr>
      </w:pPr>
    </w:p>
    <w:p>
      <w:pPr>
        <w:ind w:right="60" w:firstLine="308"/>
        <w:spacing w:after="0" w:line="258" w:lineRule="auto"/>
        <w:rPr>
          <w:sz w:val="20"/>
          <w:szCs w:val="20"/>
          <w:color w:val="auto"/>
        </w:rPr>
      </w:pPr>
      <w:r>
        <w:rPr>
          <w:rFonts w:ascii="Arial" w:cs="Arial" w:eastAsia="Arial" w:hAnsi="Arial"/>
          <w:sz w:val="17"/>
          <w:szCs w:val="17"/>
          <w:color w:val="auto"/>
        </w:rPr>
        <w:t>As of December 31, 2007, we had 560 employees, including 170 employees engaged in product development, 244 employees engaged in manufacturing, 10 employees engaged in sales and marketing and 136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Available Information</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maintain a website at www.emergentbiosolutions.com. We make available, free of charge on our website, our annual report on Form 10- 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1" w:name="page32"/>
    <w:bookmarkEnd w:id="31"/>
    <w:p>
      <w:pPr>
        <w:ind w:right="20" w:firstLine="308"/>
        <w:spacing w:after="0" w:line="257" w:lineRule="auto"/>
        <w:rPr>
          <w:sz w:val="20"/>
          <w:szCs w:val="20"/>
          <w:color w:val="auto"/>
        </w:rPr>
      </w:pPr>
      <w:r>
        <w:rPr>
          <w:rFonts w:ascii="Arial" w:cs="Arial" w:eastAsia="Arial" w:hAnsi="Arial"/>
          <w:sz w:val="17"/>
          <w:szCs w:val="17"/>
          <w:color w:val="auto"/>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by applicable law, the rules of the SEC or the New York Stock Exchange listing standards regarding any amendment to, or waive of, our code of business conduct and ethics. The information contained on, or that can be accessed through, our website is not a part of or incorporated by reference in this annual report on Form 10-K.</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Dependence on U.S. Government Contracts</w:t>
      </w:r>
    </w:p>
    <w:p>
      <w:pPr>
        <w:spacing w:after="0" w:line="219" w:lineRule="exact"/>
        <w:rPr>
          <w:sz w:val="20"/>
          <w:szCs w:val="20"/>
          <w:color w:val="auto"/>
        </w:rPr>
      </w:pPr>
    </w:p>
    <w:p>
      <w:pPr>
        <w:ind w:left="320" w:right="440"/>
        <w:spacing w:after="0" w:line="272" w:lineRule="auto"/>
        <w:rPr>
          <w:sz w:val="20"/>
          <w:szCs w:val="20"/>
          <w:color w:val="auto"/>
        </w:rPr>
      </w:pPr>
      <w:r>
        <w:rPr>
          <w:rFonts w:ascii="Arial" w:cs="Arial" w:eastAsia="Arial" w:hAnsi="Arial"/>
          <w:sz w:val="17"/>
          <w:szCs w:val="17"/>
          <w:b w:val="1"/>
          <w:bCs w:val="1"/>
          <w:i w:val="1"/>
          <w:iCs w:val="1"/>
          <w:color w:val="auto"/>
        </w:rPr>
        <w:t>We have derived substantially all of our revenue from sales of BioThrax under contracts with the DoD and HHS. If DoD and HHS demand for BioThrax is reduced, our business, financial condition and operating results could be materially harmed.</w:t>
      </w:r>
    </w:p>
    <w:p>
      <w:pPr>
        <w:spacing w:after="0" w:line="172" w:lineRule="exact"/>
        <w:rPr>
          <w:sz w:val="20"/>
          <w:szCs w:val="20"/>
          <w:color w:val="auto"/>
        </w:rPr>
      </w:pPr>
    </w:p>
    <w:p>
      <w:pPr>
        <w:ind w:right="20" w:firstLine="308"/>
        <w:spacing w:after="0" w:line="270" w:lineRule="auto"/>
        <w:rPr>
          <w:sz w:val="20"/>
          <w:szCs w:val="20"/>
          <w:color w:val="auto"/>
        </w:rPr>
      </w:pPr>
      <w:r>
        <w:rPr>
          <w:rFonts w:ascii="Arial" w:cs="Arial" w:eastAsia="Arial" w:hAnsi="Arial"/>
          <w:sz w:val="16"/>
          <w:szCs w:val="16"/>
          <w:color w:val="auto"/>
        </w:rPr>
        <w:t>We have derived and expect for the foreseeable future to continue to derive substantially all of our revenue from sales of BioThrax, our FDA-approved anthrax vaccine and only marketed product. In 2006 and 2007, we derived substantially all of our revenue from our BioThrax contracts with the DoD and HHS. In October 2007, the White House issued a Presidential Directive that outlines the U.S. government’s objective to enhance coordination and cooperation among federal agencies with respect to countermeasure procurement and stockpile management. Also in October 2007, the U.S. Government Accountability Office, or GAO, issued a report that was critical of HHS for lacking an effective strategy to minimize waste in the SNS, citing concerns of large amounts of BioThrax that will become unusable each year due to shelf life expiration. We believe that the DoD has a continued commitment to procure BioThrax for its active immunization program, but that in the future the DoD will likely procure additional doses of BioThrax to satisfy ongoing requirements for its active immunization program directly from HHS and not from us. It is possible that these purchases by DoD from HHS will not result in any additional purchases by HHS from us. Our existing and prior contracts with the DoD and HHS do not necessarily increase the likelihood that we will secure future comparable contracts with the U.S. government. HHS has issued an RFP for grants to develop and procure a recombinant protective antigen based anthrax vaccine. If we apply for the grant, we may not win the award. The development of our recombinant protective antigen product candidate could be harmed. Additionally, procurement by HHS of a recombinant protective antigen based anthrax vaccine could reduce demand for BioThrax. The success of our business and our operating results for the foreseeable future are substantially dependent on the price per dose, the number of doses and the timing of deliveries for BioThrax sales to the U.S. government.</w:t>
      </w:r>
    </w:p>
    <w:p>
      <w:pPr>
        <w:spacing w:after="0" w:line="181" w:lineRule="exact"/>
        <w:rPr>
          <w:sz w:val="20"/>
          <w:szCs w:val="20"/>
          <w:color w:val="auto"/>
        </w:rPr>
      </w:pPr>
    </w:p>
    <w:p>
      <w:pPr>
        <w:ind w:left="320" w:right="480"/>
        <w:spacing w:after="0" w:line="272" w:lineRule="auto"/>
        <w:rPr>
          <w:sz w:val="20"/>
          <w:szCs w:val="20"/>
          <w:color w:val="auto"/>
        </w:rPr>
      </w:pPr>
      <w:r>
        <w:rPr>
          <w:rFonts w:ascii="Arial" w:cs="Arial" w:eastAsia="Arial" w:hAnsi="Arial"/>
          <w:sz w:val="17"/>
          <w:szCs w:val="17"/>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172"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60"/>
        <w:spacing w:after="0" w:line="256" w:lineRule="auto"/>
        <w:rPr>
          <w:sz w:val="20"/>
          <w:szCs w:val="20"/>
          <w:color w:val="auto"/>
        </w:rPr>
      </w:pPr>
      <w:r>
        <w:rPr>
          <w:rFonts w:ascii="Arial" w:cs="Arial" w:eastAsia="Arial" w:hAnsi="Arial"/>
          <w:sz w:val="17"/>
          <w:szCs w:val="17"/>
          <w:color w:val="auto"/>
        </w:rPr>
        <w:t>the need to devote substantial time and attention of management and key employees to the preparation of bids and proposals for contracts that may not be awarded to 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need to accurately estimate the resources and cost structure that will be required to perform any contract that we might be awarded; and</w:t>
      </w:r>
    </w:p>
    <w:p>
      <w:pPr>
        <w:spacing w:after="0" w:line="66"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color w:val="auto"/>
        </w:rPr>
        <w:t>the expenses that we might incur and the delays that we might suffer if our competitors protest or challenge contract awards made to us pursuant to competitive bidding, and the risk that any such protest or challenge could result in the resubmission of bids based on modified specifications, or in termination, reduction or modification of the awarded contract.</w:t>
      </w:r>
    </w:p>
    <w:p>
      <w:pPr>
        <w:spacing w:after="0" w:line="180"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ind w:right="120" w:firstLine="308"/>
        <w:spacing w:after="0" w:line="256" w:lineRule="auto"/>
        <w:rPr>
          <w:sz w:val="20"/>
          <w:szCs w:val="20"/>
          <w:color w:val="auto"/>
        </w:rPr>
      </w:pPr>
      <w:r>
        <w:rPr>
          <w:rFonts w:ascii="Arial" w:cs="Arial" w:eastAsia="Arial" w:hAnsi="Arial"/>
          <w:sz w:val="17"/>
          <w:szCs w:val="17"/>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if any other company is successful in developing a next generation anthrax vaccine, U.S. government customers may purchase only the next generation vaccine and not BioThrax. 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85" w:lineRule="exact"/>
        <w:rPr>
          <w:sz w:val="20"/>
          <w:szCs w:val="20"/>
          <w:color w:val="auto"/>
        </w:rPr>
      </w:pPr>
    </w:p>
    <w:p>
      <w:pPr>
        <w:ind w:left="320" w:right="360"/>
        <w:spacing w:after="0" w:line="272" w:lineRule="auto"/>
        <w:rPr>
          <w:sz w:val="20"/>
          <w:szCs w:val="20"/>
          <w:color w:val="auto"/>
        </w:rPr>
      </w:pPr>
      <w:r>
        <w:rPr>
          <w:rFonts w:ascii="Arial" w:cs="Arial" w:eastAsia="Arial" w:hAnsi="Arial"/>
          <w:sz w:val="17"/>
          <w:szCs w:val="17"/>
          <w:b w:val="1"/>
          <w:bCs w:val="1"/>
          <w:i w:val="1"/>
          <w:iCs w:val="1"/>
          <w:color w:val="auto"/>
        </w:rPr>
        <w:t>Our U.S. government contracts for BioThrax require ongoing funding decisions by the government. The failure to fund one or more of these contracts could cause our financial condition and operating results to suffer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ind w:right="300" w:firstLine="308"/>
        <w:spacing w:after="0" w:line="275" w:lineRule="auto"/>
        <w:rPr>
          <w:sz w:val="20"/>
          <w:szCs w:val="20"/>
          <w:color w:val="auto"/>
        </w:rPr>
      </w:pPr>
      <w:r>
        <w:rPr>
          <w:rFonts w:ascii="Arial" w:cs="Arial" w:eastAsia="Arial" w:hAnsi="Arial"/>
          <w:sz w:val="16"/>
          <w:szCs w:val="16"/>
          <w:color w:val="auto"/>
        </w:rPr>
        <w:t>Our principal customer for BioThrax is the U.S. government. In addition, we anticipate that the U.S. government will be the principal customer for any other biodefense products that we successfully develop. Over its lifetime, a U.S. government program may be implemented through the award of many different individual contracts and subcontracts. The funding of some government programs is subject to Congressional appropriations, generally made on a fiscal year basis even though a program may continue for several years. Our government customers are subject to stringent budgetary constraints and political considerations. If levels of government expenditures and authorizations for biodefense decrease or shift to programs in areas where we do not offer products or are not developing product candidates, our business, revenues and operating results may suffer.</w:t>
      </w:r>
    </w:p>
    <w:p>
      <w:pPr>
        <w:spacing w:after="0" w:line="171" w:lineRule="exact"/>
        <w:rPr>
          <w:sz w:val="20"/>
          <w:szCs w:val="20"/>
          <w:color w:val="auto"/>
        </w:rPr>
      </w:pPr>
    </w:p>
    <w:p>
      <w:pPr>
        <w:ind w:left="320" w:right="540"/>
        <w:spacing w:after="0" w:line="272" w:lineRule="auto"/>
        <w:rPr>
          <w:sz w:val="20"/>
          <w:szCs w:val="20"/>
          <w:color w:val="auto"/>
        </w:rPr>
      </w:pPr>
      <w:r>
        <w:rPr>
          <w:rFonts w:ascii="Arial" w:cs="Arial" w:eastAsia="Arial" w:hAnsi="Arial"/>
          <w:sz w:val="17"/>
          <w:szCs w:val="17"/>
          <w:b w:val="1"/>
          <w:bCs w:val="1"/>
          <w:i w:val="1"/>
          <w:iCs w:val="1"/>
          <w:color w:val="auto"/>
        </w:rPr>
        <w:t>The success of our business with the U.S. government depends on our compliance with additional regulations and obligations under our U.S. government contracts.</w:t>
      </w:r>
    </w:p>
    <w:p>
      <w:pPr>
        <w:spacing w:after="0" w:line="172" w:lineRule="exact"/>
        <w:rPr>
          <w:sz w:val="20"/>
          <w:szCs w:val="20"/>
          <w:color w:val="auto"/>
        </w:rPr>
      </w:pPr>
    </w:p>
    <w:p>
      <w:pPr>
        <w:ind w:right="180" w:firstLine="308"/>
        <w:spacing w:after="0" w:line="272" w:lineRule="auto"/>
        <w:rPr>
          <w:sz w:val="20"/>
          <w:szCs w:val="20"/>
          <w:color w:val="auto"/>
        </w:rPr>
      </w:pPr>
      <w:r>
        <w:rPr>
          <w:rFonts w:ascii="Arial" w:cs="Arial" w:eastAsia="Arial" w:hAnsi="Arial"/>
          <w:sz w:val="17"/>
          <w:szCs w:val="17"/>
          <w:color w:val="auto"/>
        </w:rPr>
        <w:t>Our business with the U.S. government is subject to specific procurement regulations and a variety of other legal compliance obligations. These obligations include those related to:</w:t>
      </w:r>
    </w:p>
    <w:p>
      <w:pPr>
        <w:sectPr>
          <w:pgSz w:w="11900" w:h="16838" w:orient="portrait"/>
          <w:cols w:equalWidth="0" w:num="1">
            <w:col w:w="11400"/>
          </w:cols>
          <w:pgMar w:left="240" w:top="336"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procurement integrity;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export control;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government security regulations;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employment practices;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protection of the environment;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accuracy of records and the recording of costs; and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foreign corrupt practices.</w:t>
      </w:r>
    </w:p>
    <w:p>
      <w:pPr>
        <w:spacing w:after="0" w:line="265" w:lineRule="exact"/>
        <w:rPr>
          <w:sz w:val="20"/>
          <w:szCs w:val="20"/>
          <w:color w:val="auto"/>
        </w:rPr>
      </w:pPr>
    </w:p>
    <w:p>
      <w:pPr>
        <w:sectPr>
          <w:pgSz w:w="11900" w:h="16838" w:orient="portrait"/>
          <w:cols w:equalWidth="0" w:num="2">
            <w:col w:w="400" w:space="220"/>
            <w:col w:w="10780"/>
          </w:cols>
          <w:pgMar w:left="240" w:top="336" w:right="259" w:bottom="1440" w:gutter="0" w:footer="0" w:header="0"/>
          <w:type w:val="continuous"/>
        </w:sectPr>
      </w:pPr>
    </w:p>
    <w:p>
      <w:pPr>
        <w:spacing w:after="0" w:line="13" w:lineRule="exact"/>
        <w:rPr>
          <w:sz w:val="20"/>
          <w:szCs w:val="20"/>
          <w:color w:val="auto"/>
        </w:rPr>
      </w:pPr>
    </w:p>
    <w:p>
      <w:pPr>
        <w:ind w:right="140" w:firstLine="308"/>
        <w:spacing w:after="0" w:line="257" w:lineRule="auto"/>
        <w:rPr>
          <w:sz w:val="20"/>
          <w:szCs w:val="20"/>
          <w:color w:val="auto"/>
        </w:rPr>
      </w:pPr>
      <w:r>
        <w:rPr>
          <w:rFonts w:ascii="Arial" w:cs="Arial" w:eastAsia="Arial" w:hAnsi="Arial"/>
          <w:sz w:val="17"/>
          <w:szCs w:val="17"/>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84"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On September 25, 2007, we entered into an agreement with HHS to supply 18.75 million doses of BioThrax to HHS for placement into the SNS for a firm fixed price of $400 million. If we receive FDA approval of an application to extend the expiry dating of BioThrax from three years to four years, HHS has agreed to adjust the price per dose under the agreement, with an aggregate value of such price increase of approximately $34 million. The regulatory approval process is complex and uncertain, and there is no guarantee that we will receive approval of four-year expiry dating. If we do not receive FDA approval of four-year expiry dating during the term of the agreement, we will not be entitled to receive the $34 million related to the increased price per dose.</w:t>
      </w:r>
    </w:p>
    <w:p>
      <w:pPr>
        <w:spacing w:after="0" w:line="173" w:lineRule="exact"/>
        <w:rPr>
          <w:sz w:val="20"/>
          <w:szCs w:val="20"/>
          <w:color w:val="auto"/>
        </w:rPr>
      </w:pPr>
    </w:p>
    <w:p>
      <w:pPr>
        <w:ind w:left="320" w:right="520"/>
        <w:spacing w:after="0" w:line="304" w:lineRule="auto"/>
        <w:rPr>
          <w:sz w:val="20"/>
          <w:szCs w:val="20"/>
          <w:color w:val="auto"/>
        </w:rPr>
      </w:pPr>
      <w:r>
        <w:rPr>
          <w:rFonts w:ascii="Arial" w:cs="Arial" w:eastAsia="Arial" w:hAnsi="Arial"/>
          <w:sz w:val="16"/>
          <w:szCs w:val="16"/>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49"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Our existing and prior contracts for the supply of BioThrax with the DoD and HHS have been fixed price contracts. We expect that our future contracts with the U.S. government for BioThrax as well as biodefense product candidates that we successfully develop also may be fixed price contracts. Under a fixed price contract, we are required to deliver our products at a fixed price regardless of the actual costs we incur and to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Unfavorable provisions in government contracts may harm our business, financial condition and operating results.</w:t>
      </w:r>
    </w:p>
    <w:p>
      <w:pPr>
        <w:spacing w:after="0" w:line="215" w:lineRule="exact"/>
        <w:rPr>
          <w:sz w:val="20"/>
          <w:szCs w:val="20"/>
          <w:color w:val="auto"/>
        </w:rPr>
      </w:pPr>
    </w:p>
    <w:p>
      <w:pPr>
        <w:ind w:right="80" w:firstLine="308"/>
        <w:spacing w:after="0" w:line="272" w:lineRule="auto"/>
        <w:rPr>
          <w:sz w:val="20"/>
          <w:szCs w:val="20"/>
          <w:color w:val="auto"/>
        </w:rPr>
      </w:pPr>
      <w:r>
        <w:rPr>
          <w:rFonts w:ascii="Arial" w:cs="Arial" w:eastAsia="Arial" w:hAnsi="Arial"/>
          <w:sz w:val="17"/>
          <w:szCs w:val="17"/>
          <w:color w:val="auto"/>
        </w:rPr>
        <w:t>Government contracts customarily contain provisions that give the government substantial rights and remedies, many of which are not typically found in commercial contracts, including provisions that allow the government to:</w:t>
      </w:r>
    </w:p>
    <w:p>
      <w:pPr>
        <w:sectPr>
          <w:pgSz w:w="11900" w:h="16838" w:orient="portrait"/>
          <w:cols w:equalWidth="0" w:num="1">
            <w:col w:w="11400"/>
          </w:cols>
          <w:pgMar w:left="240" w:top="336" w:right="259" w:bottom="1440" w:gutter="0" w:footer="0" w:header="0"/>
          <w:type w:val="continuous"/>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terminate existing contracts, in whole or in part, for any reason or no reason;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unilaterally reduce or modify contracts or subcontracts;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cancel multi-year contracts and related orders if funds for contract performance for any subsequent year become unavailable;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249555</wp:posOffset>
            </wp:positionV>
            <wp:extent cx="72790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336" w:right="259" w:bottom="1440" w:gutter="0" w:footer="0" w:header="0"/>
          <w:type w:val="continuous"/>
        </w:sectPr>
      </w:pPr>
    </w:p>
    <w:bookmarkStart w:id="33" w:name="page34"/>
    <w:bookmarkEnd w:id="33"/>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decline to exercise an option to renew a contract;</w:t>
      </w:r>
    </w:p>
    <w:p>
      <w:pPr>
        <w:spacing w:after="0" w:line="74" w:lineRule="exact"/>
        <w:rPr>
          <w:sz w:val="20"/>
          <w:szCs w:val="20"/>
          <w:color w:val="auto"/>
        </w:rPr>
      </w:pPr>
    </w:p>
    <w:p>
      <w:pPr>
        <w:ind w:right="5020"/>
        <w:spacing w:after="0" w:line="374" w:lineRule="auto"/>
        <w:rPr>
          <w:sz w:val="20"/>
          <w:szCs w:val="20"/>
          <w:color w:val="auto"/>
        </w:rPr>
      </w:pPr>
      <w:r>
        <w:rPr>
          <w:rFonts w:ascii="Arial" w:cs="Arial" w:eastAsia="Arial" w:hAnsi="Arial"/>
          <w:sz w:val="15"/>
          <w:szCs w:val="15"/>
          <w:color w:val="auto"/>
        </w:rPr>
        <w:t>exercise an option to purchase only the minimum amount specified in a contract; decline to exercise an option to purchase the maximum amount specified in a contract; claim rights to products, including intellectual property, developed under the contract; take actions that result in a longer development timeline than expected;</w:t>
      </w:r>
    </w:p>
    <w:p>
      <w:pPr>
        <w:spacing w:after="0" w:line="2" w:lineRule="exact"/>
        <w:rPr>
          <w:sz w:val="20"/>
          <w:szCs w:val="20"/>
          <w:color w:val="auto"/>
        </w:rPr>
      </w:pPr>
    </w:p>
    <w:p>
      <w:pPr>
        <w:ind w:right="3640"/>
        <w:spacing w:after="0" w:line="337" w:lineRule="auto"/>
        <w:rPr>
          <w:sz w:val="20"/>
          <w:szCs w:val="20"/>
          <w:color w:val="auto"/>
        </w:rPr>
      </w:pPr>
      <w:r>
        <w:rPr>
          <w:rFonts w:ascii="Arial" w:cs="Arial" w:eastAsia="Arial" w:hAnsi="Arial"/>
          <w:sz w:val="17"/>
          <w:szCs w:val="17"/>
          <w:color w:val="auto"/>
        </w:rPr>
        <w:t>direct the course of a development program in a manner not chosen by the government contractor; suspend or debar the contractor from doing business with the government or a specific government agency; pursue criminal or civil remedies under the False Claims Act and False Statements Act; and control or prohibit the export of products.</w:t>
      </w:r>
    </w:p>
    <w:p>
      <w:pPr>
        <w:spacing w:after="0" w:line="184" w:lineRule="exact"/>
        <w:rPr>
          <w:sz w:val="20"/>
          <w:szCs w:val="20"/>
          <w:color w:val="auto"/>
        </w:rPr>
      </w:pPr>
    </w:p>
    <w:p>
      <w:pPr>
        <w:sectPr>
          <w:pgSz w:w="11900" w:h="16838" w:orient="portrait"/>
          <w:cols w:equalWidth="0" w:num="2">
            <w:col w:w="400" w:space="220"/>
            <w:col w:w="10800"/>
          </w:cols>
          <w:pgMar w:left="240" w:top="114" w:right="239" w:bottom="1440" w:gutter="0" w:footer="0" w:header="0"/>
        </w:sectPr>
      </w:pPr>
    </w:p>
    <w:p>
      <w:pPr>
        <w:ind w:firstLine="308"/>
        <w:spacing w:after="0" w:line="272" w:lineRule="auto"/>
        <w:rPr>
          <w:sz w:val="20"/>
          <w:szCs w:val="20"/>
          <w:color w:val="auto"/>
        </w:rPr>
      </w:pPr>
      <w:r>
        <w:rPr>
          <w:rFonts w:ascii="Arial" w:cs="Arial" w:eastAsia="Arial" w:hAnsi="Arial"/>
          <w:sz w:val="16"/>
          <w:szCs w:val="16"/>
          <w:color w:val="auto"/>
        </w:rPr>
        <w:t>Generally, government contracts, including our HHS contract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 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Ongoing legal proceedings or any future similar lawsuits could limit future purchases of BioThrax by the U.S. government.</w:t>
      </w:r>
    </w:p>
    <w:p>
      <w:pPr>
        <w:spacing w:after="0" w:line="215" w:lineRule="exact"/>
        <w:rPr>
          <w:sz w:val="20"/>
          <w:szCs w:val="20"/>
          <w:color w:val="auto"/>
        </w:rPr>
      </w:pPr>
    </w:p>
    <w:p>
      <w:pPr>
        <w:ind w:right="20" w:firstLine="308"/>
        <w:spacing w:after="0" w:line="254" w:lineRule="auto"/>
        <w:rPr>
          <w:sz w:val="20"/>
          <w:szCs w:val="20"/>
          <w:color w:val="auto"/>
        </w:rPr>
      </w:pPr>
      <w:r>
        <w:rPr>
          <w:rFonts w:ascii="Arial" w:cs="Arial" w:eastAsia="Arial" w:hAnsi="Arial"/>
          <w:sz w:val="17"/>
          <w:szCs w:val="17"/>
          <w:color w:val="auto"/>
        </w:rPr>
        <w:t>The results of ongoing or future legal proceedings could reduce demand for BioThrax by the U.S. government. For example, in 2003, a group of unnamed military personnel filed a lawsuit seeking to enjoin the DoD from administering BioThrax on a mandatory basis without informed consent of the recipient or a Presidential waiver, and, in 2004, a federal court issued the requested injunction. In 2005, the FDA issued an order affirming the BioThrax license, and, as a result, an appellate court ruled in February 2006 that the injunction was dissolved. In October 2006, the DoD announced that it was resuming a mandatory vaccination program for BioThrax for designated military personnel and emergency DoD civilian personnel and contractors. In December 2006, the same counsel who brought the prior lawsuit filed a new lawsuit contending that the FDA's 2005 final order should be set aside and that BioThrax is not properly approved for use in the DoD’s vaccination program. In February 2008, the federal court in which that case was pending dismissed the action, concluding that FDA did not make a clear error of judgment in reaffirming the safety and efficacy of BioThrax.</w:t>
      </w:r>
    </w:p>
    <w:p>
      <w:pPr>
        <w:spacing w:after="0" w:line="191"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Although we are not a party to the lawsuits challenging the DoD’s mandatory use of the vaccine, if a court were to again enjoin the DoD's use of BioThrax on a mandatory basis, the amount of future purchases of BioThrax by the U.S. government could be affected. Furthermore, contractual indemnification provisions and statutory liability protections may not fully protect us from all related liabilities, and statutory liability protections could be revoked or amended to reduce the scope of liability protection. In addition, lawsuits brought directly against us by third parties, even if not successful, require us to spend time and money defending the related litigation.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Financial Position and Need for Additional Financing</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maintain profitability in future periods or on a consistent basis.</w:t>
      </w:r>
    </w:p>
    <w:p>
      <w:pPr>
        <w:spacing w:after="0" w:line="215"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We commenced operations in 1998, and the FDA approved the manufacture of BioThrax at our renovated facilities in Lansing in December 2001. Although we were profitable for each of the last five fiscal years, we have not been profitable for every quarter during that time. Our profitability is substantially dependent on revenues from BioThrax product sales. Revenues from BioThrax product sales have fluctuated significantly in recent quarters, and we expect that they will continue to fluctuate significantly from quarter to quarter based on the timing of our fulfilling orders from the U.S. government. We may not be able to achieve consistent profitability on a quarterly basis or sustain or increase profitability on an annual basis.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indebtedness may limit cash flow available to invest in the ongoing needs of our business.</w:t>
      </w:r>
    </w:p>
    <w:p>
      <w:pPr>
        <w:spacing w:after="0" w:line="215"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As of December 31, 2007, we had $57.9 million principal amount of debt outstanding and remaining borrowing availability of $3.2 million under our revolving line of credit. We may seek to raise substantial external debt financing to provide additional financial flexibility. Our leverage could have significant adverse consequences,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4" w:name="page35"/>
    <w:bookmarkEnd w:id="34"/>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340"/>
        <w:spacing w:after="0" w:line="272" w:lineRule="auto"/>
        <w:rPr>
          <w:sz w:val="20"/>
          <w:szCs w:val="20"/>
          <w:color w:val="auto"/>
        </w:rPr>
      </w:pPr>
      <w:r>
        <w:rPr>
          <w:rFonts w:ascii="Arial" w:cs="Arial" w:eastAsia="Arial" w:hAnsi="Arial"/>
          <w:sz w:val="16"/>
          <w:szCs w:val="16"/>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1" w:lineRule="exact"/>
        <w:rPr>
          <w:sz w:val="20"/>
          <w:szCs w:val="20"/>
          <w:color w:val="auto"/>
        </w:rPr>
      </w:pPr>
    </w:p>
    <w:p>
      <w:pPr>
        <w:ind w:right="2580"/>
        <w:spacing w:after="0" w:line="326" w:lineRule="auto"/>
        <w:rPr>
          <w:sz w:val="20"/>
          <w:szCs w:val="20"/>
          <w:color w:val="auto"/>
        </w:rPr>
      </w:pPr>
      <w:r>
        <w:rPr>
          <w:rFonts w:ascii="Arial" w:cs="Arial" w:eastAsia="Arial" w:hAnsi="Arial"/>
          <w:sz w:val="17"/>
          <w:szCs w:val="17"/>
          <w:color w:val="auto"/>
        </w:rPr>
        <w:t>increasing the amount of interest that we have to pay on debt with variable interest rates if market rates of interest increase; increasing our vulnerability to general adverse economic and industry conditions;</w:t>
      </w:r>
    </w:p>
    <w:p>
      <w:pPr>
        <w:ind w:right="2740"/>
        <w:spacing w:after="0" w:line="351" w:lineRule="auto"/>
        <w:rPr>
          <w:sz w:val="20"/>
          <w:szCs w:val="20"/>
          <w:color w:val="auto"/>
        </w:rPr>
      </w:pPr>
      <w:r>
        <w:rPr>
          <w:rFonts w:ascii="Arial" w:cs="Arial" w:eastAsia="Arial" w:hAnsi="Arial"/>
          <w:sz w:val="17"/>
          <w:szCs w:val="17"/>
          <w:color w:val="auto"/>
        </w:rPr>
        <w:t>limiting our flexibility in planning for, or reacting to, changes in our business and the industry in which we compete; and placing us at a competitive disadvantage compared to our competitors that have less debt.</w:t>
      </w:r>
    </w:p>
    <w:p>
      <w:pPr>
        <w:spacing w:after="0" w:line="172" w:lineRule="exact"/>
        <w:rPr>
          <w:sz w:val="20"/>
          <w:szCs w:val="20"/>
          <w:color w:val="auto"/>
        </w:rPr>
      </w:pPr>
    </w:p>
    <w:p>
      <w:pPr>
        <w:sectPr>
          <w:pgSz w:w="11900" w:h="16838" w:orient="portrait"/>
          <w:cols w:equalWidth="0" w:num="2">
            <w:col w:w="400" w:space="220"/>
            <w:col w:w="10800"/>
          </w:cols>
          <w:pgMar w:left="240" w:top="114" w:right="239" w:bottom="1440" w:gutter="0" w:footer="0" w:header="0"/>
        </w:sectPr>
      </w:pPr>
    </w:p>
    <w:p>
      <w:pPr>
        <w:ind w:firstLine="308"/>
        <w:spacing w:after="0" w:line="299" w:lineRule="auto"/>
        <w:rPr>
          <w:sz w:val="20"/>
          <w:szCs w:val="20"/>
          <w:color w:val="auto"/>
        </w:rPr>
      </w:pPr>
      <w:r>
        <w:rPr>
          <w:rFonts w:ascii="Arial" w:cs="Arial" w:eastAsia="Arial" w:hAnsi="Arial"/>
          <w:sz w:val="15"/>
          <w:szCs w:val="15"/>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The covenants under our existing debt instruments and the pledge of our existing assets as collateral limit our ability to obtain additional debt financing.</w:t>
      </w:r>
    </w:p>
    <w:p>
      <w:pPr>
        <w:spacing w:after="0" w:line="156" w:lineRule="exact"/>
        <w:rPr>
          <w:sz w:val="20"/>
          <w:szCs w:val="20"/>
          <w:color w:val="auto"/>
        </w:rPr>
      </w:pPr>
    </w:p>
    <w:p>
      <w:pPr>
        <w:ind w:left="320" w:right="380"/>
        <w:spacing w:after="0" w:line="272" w:lineRule="auto"/>
        <w:rPr>
          <w:sz w:val="20"/>
          <w:szCs w:val="20"/>
          <w:color w:val="auto"/>
        </w:rPr>
      </w:pPr>
      <w:r>
        <w:rPr>
          <w:rFonts w:ascii="Arial" w:cs="Arial" w:eastAsia="Arial" w:hAnsi="Arial"/>
          <w:sz w:val="17"/>
          <w:szCs w:val="17"/>
          <w:b w:val="1"/>
          <w:bCs w:val="1"/>
          <w:i w:val="1"/>
          <w:iCs w:val="1"/>
          <w:color w:val="auto"/>
        </w:rPr>
        <w:t>We expect to require additional funding and may be unable to raise capital when needed, which would harm our business, financial condition and operating results.</w:t>
      </w:r>
    </w:p>
    <w:p>
      <w:pPr>
        <w:spacing w:after="0" w:line="17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expect our development expenses to increase in connection with our ongoing activities, particularly as we conduct additional and later stage clinical trials for our product candidates. We also expect our commercialization expenses to increase in the future as we seek to broaden the market for BioThrax and if we receive marketing approval for additional products. We also are committed to substantial capital expenditures in connection with our facility expansion in Lansing and may undertake additional facility projects in the future.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2007, we had $105.7 million of cash and cash equivalents. Our future capital requirements will depend on many factors, including:</w:t>
      </w:r>
    </w:p>
    <w:p>
      <w:pPr>
        <w:sectPr>
          <w:pgSz w:w="11900" w:h="16838" w:orient="portrait"/>
          <w:cols w:equalWidth="0" w:num="1">
            <w:col w:w="11420"/>
          </w:cols>
          <w:pgMar w:left="240" w:top="114" w:right="239" w:bottom="1440" w:gutter="0" w:footer="0" w:header="0"/>
          <w:type w:val="continuous"/>
        </w:sect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level and timing of BioThrax product sales and cost of product sales;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timing of, and the costs involved in, completion of validation and qualification activities related to our new manufacturing facility in Lansing, Michigan and the build out of our manufacturing facilities in Frederick, Maryland;</w:t>
      </w:r>
    </w:p>
    <w:p>
      <w:pPr>
        <w:spacing w:after="0" w:line="1" w:lineRule="exact"/>
        <w:rPr>
          <w:sz w:val="20"/>
          <w:szCs w:val="20"/>
          <w:color w:val="auto"/>
        </w:rPr>
      </w:pPr>
    </w:p>
    <w:p>
      <w:pPr>
        <w:ind w:right="4760"/>
        <w:spacing w:after="0" w:line="369" w:lineRule="auto"/>
        <w:rPr>
          <w:sz w:val="20"/>
          <w:szCs w:val="20"/>
          <w:color w:val="auto"/>
        </w:rPr>
      </w:pPr>
      <w:r>
        <w:rPr>
          <w:rFonts w:ascii="Arial" w:cs="Arial" w:eastAsia="Arial" w:hAnsi="Arial"/>
          <w:sz w:val="15"/>
          <w:szCs w:val="15"/>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4380"/>
        <w:spacing w:after="0" w:line="401" w:lineRule="auto"/>
        <w:rPr>
          <w:sz w:val="20"/>
          <w:szCs w:val="20"/>
          <w:color w:val="auto"/>
        </w:rPr>
      </w:pPr>
      <w:r>
        <w:rPr>
          <w:rFonts w:ascii="Arial" w:cs="Arial" w:eastAsia="Arial" w:hAnsi="Arial"/>
          <w:sz w:val="14"/>
          <w:szCs w:val="14"/>
          <w:color w:val="auto"/>
        </w:rPr>
        <w:t>the number of, and development requirements for, other product candidates that we may pursue; the costs of commercialization activities, including product marketing, sales and distribution;</w:t>
      </w:r>
    </w:p>
    <w:p>
      <w:pPr>
        <w:ind w:right="420"/>
        <w:spacing w:after="0" w:line="256" w:lineRule="auto"/>
        <w:rPr>
          <w:sz w:val="20"/>
          <w:szCs w:val="20"/>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extent to which we acquire or invest in businesses, products and technologies;</w:t>
      </w:r>
    </w:p>
    <w:p>
      <w:pPr>
        <w:spacing w:after="0" w:line="66" w:lineRule="exact"/>
        <w:rPr>
          <w:sz w:val="20"/>
          <w:szCs w:val="20"/>
          <w:color w:val="auto"/>
        </w:rPr>
      </w:pPr>
    </w:p>
    <w:p>
      <w:pPr>
        <w:ind w:right="2400"/>
        <w:spacing w:after="0" w:line="388" w:lineRule="auto"/>
        <w:rPr>
          <w:sz w:val="20"/>
          <w:szCs w:val="20"/>
          <w:color w:val="auto"/>
        </w:rPr>
      </w:pPr>
      <w:r>
        <w:rPr>
          <w:rFonts w:ascii="Arial" w:cs="Arial" w:eastAsia="Arial" w:hAnsi="Arial"/>
          <w:sz w:val="16"/>
          <w:szCs w:val="16"/>
          <w:color w:val="auto"/>
        </w:rPr>
        <w:t>our ability to obtain development funding from government entities and non-government and philanthropic organizations; and our ability to establish and maintain collaborations, such as our collaboration with Sanofi Pasteur.</w:t>
      </w:r>
    </w:p>
    <w:p>
      <w:pPr>
        <w:spacing w:after="0" w:line="149" w:lineRule="exact"/>
        <w:rPr>
          <w:sz w:val="20"/>
          <w:szCs w:val="20"/>
          <w:color w:val="auto"/>
        </w:rPr>
      </w:pPr>
    </w:p>
    <w:p>
      <w:pPr>
        <w:sectPr>
          <w:pgSz w:w="11900" w:h="16838" w:orient="portrait"/>
          <w:cols w:equalWidth="0" w:num="2">
            <w:col w:w="400" w:space="220"/>
            <w:col w:w="10800"/>
          </w:cols>
          <w:pgMar w:left="240" w:top="114" w:right="239" w:bottom="1440" w:gutter="0" w:footer="0" w:header="0"/>
          <w:type w:val="continuous"/>
        </w:sectPr>
      </w:pPr>
    </w:p>
    <w:p>
      <w:pPr>
        <w:ind w:right="40" w:firstLine="308"/>
        <w:spacing w:after="0" w:line="299" w:lineRule="auto"/>
        <w:rPr>
          <w:sz w:val="20"/>
          <w:szCs w:val="20"/>
          <w:color w:val="auto"/>
        </w:rPr>
      </w:pPr>
      <w:r>
        <w:rPr>
          <w:rFonts w:ascii="Arial" w:cs="Arial" w:eastAsia="Arial" w:hAnsi="Arial"/>
          <w:sz w:val="15"/>
          <w:szCs w:val="15"/>
          <w:color w:val="auto"/>
        </w:rPr>
        <w:t>Our committed external sources of funds consist of the remaining borrowing availability under our revolving line of credit with Fifth Third Bank, development funding under our collaboration agreement with Sanofi Pasteur, funding from NIAID and BARDA, including for studies related to our anthrax immune globulin therapeutic product candidate. To the extent our capital resources are insufficient to meet our future capital requirements, we will need to finance our cash needs through public or private equity offerings, debt financings or corporate collaboration and licensing arrangements, which we may not be able to obtain when needed or on attractive terms, which would force us to delay, reduce the scope of or eliminate our research and development programs or reduce our planned commercialization efforts.</w:t>
      </w:r>
    </w:p>
    <w:p>
      <w:pPr>
        <w:spacing w:after="0" w:line="156"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Our ability to borrow additional amounts under our loan agreements is subject to our satisfaction of specified conditions. Additional equity or debt financing, grants, or corporate collaboration and licensing arrangements may not be available on acceptable terms, if at all.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35" w:name="page36"/>
    <w:bookmarkEnd w:id="35"/>
    <w:p>
      <w:pPr>
        <w:ind w:right="160" w:firstLine="308"/>
        <w:spacing w:after="0" w:line="262" w:lineRule="auto"/>
        <w:rPr>
          <w:sz w:val="20"/>
          <w:szCs w:val="20"/>
          <w:color w:val="auto"/>
        </w:rPr>
      </w:pPr>
      <w:r>
        <w:rPr>
          <w:rFonts w:ascii="Arial" w:cs="Arial" w:eastAsia="Arial" w:hAnsi="Arial"/>
          <w:sz w:val="17"/>
          <w:szCs w:val="17"/>
          <w:color w:val="auto"/>
        </w:rPr>
        <w:t>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Manufacturing and Manufacturing Facilities</w:t>
      </w:r>
    </w:p>
    <w:p>
      <w:pPr>
        <w:spacing w:after="0" w:line="219" w:lineRule="exact"/>
        <w:rPr>
          <w:sz w:val="20"/>
          <w:szCs w:val="20"/>
          <w:color w:val="auto"/>
        </w:rPr>
      </w:pPr>
    </w:p>
    <w:p>
      <w:pPr>
        <w:ind w:left="320" w:right="60"/>
        <w:spacing w:after="0" w:line="272" w:lineRule="auto"/>
        <w:rPr>
          <w:sz w:val="20"/>
          <w:szCs w:val="20"/>
          <w:color w:val="auto"/>
        </w:rPr>
      </w:pPr>
      <w:r>
        <w:rPr>
          <w:rFonts w:ascii="Arial" w:cs="Arial" w:eastAsia="Arial" w:hAnsi="Arial"/>
          <w:sz w:val="17"/>
          <w:szCs w:val="17"/>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172"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We are spending significant amounts for the validation and qualification activities for our new 50,000 square foot manufacturing facility on our Lansing, Michigan campus, which has been designed and constructed to enable us to manufacture BioThrax on a large scale for our existing and potential future customers. This new facility is a large scale manufacturing plant that we can use to produce multiple vaccine products, subject to complying with appropriate change-over procedures.</w:t>
      </w:r>
    </w:p>
    <w:p>
      <w:pPr>
        <w:spacing w:after="0" w:line="146" w:lineRule="exact"/>
        <w:rPr>
          <w:sz w:val="20"/>
          <w:szCs w:val="20"/>
          <w:color w:val="auto"/>
        </w:rPr>
      </w:pPr>
    </w:p>
    <w:p>
      <w:pPr>
        <w:ind w:right="240" w:firstLine="308"/>
        <w:spacing w:after="0" w:line="258" w:lineRule="auto"/>
        <w:rPr>
          <w:sz w:val="20"/>
          <w:szCs w:val="20"/>
          <w:color w:val="auto"/>
        </w:rPr>
      </w:pPr>
      <w:r>
        <w:rPr>
          <w:rFonts w:ascii="Arial" w:cs="Arial" w:eastAsia="Arial" w:hAnsi="Arial"/>
          <w:sz w:val="17"/>
          <w:szCs w:val="17"/>
          <w:color w:val="auto"/>
        </w:rPr>
        <w:t>We also own two buildings in Frederick, Maryland that are available to address our future manufacturing requirements and have initiated initial engineering design and preliminary utility build out for these facilities. The completion of the Lansing facility and, if we proceed, the build out of the Frederick facilities, will involve substantial expenditures and likely require external sources of funds. Any delays in the validation and qualification activities may adversely affect our ability to manufacture our commercial product candidates for clinical trials or commercial sale.</w:t>
      </w:r>
    </w:p>
    <w:p>
      <w:pPr>
        <w:spacing w:after="0" w:line="185" w:lineRule="exact"/>
        <w:rPr>
          <w:sz w:val="20"/>
          <w:szCs w:val="20"/>
          <w:color w:val="auto"/>
        </w:rPr>
      </w:pPr>
    </w:p>
    <w:p>
      <w:pPr>
        <w:ind w:right="280" w:firstLine="308"/>
        <w:spacing w:after="0" w:line="276" w:lineRule="auto"/>
        <w:rPr>
          <w:sz w:val="20"/>
          <w:szCs w:val="20"/>
          <w:color w:val="auto"/>
        </w:rPr>
      </w:pPr>
      <w:r>
        <w:rPr>
          <w:rFonts w:ascii="Arial" w:cs="Arial" w:eastAsia="Arial" w:hAnsi="Arial"/>
          <w:sz w:val="16"/>
          <w:szCs w:val="16"/>
          <w:color w:val="auto"/>
        </w:rPr>
        <w:t>We anticipate that we will initiate large scale manufacturing of BioThrax at the new Lansing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at our new Lansing facility will be delayed and we will incur additional unanticipated costs.</w:t>
      </w:r>
    </w:p>
    <w:p>
      <w:pPr>
        <w:spacing w:after="0" w:line="173"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Constructing and preparing a facility for commercial vaccine manufacturing is a significant project. For example, constructing the new Lansing facility with increased manufacturing capacity requires that we scale-up both fermentation and downstream processing compared to the levels employed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which, as discussed above, may require additional clinical studies.</w:t>
      </w:r>
    </w:p>
    <w:p>
      <w:pPr>
        <w:spacing w:after="0" w:line="156"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The costs and time required to comply with the FDA’s current Good Manufacturing Practice, or cGMP, regulations, or similar regulatory requirements for sales of our products outside the United States, may be significant. If validation and qualification activities of our new facility in Lansing are delayed, we may not be able to manufacture sufficient quantities of BioThrax to allow us to increase sales of BioThrax to the U.S. government and other customers, which would limit our opportunities for growth. Cost overruns associated with constructing either our Lansing or Frederick facilities could require us to raise additional funds from external sources. We may not be able to do so on favorable terms or at all.</w:t>
      </w:r>
    </w:p>
    <w:p>
      <w:pPr>
        <w:spacing w:after="0" w:line="184" w:lineRule="exact"/>
        <w:rPr>
          <w:sz w:val="20"/>
          <w:szCs w:val="20"/>
          <w:color w:val="auto"/>
        </w:rPr>
      </w:pPr>
    </w:p>
    <w:p>
      <w:pPr>
        <w:ind w:left="320" w:right="320"/>
        <w:spacing w:after="0" w:line="272" w:lineRule="auto"/>
        <w:rPr>
          <w:sz w:val="20"/>
          <w:szCs w:val="20"/>
          <w:color w:val="auto"/>
        </w:rPr>
      </w:pPr>
      <w:r>
        <w:rPr>
          <w:rFonts w:ascii="Arial" w:cs="Arial" w:eastAsia="Arial" w:hAnsi="Arial"/>
          <w:sz w:val="17"/>
          <w:szCs w:val="17"/>
          <w:b w:val="1"/>
          <w:bCs w:val="1"/>
          <w:i w:val="1"/>
          <w:iCs w:val="1"/>
          <w:color w:val="auto"/>
        </w:rPr>
        <w:t>BioThrax and our immunobiotic product candidates are complex to manufacture, especially on a large scale commercial basis, which could cause us to delay product launches or experience shortages of products.</w:t>
      </w:r>
    </w:p>
    <w:p>
      <w:pPr>
        <w:spacing w:after="0" w:line="17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BioThrax and all our product candidates are biologics. Manufacturing biologic products, especially in large quantities, is complex. The products must be made consistently and in compliance with a clearly defined manufacturing process. Accordingly, it is essential to be able to validate and control the manufacturing process to assure that it is reproducible. Slight deviations anywhere in the manufacturing process, including obtaining materials, filling, labeling, packaging, storage and shipping and quality control and testing, some of which we experience from time to time, may result in lot failures, delay in the release of lots, product recalls or spoilage. We will not be able to sell any lots that fail to satisfy release testing specifications.</w:t>
      </w:r>
    </w:p>
    <w:p>
      <w:pPr>
        <w:spacing w:after="0" w:line="184" w:lineRule="exact"/>
        <w:rPr>
          <w:sz w:val="20"/>
          <w:szCs w:val="20"/>
          <w:color w:val="auto"/>
        </w:rPr>
      </w:pPr>
    </w:p>
    <w:p>
      <w:pPr>
        <w:ind w:right="260" w:firstLine="308"/>
        <w:spacing w:after="0" w:line="258" w:lineRule="auto"/>
        <w:rPr>
          <w:sz w:val="20"/>
          <w:szCs w:val="20"/>
          <w:color w:val="auto"/>
        </w:rPr>
      </w:pPr>
      <w:r>
        <w:rPr>
          <w:rFonts w:ascii="Arial" w:cs="Arial" w:eastAsia="Arial" w:hAnsi="Arial"/>
          <w:sz w:val="17"/>
          <w:szCs w:val="17"/>
          <w:color w:val="auto"/>
        </w:rPr>
        <w:t>FDA approval is required for the release of each lot. We must provide the FDA with the results of potency testing before lots are released for sale. We have one mechanism for conducting this potency testing that is reliant on a unique animal strain for which we have no redundancy. In developing redundancy, we may face significant regulatory hurdles. In the event of a problem with this strain, if we have not developed redundancy, we would not be able to provide the FDA with required potency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45085</wp:posOffset>
            </wp:positionV>
            <wp:extent cx="72790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firstLine="308"/>
        <w:spacing w:after="0" w:line="258" w:lineRule="auto"/>
        <w:rPr>
          <w:sz w:val="20"/>
          <w:szCs w:val="20"/>
          <w:color w:val="auto"/>
        </w:rPr>
      </w:pPr>
      <w:r>
        <w:rPr>
          <w:rFonts w:ascii="Arial" w:cs="Arial" w:eastAsia="Arial" w:hAnsi="Arial"/>
          <w:sz w:val="17"/>
          <w:szCs w:val="17"/>
          <w:color w:val="auto"/>
        </w:rPr>
        <w:t>In addition, BioThrax must be maintained at a prescribed temperature range during shipping, and variations from that temperature range could result in loss of product and could adversely affect profitability. Delays, lot failures, and shipping deviations or spoilage could cause us to fail to satisfy customer orders or contractual commitments, lead to a termination of one or more of our contracts, lead to delays in our clinical trials or result in litigation or regulatory action against us, any of which could be costly to us and otherwise harm our business.</w:t>
      </w:r>
    </w:p>
    <w:p>
      <w:pPr>
        <w:spacing w:after="0" w:line="185" w:lineRule="exact"/>
        <w:rPr>
          <w:sz w:val="20"/>
          <w:szCs w:val="20"/>
          <w:color w:val="auto"/>
        </w:rPr>
      </w:pPr>
    </w:p>
    <w:p>
      <w:pPr>
        <w:ind w:left="320" w:right="400"/>
        <w:spacing w:after="0" w:line="272" w:lineRule="auto"/>
        <w:rPr>
          <w:sz w:val="20"/>
          <w:szCs w:val="20"/>
          <w:color w:val="auto"/>
        </w:rPr>
      </w:pPr>
      <w:r>
        <w:rPr>
          <w:rFonts w:ascii="Arial" w:cs="Arial" w:eastAsia="Arial" w:hAnsi="Arial"/>
          <w:sz w:val="17"/>
          <w:szCs w:val="17"/>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172" w:lineRule="exact"/>
        <w:rPr>
          <w:sz w:val="20"/>
          <w:szCs w:val="20"/>
          <w:color w:val="auto"/>
        </w:rPr>
      </w:pPr>
    </w:p>
    <w:p>
      <w:pPr>
        <w:ind w:right="120" w:firstLine="308"/>
        <w:spacing w:after="0" w:line="304" w:lineRule="auto"/>
        <w:rPr>
          <w:sz w:val="20"/>
          <w:szCs w:val="20"/>
          <w:color w:val="auto"/>
        </w:rPr>
      </w:pPr>
      <w:r>
        <w:rPr>
          <w:rFonts w:ascii="Arial" w:cs="Arial" w:eastAsia="Arial" w:hAnsi="Arial"/>
          <w:sz w:val="16"/>
          <w:szCs w:val="16"/>
          <w:color w:val="auto"/>
        </w:rPr>
        <w:t>We currently rely on our manufacturing facilities at a single location in Lansing for the production of BioThrax. Any interruption in manufacturing operations at this location could result in our inability to satisfy the product demands of our customers. A number of factors could cause interruptions, including:</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equipment malfunctions or failures;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technology malfunctions;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work stoppages or slow downs;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protests, including by animal rights activists;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damage to or destruction of the facility;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regional power shortages; or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tampering.</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In addition, providers of bioterrorism countermeasures could be subject to an increased risk of terrorist activities. For example, the U.S. government has designated our Lansing facility as a facility requiring additional security to protect against potential terrorist threats to the facility. Any disruption that impedes our ability to manufacture and ship BioThrax in a timely manner could reduce our revenues and materially harm our business, financial condition and operating results. We do not carry business interruption insurance.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the company on whom we rely for filling BioThrax vials is unable to perform these services for us, our business may suffer.</w:t>
      </w:r>
    </w:p>
    <w:p>
      <w:pPr>
        <w:spacing w:after="0" w:line="215"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have outsourced the operation for filling BioThrax into vials to a single company, Hollister-Stier Laboratories LLC. Our contract with Hollister-Stier expires on December 31, 2010. We have not established internal redundancy for our filling functions and currently have no substitute provider that can handle our filling needs. If Hollister-Stier is unable to perform filling services for us, we would need to identify and engage an alternative filling company or develop our own filling capabilities. Any new contract filling company or filling capabilities that we acquire or develop will need to obtain FDA approval for filling BioThrax at its facilities. Identifying and engaging a new contract filling company or developing our own filling capabilities and obtaining FDA approval could involve significant cost and delay. As a result, we might not be able to deliver BioThrax orders on a timely basis and our revenues could decrease.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business may be harmed if we do not adequately forecast customer demand.</w:t>
      </w:r>
    </w:p>
    <w:p>
      <w:pPr>
        <w:spacing w:after="0" w:line="215"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The timing and amount of customer demand is difficult to predict. We may not be able to scale-up our production quickly enough to fill any new customer orders on a timely basis. This could cause us to lose new business and possibly existing business. For example, we may not be able to scale-up manufacturing processes for our product candidates to allow production of commercial quantities at a reasonable cost or at all. Furthermore, if we overestimate customer demand, or choose to commercialize products for which the market is smaller than we anticipate, we could incur significant unrecoverable costs from creating excess capacity. In addition, if we do not successfully develop and commercialize any of our product candidates, we may never require the production capacity that we expect to have available.</w:t>
      </w:r>
    </w:p>
    <w:p>
      <w:pPr>
        <w:spacing w:after="0" w:line="156" w:lineRule="exact"/>
        <w:rPr>
          <w:sz w:val="20"/>
          <w:szCs w:val="20"/>
          <w:color w:val="auto"/>
        </w:rPr>
      </w:pPr>
    </w:p>
    <w:p>
      <w:pPr>
        <w:ind w:left="320" w:right="620"/>
        <w:spacing w:after="0" w:line="382" w:lineRule="auto"/>
        <w:rPr>
          <w:sz w:val="20"/>
          <w:szCs w:val="20"/>
          <w:color w:val="auto"/>
        </w:rPr>
      </w:pPr>
      <w:r>
        <w:rPr>
          <w:rFonts w:ascii="Arial" w:cs="Arial" w:eastAsia="Arial" w:hAnsi="Arial"/>
          <w:sz w:val="14"/>
          <w:szCs w:val="14"/>
          <w:b w:val="1"/>
          <w:bCs w:val="1"/>
          <w:i w:val="1"/>
          <w:iCs w:val="1"/>
          <w:color w:val="auto"/>
        </w:rPr>
        <w:t>If third parties do not manufacture our product candidates or products in sufficient quantities and at an acceptable cost or in compliance with regulatory requirements and specifications, the development and commercialization of our product candidates could be delayed, prevented or impaired.</w:t>
      </w:r>
    </w:p>
    <w:p>
      <w:pPr>
        <w:spacing w:after="0" w:line="103" w:lineRule="exact"/>
        <w:rPr>
          <w:sz w:val="20"/>
          <w:szCs w:val="20"/>
          <w:color w:val="auto"/>
        </w:rPr>
      </w:pPr>
    </w:p>
    <w:p>
      <w:pPr>
        <w:jc w:val="both"/>
        <w:ind w:right="460" w:firstLine="308"/>
        <w:spacing w:after="0" w:line="288" w:lineRule="auto"/>
        <w:rPr>
          <w:sz w:val="20"/>
          <w:szCs w:val="20"/>
          <w:color w:val="auto"/>
        </w:rPr>
      </w:pPr>
      <w:r>
        <w:rPr>
          <w:rFonts w:ascii="Arial" w:cs="Arial" w:eastAsia="Arial" w:hAnsi="Arial"/>
          <w:sz w:val="15"/>
          <w:szCs w:val="15"/>
          <w:color w:val="auto"/>
        </w:rPr>
        <w:t>We currently rely on third parties to manufacture the supplies of our immunobiotic product candidates that we require for preclinical and clinical development, including our immune globulin therapeutic product candidates, typhoid vaccine, hepatitis B therapeutic vaccine, and group B streptococcus vaccine candidates. Any significant delay in obtaining adequate supplies of our product candidates could adversely affect our ability to develop or commercialize these product candidates.</w:t>
      </w:r>
    </w:p>
    <w:p>
      <w:pPr>
        <w:spacing w:after="0" w:line="2"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Although we recently commissioned a new pilot plant manufacturing facility on our Lansing campus for production of preclinical and clinical supplies of our product candidates, we expect that we will continue to use third parties for these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72790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7" w:name="page38"/>
    <w:bookmarkEnd w:id="37"/>
    <w:p>
      <w:pPr>
        <w:ind w:right="40" w:firstLine="308"/>
        <w:spacing w:after="0" w:line="299" w:lineRule="auto"/>
        <w:rPr>
          <w:sz w:val="20"/>
          <w:szCs w:val="20"/>
          <w:color w:val="auto"/>
        </w:rPr>
      </w:pPr>
      <w:r>
        <w:rPr>
          <w:rFonts w:ascii="Arial" w:cs="Arial" w:eastAsia="Arial" w:hAnsi="Arial"/>
          <w:sz w:val="15"/>
          <w:szCs w:val="15"/>
          <w:color w:val="auto"/>
        </w:rPr>
        <w:t>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therapeutic product candidates and contract fill and finish operations. If our contract manufacturers are unable to scale-up production to generate enough materials for commercial launch, the success of those products may be jeopardized.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56"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color w:val="auto"/>
        </w:rPr>
        <w:t>Third party manufacturers under short-term supply agreements are not obligated to accept any purchase orders we may submit. If any third party terminates its agreement with us, based on its own business priorities, or otherwise fails to fulfill our purchase orders, we would need to rely on alternative sources or develop our own manufacturing capabilities to satisfy our requirements.</w:t>
      </w:r>
    </w:p>
    <w:p>
      <w:pPr>
        <w:spacing w:after="0" w:line="180"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If alternative suppliers are not available or are delayed in fulfilling our requirements, or if we are unsuccessful in developing our own manufacturing capabilities,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 Our only current long-term manufacturing agreements are our agreement with Talecris Biotherapeutics, Inc., for fractionation and purification of plasma for our anthrax immune globulin therapeutic candidate, and our collaboration with HPA, under which HPA provides specialized manufacturing capabilities for our recombinant bivalent botulinum vaccine candidate and the bivalent botulinum toxoid vaccine that we plan to use as the basis for our botulinum immune globulin therapeutic candidate.</w:t>
      </w:r>
    </w:p>
    <w:p>
      <w:pPr>
        <w:spacing w:after="0" w:line="176" w:lineRule="exact"/>
        <w:rPr>
          <w:sz w:val="20"/>
          <w:szCs w:val="20"/>
          <w:color w:val="auto"/>
        </w:rPr>
      </w:pPr>
    </w:p>
    <w:p>
      <w:pPr>
        <w:ind w:right="120" w:firstLine="308"/>
        <w:spacing w:after="0" w:line="279" w:lineRule="auto"/>
        <w:rPr>
          <w:sz w:val="20"/>
          <w:szCs w:val="20"/>
          <w:color w:val="auto"/>
        </w:rPr>
      </w:pPr>
      <w:r>
        <w:rPr>
          <w:rFonts w:ascii="Arial" w:cs="Arial" w:eastAsia="Arial" w:hAnsi="Arial"/>
          <w:sz w:val="16"/>
          <w:szCs w:val="16"/>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w:t>
      </w:r>
    </w:p>
    <w:p>
      <w:pPr>
        <w:spacing w:after="0" w:line="170" w:lineRule="exact"/>
        <w:rPr>
          <w:sz w:val="20"/>
          <w:szCs w:val="20"/>
          <w:color w:val="auto"/>
        </w:rPr>
      </w:pPr>
    </w:p>
    <w:p>
      <w:pPr>
        <w:ind w:right="100" w:firstLine="308"/>
        <w:spacing w:after="0" w:line="258" w:lineRule="auto"/>
        <w:rPr>
          <w:sz w:val="20"/>
          <w:szCs w:val="20"/>
          <w:color w:val="auto"/>
        </w:rPr>
      </w:pPr>
      <w:r>
        <w:rPr>
          <w:rFonts w:ascii="Arial" w:cs="Arial" w:eastAsia="Arial" w:hAnsi="Arial"/>
          <w:sz w:val="17"/>
          <w:szCs w:val="17"/>
          <w:color w:val="auto"/>
        </w:rPr>
        <w:t>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fines, injunctions and civil penalties;</w:t>
      </w:r>
    </w:p>
    <w:p>
      <w:pPr>
        <w:spacing w:after="0" w:line="74" w:lineRule="exact"/>
        <w:rPr>
          <w:sz w:val="20"/>
          <w:szCs w:val="20"/>
          <w:color w:val="auto"/>
        </w:rPr>
      </w:pPr>
    </w:p>
    <w:p>
      <w:pPr>
        <w:ind w:right="4980"/>
        <w:spacing w:after="0" w:line="330" w:lineRule="auto"/>
        <w:rPr>
          <w:sz w:val="20"/>
          <w:szCs w:val="20"/>
          <w:color w:val="auto"/>
        </w:rPr>
      </w:pPr>
      <w:r>
        <w:rPr>
          <w:rFonts w:ascii="Arial" w:cs="Arial" w:eastAsia="Arial" w:hAnsi="Arial"/>
          <w:sz w:val="17"/>
          <w:szCs w:val="17"/>
          <w:color w:val="auto"/>
        </w:rPr>
        <w:t>refusal by regulatory authorities to grant marketing approval of our product candidates; delays, suspension or withdrawal of regulatory approvals, including license revocation; seizures or recalls of product candidates or products; operating restrictions;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criminal prosecutions.</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740" w:firstLine="308"/>
        <w:spacing w:after="0" w:line="272" w:lineRule="auto"/>
        <w:rPr>
          <w:sz w:val="20"/>
          <w:szCs w:val="20"/>
          <w:color w:val="auto"/>
        </w:rPr>
      </w:pPr>
      <w:r>
        <w:rPr>
          <w:rFonts w:ascii="Arial" w:cs="Arial" w:eastAsia="Arial" w:hAnsi="Arial"/>
          <w:sz w:val="17"/>
          <w:szCs w:val="17"/>
          <w:color w:val="auto"/>
        </w:rPr>
        <w:t>If as a result of regulatory requirements or otherwise we or third parties are unable to manufacture our product candidates at an acceptable cost, our product candidates may not be commercially viable.</w:t>
      </w:r>
    </w:p>
    <w:p>
      <w:pPr>
        <w:spacing w:after="0" w:line="172" w:lineRule="exact"/>
        <w:rPr>
          <w:sz w:val="20"/>
          <w:szCs w:val="20"/>
          <w:color w:val="auto"/>
        </w:rPr>
      </w:pPr>
    </w:p>
    <w:p>
      <w:pPr>
        <w:ind w:left="320" w:right="500"/>
        <w:spacing w:after="0" w:line="272" w:lineRule="auto"/>
        <w:rPr>
          <w:sz w:val="20"/>
          <w:szCs w:val="20"/>
          <w:color w:val="auto"/>
        </w:rPr>
      </w:pPr>
      <w:r>
        <w:rPr>
          <w:rFonts w:ascii="Arial" w:cs="Arial" w:eastAsia="Arial" w:hAnsi="Arial"/>
          <w:sz w:val="17"/>
          <w:szCs w:val="17"/>
          <w:b w:val="1"/>
          <w:bCs w:val="1"/>
          <w:i w:val="1"/>
          <w:iCs w:val="1"/>
          <w:color w:val="auto"/>
        </w:rPr>
        <w:t>Our use of hazardous materials, chemicals, bacteria and viruses requires us to comply with regulatory requirements and exposes us to significant potential liabilities.</w:t>
      </w:r>
    </w:p>
    <w:p>
      <w:pPr>
        <w:spacing w:after="0" w:line="172"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85" w:lineRule="exact"/>
        <w:rPr>
          <w:sz w:val="20"/>
          <w:szCs w:val="20"/>
          <w:color w:val="auto"/>
        </w:rPr>
      </w:pPr>
    </w:p>
    <w:p>
      <w:pPr>
        <w:ind w:right="80" w:firstLine="308"/>
        <w:spacing w:after="0" w:line="279" w:lineRule="auto"/>
        <w:rPr>
          <w:sz w:val="20"/>
          <w:szCs w:val="20"/>
          <w:color w:val="auto"/>
        </w:rPr>
      </w:pPr>
      <w:r>
        <w:rPr>
          <w:rFonts w:ascii="Arial" w:cs="Arial" w:eastAsia="Arial" w:hAnsi="Arial"/>
          <w:sz w:val="16"/>
          <w:szCs w:val="16"/>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8" w:name="page39"/>
    <w:bookmarkEnd w:id="38"/>
    <w:p>
      <w:pPr>
        <w:ind w:right="40" w:firstLine="308"/>
        <w:spacing w:after="0" w:line="256" w:lineRule="auto"/>
        <w:rPr>
          <w:sz w:val="20"/>
          <w:szCs w:val="20"/>
          <w:color w:val="auto"/>
        </w:rPr>
      </w:pPr>
      <w:r>
        <w:rPr>
          <w:rFonts w:ascii="Arial" w:cs="Arial" w:eastAsia="Arial" w:hAnsi="Arial"/>
          <w:sz w:val="17"/>
          <w:szCs w:val="17"/>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 Our general liability and excess insurance policies provide for coverage up to annual aggregate limits of $12 million, with coverage of $1 million per occurrence and $2 million in the aggregate for general liability and $10 million per occurrence and in the aggregate for excess liability.</w:t>
      </w:r>
    </w:p>
    <w:p>
      <w:pPr>
        <w:spacing w:after="0" w:line="185"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The general liability policy currently has a $15,000 per occurrence deductible. Both policies exclude coverage for liabilities relating to the release of pollutants. We do not currently hold insurance policies expressly providing for coverage relating to our use of hazardous materials other than storage tank liability insurance for our Lansing facility with a $1 million annual aggregate limit and a $10,000 per claim deductible. The insurance that we currently hold may not be adequate to cover all liabilities relating to accidental contamination or injury as a result of pollution conditions or other extraordinary or unanticipated events.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Product Development</w:t>
      </w:r>
    </w:p>
    <w:p>
      <w:pPr>
        <w:spacing w:after="0" w:line="219" w:lineRule="exact"/>
        <w:rPr>
          <w:sz w:val="20"/>
          <w:szCs w:val="20"/>
          <w:color w:val="auto"/>
        </w:rPr>
      </w:pPr>
    </w:p>
    <w:p>
      <w:pPr>
        <w:ind w:left="320" w:right="40"/>
        <w:spacing w:after="0" w:line="341" w:lineRule="auto"/>
        <w:rPr>
          <w:sz w:val="20"/>
          <w:szCs w:val="20"/>
          <w:color w:val="auto"/>
        </w:rPr>
      </w:pPr>
      <w:r>
        <w:rPr>
          <w:rFonts w:ascii="Arial" w:cs="Arial" w:eastAsia="Arial" w:hAnsi="Arial"/>
          <w:sz w:val="15"/>
          <w:szCs w:val="15"/>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125" w:lineRule="exact"/>
        <w:rPr>
          <w:sz w:val="20"/>
          <w:szCs w:val="20"/>
          <w:color w:val="auto"/>
        </w:rPr>
      </w:pPr>
    </w:p>
    <w:p>
      <w:pPr>
        <w:ind w:right="260" w:firstLine="308"/>
        <w:spacing w:after="0" w:line="262" w:lineRule="auto"/>
        <w:rPr>
          <w:sz w:val="20"/>
          <w:szCs w:val="20"/>
          <w:color w:val="auto"/>
        </w:rPr>
      </w:pPr>
      <w:r>
        <w:rPr>
          <w:rFonts w:ascii="Arial" w:cs="Arial" w:eastAsia="Arial" w:hAnsi="Arial"/>
          <w:sz w:val="17"/>
          <w:szCs w:val="17"/>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therapeutic candidate. The commercial success of our product candidates will depend on many factors, including:</w:t>
      </w:r>
    </w:p>
    <w:p>
      <w:pPr>
        <w:sectPr>
          <w:pgSz w:w="11900" w:h="16838" w:orient="portrait"/>
          <w:cols w:equalWidth="0" w:num="1">
            <w:col w:w="11420"/>
          </w:cols>
          <w:pgMar w:left="240" w:top="131" w:right="23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040"/>
        <w:spacing w:after="0" w:line="330" w:lineRule="auto"/>
        <w:rPr>
          <w:sz w:val="20"/>
          <w:szCs w:val="20"/>
          <w:color w:val="auto"/>
        </w:rPr>
      </w:pPr>
      <w:r>
        <w:rPr>
          <w:rFonts w:ascii="Arial" w:cs="Arial" w:eastAsia="Arial" w:hAnsi="Arial"/>
          <w:sz w:val="17"/>
          <w:szCs w:val="17"/>
          <w:color w:val="auto"/>
        </w:rPr>
        <w:t>successful development, formulation and cGMP scale-up of biological manufacturing that meets FDA requirements; successful development of animal models by the U.S. government;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successful completion of non-clinical development, including studies in approved animal models;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successful completion of clinical trials;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receipt of marketing approvals from the FDA and similar foreign regulatory authorities;</w:t>
      </w:r>
    </w:p>
    <w:p>
      <w:pPr>
        <w:spacing w:after="0" w:line="74" w:lineRule="exact"/>
        <w:rPr>
          <w:sz w:val="20"/>
          <w:szCs w:val="20"/>
          <w:color w:val="auto"/>
        </w:rPr>
      </w:pPr>
    </w:p>
    <w:p>
      <w:pPr>
        <w:ind w:right="1660"/>
        <w:spacing w:after="0" w:line="351" w:lineRule="auto"/>
        <w:rPr>
          <w:sz w:val="20"/>
          <w:szCs w:val="20"/>
          <w:color w:val="auto"/>
        </w:rPr>
      </w:pPr>
      <w:r>
        <w:rPr>
          <w:rFonts w:ascii="Arial" w:cs="Arial" w:eastAsia="Arial" w:hAnsi="Arial"/>
          <w:sz w:val="16"/>
          <w:szCs w:val="16"/>
          <w:color w:val="auto"/>
        </w:rPr>
        <w:t>a determination by the Secretary of HHS that our biodefense product candidates should be purchased for the SNS prior to FDA approval; establishing commercial manufacturing processes of our own or arrangements with contract manufacturers;</w:t>
      </w:r>
    </w:p>
    <w:p>
      <w:pPr>
        <w:ind w:right="2800"/>
        <w:spacing w:after="0" w:line="351" w:lineRule="auto"/>
        <w:rPr>
          <w:sz w:val="20"/>
          <w:szCs w:val="20"/>
          <w:color w:val="auto"/>
        </w:rPr>
      </w:pPr>
      <w:r>
        <w:rPr>
          <w:rFonts w:ascii="Arial" w:cs="Arial" w:eastAsia="Arial" w:hAnsi="Arial"/>
          <w:sz w:val="16"/>
          <w:szCs w:val="16"/>
          <w:color w:val="auto"/>
        </w:rPr>
        <w:t>manufacturing stable commercial supplies of product candidates, including materials based on recombinant technology; launching commercial sales of the product, whether alone or in collaboration with others; and</w:t>
      </w:r>
    </w:p>
    <w:p>
      <w:pPr>
        <w:spacing w:after="0"/>
        <w:rPr>
          <w:sz w:val="20"/>
          <w:szCs w:val="20"/>
          <w:color w:val="auto"/>
        </w:rPr>
      </w:pPr>
      <w:r>
        <w:rPr>
          <w:rFonts w:ascii="Arial" w:cs="Arial" w:eastAsia="Arial" w:hAnsi="Arial"/>
          <w:sz w:val="14"/>
          <w:szCs w:val="14"/>
          <w:color w:val="auto"/>
        </w:rPr>
        <w:t>acceptance of the product by potential government customers, physicians, patients, healthcare payors and others in the medical community.</w:t>
      </w:r>
    </w:p>
    <w:p>
      <w:pPr>
        <w:spacing w:after="0" w:line="300"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right="40" w:firstLine="308"/>
        <w:spacing w:after="0" w:line="299" w:lineRule="auto"/>
        <w:rPr>
          <w:sz w:val="20"/>
          <w:szCs w:val="20"/>
          <w:color w:val="auto"/>
        </w:rPr>
      </w:pPr>
      <w:r>
        <w:rPr>
          <w:rFonts w:ascii="Arial" w:cs="Arial" w:eastAsia="Arial" w:hAnsi="Arial"/>
          <w:sz w:val="15"/>
          <w:szCs w:val="15"/>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If we are not successful in completing the development and commercialization of our immunobiotic product candidates, or if we are significantly delayed in doing so, our business will be materially harmed.</w:t>
      </w:r>
    </w:p>
    <w:p>
      <w:pPr>
        <w:spacing w:after="0" w:line="156" w:lineRule="exact"/>
        <w:rPr>
          <w:sz w:val="20"/>
          <w:szCs w:val="20"/>
          <w:color w:val="auto"/>
        </w:rPr>
      </w:pPr>
    </w:p>
    <w:p>
      <w:pPr>
        <w:ind w:left="320" w:right="60"/>
        <w:spacing w:after="0" w:line="272" w:lineRule="auto"/>
        <w:rPr>
          <w:sz w:val="20"/>
          <w:szCs w:val="20"/>
          <w:color w:val="auto"/>
        </w:rPr>
      </w:pPr>
      <w:r>
        <w:rPr>
          <w:rFonts w:ascii="Arial" w:cs="Arial" w:eastAsia="Arial" w:hAnsi="Arial"/>
          <w:sz w:val="17"/>
          <w:szCs w:val="17"/>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172" w:lineRule="exact"/>
        <w:rPr>
          <w:sz w:val="20"/>
          <w:szCs w:val="20"/>
          <w:color w:val="auto"/>
        </w:rPr>
      </w:pPr>
    </w:p>
    <w:p>
      <w:pPr>
        <w:ind w:right="80" w:firstLine="308"/>
        <w:spacing w:after="0" w:line="303" w:lineRule="auto"/>
        <w:rPr>
          <w:sz w:val="20"/>
          <w:szCs w:val="20"/>
          <w:color w:val="auto"/>
        </w:rPr>
      </w:pPr>
      <w:r>
        <w:rPr>
          <w:rFonts w:ascii="Arial" w:cs="Arial" w:eastAsia="Arial" w:hAnsi="Arial"/>
          <w:sz w:val="15"/>
          <w:szCs w:val="15"/>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156210</wp:posOffset>
            </wp:positionV>
            <wp:extent cx="72790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ind w:right="100" w:firstLine="308"/>
        <w:spacing w:after="0" w:line="262" w:lineRule="auto"/>
        <w:rPr>
          <w:sz w:val="20"/>
          <w:szCs w:val="20"/>
          <w:color w:val="auto"/>
        </w:rPr>
      </w:pPr>
      <w:r>
        <w:rPr>
          <w:rFonts w:ascii="Arial" w:cs="Arial" w:eastAsia="Arial" w:hAnsi="Arial"/>
          <w:sz w:val="17"/>
          <w:szCs w:val="17"/>
          <w:color w:val="auto"/>
        </w:rPr>
        <w:t>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ectPr>
          <w:pgSz w:w="11900" w:h="16838" w:orient="portrait"/>
          <w:cols w:equalWidth="0" w:num="1">
            <w:col w:w="11360"/>
          </w:cols>
          <w:pgMar w:left="240" w:top="131" w:right="29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regulators or institutional review boards may not authorize us to commence a clinical trial or conduct a clinical trial at a prospective trial site;</w:t>
      </w:r>
    </w:p>
    <w:p>
      <w:pPr>
        <w:spacing w:after="0" w:line="74" w:lineRule="exact"/>
        <w:rPr>
          <w:sz w:val="20"/>
          <w:szCs w:val="20"/>
          <w:color w:val="auto"/>
        </w:rPr>
      </w:pPr>
    </w:p>
    <w:p>
      <w:pPr>
        <w:ind w:right="640"/>
        <w:spacing w:after="0" w:line="256" w:lineRule="auto"/>
        <w:rPr>
          <w:sz w:val="20"/>
          <w:szCs w:val="20"/>
          <w:color w:val="auto"/>
        </w:rPr>
      </w:pPr>
      <w:r>
        <w:rPr>
          <w:rFonts w:ascii="Arial" w:cs="Arial" w:eastAsia="Arial" w:hAnsi="Arial"/>
          <w:sz w:val="17"/>
          <w:szCs w:val="17"/>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might have to suspend or terminate our clinical trials if the participants are being exposed to unacceptable health risks;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regulators or institutional review boards may require that we hold, suspend or terminate clinical development for various reasons, including noncompliance with regulatory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cost of our clinical trials could escalate and become cost prohibitive;</w:t>
      </w:r>
    </w:p>
    <w:p>
      <w:pPr>
        <w:spacing w:after="0" w:line="66"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any regulatory approval we ultimately obtain may be limited or subject to restrictions or post-approval commitments that render the product not commercially viable;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 may not be successful in recruiting a sufficient number of qualifying subjects for our clinical trials; and</w:t>
      </w:r>
    </w:p>
    <w:p>
      <w:pPr>
        <w:spacing w:after="0" w:line="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effects of our product candidates may not be the desired effects or may include undesirable side effects or the product candidates may have other unexpected characteristics.</w:t>
      </w:r>
    </w:p>
    <w:p>
      <w:pPr>
        <w:spacing w:after="0" w:line="172" w:lineRule="exact"/>
        <w:rPr>
          <w:sz w:val="20"/>
          <w:szCs w:val="20"/>
          <w:color w:val="auto"/>
        </w:rPr>
      </w:pPr>
    </w:p>
    <w:p>
      <w:pPr>
        <w:sectPr>
          <w:pgSz w:w="11900" w:h="16838" w:orient="portrait"/>
          <w:cols w:equalWidth="0" w:num="2">
            <w:col w:w="400" w:space="220"/>
            <w:col w:w="10740"/>
          </w:cols>
          <w:pgMar w:left="240" w:top="131" w:right="299" w:bottom="1440" w:gutter="0" w:footer="0" w:header="0"/>
          <w:type w:val="continuous"/>
        </w:sectPr>
      </w:pPr>
    </w:p>
    <w:p>
      <w:pPr>
        <w:ind w:right="80" w:firstLine="308"/>
        <w:spacing w:after="0" w:line="279" w:lineRule="auto"/>
        <w:rPr>
          <w:sz w:val="20"/>
          <w:szCs w:val="20"/>
          <w:color w:val="auto"/>
        </w:rPr>
      </w:pPr>
      <w:r>
        <w:rPr>
          <w:rFonts w:ascii="Arial" w:cs="Arial" w:eastAsia="Arial" w:hAnsi="Arial"/>
          <w:sz w:val="16"/>
          <w:szCs w:val="16"/>
          <w:color w:val="auto"/>
        </w:rPr>
        <w:t>In addition, because some of our current and future vaccine candidates contain live attenuated viruses, our testing of these vaccine candidates is subject to additional risk. For example, there have been reports of serious adverse events following administration of live vaccine products in clinical trials conducted by other vaccine developers. Also, for some of our current and future vaccine candidates, we expect to conduct clinical trials in chronic carriers of the disease that our product candidate seeks to prevent. There have been reports of disease flares in chronic carriers following administration of live vaccine products.</w:t>
      </w:r>
    </w:p>
    <w:p>
      <w:pPr>
        <w:spacing w:after="0" w:line="170" w:lineRule="exact"/>
        <w:rPr>
          <w:sz w:val="20"/>
          <w:szCs w:val="20"/>
          <w:color w:val="auto"/>
        </w:rPr>
      </w:pPr>
    </w:p>
    <w:p>
      <w:pPr>
        <w:ind w:right="440" w:firstLine="308"/>
        <w:spacing w:after="0" w:line="272"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ectPr>
          <w:pgSz w:w="11900" w:h="16838" w:orient="portrait"/>
          <w:cols w:equalWidth="0" w:num="1">
            <w:col w:w="11360"/>
          </w:cols>
          <w:pgMar w:left="240" w:top="131" w:right="299" w:bottom="1440" w:gutter="0" w:footer="0" w:header="0"/>
          <w:type w:val="continuous"/>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be delayed in obtaining marketing approval for our product candidates;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not be able to obtain marketing approval; or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obtain approval for indications that are not as broad as intended.</w:t>
      </w:r>
    </w:p>
    <w:p>
      <w:pPr>
        <w:spacing w:after="0" w:line="277" w:lineRule="exact"/>
        <w:rPr>
          <w:sz w:val="20"/>
          <w:szCs w:val="20"/>
          <w:color w:val="auto"/>
        </w:rPr>
      </w:pPr>
    </w:p>
    <w:p>
      <w:pPr>
        <w:sectPr>
          <w:pgSz w:w="11900" w:h="16838" w:orient="portrait"/>
          <w:cols w:equalWidth="0" w:num="2">
            <w:col w:w="400" w:space="220"/>
            <w:col w:w="10740"/>
          </w:cols>
          <w:pgMar w:left="240" w:top="131" w:right="299" w:bottom="1440" w:gutter="0" w:footer="0" w:header="0"/>
          <w:type w:val="continuous"/>
        </w:sectPr>
      </w:pPr>
    </w:p>
    <w:p>
      <w:pPr>
        <w:spacing w:after="0" w:line="13"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In addition, our development plan for BioThrax as a post-exposure prophylaxis for anthrax infection provides for a non-human primate efficacy study. However, the timing of our non-human primate efficacy study depends upon the successful development of a non-human primate model by NIAID. If NIAID does not successfully develop a non-human primate model, our development plans for BioThrax as a post-exposure prophylaxis for anthrax infection will be delayed, possibly significantly.</w:t>
      </w:r>
    </w:p>
    <w:p>
      <w:pPr>
        <w:spacing w:after="0" w:line="146"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72"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Under the Project BioShield Act, the Secretary of HHS can contract to purchase countermeasures for the SNS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Commercialization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If we fail to achieve significant sales of BioThrax to customers in addition to the U.S. government, our opportunities for growth could be harmed.</w:t>
      </w:r>
    </w:p>
    <w:p>
      <w:pPr>
        <w:spacing w:after="0" w:line="226"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An element of our business strategy is to establish a market for sales of BioThrax to customers in addition to the U.S. government. These potential customers include foreign governments and state and local governments, which we expect will be interested in BioThrax to protect emergency responders such as police, fire and emergency medical personnel, multinational companies, non-governmental organizations and hospitals.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40" w:name="page41"/>
    <w:bookmarkEnd w:id="40"/>
    <w:p>
      <w:pPr>
        <w:ind w:right="40" w:firstLine="308"/>
        <w:spacing w:after="0" w:line="303" w:lineRule="auto"/>
        <w:rPr>
          <w:sz w:val="20"/>
          <w:szCs w:val="20"/>
          <w:color w:val="auto"/>
        </w:rPr>
      </w:pPr>
      <w:r>
        <w:rPr>
          <w:rFonts w:ascii="Arial" w:cs="Arial" w:eastAsia="Arial" w:hAnsi="Arial"/>
          <w:sz w:val="15"/>
          <w:szCs w:val="15"/>
          <w:color w:val="auto"/>
        </w:rPr>
        <w:t>The market for sales of BioThrax to customers other than the U.S. government is new and undeveloped, and we may not be successful in generating meaningful sales of BioThrax to these potential customers. To date, we have made only modest sales to these customers. In particular, we have supplied small amounts of BioThrax directly to several foreign governments. In 2007, our sales of BioThrax to customers other than the U.S. government represented a small portion of our revenue. If we fail to significantly increase our sales of BioThrax to these customers, our business and opportunities for growth could be materially harmed.</w:t>
      </w:r>
    </w:p>
    <w:p>
      <w:pPr>
        <w:spacing w:after="0" w:line="155"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 For example, our efforts to develop domestic commercial and international sales may be impeded by the DoD’s right under the Defense Production Act to require us to deliver doses that we do not currently anticipate.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178" w:lineRule="exact"/>
        <w:rPr>
          <w:sz w:val="20"/>
          <w:szCs w:val="20"/>
          <w:color w:val="auto"/>
        </w:rPr>
      </w:pPr>
    </w:p>
    <w:p>
      <w:pPr>
        <w:ind w:right="80" w:firstLine="308"/>
        <w:spacing w:after="0" w:line="257" w:lineRule="auto"/>
        <w:rPr>
          <w:sz w:val="20"/>
          <w:szCs w:val="20"/>
          <w:color w:val="auto"/>
        </w:rPr>
      </w:pPr>
      <w:r>
        <w:rPr>
          <w:rFonts w:ascii="Arial" w:cs="Arial" w:eastAsia="Arial" w:hAnsi="Arial"/>
          <w:sz w:val="17"/>
          <w:szCs w:val="17"/>
          <w:color w:val="auto"/>
        </w:rPr>
        <w:t>Our ability to meet any potential increased demand that develops for sales of BioThrax to customers other than the U.S. government depends on our available production capacity. We use substantially all of our current production capacity at our facility in Lansing to manufacture BioThrax for sale to U.S. government customers. Our plan is to initiate large scale manufacturing of BioThrax at our new manufacturing facility in 2008. If validation and qualification activates for our new facility in Lansing are delayed, we may not be able to manufacture sufficient quantities of BioThrax to allow us to increase sales of BioThrax to customers other than the U.S. government which would limit our opportunities for growth.</w:t>
      </w:r>
    </w:p>
    <w:p>
      <w:pPr>
        <w:spacing w:after="0" w:line="184" w:lineRule="exact"/>
        <w:rPr>
          <w:sz w:val="20"/>
          <w:szCs w:val="20"/>
          <w:color w:val="auto"/>
        </w:rPr>
      </w:pPr>
    </w:p>
    <w:p>
      <w:pPr>
        <w:ind w:left="320" w:right="280"/>
        <w:spacing w:after="0" w:line="272" w:lineRule="auto"/>
        <w:rPr>
          <w:sz w:val="20"/>
          <w:szCs w:val="20"/>
          <w:color w:val="auto"/>
        </w:rPr>
      </w:pPr>
      <w:r>
        <w:rPr>
          <w:rFonts w:ascii="Arial" w:cs="Arial" w:eastAsia="Arial" w:hAnsi="Arial"/>
          <w:sz w:val="17"/>
          <w:szCs w:val="17"/>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17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w:t>
      </w:r>
    </w:p>
    <w:p>
      <w:pPr>
        <w:spacing w:after="0" w:line="185"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In addition, notwithstanding favorable findings regarding the safety and efficacy of BioThrax by the FDA in its final ruling in December 2005, the GAO reiterated concerns regarding BioThrax in Congressional testimony in May 2006 that it had previously identified beginning in 1999. These concerns include the need for a six-dose regimen and annual booster doses, questions about the long-term and short-term safety of the vaccine, including how safety is affected by gender differences, and uncertainty about the vaccine’s efficacy.</w:t>
      </w:r>
    </w:p>
    <w:p>
      <w:pPr>
        <w:spacing w:after="0" w:line="185" w:lineRule="exact"/>
        <w:rPr>
          <w:sz w:val="20"/>
          <w:szCs w:val="20"/>
          <w:color w:val="auto"/>
        </w:rPr>
      </w:pPr>
    </w:p>
    <w:p>
      <w:pPr>
        <w:jc w:val="both"/>
        <w:ind w:right="280" w:firstLine="308"/>
        <w:spacing w:after="0" w:line="286" w:lineRule="auto"/>
        <w:rPr>
          <w:sz w:val="20"/>
          <w:szCs w:val="20"/>
          <w:color w:val="auto"/>
        </w:rPr>
      </w:pPr>
      <w:r>
        <w:rPr>
          <w:rFonts w:ascii="Arial" w:cs="Arial" w:eastAsia="Arial" w:hAnsi="Arial"/>
          <w:sz w:val="16"/>
          <w:szCs w:val="16"/>
          <w:color w:val="auto"/>
        </w:rPr>
        <w:t>In another report, issued in October 2007, the GAO questioned whether both HHS and the DoD should purchase BioThrax directly from us and suggested that the DoD acquire BioThrax from the SNS rather than from us. We believe that the DoD will procure BioThrax from the SNS rather than entering into separate procurement contracts with us. Such determination could result in a lower volume of overall BioThrax sales to the U.S. government.</w:t>
      </w:r>
    </w:p>
    <w:p>
      <w:pPr>
        <w:spacing w:after="0" w:line="163" w:lineRule="exact"/>
        <w:rPr>
          <w:sz w:val="20"/>
          <w:szCs w:val="20"/>
          <w:color w:val="auto"/>
        </w:rPr>
      </w:pPr>
    </w:p>
    <w:p>
      <w:pPr>
        <w:ind w:right="100" w:firstLine="308"/>
        <w:spacing w:after="0" w:line="296" w:lineRule="auto"/>
        <w:rPr>
          <w:sz w:val="20"/>
          <w:szCs w:val="20"/>
          <w:color w:val="auto"/>
        </w:rPr>
      </w:pPr>
      <w:r>
        <w:rPr>
          <w:rFonts w:ascii="Arial" w:cs="Arial" w:eastAsia="Arial" w:hAnsi="Arial"/>
          <w:sz w:val="15"/>
          <w:szCs w:val="15"/>
          <w:color w:val="auto"/>
        </w:rPr>
        <w:t>The use of vaccines carries a risk of adverse health effects.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ind w:right="100" w:firstLine="308"/>
        <w:spacing w:after="0" w:line="272" w:lineRule="auto"/>
        <w:rPr>
          <w:sz w:val="20"/>
          <w:szCs w:val="20"/>
          <w:color w:val="auto"/>
        </w:rPr>
      </w:pPr>
      <w:r>
        <w:rPr>
          <w:rFonts w:ascii="Arial" w:cs="Arial" w:eastAsia="Arial" w:hAnsi="Arial"/>
          <w:sz w:val="17"/>
          <w:szCs w:val="17"/>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ectPr>
          <w:pgSz w:w="11900" w:h="16838" w:orient="portrait"/>
          <w:cols w:equalWidth="0" w:num="1">
            <w:col w:w="11400"/>
          </w:cols>
          <w:pgMar w:left="240" w:top="131"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prevalence and severity of any side effects;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efficacy and potential advantages over alternative treatments;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ability to offer our product candidates for sale at competitive prices;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relative convenience and ease of administration;</w:t>
      </w:r>
    </w:p>
    <w:p>
      <w:pPr>
        <w:spacing w:after="0" w:line="74" w:lineRule="exact"/>
        <w:rPr>
          <w:sz w:val="20"/>
          <w:szCs w:val="20"/>
          <w:color w:val="auto"/>
        </w:rPr>
      </w:pPr>
    </w:p>
    <w:p>
      <w:pPr>
        <w:ind w:right="3280"/>
        <w:spacing w:after="0" w:line="330" w:lineRule="auto"/>
        <w:rPr>
          <w:sz w:val="20"/>
          <w:szCs w:val="20"/>
          <w:color w:val="auto"/>
        </w:rPr>
      </w:pPr>
      <w:r>
        <w:rPr>
          <w:rFonts w:ascii="Arial" w:cs="Arial" w:eastAsia="Arial" w:hAnsi="Arial"/>
          <w:sz w:val="17"/>
          <w:szCs w:val="17"/>
          <w:color w:val="auto"/>
        </w:rPr>
        <w:t>the willingness of the target patient population to try new products and of physicians to prescribe these products; the strength of marketing and distribution support;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sufficiency of coverage or reimbursement by third parties.</w:t>
      </w:r>
    </w:p>
    <w:p>
      <w:pPr>
        <w:spacing w:after="0" w:line="26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left="240" w:right="40"/>
        <w:spacing w:after="0" w:line="272" w:lineRule="auto"/>
        <w:rPr>
          <w:sz w:val="20"/>
          <w:szCs w:val="20"/>
          <w:color w:val="auto"/>
        </w:rPr>
      </w:pPr>
      <w:r>
        <w:rPr>
          <w:rFonts w:ascii="Arial" w:cs="Arial" w:eastAsia="Arial" w:hAnsi="Arial"/>
          <w:sz w:val="17"/>
          <w:szCs w:val="17"/>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172" w:lineRule="exact"/>
        <w:rPr>
          <w:sz w:val="20"/>
          <w:szCs w:val="20"/>
          <w:color w:val="auto"/>
        </w:rPr>
      </w:pPr>
    </w:p>
    <w:p>
      <w:pPr>
        <w:ind w:right="20" w:firstLine="246"/>
        <w:spacing w:after="0" w:line="258" w:lineRule="auto"/>
        <w:rPr>
          <w:sz w:val="20"/>
          <w:szCs w:val="20"/>
          <w:color w:val="auto"/>
        </w:rPr>
      </w:pPr>
      <w:r>
        <w:rPr>
          <w:rFonts w:ascii="Arial" w:cs="Arial" w:eastAsia="Arial" w:hAnsi="Arial"/>
          <w:sz w:val="17"/>
          <w:szCs w:val="17"/>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w:t>
      </w:r>
    </w:p>
    <w:p>
      <w:pPr>
        <w:spacing w:after="0" w:line="185" w:lineRule="exact"/>
        <w:rPr>
          <w:sz w:val="20"/>
          <w:szCs w:val="20"/>
          <w:color w:val="auto"/>
        </w:rPr>
      </w:pPr>
    </w:p>
    <w:p>
      <w:pPr>
        <w:ind w:right="60" w:firstLine="246"/>
        <w:spacing w:after="0" w:line="255" w:lineRule="auto"/>
        <w:rPr>
          <w:sz w:val="20"/>
          <w:szCs w:val="20"/>
          <w:color w:val="auto"/>
        </w:rPr>
      </w:pPr>
      <w:r>
        <w:rPr>
          <w:rFonts w:ascii="Arial" w:cs="Arial" w:eastAsia="Arial" w:hAnsi="Arial"/>
          <w:sz w:val="17"/>
          <w:szCs w:val="17"/>
          <w:color w:val="auto"/>
        </w:rPr>
        <w:t>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 For example, between 2001 and 2004, members of the military and various activist groups who opposed mandatory inoculation with BioThrax petitioned the FDA and a federal court to revoke the license for BioThrax and to terminate the DoD program for the mandatory administration of BioThrax to military personnel. Although the DoD prevailed in the challenge to its mandatory vaccination program, the actions of these groups created negative publicity about BioThrax. Lawsuits or publicity campaigns could limit the demand for BioThrax and our biodefense product candidates and harm our future business.</w:t>
      </w:r>
    </w:p>
    <w:p>
      <w:pPr>
        <w:spacing w:after="0" w:line="187" w:lineRule="exact"/>
        <w:rPr>
          <w:sz w:val="20"/>
          <w:szCs w:val="20"/>
          <w:color w:val="auto"/>
        </w:rPr>
      </w:pPr>
    </w:p>
    <w:p>
      <w:pPr>
        <w:ind w:left="320" w:right="180"/>
        <w:spacing w:after="0" w:line="304" w:lineRule="auto"/>
        <w:rPr>
          <w:sz w:val="20"/>
          <w:szCs w:val="20"/>
          <w:color w:val="auto"/>
        </w:rPr>
      </w:pPr>
      <w:r>
        <w:rPr>
          <w:rFonts w:ascii="Arial" w:cs="Arial" w:eastAsia="Arial" w:hAnsi="Arial"/>
          <w:sz w:val="16"/>
          <w:szCs w:val="16"/>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49"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which will be expensive and time consuming.</w:t>
      </w:r>
    </w:p>
    <w:p>
      <w:pPr>
        <w:spacing w:after="0" w:line="173"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26" w:lineRule="exact"/>
        <w:rPr>
          <w:sz w:val="20"/>
          <w:szCs w:val="20"/>
          <w:color w:val="auto"/>
        </w:rPr>
      </w:pPr>
    </w:p>
    <w:p>
      <w:pPr>
        <w:ind w:right="100" w:firstLine="308"/>
        <w:spacing w:after="0" w:line="279" w:lineRule="auto"/>
        <w:rPr>
          <w:sz w:val="20"/>
          <w:szCs w:val="20"/>
          <w:color w:val="auto"/>
        </w:rPr>
      </w:pPr>
      <w:r>
        <w:rPr>
          <w:rFonts w:ascii="Arial" w:cs="Arial" w:eastAsia="Arial" w:hAnsi="Arial"/>
          <w:sz w:val="16"/>
          <w:szCs w:val="16"/>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35560</wp:posOffset>
            </wp:positionV>
            <wp:extent cx="72790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2" w:name="page43"/>
    <w:bookmarkEnd w:id="42"/>
    <w:p>
      <w:pPr>
        <w:jc w:val="both"/>
        <w:ind w:right="260" w:firstLine="308"/>
        <w:spacing w:after="0" w:line="299" w:lineRule="auto"/>
        <w:rPr>
          <w:sz w:val="20"/>
          <w:szCs w:val="20"/>
          <w:color w:val="auto"/>
        </w:rPr>
      </w:pPr>
      <w:r>
        <w:rPr>
          <w:rFonts w:ascii="Arial" w:cs="Arial" w:eastAsia="Arial" w:hAnsi="Arial"/>
          <w:sz w:val="15"/>
          <w:szCs w:val="15"/>
          <w:color w:val="auto"/>
        </w:rPr>
        <w:t>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Cangene, Human Genome Sciences, Acambis, Avant Immunotherapeutics, Dor BioPharma, Dynport Vaccine Corporation, Elusys, Bavarian Nordic, Pharmathene and Avecia.</w:t>
      </w:r>
    </w:p>
    <w:p>
      <w:pPr>
        <w:spacing w:after="0" w:line="156" w:lineRule="exact"/>
        <w:rPr>
          <w:sz w:val="20"/>
          <w:szCs w:val="20"/>
          <w:color w:val="auto"/>
        </w:rPr>
      </w:pPr>
    </w:p>
    <w:p>
      <w:pPr>
        <w:ind w:right="100" w:firstLine="308"/>
        <w:spacing w:after="0" w:line="257"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intend to seek marketing approval.</w:t>
      </w:r>
    </w:p>
    <w:p>
      <w:pPr>
        <w:spacing w:after="0" w:line="184"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Although BioThrax is the only anthrax vaccine approved by the FDA for the prevention of anthrax infection, the government is funding the development of new products that could compete with BioThrax, and could eventually procure those new products in addition to, or instead of, BioThrax, potentially reducing our BioThrax revenues. We also face competition for our biodefense immunobiotic product candidates. For example, HHS has awarded a SNS supply contract to a competitor of ours for an anthrax immune globulin and is assisting this company in its production efforts by providing it with BioThrax doses that we delivered for placement into the SNS so that it can immunize donors and obtain plasma for its anthrax immune globulin therapeutic product candidate. HHS has awarded a SNS supply contract to another competitor of ours for a monoclonal antibody to anthrax as a post-exposure therapeutic for anthrax infection. Several companies have botulinum vaccines in early clinical or preclinical development. 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75"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84" w:lineRule="exact"/>
        <w:rPr>
          <w:sz w:val="20"/>
          <w:szCs w:val="20"/>
          <w:color w:val="auto"/>
        </w:rPr>
      </w:pPr>
    </w:p>
    <w:p>
      <w:pPr>
        <w:ind w:left="320" w:right="220"/>
        <w:spacing w:after="0" w:line="272" w:lineRule="auto"/>
        <w:rPr>
          <w:sz w:val="20"/>
          <w:szCs w:val="20"/>
          <w:color w:val="auto"/>
        </w:rPr>
      </w:pPr>
      <w:r>
        <w:rPr>
          <w:rFonts w:ascii="Arial" w:cs="Arial" w:eastAsia="Arial" w:hAnsi="Arial"/>
          <w:sz w:val="17"/>
          <w:szCs w:val="17"/>
          <w:b w:val="1"/>
          <w:bCs w:val="1"/>
          <w:i w:val="1"/>
          <w:iCs w:val="1"/>
          <w:color w:val="auto"/>
        </w:rPr>
        <w:t>Legislation and contractual provisions limiting or restricting liability of manufacturers may not be adequate to protect us from all liabilities associated with the manufacture, sale and use of our products.</w:t>
      </w:r>
    </w:p>
    <w:p>
      <w:pPr>
        <w:spacing w:after="0" w:line="172" w:lineRule="exact"/>
        <w:rPr>
          <w:sz w:val="20"/>
          <w:szCs w:val="20"/>
          <w:color w:val="auto"/>
        </w:rPr>
      </w:pPr>
    </w:p>
    <w:p>
      <w:pPr>
        <w:jc w:val="both"/>
        <w:ind w:right="220" w:firstLine="308"/>
        <w:spacing w:after="0" w:line="262" w:lineRule="auto"/>
        <w:rPr>
          <w:sz w:val="20"/>
          <w:szCs w:val="20"/>
          <w:color w:val="auto"/>
        </w:rPr>
      </w:pPr>
      <w:r>
        <w:rPr>
          <w:rFonts w:ascii="Arial" w:cs="Arial" w:eastAsia="Arial" w:hAnsi="Arial"/>
          <w:sz w:val="17"/>
          <w:szCs w:val="17"/>
          <w:color w:val="auto"/>
        </w:rPr>
        <w:t>Provisions of our BioThrax contract with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80" w:lineRule="exact"/>
        <w:rPr>
          <w:sz w:val="20"/>
          <w:szCs w:val="20"/>
          <w:color w:val="auto"/>
        </w:rPr>
      </w:pPr>
    </w:p>
    <w:p>
      <w:pPr>
        <w:ind w:right="140" w:firstLine="308"/>
        <w:spacing w:after="0" w:line="293" w:lineRule="auto"/>
        <w:rPr>
          <w:sz w:val="20"/>
          <w:szCs w:val="20"/>
          <w:color w:val="auto"/>
        </w:rPr>
      </w:pPr>
      <w:r>
        <w:rPr>
          <w:rFonts w:ascii="Arial" w:cs="Arial" w:eastAsia="Arial" w:hAnsi="Arial"/>
          <w:sz w:val="15"/>
          <w:szCs w:val="15"/>
          <w:color w:val="auto"/>
        </w:rPr>
        <w:t>The Public Readiness and Emergency Preparedness Act, or PREP Act, which was signed into law in December 2005, creates general immunity for manufacturers of biodefense countermeasures, including security countermeasures, when the Secretary of HHS issues a declaration for their manufacture, administration or use. A PREP Act declaration is meant to provide general immunity from all claims under state or federal law for loss arising out of the administration or use of a covered countermeasure. Manufacturers are not entitled to this protection in cases of willful misconduct. 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 However, a willful misconduct action could be brought against us if any individuals exhausted their remedies under the compensation program and thereby expose us to liability.</w:t>
      </w:r>
    </w:p>
    <w:p>
      <w:pPr>
        <w:spacing w:after="0" w:line="162" w:lineRule="exact"/>
        <w:rPr>
          <w:sz w:val="20"/>
          <w:szCs w:val="20"/>
          <w:color w:val="auto"/>
        </w:rPr>
      </w:pPr>
    </w:p>
    <w:p>
      <w:pPr>
        <w:ind w:right="440" w:firstLine="308"/>
        <w:spacing w:after="0" w:line="262" w:lineRule="auto"/>
        <w:rPr>
          <w:sz w:val="20"/>
          <w:szCs w:val="20"/>
          <w:color w:val="auto"/>
        </w:rPr>
      </w:pPr>
      <w:r>
        <w:rPr>
          <w:rFonts w:ascii="Arial" w:cs="Arial" w:eastAsia="Arial" w:hAnsi="Arial"/>
          <w:sz w:val="17"/>
          <w:szCs w:val="17"/>
          <w:color w:val="auto"/>
        </w:rPr>
        <w:t>Our September 2007 contract with HHS provides that BioThrax in the SNS will not be administered in humans until the Secretary of HHS issues a PREP Act declaration applicable to BioThrax. We do not know, however, whether the PREP Act would provide adequate coverage or survive anticipated legal challenges to its 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both"/>
        <w:ind w:firstLine="308"/>
        <w:spacing w:after="0" w:line="279" w:lineRule="auto"/>
        <w:rPr>
          <w:sz w:val="20"/>
          <w:szCs w:val="20"/>
          <w:color w:val="auto"/>
        </w:rPr>
      </w:pPr>
      <w:r>
        <w:rPr>
          <w:rFonts w:ascii="Arial" w:cs="Arial" w:eastAsia="Arial" w:hAnsi="Arial"/>
          <w:sz w:val="16"/>
          <w:szCs w:val="16"/>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w:t>
      </w:r>
    </w:p>
    <w:p>
      <w:pPr>
        <w:spacing w:after="0" w:line="170" w:lineRule="exact"/>
        <w:rPr>
          <w:sz w:val="20"/>
          <w:szCs w:val="20"/>
          <w:color w:val="auto"/>
        </w:rPr>
      </w:pPr>
    </w:p>
    <w:p>
      <w:pPr>
        <w:ind w:right="40" w:firstLine="308"/>
        <w:spacing w:after="0" w:line="279" w:lineRule="auto"/>
        <w:rPr>
          <w:sz w:val="20"/>
          <w:szCs w:val="20"/>
          <w:color w:val="auto"/>
        </w:rPr>
      </w:pPr>
      <w:r>
        <w:rPr>
          <w:rFonts w:ascii="Arial" w:cs="Arial" w:eastAsia="Arial" w:hAnsi="Arial"/>
          <w:sz w:val="16"/>
          <w:szCs w:val="16"/>
          <w:color w:val="auto"/>
        </w:rPr>
        <w:t>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70" w:lineRule="exact"/>
        <w:rPr>
          <w:sz w:val="20"/>
          <w:szCs w:val="20"/>
          <w:color w:val="auto"/>
        </w:rPr>
      </w:pPr>
    </w:p>
    <w:p>
      <w:pPr>
        <w:ind w:right="20" w:firstLine="308"/>
        <w:spacing w:after="0" w:line="296" w:lineRule="auto"/>
        <w:rPr>
          <w:sz w:val="20"/>
          <w:szCs w:val="20"/>
          <w:color w:val="auto"/>
        </w:rPr>
      </w:pPr>
      <w:r>
        <w:rPr>
          <w:rFonts w:ascii="Arial" w:cs="Arial" w:eastAsia="Arial" w:hAnsi="Arial"/>
          <w:sz w:val="15"/>
          <w:szCs w:val="15"/>
          <w:color w:val="auto"/>
        </w:rPr>
        <w:t>In addition, although our prior contracts with DoD and HHS provided that the U.S. government would indemnify us for any damages resulting from product liability claims, our current contract with HHS does not contain such indemnification, and we cannot be certain that we will be able to negotiate similar indemnification provisions in future contracts or that the U.S. government will honor its indemnification obligations.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 Members of Congress have proposed and may in the future propose legislation that reduces or eliminates the statutory liability protections for manufacturers of biodefense countermeasures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Product liability lawsuits could cause us to incur substantial liabilities and require us to limit commercialization of any products that we may develop.</w:t>
      </w:r>
    </w:p>
    <w:p>
      <w:pPr>
        <w:spacing w:after="0" w:line="238"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We face an inherent risk of product liability exposure related to the sale of BioThrax and any other products that we successfully develop and the testing of our product candidates in clinical trials. For example, we currently are a defendant in two federal lawsuits filed on behalf of two individuals who alleged that they were vaccinated with BioThrax by the DoD and claimed damages resulting from personal injuries allegedly suffered because of the vaccinations. The plaintiffs in these lawsuits claimed different injuries and sought varying amounts of damages.</w:t>
      </w:r>
    </w:p>
    <w:p>
      <w:pPr>
        <w:spacing w:after="0" w:line="185" w:lineRule="exact"/>
        <w:rPr>
          <w:sz w:val="20"/>
          <w:szCs w:val="20"/>
          <w:color w:val="auto"/>
        </w:rPr>
      </w:pPr>
    </w:p>
    <w:p>
      <w:pPr>
        <w:jc w:val="both"/>
        <w:ind w:right="60" w:firstLine="308"/>
        <w:spacing w:after="0" w:line="262" w:lineRule="auto"/>
        <w:rPr>
          <w:sz w:val="20"/>
          <w:szCs w:val="20"/>
          <w:color w:val="auto"/>
        </w:rPr>
      </w:pPr>
      <w:r>
        <w:rPr>
          <w:rFonts w:ascii="Arial" w:cs="Arial" w:eastAsia="Arial" w:hAnsi="Arial"/>
          <w:sz w:val="17"/>
          <w:szCs w:val="17"/>
          <w:color w:val="auto"/>
        </w:rPr>
        <w:t>The plaintiff in one of the actions has alleged that the vaccine caused erosive rheumatoid arthritis and has requested damages in excess of $1 million. The plaintiff in the other suit has alleged that the vaccine caused a condition that originally was diagnosed as encephalitis related to a gastrointestinal infection and caused him to fall into a coma for many weeks and has requested damages in excess of $10 million.</w:t>
      </w:r>
    </w:p>
    <w:p>
      <w:pPr>
        <w:spacing w:after="0" w:line="180" w:lineRule="exact"/>
        <w:rPr>
          <w:sz w:val="20"/>
          <w:szCs w:val="20"/>
          <w:color w:val="auto"/>
        </w:rPr>
      </w:pPr>
    </w:p>
    <w:p>
      <w:pPr>
        <w:ind w:firstLine="246"/>
        <w:spacing w:after="0" w:line="303" w:lineRule="auto"/>
        <w:rPr>
          <w:sz w:val="20"/>
          <w:szCs w:val="20"/>
          <w:color w:val="auto"/>
        </w:rPr>
      </w:pPr>
      <w:r>
        <w:rPr>
          <w:rFonts w:ascii="Arial" w:cs="Arial" w:eastAsia="Arial" w:hAnsi="Arial"/>
          <w:sz w:val="15"/>
          <w:szCs w:val="15"/>
          <w:color w:val="auto"/>
        </w:rPr>
        <w:t>Under our BioThrax contracts with the DoD and HHS, the U.S. government indemnifies us against claims by third parties for death, personal injury and 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the DoD for uninsured costs incurred in defending these claims.</w:t>
      </w:r>
    </w:p>
    <w:p>
      <w:pPr>
        <w:spacing w:after="0" w:line="155" w:lineRule="exact"/>
        <w:rPr>
          <w:sz w:val="20"/>
          <w:szCs w:val="20"/>
          <w:color w:val="auto"/>
        </w:rPr>
      </w:pPr>
    </w:p>
    <w:p>
      <w:pPr>
        <w:ind w:right="240" w:firstLine="308"/>
        <w:spacing w:after="0" w:line="262" w:lineRule="auto"/>
        <w:rPr>
          <w:sz w:val="20"/>
          <w:szCs w:val="20"/>
          <w:color w:val="auto"/>
        </w:rPr>
      </w:pPr>
      <w:r>
        <w:rPr>
          <w:rFonts w:ascii="Arial" w:cs="Arial" w:eastAsia="Arial" w:hAnsi="Arial"/>
          <w:sz w:val="17"/>
          <w:szCs w:val="17"/>
          <w:color w:val="auto"/>
        </w:rPr>
        <w:t>If we cannot successfully defend ourselves against claims that our product or product candidates caused injuries and if we are not entitled to indemnity by the U.S. government, or if the U.S. government does not honor its indemnification obligations, we will incur substantial liabilities. Regardless of merit or eventual outcome, liability claims may result in:</w:t>
      </w:r>
    </w:p>
    <w:p>
      <w:pPr>
        <w:sectPr>
          <w:pgSz w:w="11900" w:h="16838" w:orient="portrait"/>
          <w:cols w:equalWidth="0" w:num="1">
            <w:col w:w="11400"/>
          </w:cols>
          <w:pgMar w:left="240" w:top="131" w:right="259" w:bottom="1440" w:gutter="0" w:footer="0" w:header="0"/>
        </w:sectPr>
      </w:pPr>
    </w:p>
    <w:p>
      <w:pPr>
        <w:spacing w:after="0" w:line="16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decreased demand for any product candidates or products that we may develop;</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injury to our reputation;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clinical trial participants;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a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costs to defend the related litigation;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substantial monetary awards to trial participants or patients;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loss of revenue;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inability to commercialize any products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104775</wp:posOffset>
            </wp:positionV>
            <wp:extent cx="72790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31" w:right="259" w:bottom="1440" w:gutter="0" w:footer="0" w:header="0"/>
          <w:type w:val="continuous"/>
        </w:sectPr>
      </w:pPr>
    </w:p>
    <w:bookmarkStart w:id="44" w:name="page45"/>
    <w:bookmarkEnd w:id="44"/>
    <w:p>
      <w:pPr>
        <w:ind w:firstLine="308"/>
        <w:spacing w:after="0" w:line="255" w:lineRule="auto"/>
        <w:rPr>
          <w:sz w:val="20"/>
          <w:szCs w:val="20"/>
          <w:color w:val="auto"/>
        </w:rPr>
      </w:pPr>
      <w:r>
        <w:rPr>
          <w:rFonts w:ascii="Arial" w:cs="Arial" w:eastAsia="Arial" w:hAnsi="Arial"/>
          <w:sz w:val="17"/>
          <w:szCs w:val="17"/>
          <w:color w:val="auto"/>
        </w:rPr>
        <w:t>We currently have product liability insurance for coverage up to a $10 million annual aggregate limit with a deductible of $75,000 per claim. The amount of insurance that we currently hold may not be adequate to cover all liabilities that may occur. Product liability insurance is difficult to obtain and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large scale deployment of BioThrax as a countermeasure to bioterrorism threats. We rely on contractual indemnification provisions and statutory protections to limit our liability exposure for BioThrax</w:t>
      </w:r>
    </w:p>
    <w:p>
      <w:pPr>
        <w:spacing w:after="0" w:line="187" w:lineRule="exact"/>
        <w:rPr>
          <w:sz w:val="20"/>
          <w:szCs w:val="20"/>
          <w:color w:val="auto"/>
        </w:rPr>
      </w:pPr>
    </w:p>
    <w:p>
      <w:pPr>
        <w:ind w:left="320" w:right="180"/>
        <w:spacing w:after="0" w:line="272" w:lineRule="auto"/>
        <w:rPr>
          <w:sz w:val="20"/>
          <w:szCs w:val="20"/>
          <w:color w:val="auto"/>
        </w:rPr>
      </w:pPr>
      <w:r>
        <w:rPr>
          <w:rFonts w:ascii="Arial" w:cs="Arial" w:eastAsia="Arial" w:hAnsi="Arial"/>
          <w:sz w:val="17"/>
          <w:szCs w:val="17"/>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172" w:lineRule="exact"/>
        <w:rPr>
          <w:sz w:val="20"/>
          <w:szCs w:val="20"/>
          <w:color w:val="auto"/>
        </w:rPr>
      </w:pPr>
    </w:p>
    <w:p>
      <w:pPr>
        <w:jc w:val="both"/>
        <w:ind w:firstLine="308"/>
        <w:spacing w:after="0" w:line="313" w:lineRule="auto"/>
        <w:rPr>
          <w:sz w:val="20"/>
          <w:szCs w:val="20"/>
          <w:color w:val="auto"/>
        </w:rPr>
      </w:pPr>
      <w:r>
        <w:rPr>
          <w:rFonts w:ascii="Arial" w:cs="Arial" w:eastAsia="Arial" w:hAnsi="Arial"/>
          <w:sz w:val="15"/>
          <w:szCs w:val="15"/>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ectPr>
          <w:pgSz w:w="11900" w:h="16838" w:orient="portrait"/>
          <w:cols w:equalWidth="0" w:num="1">
            <w:col w:w="11400"/>
          </w:cols>
          <w:pgMar w:left="240" w:top="131" w:right="25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a covered benefit under its health plan;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safe, effective and medically necessary;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appropriate for the specific patient;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cost-effective;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neither experimental nor investigational.</w:t>
      </w:r>
    </w:p>
    <w:p>
      <w:pPr>
        <w:spacing w:after="0" w:line="288"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240" w:firstLine="308"/>
        <w:spacing w:after="0" w:line="272" w:lineRule="auto"/>
        <w:rPr>
          <w:sz w:val="20"/>
          <w:szCs w:val="20"/>
          <w:color w:val="auto"/>
        </w:rPr>
      </w:pPr>
      <w:r>
        <w:rPr>
          <w:rFonts w:ascii="Arial" w:cs="Arial" w:eastAsia="Arial" w:hAnsi="Arial"/>
          <w:sz w:val="17"/>
          <w:szCs w:val="17"/>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w:t>
      </w:r>
    </w:p>
    <w:p>
      <w:pPr>
        <w:spacing w:after="0" w:line="172" w:lineRule="exact"/>
        <w:rPr>
          <w:sz w:val="20"/>
          <w:szCs w:val="20"/>
          <w:color w:val="auto"/>
        </w:rPr>
      </w:pPr>
    </w:p>
    <w:p>
      <w:pPr>
        <w:ind w:right="160" w:firstLine="308"/>
        <w:spacing w:after="0" w:line="313" w:lineRule="auto"/>
        <w:rPr>
          <w:sz w:val="20"/>
          <w:szCs w:val="20"/>
          <w:color w:val="auto"/>
        </w:rPr>
      </w:pPr>
      <w:r>
        <w:rPr>
          <w:rFonts w:ascii="Arial" w:cs="Arial" w:eastAsia="Arial" w:hAnsi="Arial"/>
          <w:sz w:val="15"/>
          <w:szCs w:val="15"/>
          <w:color w:val="auto"/>
        </w:rPr>
        <w:t>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w:t>
      </w:r>
    </w:p>
    <w:p>
      <w:pPr>
        <w:spacing w:after="0" w:line="146" w:lineRule="exact"/>
        <w:rPr>
          <w:sz w:val="20"/>
          <w:szCs w:val="20"/>
          <w:color w:val="auto"/>
        </w:rPr>
      </w:pPr>
    </w:p>
    <w:p>
      <w:pPr>
        <w:ind w:right="260" w:firstLine="308"/>
        <w:spacing w:after="0" w:line="275" w:lineRule="auto"/>
        <w:rPr>
          <w:sz w:val="20"/>
          <w:szCs w:val="20"/>
          <w:color w:val="auto"/>
        </w:rPr>
      </w:pPr>
      <w:r>
        <w:rPr>
          <w:rFonts w:ascii="Arial" w:cs="Arial" w:eastAsia="Arial" w:hAnsi="Arial"/>
          <w:sz w:val="16"/>
          <w:szCs w:val="16"/>
          <w:color w:val="auto"/>
        </w:rPr>
        <w:t>We expect that the success of some of our commercial vaccine candidates for which we obtain marketing approval will depend on inclusion of those product candidates in government immunization programs. 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71" w:lineRule="exact"/>
        <w:rPr>
          <w:sz w:val="20"/>
          <w:szCs w:val="20"/>
          <w:color w:val="auto"/>
        </w:rPr>
      </w:pPr>
    </w:p>
    <w:p>
      <w:pPr>
        <w:ind w:right="20" w:firstLine="246"/>
        <w:spacing w:after="0" w:line="303" w:lineRule="auto"/>
        <w:rPr>
          <w:sz w:val="20"/>
          <w:szCs w:val="20"/>
          <w:color w:val="auto"/>
        </w:rPr>
      </w:pPr>
      <w:r>
        <w:rPr>
          <w:rFonts w:ascii="Arial" w:cs="Arial" w:eastAsia="Arial" w:hAnsi="Arial"/>
          <w:sz w:val="15"/>
          <w:szCs w:val="15"/>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55" w:lineRule="exact"/>
        <w:rPr>
          <w:sz w:val="20"/>
          <w:szCs w:val="20"/>
          <w:color w:val="auto"/>
        </w:rPr>
      </w:pPr>
    </w:p>
    <w:p>
      <w:pPr>
        <w:ind w:left="240" w:right="180"/>
        <w:spacing w:after="0" w:line="272" w:lineRule="auto"/>
        <w:rPr>
          <w:sz w:val="20"/>
          <w:szCs w:val="20"/>
          <w:color w:val="auto"/>
        </w:rPr>
      </w:pPr>
      <w:r>
        <w:rPr>
          <w:rFonts w:ascii="Arial" w:cs="Arial" w:eastAsia="Arial" w:hAnsi="Arial"/>
          <w:sz w:val="17"/>
          <w:szCs w:val="17"/>
          <w:b w:val="1"/>
          <w:bCs w:val="1"/>
          <w:i w:val="1"/>
          <w:iCs w:val="1"/>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72" w:lineRule="exact"/>
        <w:rPr>
          <w:sz w:val="20"/>
          <w:szCs w:val="20"/>
          <w:color w:val="auto"/>
        </w:rPr>
      </w:pPr>
    </w:p>
    <w:p>
      <w:pPr>
        <w:ind w:right="180" w:firstLine="246"/>
        <w:spacing w:after="0" w:line="324" w:lineRule="auto"/>
        <w:rPr>
          <w:sz w:val="20"/>
          <w:szCs w:val="20"/>
          <w:color w:val="auto"/>
        </w:rPr>
      </w:pPr>
      <w:r>
        <w:rPr>
          <w:rFonts w:ascii="Arial" w:cs="Arial" w:eastAsia="Arial" w:hAnsi="Arial"/>
          <w:sz w:val="14"/>
          <w:szCs w:val="14"/>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our revenues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19050</wp:posOffset>
            </wp:positionV>
            <wp:extent cx="72790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45" w:name="page46"/>
    <w:bookmarkEnd w:id="45"/>
    <w:p>
      <w:pPr>
        <w:ind w:left="240"/>
        <w:spacing w:after="0"/>
        <w:rPr>
          <w:sz w:val="20"/>
          <w:szCs w:val="20"/>
          <w:color w:val="auto"/>
        </w:rPr>
      </w:pPr>
      <w:r>
        <w:rPr>
          <w:rFonts w:ascii="Arial" w:cs="Arial" w:eastAsia="Arial" w:hAnsi="Arial"/>
          <w:sz w:val="17"/>
          <w:szCs w:val="17"/>
          <w:b w:val="1"/>
          <w:bCs w:val="1"/>
          <w:i w:val="1"/>
          <w:iCs w:val="1"/>
          <w:color w:val="auto"/>
        </w:rPr>
        <w:t>Foreign governments tend to impose strict price controls, which may adversely affect our revenues.</w:t>
      </w:r>
    </w:p>
    <w:p>
      <w:pPr>
        <w:spacing w:after="0" w:line="215" w:lineRule="exact"/>
        <w:rPr>
          <w:sz w:val="20"/>
          <w:szCs w:val="20"/>
          <w:color w:val="auto"/>
        </w:rPr>
      </w:pPr>
    </w:p>
    <w:p>
      <w:pPr>
        <w:ind w:firstLine="246"/>
        <w:spacing w:after="0" w:line="303" w:lineRule="auto"/>
        <w:rPr>
          <w:sz w:val="20"/>
          <w:szCs w:val="20"/>
          <w:color w:val="auto"/>
        </w:rPr>
      </w:pPr>
      <w:r>
        <w:rPr>
          <w:rFonts w:ascii="Arial" w:cs="Arial" w:eastAsia="Arial" w:hAnsi="Arial"/>
          <w:sz w:val="15"/>
          <w:szCs w:val="15"/>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55" w:lineRule="exact"/>
        <w:rPr>
          <w:sz w:val="20"/>
          <w:szCs w:val="20"/>
          <w:color w:val="auto"/>
        </w:rPr>
      </w:pPr>
    </w:p>
    <w:p>
      <w:pPr>
        <w:ind w:firstLine="246"/>
        <w:spacing w:after="0" w:line="313" w:lineRule="auto"/>
        <w:rPr>
          <w:sz w:val="20"/>
          <w:szCs w:val="20"/>
          <w:color w:val="auto"/>
        </w:rPr>
      </w:pPr>
      <w:r>
        <w:rPr>
          <w:rFonts w:ascii="Arial" w:cs="Arial" w:eastAsia="Arial" w:hAnsi="Arial"/>
          <w:sz w:val="15"/>
          <w:szCs w:val="15"/>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46" w:lineRule="exact"/>
        <w:rPr>
          <w:sz w:val="20"/>
          <w:szCs w:val="20"/>
          <w:color w:val="auto"/>
        </w:rPr>
      </w:pPr>
    </w:p>
    <w:p>
      <w:pPr>
        <w:ind w:left="240" w:right="460"/>
        <w:spacing w:after="0" w:line="272"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sustain or expand our BioThrax operations or develop or commercialize our product candidates.</w:t>
      </w:r>
    </w:p>
    <w:p>
      <w:pPr>
        <w:spacing w:after="0" w:line="172" w:lineRule="exact"/>
        <w:rPr>
          <w:sz w:val="20"/>
          <w:szCs w:val="20"/>
          <w:color w:val="auto"/>
        </w:rPr>
      </w:pPr>
    </w:p>
    <w:p>
      <w:pPr>
        <w:ind w:right="80" w:firstLine="234"/>
        <w:spacing w:after="0" w:line="258" w:lineRule="auto"/>
        <w:rPr>
          <w:sz w:val="20"/>
          <w:szCs w:val="20"/>
          <w:color w:val="auto"/>
        </w:rPr>
      </w:pPr>
      <w:r>
        <w:rPr>
          <w:rFonts w:ascii="Arial" w:cs="Arial" w:eastAsia="Arial" w:hAnsi="Arial"/>
          <w:sz w:val="17"/>
          <w:szCs w:val="17"/>
          <w:color w:val="auto"/>
        </w:rPr>
        <w:t>Our success depends on our continued ability to attract, retain and motivate highly qualified managerial and key scientific personnel. We consider Fuad El-Hibri, chief executive officer and chairman of our Board of Directors and Daniel J. Abdun-Nabi, president and chief operating officer to be key to our BioThrax operations and our efforts to develop and commercialize our product candidates. Both of these key employees are at will employees and can terminate their employment at any time. We do not maintain “key person” insurance on any of our employees.</w:t>
      </w:r>
    </w:p>
    <w:p>
      <w:pPr>
        <w:spacing w:after="0" w:line="185" w:lineRule="exact"/>
        <w:rPr>
          <w:sz w:val="20"/>
          <w:szCs w:val="20"/>
          <w:color w:val="auto"/>
        </w:rPr>
      </w:pPr>
    </w:p>
    <w:p>
      <w:pPr>
        <w:ind w:right="180" w:firstLine="246"/>
        <w:spacing w:after="0" w:line="279" w:lineRule="auto"/>
        <w:rPr>
          <w:sz w:val="20"/>
          <w:szCs w:val="20"/>
          <w:color w:val="auto"/>
        </w:rPr>
      </w:pPr>
      <w:r>
        <w:rPr>
          <w:rFonts w:ascii="Arial" w:cs="Arial" w:eastAsia="Arial" w:hAnsi="Arial"/>
          <w:sz w:val="16"/>
          <w:szCs w:val="16"/>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371" w:lineRule="exact"/>
        <w:rPr>
          <w:sz w:val="20"/>
          <w:szCs w:val="20"/>
          <w:color w:val="auto"/>
        </w:rPr>
      </w:pPr>
    </w:p>
    <w:p>
      <w:pPr>
        <w:ind w:left="240"/>
        <w:spacing w:after="0"/>
        <w:rPr>
          <w:sz w:val="20"/>
          <w:szCs w:val="20"/>
          <w:color w:val="auto"/>
        </w:rPr>
      </w:pPr>
      <w:r>
        <w:rPr>
          <w:rFonts w:ascii="Arial" w:cs="Arial" w:eastAsia="Arial" w:hAnsi="Arial"/>
          <w:sz w:val="17"/>
          <w:szCs w:val="17"/>
          <w:b w:val="1"/>
          <w:bCs w:val="1"/>
          <w:u w:val="single" w:color="auto"/>
          <w:color w:val="auto"/>
        </w:rPr>
        <w:t>Additional Risks Related to Sales of Biodefense Products to the U.S. Government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business could be adversely affected by a negative audit by the U.S. government.</w:t>
      </w:r>
    </w:p>
    <w:p>
      <w:pPr>
        <w:spacing w:after="0" w:line="215" w:lineRule="exact"/>
        <w:rPr>
          <w:sz w:val="20"/>
          <w:szCs w:val="20"/>
          <w:color w:val="auto"/>
        </w:rPr>
      </w:pPr>
    </w:p>
    <w:p>
      <w:pPr>
        <w:ind w:right="60" w:firstLine="246"/>
        <w:spacing w:after="0" w:line="272" w:lineRule="auto"/>
        <w:rPr>
          <w:sz w:val="20"/>
          <w:szCs w:val="20"/>
          <w:color w:val="auto"/>
        </w:rPr>
      </w:pPr>
      <w:r>
        <w:rPr>
          <w:rFonts w:ascii="Arial" w:cs="Arial" w:eastAsia="Arial" w:hAnsi="Arial"/>
          <w:sz w:val="17"/>
          <w:szCs w:val="17"/>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w:t>
      </w:r>
    </w:p>
    <w:p>
      <w:pPr>
        <w:spacing w:after="0" w:line="172" w:lineRule="exact"/>
        <w:rPr>
          <w:sz w:val="20"/>
          <w:szCs w:val="20"/>
          <w:color w:val="auto"/>
        </w:rPr>
      </w:pPr>
    </w:p>
    <w:p>
      <w:pPr>
        <w:ind w:right="20" w:firstLine="246"/>
        <w:spacing w:after="0" w:line="258" w:lineRule="auto"/>
        <w:rPr>
          <w:sz w:val="20"/>
          <w:szCs w:val="20"/>
          <w:color w:val="auto"/>
        </w:rPr>
      </w:pPr>
      <w:r>
        <w:rPr>
          <w:rFonts w:ascii="Arial" w:cs="Arial" w:eastAsia="Arial" w:hAnsi="Arial"/>
          <w:sz w:val="17"/>
          <w:szCs w:val="17"/>
          <w:color w:val="auto"/>
        </w:rPr>
        <w:t>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contracts;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forfeiture of profits;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suspension of payments;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suspension or prohibition from doing business with the U.S. government.</w:t>
      </w:r>
    </w:p>
    <w:p>
      <w:pPr>
        <w:spacing w:after="0" w:line="288"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we could suffer serious reputational harm if allegations of impropriety were made against us.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Laws and regulations affecting government contracts make it more costly and difficult for us to successfully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215900</wp:posOffset>
            </wp:positionV>
            <wp:extent cx="72790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ind w:right="120" w:firstLine="308"/>
        <w:spacing w:after="0" w:line="254" w:lineRule="auto"/>
        <w:rPr>
          <w:sz w:val="20"/>
          <w:szCs w:val="20"/>
          <w:color w:val="auto"/>
        </w:rPr>
      </w:pPr>
      <w:r>
        <w:rPr>
          <w:rFonts w:ascii="Arial" w:cs="Arial" w:eastAsia="Arial" w:hAnsi="Arial"/>
          <w:sz w:val="17"/>
          <w:szCs w:val="17"/>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200" w:lineRule="exact"/>
        <w:rPr>
          <w:sz w:val="20"/>
          <w:szCs w:val="20"/>
          <w:color w:val="auto"/>
        </w:rPr>
      </w:pPr>
    </w:p>
    <w:p>
      <w:pPr>
        <w:ind w:left="620" w:right="160" w:hanging="310"/>
        <w:spacing w:after="0" w:line="181" w:lineRule="auto"/>
        <w:tabs>
          <w:tab w:leader="none" w:pos="620" w:val="left"/>
        </w:tabs>
        <w:numPr>
          <w:ilvl w:val="0"/>
          <w:numId w:val="15"/>
        </w:numPr>
        <w:rPr>
          <w:rFonts w:ascii="Arial" w:cs="Arial" w:eastAsia="Arial" w:hAnsi="Arial"/>
          <w:sz w:val="34"/>
          <w:szCs w:val="34"/>
          <w:b w:val="1"/>
          <w:bCs w:val="1"/>
          <w:color w:val="auto"/>
          <w:vertAlign w:val="subscript"/>
        </w:rPr>
      </w:pPr>
      <w:r>
        <w:rPr>
          <w:rFonts w:ascii="Arial" w:cs="Arial" w:eastAsia="Arial" w:hAnsi="Arial"/>
          <w:sz w:val="14"/>
          <w:szCs w:val="14"/>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1" w:lineRule="exact"/>
        <w:rPr>
          <w:rFonts w:ascii="Arial" w:cs="Arial" w:eastAsia="Arial" w:hAnsi="Arial"/>
          <w:sz w:val="34"/>
          <w:szCs w:val="34"/>
          <w:b w:val="1"/>
          <w:bCs w:val="1"/>
          <w:color w:val="auto"/>
          <w:vertAlign w:val="subscript"/>
        </w:rPr>
      </w:pPr>
    </w:p>
    <w:p>
      <w:pPr>
        <w:ind w:left="620" w:hanging="310"/>
        <w:spacing w:after="0" w:line="182" w:lineRule="auto"/>
        <w:tabs>
          <w:tab w:leader="none" w:pos="620" w:val="left"/>
        </w:tabs>
        <w:numPr>
          <w:ilvl w:val="0"/>
          <w:numId w:val="15"/>
        </w:numPr>
        <w:rPr>
          <w:rFonts w:ascii="Arial" w:cs="Arial" w:eastAsia="Arial" w:hAnsi="Arial"/>
          <w:sz w:val="33"/>
          <w:szCs w:val="33"/>
          <w:b w:val="1"/>
          <w:bCs w:val="1"/>
          <w:color w:val="auto"/>
          <w:vertAlign w:val="subscript"/>
        </w:rPr>
      </w:pPr>
      <w:r>
        <w:rPr>
          <w:rFonts w:ascii="Arial" w:cs="Arial" w:eastAsia="Arial" w:hAnsi="Arial"/>
          <w:sz w:val="14"/>
          <w:szCs w:val="14"/>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ectPr>
          <w:pgSz w:w="11900" w:h="16838" w:orient="portrait"/>
          <w:cols w:equalWidth="0" w:num="1">
            <w:col w:w="11420"/>
          </w:cols>
          <w:pgMar w:left="240" w:top="131" w:right="239" w:bottom="1440" w:gutter="0" w:footer="0" w:header="0"/>
        </w:sectPr>
      </w:pPr>
    </w:p>
    <w:p>
      <w:pPr>
        <w:ind w:left="32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export and import control laws and regulations; and</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laws, regulations and executive orders restricting the use and dissemination of information classified for national security purposes and the exportation of certain products and technical data.</w:t>
      </w:r>
    </w:p>
    <w:p>
      <w:pPr>
        <w:spacing w:after="0" w:line="172"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ind w:right="40" w:firstLine="308"/>
        <w:spacing w:after="0" w:line="256" w:lineRule="auto"/>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have been brought against us in which the plaintiffs argued that we defrauded the U.S. government by distributing non-compliant doses of BioThrax. Although we ultimately prevailed in this litigation, we spent significant time and money defending the litigation. 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property and equipment owned by the DoD in the manufacturing process for BioThrax.</w:t>
      </w:r>
    </w:p>
    <w:p>
      <w:pPr>
        <w:spacing w:after="0" w:line="215"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color w:val="auto"/>
        </w:rPr>
        <w:t>We have the right to use certain property and equipment owned by the DoD, referred to as government furnished equipment, or GFE, at our Lansing, Michigan site in the manufacture of BioThrax. We pay the DoD a small usage fee for the GFE based on the number of doses of BioThrax that we produce for sale to customers other than the U.S. government. We have the option to purchase all or part of existing GFE from the DoD on terms to be negotiated with the DoD. If the DoD modifies the terms under which we use the GFE in a manner that is unfavorable to us, including substantially increasing the usage fee, or we are unable to reach an agreement with DoD concerning the terms of the purchase of that part of the GFE necessary for our business, our business could be harmed. If the U.S. government were to terminate or fail to extend all BioThrax supply contracts with us, we potentially could be required to rent or purchase that part of the GFE necessary for the continued production of BioThrax in our current manufacturing facility.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Regulatory Approvals</w:t>
      </w:r>
    </w:p>
    <w:p>
      <w:pPr>
        <w:spacing w:after="0" w:line="219"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172" w:lineRule="exact"/>
        <w:rPr>
          <w:sz w:val="20"/>
          <w:szCs w:val="20"/>
          <w:color w:val="auto"/>
        </w:rPr>
      </w:pPr>
    </w:p>
    <w:p>
      <w:pPr>
        <w:ind w:firstLine="246"/>
        <w:spacing w:after="0" w:line="272"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78" w:lineRule="exact"/>
        <w:rPr>
          <w:sz w:val="20"/>
          <w:szCs w:val="20"/>
          <w:color w:val="auto"/>
        </w:rPr>
      </w:pPr>
    </w:p>
    <w:p>
      <w:pPr>
        <w:ind w:right="180" w:firstLine="246"/>
        <w:spacing w:after="0" w:line="273" w:lineRule="auto"/>
        <w:rPr>
          <w:sz w:val="20"/>
          <w:szCs w:val="20"/>
          <w:color w:val="auto"/>
        </w:rPr>
      </w:pPr>
      <w:r>
        <w:rPr>
          <w:rFonts w:ascii="Arial" w:cs="Arial" w:eastAsia="Arial" w:hAnsi="Arial"/>
          <w:sz w:val="16"/>
          <w:szCs w:val="16"/>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SNS,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 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ind w:firstLine="246"/>
        <w:spacing w:after="0" w:line="303" w:lineRule="auto"/>
        <w:rPr>
          <w:sz w:val="20"/>
          <w:szCs w:val="20"/>
          <w:color w:val="auto"/>
        </w:rPr>
      </w:pPr>
      <w:r>
        <w:rPr>
          <w:rFonts w:ascii="Arial" w:cs="Arial" w:eastAsia="Arial" w:hAnsi="Arial"/>
          <w:sz w:val="15"/>
          <w:szCs w:val="15"/>
          <w:color w:val="auto"/>
        </w:rPr>
        <w:t>We intend to pursue FDA approval of BioThrax as a post-exposure prophylaxis, our immune globulin therapeutic candidates, our recombinant bivalent botulinum vaccine candidate, and a next generation anthrax vaccine under the FDA animal rule, as described above. We cannot guarantee that FDA will permit us to proceed with any of our products or product candidates under the animal rule. Even if we are able to proceed pursuant to the animal rule, FDA may decide that our data are insufficient for approval and require additional preclinical, clinical or other studies, refuse to approve our products, or place restrictions on our ability to commercialize those products.</w:t>
      </w:r>
    </w:p>
    <w:p>
      <w:pPr>
        <w:spacing w:after="0" w:line="155" w:lineRule="exact"/>
        <w:rPr>
          <w:sz w:val="20"/>
          <w:szCs w:val="20"/>
          <w:color w:val="auto"/>
        </w:rPr>
      </w:pPr>
    </w:p>
    <w:p>
      <w:pPr>
        <w:ind w:right="60" w:firstLine="246"/>
        <w:spacing w:after="0" w:line="273" w:lineRule="auto"/>
        <w:rPr>
          <w:sz w:val="20"/>
          <w:szCs w:val="20"/>
          <w:color w:val="auto"/>
        </w:rPr>
      </w:pPr>
      <w:r>
        <w:rPr>
          <w:rFonts w:ascii="Arial" w:cs="Arial" w:eastAsia="Arial" w:hAnsi="Arial"/>
          <w:sz w:val="16"/>
          <w:szCs w:val="16"/>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adequate immune response. In April 2006, the FDA issued a complete response letter to our application, requesting clarification and requiring additional analysis of the data that we submitted. The data analysis is complete, and we have submitted an amendment to our application. If the FDA does not find our response to be adequate, we might be required to conduct additional independent testing to continue to pursue the development of this reduced dosing regimen. Responding to the FDA’s complete response letter will delay potential approval of our application. If we are unable ultimately to respond satisfactorily to the FDA, our application will not be approved.</w:t>
      </w:r>
    </w:p>
    <w:p>
      <w:pPr>
        <w:spacing w:after="0" w:line="176" w:lineRule="exact"/>
        <w:rPr>
          <w:sz w:val="20"/>
          <w:szCs w:val="20"/>
          <w:color w:val="auto"/>
        </w:rPr>
      </w:pPr>
    </w:p>
    <w:p>
      <w:pPr>
        <w:ind w:right="120" w:firstLine="246"/>
        <w:spacing w:after="0" w:line="313" w:lineRule="auto"/>
        <w:rPr>
          <w:sz w:val="20"/>
          <w:szCs w:val="20"/>
          <w:color w:val="auto"/>
        </w:rPr>
      </w:pPr>
      <w:r>
        <w:rPr>
          <w:rFonts w:ascii="Arial" w:cs="Arial" w:eastAsia="Arial" w:hAnsi="Arial"/>
          <w:sz w:val="15"/>
          <w:szCs w:val="15"/>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the regulatory review for a submitted product application, may cause delays in the approval or rejection of an application.</w:t>
      </w:r>
    </w:p>
    <w:p>
      <w:pPr>
        <w:spacing w:after="0" w:line="146" w:lineRule="exact"/>
        <w:rPr>
          <w:sz w:val="20"/>
          <w:szCs w:val="20"/>
          <w:color w:val="auto"/>
        </w:rPr>
      </w:pPr>
    </w:p>
    <w:p>
      <w:pPr>
        <w:ind w:right="280" w:firstLine="246"/>
        <w:spacing w:after="0" w:line="262" w:lineRule="auto"/>
        <w:rPr>
          <w:sz w:val="20"/>
          <w:szCs w:val="20"/>
          <w:color w:val="auto"/>
        </w:rPr>
      </w:pPr>
      <w:r>
        <w:rPr>
          <w:rFonts w:ascii="Arial" w:cs="Arial" w:eastAsia="Arial" w:hAnsi="Arial"/>
          <w:sz w:val="17"/>
          <w:szCs w:val="17"/>
          <w:color w:val="auto"/>
        </w:rPr>
        <w:t>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80" w:lineRule="exact"/>
        <w:rPr>
          <w:sz w:val="20"/>
          <w:szCs w:val="20"/>
          <w:color w:val="auto"/>
        </w:rPr>
      </w:pPr>
    </w:p>
    <w:p>
      <w:pPr>
        <w:ind w:left="240"/>
        <w:spacing w:after="0" w:line="272" w:lineRule="auto"/>
        <w:rPr>
          <w:sz w:val="20"/>
          <w:szCs w:val="20"/>
          <w:color w:val="auto"/>
        </w:rPr>
      </w:pPr>
      <w:r>
        <w:rPr>
          <w:rFonts w:ascii="Arial" w:cs="Arial" w:eastAsia="Arial" w:hAnsi="Arial"/>
          <w:sz w:val="17"/>
          <w:szCs w:val="17"/>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172" w:lineRule="exact"/>
        <w:rPr>
          <w:sz w:val="20"/>
          <w:szCs w:val="20"/>
          <w:color w:val="auto"/>
        </w:rPr>
      </w:pPr>
    </w:p>
    <w:p>
      <w:pPr>
        <w:ind w:right="120" w:firstLine="246"/>
        <w:spacing w:after="0" w:line="262" w:lineRule="auto"/>
        <w:rPr>
          <w:sz w:val="20"/>
          <w:szCs w:val="20"/>
          <w:color w:val="auto"/>
        </w:rPr>
      </w:pPr>
      <w:r>
        <w:rPr>
          <w:rFonts w:ascii="Arial" w:cs="Arial" w:eastAsia="Arial" w:hAnsi="Arial"/>
          <w:sz w:val="17"/>
          <w:szCs w:val="17"/>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 and ongoing review.</w:t>
      </w:r>
    </w:p>
    <w:p>
      <w:pPr>
        <w:spacing w:after="0" w:line="180" w:lineRule="exact"/>
        <w:rPr>
          <w:sz w:val="20"/>
          <w:szCs w:val="20"/>
          <w:color w:val="auto"/>
        </w:rPr>
      </w:pPr>
    </w:p>
    <w:p>
      <w:pPr>
        <w:ind w:right="100" w:firstLine="246"/>
        <w:spacing w:after="0" w:line="258" w:lineRule="auto"/>
        <w:rPr>
          <w:sz w:val="20"/>
          <w:szCs w:val="20"/>
          <w:color w:val="auto"/>
        </w:rPr>
      </w:pPr>
      <w:r>
        <w:rPr>
          <w:rFonts w:ascii="Arial" w:cs="Arial" w:eastAsia="Arial" w:hAnsi="Arial"/>
          <w:sz w:val="17"/>
          <w:szCs w:val="17"/>
          <w:color w:val="auto"/>
        </w:rPr>
        <w:t>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85" w:lineRule="exact"/>
        <w:rPr>
          <w:sz w:val="20"/>
          <w:szCs w:val="20"/>
          <w:color w:val="auto"/>
        </w:rPr>
      </w:pPr>
    </w:p>
    <w:p>
      <w:pPr>
        <w:ind w:firstLine="246"/>
        <w:spacing w:after="0" w:line="276" w:lineRule="auto"/>
        <w:rPr>
          <w:sz w:val="20"/>
          <w:szCs w:val="20"/>
          <w:color w:val="auto"/>
        </w:rPr>
      </w:pPr>
      <w:r>
        <w:rPr>
          <w:rFonts w:ascii="Arial" w:cs="Arial" w:eastAsia="Arial" w:hAnsi="Arial"/>
          <w:sz w:val="16"/>
          <w:szCs w:val="16"/>
          <w:color w:val="auto"/>
        </w:rPr>
        <w:t>After we acquired BioThrax and related vaccine manufacturing facilities in Lansing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In March 2007, the FDA notified us that our manufacturing facility license is no longer subject to the notice of intent to revoke.</w:t>
      </w:r>
    </w:p>
    <w:p>
      <w:pPr>
        <w:spacing w:after="0" w:line="173" w:lineRule="exact"/>
        <w:rPr>
          <w:sz w:val="20"/>
          <w:szCs w:val="20"/>
          <w:color w:val="auto"/>
        </w:rPr>
      </w:pPr>
    </w:p>
    <w:p>
      <w:pPr>
        <w:ind w:firstLine="246"/>
        <w:spacing w:after="0" w:line="272" w:lineRule="auto"/>
        <w:rPr>
          <w:sz w:val="20"/>
          <w:szCs w:val="20"/>
          <w:color w:val="auto"/>
        </w:rPr>
      </w:pPr>
      <w:r>
        <w:rPr>
          <w:rFonts w:ascii="Arial" w:cs="Arial" w:eastAsia="Arial" w:hAnsi="Arial"/>
          <w:sz w:val="16"/>
          <w:szCs w:val="16"/>
          <w:color w:val="auto"/>
        </w:rPr>
        <w:t>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We have filed with the FDA our responses to all inspectional observations relating to the May 2006 inspection. The FDA has acknowledged receipt of our responses and has advised us that it has concluded that the May 2006 inspection is closed. FDA did not inspect the Lansing facilities in 2006. However, pursuant to its standard procedures, we expect that the FDA will review and assess our corrective actions at its next inspection. If in connection with any future inspection the FDA finds that we are not in substantial compliance with cGMP requirements, the FDA may undertake enforcement action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2790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20" w:firstLine="246"/>
        <w:spacing w:after="0" w:line="313" w:lineRule="auto"/>
        <w:rPr>
          <w:sz w:val="20"/>
          <w:szCs w:val="20"/>
          <w:color w:val="auto"/>
        </w:rPr>
      </w:pPr>
      <w:r>
        <w:rPr>
          <w:rFonts w:ascii="Arial" w:cs="Arial" w:eastAsia="Arial" w:hAnsi="Arial"/>
          <w:sz w:val="15"/>
          <w:szCs w:val="15"/>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ectPr>
          <w:pgSz w:w="11900" w:h="16838" w:orient="portrait"/>
          <w:cols w:equalWidth="0" w:num="1">
            <w:col w:w="11420"/>
          </w:cols>
          <w:pgMar w:left="240" w:top="131" w:right="2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restrictions on the marketing or manufacturing of a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warning letters;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withdrawal of the product from the market;</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refusal to approve pending applications or supplements to approved applications;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voluntary or mandatory product recall;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fines or disgorgement of profits or revenue;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suspension or withdrawal of regulatory approvals, including license revocation;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shut down, or substantial limitations of the operations in, manufacturing facilities;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refusal to permit the import or export of products;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product seizure;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injunctions or the imposition of civil or criminal penalties.</w:t>
      </w:r>
    </w:p>
    <w:p>
      <w:pPr>
        <w:spacing w:after="0" w:line="265"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spacing w:after="0" w:line="13" w:lineRule="exact"/>
        <w:rPr>
          <w:sz w:val="20"/>
          <w:szCs w:val="20"/>
          <w:color w:val="auto"/>
        </w:rPr>
      </w:pPr>
    </w:p>
    <w:p>
      <w:pPr>
        <w:ind w:left="240"/>
        <w:spacing w:after="0" w:line="382" w:lineRule="auto"/>
        <w:rPr>
          <w:sz w:val="20"/>
          <w:szCs w:val="20"/>
          <w:color w:val="auto"/>
        </w:rPr>
      </w:pPr>
      <w:r>
        <w:rPr>
          <w:rFonts w:ascii="Arial" w:cs="Arial" w:eastAsia="Arial" w:hAnsi="Arial"/>
          <w:sz w:val="14"/>
          <w:szCs w:val="14"/>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authorities for a significant period of time.</w:t>
      </w:r>
    </w:p>
    <w:p>
      <w:pPr>
        <w:spacing w:after="0" w:line="103" w:lineRule="exact"/>
        <w:rPr>
          <w:sz w:val="20"/>
          <w:szCs w:val="20"/>
          <w:color w:val="auto"/>
        </w:rPr>
      </w:pPr>
    </w:p>
    <w:p>
      <w:pPr>
        <w:ind w:firstLine="246"/>
        <w:spacing w:after="0" w:line="273" w:lineRule="auto"/>
        <w:rPr>
          <w:sz w:val="20"/>
          <w:szCs w:val="20"/>
          <w:color w:val="auto"/>
        </w:rPr>
      </w:pPr>
      <w:r>
        <w:rPr>
          <w:rFonts w:ascii="Arial" w:cs="Arial" w:eastAsia="Arial" w:hAnsi="Arial"/>
          <w:sz w:val="16"/>
          <w:szCs w:val="16"/>
          <w:color w:val="auto"/>
        </w:rPr>
        <w:t>If one of our competitors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or the FDA determines that the holder of the orphan drug exclusivity cannot assure the availability of sufficient quantities of the drug. None of our products or product candidates has been designated as orphan drugs and there is no guarantee that FDA will grant such designation in the future.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may have obtained will not block the approval of that competitive product.</w:t>
      </w:r>
    </w:p>
    <w:p>
      <w:pPr>
        <w:spacing w:after="0" w:line="176" w:lineRule="exact"/>
        <w:rPr>
          <w:sz w:val="20"/>
          <w:szCs w:val="20"/>
          <w:color w:val="auto"/>
        </w:rPr>
      </w:pPr>
    </w:p>
    <w:p>
      <w:pPr>
        <w:ind w:left="320" w:right="40"/>
        <w:spacing w:after="0" w:line="272" w:lineRule="auto"/>
        <w:rPr>
          <w:sz w:val="20"/>
          <w:szCs w:val="20"/>
          <w:color w:val="auto"/>
        </w:rPr>
      </w:pPr>
      <w:r>
        <w:rPr>
          <w:rFonts w:ascii="Arial" w:cs="Arial" w:eastAsia="Arial" w:hAnsi="Arial"/>
          <w:sz w:val="17"/>
          <w:szCs w:val="17"/>
          <w:b w:val="1"/>
          <w:bCs w:val="1"/>
          <w:i w:val="1"/>
          <w:iCs w:val="1"/>
          <w:color w:val="auto"/>
        </w:rPr>
        <w:t>The Fast Track designation for BioThrax as a post-exposure prophylaxis for anthrax infection may not actually lead to a faster development or regulatory review or approval process.</w:t>
      </w:r>
    </w:p>
    <w:p>
      <w:pPr>
        <w:spacing w:after="0" w:line="17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We have obtained a Fast Track designation from the FDA for BioThrax as a post-exposure prophylaxis for anthrax infection.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could prevent us from marketing our products abroad.</w:t>
      </w:r>
    </w:p>
    <w:p>
      <w:pPr>
        <w:spacing w:after="0" w:line="215"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w:t>
      </w:r>
    </w:p>
    <w:p>
      <w:pPr>
        <w:spacing w:after="0" w:line="155" w:lineRule="exact"/>
        <w:rPr>
          <w:sz w:val="20"/>
          <w:szCs w:val="20"/>
          <w:color w:val="auto"/>
        </w:rPr>
      </w:pPr>
    </w:p>
    <w:p>
      <w:pPr>
        <w:jc w:val="both"/>
        <w:ind w:right="120" w:firstLine="308"/>
        <w:spacing w:after="0" w:line="279" w:lineRule="auto"/>
        <w:rPr>
          <w:sz w:val="20"/>
          <w:szCs w:val="20"/>
          <w:color w:val="auto"/>
        </w:rPr>
      </w:pPr>
      <w:r>
        <w:rPr>
          <w:rFonts w:ascii="Arial" w:cs="Arial" w:eastAsia="Arial" w:hAnsi="Arial"/>
          <w:sz w:val="16"/>
          <w:szCs w:val="16"/>
          <w:color w:val="auto"/>
        </w:rPr>
        <w:t>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2790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left="320"/>
        <w:spacing w:after="0"/>
        <w:rPr>
          <w:sz w:val="20"/>
          <w:szCs w:val="20"/>
          <w:color w:val="auto"/>
        </w:rPr>
      </w:pPr>
      <w:r>
        <w:rPr>
          <w:rFonts w:ascii="Arial" w:cs="Arial" w:eastAsia="Arial" w:hAnsi="Arial"/>
          <w:sz w:val="17"/>
          <w:szCs w:val="17"/>
          <w:b w:val="1"/>
          <w:bCs w:val="1"/>
          <w:u w:val="single" w:color="auto"/>
          <w:color w:val="auto"/>
        </w:rPr>
        <w:t>Risks Related to Our Dependence on Third Parties</w:t>
      </w:r>
    </w:p>
    <w:p>
      <w:pPr>
        <w:spacing w:after="0" w:line="219" w:lineRule="exact"/>
        <w:rPr>
          <w:sz w:val="20"/>
          <w:szCs w:val="20"/>
          <w:color w:val="auto"/>
        </w:rPr>
      </w:pPr>
    </w:p>
    <w:p>
      <w:pPr>
        <w:ind w:left="320" w:right="400"/>
        <w:spacing w:after="0" w:line="272" w:lineRule="auto"/>
        <w:rPr>
          <w:sz w:val="20"/>
          <w:szCs w:val="20"/>
          <w:color w:val="auto"/>
        </w:rPr>
      </w:pPr>
      <w:r>
        <w:rPr>
          <w:rFonts w:ascii="Arial" w:cs="Arial" w:eastAsia="Arial" w:hAnsi="Arial"/>
          <w:sz w:val="17"/>
          <w:szCs w:val="17"/>
          <w:b w:val="1"/>
          <w:bCs w:val="1"/>
          <w:i w:val="1"/>
          <w:iCs w:val="1"/>
          <w:color w:val="auto"/>
        </w:rPr>
        <w:t>We may not be successful in maintaining and establishing collaborations, which could adversely affect our ability to develop and commercialize our product candidates domestically and internationally.</w:t>
      </w:r>
    </w:p>
    <w:p>
      <w:pPr>
        <w:spacing w:after="0" w:line="172"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for accessing particular markets.</w:t>
      </w:r>
    </w:p>
    <w:p>
      <w:pPr>
        <w:spacing w:after="0" w:line="170" w:lineRule="exact"/>
        <w:rPr>
          <w:sz w:val="20"/>
          <w:szCs w:val="20"/>
          <w:color w:val="auto"/>
        </w:rPr>
      </w:pPr>
    </w:p>
    <w:p>
      <w:pPr>
        <w:ind w:right="200" w:firstLine="308"/>
        <w:spacing w:after="0" w:line="279" w:lineRule="auto"/>
        <w:rPr>
          <w:sz w:val="20"/>
          <w:szCs w:val="20"/>
          <w:color w:val="auto"/>
        </w:rPr>
      </w:pPr>
      <w:r>
        <w:rPr>
          <w:rFonts w:ascii="Arial" w:cs="Arial" w:eastAsia="Arial" w:hAnsi="Arial"/>
          <w:sz w:val="16"/>
          <w:szCs w:val="16"/>
          <w:color w:val="auto"/>
        </w:rPr>
        <w:t>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70" w:lineRule="exact"/>
        <w:rPr>
          <w:sz w:val="20"/>
          <w:szCs w:val="20"/>
          <w:color w:val="auto"/>
        </w:rPr>
      </w:pPr>
    </w:p>
    <w:p>
      <w:pPr>
        <w:ind w:right="300" w:firstLine="308"/>
        <w:spacing w:after="0" w:line="303" w:lineRule="auto"/>
        <w:rPr>
          <w:sz w:val="20"/>
          <w:szCs w:val="20"/>
          <w:color w:val="auto"/>
        </w:rPr>
      </w:pPr>
      <w:r>
        <w:rPr>
          <w:rFonts w:ascii="Arial" w:cs="Arial" w:eastAsia="Arial" w:hAnsi="Arial"/>
          <w:sz w:val="15"/>
          <w:szCs w:val="15"/>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w:t>
      </w:r>
    </w:p>
    <w:p>
      <w:pPr>
        <w:spacing w:after="0" w:line="155" w:lineRule="exact"/>
        <w:rPr>
          <w:sz w:val="20"/>
          <w:szCs w:val="20"/>
          <w:color w:val="auto"/>
        </w:rPr>
      </w:pPr>
    </w:p>
    <w:p>
      <w:pPr>
        <w:ind w:right="80" w:firstLine="308"/>
        <w:spacing w:after="0" w:line="254" w:lineRule="auto"/>
        <w:rPr>
          <w:sz w:val="20"/>
          <w:szCs w:val="20"/>
          <w:color w:val="auto"/>
        </w:rPr>
      </w:pPr>
      <w:r>
        <w:rPr>
          <w:rFonts w:ascii="Arial" w:cs="Arial" w:eastAsia="Arial" w:hAnsi="Arial"/>
          <w:sz w:val="17"/>
          <w:szCs w:val="17"/>
          <w:color w:val="auto"/>
        </w:rPr>
        <w:t>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ind w:left="620" w:hanging="310"/>
        <w:spacing w:after="0" w:line="190" w:lineRule="auto"/>
        <w:tabs>
          <w:tab w:leader="none" w:pos="620" w:val="left"/>
        </w:tabs>
        <w:numPr>
          <w:ilvl w:val="0"/>
          <w:numId w:val="16"/>
        </w:numPr>
        <w:rPr>
          <w:rFonts w:ascii="Arial" w:cs="Arial" w:eastAsia="Arial" w:hAnsi="Arial"/>
          <w:sz w:val="45"/>
          <w:szCs w:val="45"/>
          <w:b w:val="1"/>
          <w:bCs w:val="1"/>
          <w:color w:val="auto"/>
          <w:vertAlign w:val="subscript"/>
        </w:rPr>
      </w:pPr>
      <w:r>
        <w:rPr>
          <w:rFonts w:ascii="Arial" w:cs="Arial" w:eastAsia="Arial" w:hAnsi="Arial"/>
          <w:sz w:val="16"/>
          <w:szCs w:val="16"/>
          <w:color w:val="auto"/>
        </w:rPr>
        <w:t>our collaboration agreements are likely to be for fixed terms and subject to termination by our collaborators in the event of a material breach by us;</w:t>
      </w:r>
    </w:p>
    <w:p>
      <w:pPr>
        <w:spacing w:after="0" w:line="70" w:lineRule="exact"/>
        <w:rPr>
          <w:rFonts w:ascii="Arial" w:cs="Arial" w:eastAsia="Arial" w:hAnsi="Arial"/>
          <w:sz w:val="45"/>
          <w:szCs w:val="45"/>
          <w:b w:val="1"/>
          <w:bCs w:val="1"/>
          <w:color w:val="auto"/>
          <w:vertAlign w:val="subscript"/>
        </w:rPr>
      </w:pPr>
    </w:p>
    <w:p>
      <w:pPr>
        <w:ind w:left="620" w:right="200" w:hanging="310"/>
        <w:spacing w:after="0" w:line="184" w:lineRule="auto"/>
        <w:tabs>
          <w:tab w:leader="none" w:pos="620" w:val="left"/>
        </w:tabs>
        <w:numPr>
          <w:ilvl w:val="0"/>
          <w:numId w:val="16"/>
        </w:numPr>
        <w:rPr>
          <w:rFonts w:ascii="Arial" w:cs="Arial" w:eastAsia="Arial" w:hAnsi="Arial"/>
          <w:sz w:val="39"/>
          <w:szCs w:val="39"/>
          <w:b w:val="1"/>
          <w:bCs w:val="1"/>
          <w:color w:val="auto"/>
          <w:vertAlign w:val="subscript"/>
        </w:rPr>
      </w:pPr>
      <w:r>
        <w:rPr>
          <w:rFonts w:ascii="Arial" w:cs="Arial" w:eastAsia="Arial" w:hAnsi="Arial"/>
          <w:sz w:val="15"/>
          <w:szCs w:val="15"/>
          <w:color w:val="auto"/>
        </w:rPr>
        <w:t>our collaborators may have the first right to maintain or defend our intellectual property rights and, although we may have the right to assume the maintenance and defense of our intellectual property rights if our collaborators do not do so, our ability to maintain and defend our intellectual property rights may be compromised by our collaborators’ acts or omissions;</w:t>
      </w:r>
    </w:p>
    <w:p>
      <w:pPr>
        <w:spacing w:after="0" w:line="1" w:lineRule="exact"/>
        <w:rPr>
          <w:rFonts w:ascii="Arial" w:cs="Arial" w:eastAsia="Arial" w:hAnsi="Arial"/>
          <w:sz w:val="39"/>
          <w:szCs w:val="39"/>
          <w:b w:val="1"/>
          <w:bCs w:val="1"/>
          <w:color w:val="auto"/>
          <w:vertAlign w:val="subscript"/>
        </w:rPr>
      </w:pPr>
    </w:p>
    <w:p>
      <w:pPr>
        <w:ind w:left="620" w:right="20" w:hanging="310"/>
        <w:spacing w:after="0" w:line="182" w:lineRule="auto"/>
        <w:tabs>
          <w:tab w:leader="none" w:pos="620" w:val="left"/>
        </w:tabs>
        <w:numPr>
          <w:ilvl w:val="0"/>
          <w:numId w:val="16"/>
        </w:numPr>
        <w:rPr>
          <w:rFonts w:ascii="Arial" w:cs="Arial" w:eastAsia="Arial" w:hAnsi="Arial"/>
          <w:sz w:val="33"/>
          <w:szCs w:val="33"/>
          <w:b w:val="1"/>
          <w:bCs w:val="1"/>
          <w:color w:val="auto"/>
          <w:vertAlign w:val="subscript"/>
        </w:rPr>
      </w:pPr>
      <w:r>
        <w:rPr>
          <w:rFonts w:ascii="Arial" w:cs="Arial" w:eastAsia="Arial" w:hAnsi="Arial"/>
          <w:sz w:val="14"/>
          <w:szCs w:val="14"/>
          <w:color w:val="auto"/>
        </w:rPr>
        <w:t>our collaborators may utilize our intellectual property rights in such a way as to invite litigation that could jeopardize or invalidate our intellectual property rights or expose us to potential liability; or</w:t>
      </w:r>
    </w:p>
    <w:p>
      <w:pPr>
        <w:ind w:left="620" w:hanging="310"/>
        <w:spacing w:after="0" w:line="186" w:lineRule="auto"/>
        <w:tabs>
          <w:tab w:leader="none" w:pos="620" w:val="left"/>
        </w:tabs>
        <w:numPr>
          <w:ilvl w:val="0"/>
          <w:numId w:val="16"/>
        </w:numPr>
        <w:rPr>
          <w:rFonts w:ascii="Arial" w:cs="Arial" w:eastAsia="Arial" w:hAnsi="Arial"/>
          <w:sz w:val="23"/>
          <w:szCs w:val="23"/>
          <w:b w:val="1"/>
          <w:bCs w:val="1"/>
          <w:color w:val="auto"/>
          <w:vertAlign w:val="subscript"/>
        </w:rPr>
      </w:pPr>
      <w:r>
        <w:rPr>
          <w:rFonts w:ascii="Arial" w:cs="Arial" w:eastAsia="Arial" w:hAnsi="Arial"/>
          <w:sz w:val="12"/>
          <w:szCs w:val="12"/>
          <w:color w:val="auto"/>
        </w:rPr>
        <w:t>our collaborators decide not to continue to work with us in the development of our product candidates.</w:t>
      </w:r>
    </w:p>
    <w:p>
      <w:pPr>
        <w:spacing w:after="0" w:line="26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85" w:lineRule="exact"/>
        <w:rPr>
          <w:sz w:val="20"/>
          <w:szCs w:val="20"/>
          <w:color w:val="auto"/>
        </w:rPr>
      </w:pPr>
    </w:p>
    <w:p>
      <w:pPr>
        <w:ind w:left="320" w:right="100"/>
        <w:spacing w:after="0" w:line="272" w:lineRule="auto"/>
        <w:rPr>
          <w:sz w:val="20"/>
          <w:szCs w:val="20"/>
          <w:color w:val="auto"/>
        </w:rPr>
      </w:pPr>
      <w:r>
        <w:rPr>
          <w:rFonts w:ascii="Arial" w:cs="Arial" w:eastAsia="Arial" w:hAnsi="Arial"/>
          <w:sz w:val="17"/>
          <w:szCs w:val="17"/>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172"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 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0" w:name="page51"/>
    <w:bookmarkEnd w:id="50"/>
    <w:p>
      <w:pPr>
        <w:ind w:right="40" w:firstLine="308"/>
        <w:spacing w:after="0" w:line="296" w:lineRule="auto"/>
        <w:rPr>
          <w:sz w:val="20"/>
          <w:szCs w:val="20"/>
          <w:color w:val="auto"/>
        </w:rPr>
      </w:pPr>
      <w:r>
        <w:rPr>
          <w:rFonts w:ascii="Arial" w:cs="Arial" w:eastAsia="Arial" w:hAnsi="Arial"/>
          <w:sz w:val="15"/>
          <w:szCs w:val="15"/>
          <w:color w:val="auto"/>
        </w:rPr>
        <w:t>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 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w:t>
      </w:r>
    </w:p>
    <w:p>
      <w:pPr>
        <w:spacing w:after="0" w:line="15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Intellectual Property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fail to protect our intellectual property rights, which would harm our business.</w:t>
      </w:r>
    </w:p>
    <w:p>
      <w:pPr>
        <w:spacing w:after="0" w:line="215" w:lineRule="exact"/>
        <w:rPr>
          <w:sz w:val="20"/>
          <w:szCs w:val="20"/>
          <w:color w:val="auto"/>
        </w:rPr>
      </w:pPr>
    </w:p>
    <w:p>
      <w:pPr>
        <w:ind w:right="200" w:firstLine="308"/>
        <w:spacing w:after="0" w:line="262" w:lineRule="auto"/>
        <w:rPr>
          <w:sz w:val="20"/>
          <w:szCs w:val="20"/>
          <w:color w:val="auto"/>
        </w:rPr>
      </w:pPr>
      <w:r>
        <w:rPr>
          <w:rFonts w:ascii="Arial" w:cs="Arial" w:eastAsia="Arial" w:hAnsi="Arial"/>
          <w:sz w:val="17"/>
          <w:szCs w:val="17"/>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w:t>
      </w:r>
    </w:p>
    <w:p>
      <w:pPr>
        <w:spacing w:after="0" w:line="180"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185"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87" w:lineRule="exact"/>
        <w:rPr>
          <w:sz w:val="20"/>
          <w:szCs w:val="20"/>
          <w:color w:val="auto"/>
        </w:rPr>
      </w:pPr>
    </w:p>
    <w:p>
      <w:pPr>
        <w:ind w:right="220" w:firstLine="308"/>
        <w:spacing w:after="0" w:line="303" w:lineRule="auto"/>
        <w:rPr>
          <w:sz w:val="20"/>
          <w:szCs w:val="20"/>
          <w:color w:val="auto"/>
        </w:rPr>
      </w:pPr>
      <w:r>
        <w:rPr>
          <w:rFonts w:ascii="Arial" w:cs="Arial" w:eastAsia="Arial" w:hAnsi="Arial"/>
          <w:sz w:val="15"/>
          <w:szCs w:val="15"/>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w:t>
      </w:r>
    </w:p>
    <w:p>
      <w:pPr>
        <w:spacing w:after="0" w:line="155" w:lineRule="exact"/>
        <w:rPr>
          <w:sz w:val="20"/>
          <w:szCs w:val="20"/>
          <w:color w:val="auto"/>
        </w:rPr>
      </w:pPr>
    </w:p>
    <w:p>
      <w:pPr>
        <w:ind w:right="140" w:firstLine="308"/>
        <w:spacing w:after="0" w:line="279" w:lineRule="auto"/>
        <w:rPr>
          <w:sz w:val="20"/>
          <w:szCs w:val="20"/>
          <w:color w:val="auto"/>
        </w:rPr>
      </w:pPr>
      <w:r>
        <w:rPr>
          <w:rFonts w:ascii="Arial" w:cs="Arial" w:eastAsia="Arial" w:hAnsi="Arial"/>
          <w:sz w:val="16"/>
          <w:szCs w:val="16"/>
          <w:color w:val="auto"/>
        </w:rPr>
        <w:t>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w:t>
      </w:r>
    </w:p>
    <w:p>
      <w:pPr>
        <w:spacing w:after="0" w:line="170"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Under our licenses with HPA relating to our recombinant bivalent botulinum vaccine candidate and the botulinum toxoid vaccine that we plan to use as the basis for our botulinum immune globulin therapeutic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320" w:right="460"/>
        <w:spacing w:after="0" w:line="272" w:lineRule="auto"/>
        <w:rPr>
          <w:sz w:val="20"/>
          <w:szCs w:val="20"/>
          <w:color w:val="auto"/>
        </w:rPr>
      </w:pPr>
      <w:r>
        <w:rPr>
          <w:rFonts w:ascii="Arial" w:cs="Arial" w:eastAsia="Arial" w:hAnsi="Arial"/>
          <w:sz w:val="17"/>
          <w:szCs w:val="17"/>
          <w:b w:val="1"/>
          <w:bCs w:val="1"/>
          <w:i w:val="1"/>
          <w:iCs w:val="1"/>
          <w:color w:val="auto"/>
        </w:rPr>
        <w:t>If we are unable to in-license any intellectual property necessary to develop, manufacture or sell any of our product candidates, we will not be successful in developing or commercializing such product candidate.</w:t>
      </w:r>
    </w:p>
    <w:p>
      <w:pPr>
        <w:spacing w:after="0" w:line="172" w:lineRule="exact"/>
        <w:rPr>
          <w:sz w:val="20"/>
          <w:szCs w:val="20"/>
          <w:color w:val="auto"/>
        </w:rPr>
      </w:pPr>
    </w:p>
    <w:p>
      <w:pPr>
        <w:ind w:right="100" w:firstLine="308"/>
        <w:spacing w:after="0" w:line="286" w:lineRule="auto"/>
        <w:rPr>
          <w:sz w:val="20"/>
          <w:szCs w:val="20"/>
          <w:color w:val="auto"/>
        </w:rPr>
      </w:pPr>
      <w:r>
        <w:rPr>
          <w:rFonts w:ascii="Arial" w:cs="Arial" w:eastAsia="Arial" w:hAnsi="Arial"/>
          <w:sz w:val="16"/>
          <w:szCs w:val="16"/>
          <w:color w:val="auto"/>
        </w:rPr>
        <w:t>We expect that we may need to in-license various components or technologies, including, for example, adjuvants and novel delivery systems, for some of our current or future product candidates. We may be unable to obtain the necessary licenses on acceptable terms, or at all. If we are unable to obtain such licenses, we could be prevented or delayed from continuing further development or from commercially launching the applicable product candidate.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fail to comply with our obligations in our intellectual property licenses with third parties, we could lose license rights that are important to our business.</w:t>
      </w:r>
    </w:p>
    <w:p>
      <w:pPr>
        <w:spacing w:after="0" w:line="249" w:lineRule="exact"/>
        <w:rPr>
          <w:sz w:val="20"/>
          <w:szCs w:val="20"/>
          <w:color w:val="auto"/>
        </w:rPr>
      </w:pPr>
    </w:p>
    <w:p>
      <w:pPr>
        <w:ind w:right="40" w:firstLine="308"/>
        <w:spacing w:after="0" w:line="299" w:lineRule="auto"/>
        <w:rPr>
          <w:sz w:val="20"/>
          <w:szCs w:val="20"/>
          <w:color w:val="auto"/>
        </w:rPr>
      </w:pPr>
      <w:r>
        <w:rPr>
          <w:rFonts w:ascii="Arial" w:cs="Arial" w:eastAsia="Arial" w:hAnsi="Arial"/>
          <w:sz w:val="15"/>
          <w:szCs w:val="15"/>
          <w:color w:val="auto"/>
        </w:rPr>
        <w:t>We are a party to a number of license agreements. We consider our licenses with HPA relating to our recombinant bivalent botulinum vaccine candidate and the botulinum toxoid vaccine that we plan to use as the basis for our botulinum immune globulin therapeutic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156"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249"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w:t>
      </w:r>
    </w:p>
    <w:p>
      <w:pPr>
        <w:spacing w:after="0" w:line="184" w:lineRule="exact"/>
        <w:rPr>
          <w:sz w:val="20"/>
          <w:szCs w:val="20"/>
          <w:color w:val="auto"/>
        </w:rPr>
      </w:pPr>
    </w:p>
    <w:p>
      <w:pPr>
        <w:jc w:val="both"/>
        <w:ind w:right="100" w:firstLine="308"/>
        <w:spacing w:after="0" w:line="262" w:lineRule="auto"/>
        <w:rPr>
          <w:sz w:val="20"/>
          <w:szCs w:val="20"/>
          <w:color w:val="auto"/>
        </w:rPr>
      </w:pPr>
      <w:r>
        <w:rPr>
          <w:rFonts w:ascii="Arial" w:cs="Arial" w:eastAsia="Arial" w:hAnsi="Arial"/>
          <w:sz w:val="17"/>
          <w:szCs w:val="17"/>
          <w:color w:val="auto"/>
        </w:rPr>
        <w:t>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it will adversely affect our business.</w:t>
      </w:r>
    </w:p>
    <w:p>
      <w:pPr>
        <w:spacing w:after="0" w:line="215"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56" w:lineRule="exact"/>
        <w:rPr>
          <w:sz w:val="20"/>
          <w:szCs w:val="20"/>
          <w:color w:val="auto"/>
        </w:rPr>
      </w:pPr>
    </w:p>
    <w:p>
      <w:pPr>
        <w:ind w:right="100" w:firstLine="308"/>
        <w:spacing w:after="0" w:line="299" w:lineRule="auto"/>
        <w:rPr>
          <w:sz w:val="20"/>
          <w:szCs w:val="20"/>
          <w:color w:val="auto"/>
        </w:rPr>
      </w:pPr>
      <w:r>
        <w:rPr>
          <w:rFonts w:ascii="Arial" w:cs="Arial" w:eastAsia="Arial" w:hAnsi="Arial"/>
          <w:sz w:val="15"/>
          <w:szCs w:val="15"/>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ind w:right="80" w:firstLine="308"/>
        <w:spacing w:after="0" w:line="273" w:lineRule="auto"/>
        <w:rPr>
          <w:sz w:val="20"/>
          <w:szCs w:val="20"/>
          <w:color w:val="auto"/>
        </w:rPr>
      </w:pPr>
      <w:r>
        <w:rPr>
          <w:rFonts w:ascii="Arial" w:cs="Arial" w:eastAsia="Arial" w:hAnsi="Arial"/>
          <w:sz w:val="16"/>
          <w:szCs w:val="16"/>
          <w:color w:val="auto"/>
        </w:rPr>
        <w:t>There has been substantial litigation and other proceedings regarding patent and other intellectual property rights in the biotechnology and pharmaceutical industries. For example, we monitored litigation between Bavarian Nordic and Acambis relating to the manufacture of the modified vaccinia Ankara virus, or MVA, as a smallpox vaccine for biodefense use by the U.S. government. This litigation was terminated by a settlement and consent order filed by the parties with the U.S. International Trade Commission, or ITC, in August 2007 and subsequently published in the U.S. Federal Register. According to the published terms of the consent order, Acambis agreed not to import or sell within the United States its ACAM3000 vaccine product, and further agreed not to challenge the validity or enforceability of certain Bavarian Nordic patents. In addition, the consent order vacated the initial determination of the ITC that Bavarian Nordics’ patents were invalid, but if valid would have been infringed by importation or sale of ACAM3000 in the United States.</w:t>
      </w:r>
    </w:p>
    <w:p>
      <w:pPr>
        <w:spacing w:after="0" w:line="176" w:lineRule="exact"/>
        <w:rPr>
          <w:sz w:val="20"/>
          <w:szCs w:val="20"/>
          <w:color w:val="auto"/>
        </w:rPr>
      </w:pPr>
    </w:p>
    <w:p>
      <w:pPr>
        <w:ind w:right="100" w:firstLine="308"/>
        <w:spacing w:after="0" w:line="299" w:lineRule="auto"/>
        <w:rPr>
          <w:sz w:val="20"/>
          <w:szCs w:val="20"/>
          <w:color w:val="auto"/>
        </w:rPr>
      </w:pPr>
      <w:r>
        <w:rPr>
          <w:rFonts w:ascii="Arial" w:cs="Arial" w:eastAsia="Arial" w:hAnsi="Arial"/>
          <w:sz w:val="15"/>
          <w:szCs w:val="15"/>
          <w:color w:val="auto"/>
        </w:rPr>
        <w:t>We have licensed from the Bavarian State Ministry of the Environment, Public Health and Consumer Protection, or StUMGV, rights to materials and technology related to MVA. Our MVA platform technology, which has the potential to be used as a viral vector for delivery of certain vaccine antigens for different disease-causing organisms, is based on these rights. We are aware of litigation brought by Bavarian Nordic against StUMGV in which Bavarian Nordic is seeking information concerning StUMGV’s ownership rights to the MVA in its possession. Our ability to use our MVA platform technology could be negatively affected by patent infringement litigation or other legal actions brought by Bavarian Nordic or other parties challenging our rights to use MVA materials or technology.</w:t>
      </w:r>
    </w:p>
    <w:p>
      <w:pPr>
        <w:spacing w:after="0" w:line="156"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Acquisition Strategy</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strategy of generating growth through acquisitions may not be successful.</w:t>
      </w:r>
    </w:p>
    <w:p>
      <w:pPr>
        <w:spacing w:after="0" w:line="215" w:lineRule="exact"/>
        <w:rPr>
          <w:sz w:val="20"/>
          <w:szCs w:val="20"/>
          <w:color w:val="auto"/>
        </w:rPr>
      </w:pPr>
    </w:p>
    <w:p>
      <w:pPr>
        <w:ind w:right="40" w:firstLine="308"/>
        <w:spacing w:after="0" w:line="303" w:lineRule="auto"/>
        <w:rPr>
          <w:sz w:val="20"/>
          <w:szCs w:val="20"/>
          <w:color w:val="auto"/>
        </w:rPr>
      </w:pPr>
      <w:r>
        <w:rPr>
          <w:rFonts w:ascii="Arial" w:cs="Arial" w:eastAsia="Arial" w:hAnsi="Arial"/>
          <w:sz w:val="15"/>
          <w:szCs w:val="15"/>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and vaccine development and production know-how from the Michigan Biologic Products Institute. We acquired our pipeline of commercial vaccine candidates through our acquisition of ViVacs in 2006 and Microscience in 2005 and our acquisition of substantially all of the assets of Antex in 2003.</w:t>
      </w:r>
    </w:p>
    <w:p>
      <w:pPr>
        <w:spacing w:after="0" w:line="155"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560"/>
        <w:spacing w:after="0" w:line="335" w:lineRule="auto"/>
        <w:rPr>
          <w:sz w:val="20"/>
          <w:szCs w:val="20"/>
          <w:color w:val="auto"/>
        </w:rPr>
      </w:pPr>
      <w:r>
        <w:rPr>
          <w:rFonts w:ascii="Arial" w:cs="Arial" w:eastAsia="Arial" w:hAnsi="Arial"/>
          <w:sz w:val="17"/>
          <w:szCs w:val="17"/>
          <w:color w:val="auto"/>
        </w:rPr>
        <w:t>we may be unable to license or acquire the relevant technology on terms that would allow us to make an appropriate return on the product; companies that perceive us to be their competitor may be unwilling to assign or license their product rights to us; or we may be unable to identify suitable products or product candidates within our areas of expertise.</w:t>
      </w:r>
    </w:p>
    <w:p>
      <w:pPr>
        <w:spacing w:after="0" w:line="2"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jc w:val="both"/>
        <w:ind w:right="40" w:firstLine="308"/>
        <w:spacing w:after="0" w:line="254" w:lineRule="auto"/>
        <w:rPr>
          <w:sz w:val="20"/>
          <w:szCs w:val="20"/>
          <w:color w:val="auto"/>
        </w:rPr>
      </w:pPr>
      <w:r>
        <w:rPr>
          <w:rFonts w:ascii="Arial" w:cs="Arial" w:eastAsia="Arial" w:hAnsi="Arial"/>
          <w:sz w:val="17"/>
          <w:szCs w:val="17"/>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If we fail to successfully manage any acquisitions, our ability to develop our product candidates and expand our product candidate pipeline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85725</wp:posOffset>
            </wp:positionV>
            <wp:extent cx="72790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ind w:firstLine="308"/>
        <w:spacing w:after="0" w:line="270" w:lineRule="auto"/>
        <w:rPr>
          <w:sz w:val="20"/>
          <w:szCs w:val="20"/>
          <w:color w:val="auto"/>
        </w:rPr>
      </w:pPr>
      <w:r>
        <w:rPr>
          <w:rFonts w:ascii="Arial" w:cs="Arial" w:eastAsia="Arial" w:hAnsi="Arial"/>
          <w:sz w:val="16"/>
          <w:szCs w:val="16"/>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ectPr>
          <w:pgSz w:w="11900" w:h="16838" w:orient="portrait"/>
          <w:cols w:equalWidth="0" w:num="1">
            <w:col w:w="11400"/>
          </w:cols>
          <w:pgMar w:left="240" w:top="131" w:right="259" w:bottom="1440" w:gutter="0" w:footer="0" w:header="0"/>
        </w:sectPr>
      </w:pP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use of cash resources;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higher than anticipated acquisition costs and expenses;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potentially dilutive issuances of equity securities;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incurrence of debt and contingent liabilities, impairment losses or restructuring charges;</w:t>
      </w:r>
    </w:p>
    <w:p>
      <w:pPr>
        <w:spacing w:after="0" w:line="74"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large write-offs and difficulties in assessing the relative percentages of in-process research and development expense that can be immediately written off as compared to the amount that must be amortized over the appropriate life of the asset; and amortization expenses related to other intangible assets.</w:t>
      </w:r>
    </w:p>
    <w:p>
      <w:pPr>
        <w:spacing w:after="0" w:line="20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Operational risks that could harm our existing operations or prevent realization of anticipated benefits from these transactions include:</w:t>
      </w:r>
    </w:p>
    <w:p>
      <w:pPr>
        <w:sectPr>
          <w:pgSz w:w="11900" w:h="16838" w:orient="portrait"/>
          <w:cols w:equalWidth="0" w:num="1">
            <w:col w:w="11400"/>
          </w:cols>
          <w:pgMar w:left="240" w:top="131" w:right="259" w:bottom="1440" w:gutter="0" w:footer="0" w:header="0"/>
          <w:type w:val="continuous"/>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challenges associated with managing an increasingly diversified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disruption of our ongoing business;</w:t>
      </w:r>
    </w:p>
    <w:p>
      <w:pPr>
        <w:spacing w:after="0" w:line="74" w:lineRule="exact"/>
        <w:rPr>
          <w:sz w:val="20"/>
          <w:szCs w:val="20"/>
          <w:color w:val="auto"/>
        </w:rPr>
      </w:pPr>
    </w:p>
    <w:p>
      <w:pPr>
        <w:ind w:right="1780"/>
        <w:spacing w:after="0" w:line="330" w:lineRule="auto"/>
        <w:rPr>
          <w:sz w:val="20"/>
          <w:szCs w:val="20"/>
          <w:color w:val="auto"/>
        </w:rPr>
      </w:pPr>
      <w:r>
        <w:rPr>
          <w:rFonts w:ascii="Arial" w:cs="Arial" w:eastAsia="Arial" w:hAnsi="Arial"/>
          <w:sz w:val="17"/>
          <w:szCs w:val="17"/>
          <w:color w:val="auto"/>
        </w:rPr>
        <w:t>difficulty and expense in assimilating the operations, products, technology, information systems or personnel of the acquired company; diversion of management’s time and attention from other business concerns; inability to maintain uniform standards, controls, procedures and policies;</w:t>
      </w:r>
    </w:p>
    <w:p>
      <w:pPr>
        <w:spacing w:after="0" w:line="1" w:lineRule="exact"/>
        <w:rPr>
          <w:sz w:val="20"/>
          <w:szCs w:val="20"/>
          <w:color w:val="auto"/>
        </w:rPr>
      </w:pPr>
    </w:p>
    <w:p>
      <w:pPr>
        <w:ind w:right="2900"/>
        <w:spacing w:after="0" w:line="351" w:lineRule="auto"/>
        <w:rPr>
          <w:sz w:val="20"/>
          <w:szCs w:val="20"/>
          <w:color w:val="auto"/>
        </w:rPr>
      </w:pPr>
      <w:r>
        <w:rPr>
          <w:rFonts w:ascii="Arial" w:cs="Arial" w:eastAsia="Arial" w:hAnsi="Arial"/>
          <w:sz w:val="17"/>
          <w:szCs w:val="17"/>
          <w:color w:val="auto"/>
        </w:rPr>
        <w:t>the assumption of known and unknown liabilities of the acquired company, including intellectual property claims; and subsequent loss of key personnel.</w:t>
      </w:r>
    </w:p>
    <w:p>
      <w:pPr>
        <w:spacing w:after="0" w:line="172"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ind w:left="320"/>
        <w:spacing w:after="0"/>
        <w:rPr>
          <w:sz w:val="20"/>
          <w:szCs w:val="20"/>
          <w:color w:val="auto"/>
        </w:rPr>
      </w:pPr>
      <w:r>
        <w:rPr>
          <w:rFonts w:ascii="Arial" w:cs="Arial" w:eastAsia="Arial" w:hAnsi="Arial"/>
          <w:sz w:val="16"/>
          <w:szCs w:val="16"/>
          <w:color w:val="auto"/>
        </w:rPr>
        <w:t>If we are unable to successfully manage our acquisitions, our ability to develop new products and continue to expand our product pipeline may be limited.</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Risks Related to Our Common Stock</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Fuad El-Hibri, chief executive officer and chairman of our Board of Directors, has substantial control over us, including through his ability to control the election of the members of our Board of Directors, and could delay or prevent a change of control.</w:t>
      </w:r>
    </w:p>
    <w:p>
      <w:pPr>
        <w:spacing w:after="0" w:line="172"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Mr. El-Hibri has the ability to control the election of the members of our Board of Directors through his ownership interests and voting arrangements among our significant stockholders. As of February 29, 2008, Mr. El-Hibri was the beneficial owner of a majority of our outstanding common stock. Because Mr. El-Hibri has the ability to control the election of the members of our board, and because of his substantial control of our capital stock, Mr. El-Hibri will likely have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59" w:lineRule="exact"/>
        <w:rPr>
          <w:sz w:val="20"/>
          <w:szCs w:val="20"/>
          <w:color w:val="auto"/>
        </w:rPr>
      </w:pPr>
    </w:p>
    <w:p>
      <w:pPr>
        <w:ind w:left="240" w:right="240" w:firstLine="49"/>
        <w:spacing w:after="0" w:line="272"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172" w:lineRule="exact"/>
        <w:rPr>
          <w:sz w:val="20"/>
          <w:szCs w:val="20"/>
          <w:color w:val="auto"/>
        </w:rPr>
      </w:pPr>
    </w:p>
    <w:p>
      <w:pPr>
        <w:ind w:right="300" w:firstLine="308"/>
        <w:spacing w:after="0" w:line="262" w:lineRule="auto"/>
        <w:rPr>
          <w:sz w:val="20"/>
          <w:szCs w:val="20"/>
          <w:color w:val="auto"/>
        </w:rPr>
      </w:pPr>
      <w:r>
        <w:rPr>
          <w:rFonts w:ascii="Arial" w:cs="Arial" w:eastAsia="Arial" w:hAnsi="Arial"/>
          <w:sz w:val="17"/>
          <w:szCs w:val="17"/>
          <w:color w:val="auto"/>
        </w:rPr>
        <w:t>Provisions of our certificate of incorporation and by-laws may discourage, delay or prevent a merger, acquisition or other change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5"/>
          <w:szCs w:val="15"/>
          <w:color w:val="auto"/>
        </w:rPr>
        <w:t>These provisions include:</w:t>
      </w:r>
    </w:p>
    <w:p>
      <w:pPr>
        <w:sectPr>
          <w:pgSz w:w="11900" w:h="16838" w:orient="portrait"/>
          <w:cols w:equalWidth="0" w:num="1">
            <w:col w:w="11400"/>
          </w:cols>
          <w:pgMar w:left="240" w:top="131" w:right="259" w:bottom="1440" w:gutter="0" w:footer="0" w:header="0"/>
        </w:sect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of our directors;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changing the number of directors then in office;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the removal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filling vacancies on the board;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limitations on the removal and appointment of the chairman of our Board of Directors;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following November 20, 2008, advance notice requirements for stockholder nominations for election of directors and other proposals;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inability of stockholders to act by written consent;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inability of stockholders to call special meetings; and</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the ability of our Board of Directors to designate the terms of and issue new series of preferred stock without stockholder approval.</w:t>
      </w:r>
    </w:p>
    <w:p>
      <w:pPr>
        <w:spacing w:after="0" w:line="288"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Until November 20, 2008, the affirmative vote of holders of our capital stock representing a majority of the voting power of all outstanding stock entitled to vote is required to amend or repeal the above provisions of our certificate of incorporation. Following November 20, 2008, the affirmative vote of holders of our capital stock representing at least 75% of the voting power of all outstanding stock entitled to vote is required to amend or repeal the above provisions of our certificate of incorporation. Until November 20, 2008, the affirmative vote of either at least 75% of the directors then in office or holders of our capital stock representing a majority of the voting power of all outstanding stock entitled to vote is required to amend or repeal our by-laws.</w:t>
      </w:r>
    </w:p>
    <w:p>
      <w:pPr>
        <w:spacing w:after="0" w:line="173"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Following November 20, 2008, the affirmative vote of either a majority of the directors present at a meeting of our Board of Directors or holders of our capital stock representing at least 75% of the voting power of all outstanding stock entitled to vote is required to amend or repeal our by-laws. 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or more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85" w:lineRule="exact"/>
        <w:rPr>
          <w:sz w:val="20"/>
          <w:szCs w:val="20"/>
          <w:color w:val="auto"/>
        </w:rPr>
      </w:pPr>
    </w:p>
    <w:p>
      <w:pPr>
        <w:ind w:left="320" w:right="420"/>
        <w:spacing w:after="0" w:line="272" w:lineRule="auto"/>
        <w:rPr>
          <w:sz w:val="20"/>
          <w:szCs w:val="20"/>
          <w:color w:val="auto"/>
        </w:rPr>
      </w:pPr>
      <w:r>
        <w:rPr>
          <w:rFonts w:ascii="Arial" w:cs="Arial" w:eastAsia="Arial" w:hAnsi="Arial"/>
          <w:sz w:val="17"/>
          <w:szCs w:val="17"/>
          <w:b w:val="1"/>
          <w:bCs w:val="1"/>
          <w:i w:val="1"/>
          <w:iCs w:val="1"/>
          <w:color w:val="auto"/>
        </w:rPr>
        <w:t>Our stockholder rights plan could prevent a change in control of us in instances in which some stockholders may believe a change in control is in their best interests.</w:t>
      </w:r>
    </w:p>
    <w:p>
      <w:pPr>
        <w:spacing w:after="0" w:line="172" w:lineRule="exact"/>
        <w:rPr>
          <w:sz w:val="20"/>
          <w:szCs w:val="20"/>
          <w:color w:val="auto"/>
        </w:rPr>
      </w:pPr>
    </w:p>
    <w:p>
      <w:pPr>
        <w:ind w:right="180" w:firstLine="308"/>
        <w:spacing w:after="0" w:line="262" w:lineRule="auto"/>
        <w:rPr>
          <w:sz w:val="20"/>
          <w:szCs w:val="20"/>
          <w:color w:val="auto"/>
        </w:rPr>
      </w:pPr>
      <w:r>
        <w:rPr>
          <w:rFonts w:ascii="Arial" w:cs="Arial" w:eastAsia="Arial" w:hAnsi="Arial"/>
          <w:sz w:val="17"/>
          <w:szCs w:val="17"/>
          <w:color w:val="auto"/>
        </w:rPr>
        <w:t>Under a rights agreement that establishes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180" w:lineRule="exact"/>
        <w:rPr>
          <w:sz w:val="20"/>
          <w:szCs w:val="20"/>
          <w:color w:val="auto"/>
        </w:rPr>
      </w:pPr>
    </w:p>
    <w:p>
      <w:pPr>
        <w:ind w:right="100" w:firstLine="308"/>
        <w:spacing w:after="0" w:line="303" w:lineRule="auto"/>
        <w:rPr>
          <w:sz w:val="20"/>
          <w:szCs w:val="20"/>
          <w:color w:val="auto"/>
        </w:rPr>
      </w:pPr>
      <w:r>
        <w:rPr>
          <w:rFonts w:ascii="Arial" w:cs="Arial" w:eastAsia="Arial" w:hAnsi="Arial"/>
          <w:sz w:val="15"/>
          <w:szCs w:val="15"/>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our stock price is volatile, purchasers of our common stock could incur substantial losses.</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Our stock price has been, and is likely to continue to be, volatile. From November 15, 2006, when our common stock first began trading on the New York Stock Exchange, through February 29, 2008, our common stock has traded as high as $17.75 per share and as low as $4.40 per share. The stock market in general and the market for biotechnology companies in particular have experienced extreme volatility that has often been unrelated to the operating performance of particular companies. The market price for our common stock may be influenced by many factors, including:</w:t>
      </w:r>
    </w:p>
    <w:p>
      <w:pPr>
        <w:sectPr>
          <w:pgSz w:w="11900" w:h="16838" w:orient="portrait"/>
          <w:cols w:equalWidth="0" w:num="1">
            <w:col w:w="11400"/>
          </w:cols>
          <w:pgMar w:left="240" w:top="131" w:right="259" w:bottom="1440" w:gutter="0" w:footer="0" w:header="0"/>
          <w:type w:val="continuous"/>
        </w:sectPr>
      </w:pPr>
    </w:p>
    <w:p>
      <w:pPr>
        <w:spacing w:after="0" w:line="16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success of competitive products or technologies;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results of clinical trials of our product candidates or those of our competitors;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decisions and procurement policies by the U.S. government affecting BioThrax and our biodefense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119380</wp:posOffset>
            </wp:positionV>
            <wp:extent cx="72790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780"/>
          </w:cols>
          <w:pgMar w:left="240" w:top="131" w:right="259" w:bottom="1440" w:gutter="0" w:footer="0" w:header="0"/>
          <w:type w:val="continuous"/>
        </w:sectPr>
      </w:pPr>
    </w:p>
    <w:bookmarkStart w:id="55" w:name="page56"/>
    <w:bookmarkEnd w:id="55"/>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regulatory developments in the United States and foreign countries;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developments or disputes concerning patents or other proprietary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recruitment or departure of key personnel;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variations in our financial results or those of companies that are perceived to be similar to us;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market conditions in the pharmaceutical and biotechnology sectors and issuance of new or changed securities analysts’ reports or recommendations;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general economic, industry and market conditions;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other factors described in this “Risk Factors” section.</w:t>
      </w:r>
    </w:p>
    <w:p>
      <w:pPr>
        <w:spacing w:after="0" w:line="265" w:lineRule="exact"/>
        <w:rPr>
          <w:sz w:val="20"/>
          <w:szCs w:val="20"/>
          <w:color w:val="auto"/>
        </w:rPr>
      </w:pPr>
    </w:p>
    <w:p>
      <w:pPr>
        <w:sectPr>
          <w:pgSz w:w="11900" w:h="16838" w:orient="portrait"/>
          <w:cols w:equalWidth="0" w:num="2">
            <w:col w:w="400" w:space="220"/>
            <w:col w:w="10760"/>
          </w:cols>
          <w:pgMar w:left="240" w:top="114" w:right="279" w:bottom="1440" w:gutter="0" w:footer="0" w:header="0"/>
        </w:sectPr>
      </w:pP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do not anticipate paying any cash dividends in the foreseeable future.</w:t>
      </w:r>
    </w:p>
    <w:p>
      <w:pPr>
        <w:spacing w:after="0" w:line="215" w:lineRule="exact"/>
        <w:rPr>
          <w:sz w:val="20"/>
          <w:szCs w:val="20"/>
          <w:color w:val="auto"/>
        </w:rPr>
      </w:pPr>
    </w:p>
    <w:p>
      <w:pPr>
        <w:ind w:firstLine="308"/>
        <w:spacing w:after="0" w:line="341" w:lineRule="auto"/>
        <w:rPr>
          <w:sz w:val="20"/>
          <w:szCs w:val="20"/>
          <w:color w:val="auto"/>
        </w:rPr>
      </w:pPr>
      <w:r>
        <w:rPr>
          <w:rFonts w:ascii="Arial" w:cs="Arial" w:eastAsia="Arial" w:hAnsi="Arial"/>
          <w:sz w:val="15"/>
          <w:szCs w:val="15"/>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the sole source of gain for our stockholders for the foreseeable future.</w:t>
      </w:r>
    </w:p>
    <w:p>
      <w:pPr>
        <w:spacing w:after="0" w:line="125" w:lineRule="exact"/>
        <w:rPr>
          <w:sz w:val="20"/>
          <w:szCs w:val="20"/>
          <w:color w:val="auto"/>
        </w:rPr>
      </w:pPr>
    </w:p>
    <w:p>
      <w:pPr>
        <w:ind w:left="320" w:right="20"/>
        <w:spacing w:after="0" w:line="272"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72" w:lineRule="exact"/>
        <w:rPr>
          <w:sz w:val="20"/>
          <w:szCs w:val="20"/>
          <w:color w:val="auto"/>
        </w:rPr>
      </w:pPr>
    </w:p>
    <w:p>
      <w:pPr>
        <w:ind w:right="20" w:firstLine="308"/>
        <w:spacing w:after="0" w:line="313"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21.2 million shares of our common stock outstanding as of February 29, 2008 have the right to require us to register these shares of common stock under specified circumstances.</w:t>
      </w:r>
    </w:p>
    <w:p>
      <w:pPr>
        <w:spacing w:after="0" w:line="14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general information regarding our materially important properties: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0"/>
              </w:rPr>
              <w:t>Approximate</w:t>
            </w:r>
          </w:p>
        </w:tc>
        <w:tc>
          <w:tcPr>
            <w:tcW w:w="1360" w:type="dxa"/>
            <w:vAlign w:val="bottom"/>
          </w:tcPr>
          <w:p>
            <w:pPr>
              <w:spacing w:after="0"/>
              <w:rPr>
                <w:sz w:val="17"/>
                <w:szCs w:val="17"/>
                <w:color w:val="auto"/>
              </w:rPr>
            </w:pPr>
          </w:p>
        </w:tc>
      </w:tr>
      <w:tr>
        <w:trPr>
          <w:trHeight w:val="217"/>
        </w:trPr>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7"/>
                <w:szCs w:val="17"/>
                <w:b w:val="1"/>
                <w:bCs w:val="1"/>
                <w:color w:val="auto"/>
              </w:rPr>
              <w:t>Location</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Use</w:t>
            </w: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7"/>
                <w:szCs w:val="17"/>
                <w:b w:val="1"/>
                <w:bCs w:val="1"/>
                <w:color w:val="auto"/>
              </w:rPr>
              <w:t>Segment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square feet</w:t>
            </w:r>
          </w:p>
        </w:tc>
        <w:tc>
          <w:tcPr>
            <w:tcW w:w="136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w w:val="99"/>
              </w:rPr>
              <w:t>Owned/leased</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w w:val="99"/>
              </w:rPr>
              <w:t>Lansing, Michigan</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rPr>
              <w:t>Manufacturing</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Biodefense</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7"/>
              </w:rPr>
              <w:t>214,000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Owned</w:t>
            </w:r>
          </w:p>
        </w:tc>
      </w:tr>
      <w:tr>
        <w:trPr>
          <w:trHeight w:val="205"/>
        </w:trPr>
        <w:tc>
          <w:tcPr>
            <w:tcW w:w="1480" w:type="dxa"/>
            <w:vAlign w:val="bottom"/>
          </w:tcPr>
          <w:p>
            <w:pPr>
              <w:spacing w:after="0"/>
              <w:rPr>
                <w:sz w:val="17"/>
                <w:szCs w:val="17"/>
                <w:color w:val="auto"/>
              </w:rPr>
            </w:pPr>
          </w:p>
        </w:tc>
        <w:tc>
          <w:tcPr>
            <w:tcW w:w="1720" w:type="dxa"/>
            <w:vAlign w:val="bottom"/>
          </w:tcPr>
          <w:p>
            <w:pPr>
              <w:ind w:left="140"/>
              <w:spacing w:after="0"/>
              <w:rPr>
                <w:sz w:val="20"/>
                <w:szCs w:val="20"/>
                <w:color w:val="auto"/>
              </w:rPr>
            </w:pPr>
            <w:r>
              <w:rPr>
                <w:rFonts w:ascii="Arial" w:cs="Arial" w:eastAsia="Arial" w:hAnsi="Arial"/>
                <w:sz w:val="17"/>
                <w:szCs w:val="17"/>
                <w:color w:val="auto"/>
              </w:rPr>
              <w:t>operations facilities,</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720" w:type="dxa"/>
            <w:vAlign w:val="bottom"/>
          </w:tcPr>
          <w:p>
            <w:pPr>
              <w:ind w:left="140"/>
              <w:spacing w:after="0"/>
              <w:rPr>
                <w:sz w:val="20"/>
                <w:szCs w:val="20"/>
                <w:color w:val="auto"/>
              </w:rPr>
            </w:pPr>
            <w:r>
              <w:rPr>
                <w:rFonts w:ascii="Arial" w:cs="Arial" w:eastAsia="Arial" w:hAnsi="Arial"/>
                <w:sz w:val="17"/>
                <w:szCs w:val="17"/>
                <w:color w:val="auto"/>
              </w:rPr>
              <w:t>office space and</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laboratory 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Frederick,</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6"/>
              </w:rPr>
              <w:t>Future manufacturing</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w w:val="96"/>
              </w:rPr>
              <w:t>Biodefense/Commercial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7"/>
              </w:rPr>
              <w:t>290,000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Owned</w:t>
            </w:r>
          </w:p>
        </w:tc>
      </w:tr>
      <w:tr>
        <w:trPr>
          <w:trHeight w:val="205"/>
        </w:trPr>
        <w:tc>
          <w:tcPr>
            <w:tcW w:w="1480" w:type="dxa"/>
            <w:vAlign w:val="bottom"/>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Pr>
          <w:p>
            <w:pPr>
              <w:ind w:left="140"/>
              <w:spacing w:after="0"/>
              <w:rPr>
                <w:sz w:val="20"/>
                <w:szCs w:val="20"/>
                <w:color w:val="auto"/>
              </w:rPr>
            </w:pPr>
            <w:r>
              <w:rPr>
                <w:rFonts w:ascii="Arial" w:cs="Arial" w:eastAsia="Arial" w:hAnsi="Arial"/>
                <w:sz w:val="17"/>
                <w:szCs w:val="17"/>
                <w:color w:val="auto"/>
              </w:rPr>
              <w:t>facilities and office</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1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w w:val="98"/>
              </w:rPr>
              <w:t>and laboratory 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Gaithersburg,</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8"/>
              </w:rPr>
              <w:t>Office and laboratory</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Biodefense/</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36,000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Leases expire</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space</w:t>
            </w:r>
          </w:p>
        </w:tc>
        <w:tc>
          <w:tcPr>
            <w:tcW w:w="18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Commercial</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2008</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Rockville,</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rPr>
              <w:t>Office space</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w w:val="96"/>
              </w:rPr>
              <w:t>Biodefense/Commercial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23,000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 expires</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Maryland</w:t>
            </w:r>
          </w:p>
        </w:tc>
        <w:tc>
          <w:tcPr>
            <w:tcW w:w="1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2016</w:t>
            </w:r>
          </w:p>
        </w:tc>
      </w:tr>
      <w:tr>
        <w:trPr>
          <w:trHeight w:val="190"/>
        </w:trPr>
        <w:tc>
          <w:tcPr>
            <w:tcW w:w="1480" w:type="dxa"/>
            <w:vAlign w:val="bottom"/>
          </w:tcPr>
          <w:p>
            <w:pPr>
              <w:ind w:left="100"/>
              <w:spacing w:after="0" w:line="190" w:lineRule="exact"/>
              <w:rPr>
                <w:sz w:val="20"/>
                <w:szCs w:val="20"/>
                <w:color w:val="auto"/>
              </w:rPr>
            </w:pPr>
            <w:r>
              <w:rPr>
                <w:rFonts w:ascii="Arial" w:cs="Arial" w:eastAsia="Arial" w:hAnsi="Arial"/>
                <w:sz w:val="17"/>
                <w:szCs w:val="17"/>
                <w:color w:val="auto"/>
              </w:rPr>
              <w:t>Wokingham,</w:t>
            </w:r>
          </w:p>
        </w:tc>
        <w:tc>
          <w:tcPr>
            <w:tcW w:w="1720" w:type="dxa"/>
            <w:vAlign w:val="bottom"/>
          </w:tcPr>
          <w:p>
            <w:pPr>
              <w:ind w:left="140"/>
              <w:spacing w:after="0" w:line="190" w:lineRule="exact"/>
              <w:rPr>
                <w:sz w:val="20"/>
                <w:szCs w:val="20"/>
                <w:color w:val="auto"/>
              </w:rPr>
            </w:pPr>
            <w:r>
              <w:rPr>
                <w:rFonts w:ascii="Arial" w:cs="Arial" w:eastAsia="Arial" w:hAnsi="Arial"/>
                <w:sz w:val="17"/>
                <w:szCs w:val="17"/>
                <w:color w:val="auto"/>
                <w:w w:val="98"/>
              </w:rPr>
              <w:t>Office and laboratory</w:t>
            </w:r>
          </w:p>
        </w:tc>
        <w:tc>
          <w:tcPr>
            <w:tcW w:w="1880" w:type="dxa"/>
            <w:vAlign w:val="bottom"/>
          </w:tcPr>
          <w:p>
            <w:pPr>
              <w:ind w:left="120"/>
              <w:spacing w:after="0" w:line="190" w:lineRule="exact"/>
              <w:rPr>
                <w:sz w:val="20"/>
                <w:szCs w:val="20"/>
                <w:color w:val="auto"/>
              </w:rPr>
            </w:pPr>
            <w:r>
              <w:rPr>
                <w:rFonts w:ascii="Arial" w:cs="Arial" w:eastAsia="Arial" w:hAnsi="Arial"/>
                <w:sz w:val="17"/>
                <w:szCs w:val="17"/>
                <w:color w:val="auto"/>
              </w:rPr>
              <w:t>Commercial</w:t>
            </w:r>
          </w:p>
        </w:tc>
        <w:tc>
          <w:tcPr>
            <w:tcW w:w="1220" w:type="dxa"/>
            <w:vAlign w:val="bottom"/>
          </w:tcPr>
          <w:p>
            <w:pPr>
              <w:jc w:val="center"/>
              <w:spacing w:after="0" w:line="190" w:lineRule="exact"/>
              <w:rPr>
                <w:sz w:val="20"/>
                <w:szCs w:val="20"/>
                <w:color w:val="auto"/>
              </w:rPr>
            </w:pPr>
            <w:r>
              <w:rPr>
                <w:rFonts w:ascii="Arial" w:cs="Arial" w:eastAsia="Arial" w:hAnsi="Arial"/>
                <w:sz w:val="17"/>
                <w:szCs w:val="17"/>
                <w:color w:val="auto"/>
                <w:w w:val="88"/>
              </w:rPr>
              <w:t>29,000</w:t>
            </w:r>
          </w:p>
        </w:tc>
        <w:tc>
          <w:tcPr>
            <w:tcW w:w="1360" w:type="dxa"/>
            <w:vAlign w:val="bottom"/>
          </w:tcPr>
          <w:p>
            <w:pPr>
              <w:ind w:left="120"/>
              <w:spacing w:after="0" w:line="190" w:lineRule="exact"/>
              <w:rPr>
                <w:sz w:val="20"/>
                <w:szCs w:val="20"/>
                <w:color w:val="auto"/>
              </w:rPr>
            </w:pPr>
            <w:r>
              <w:rPr>
                <w:rFonts w:ascii="Arial" w:cs="Arial" w:eastAsia="Arial" w:hAnsi="Arial"/>
                <w:sz w:val="17"/>
                <w:szCs w:val="17"/>
                <w:color w:val="auto"/>
              </w:rPr>
              <w:t>Leases expire</w:t>
            </w:r>
          </w:p>
        </w:tc>
      </w:tr>
      <w:tr>
        <w:trPr>
          <w:trHeight w:val="213"/>
        </w:trPr>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England</w:t>
            </w: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space</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2016</w:t>
            </w:r>
          </w:p>
        </w:tc>
      </w:tr>
    </w:tbl>
    <w:p>
      <w:pPr>
        <w:spacing w:after="0" w:line="196"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i w:val="1"/>
          <w:iCs w:val="1"/>
          <w:color w:val="auto"/>
        </w:rPr>
        <w:t xml:space="preserve">Lansing, Michigan. </w:t>
      </w:r>
      <w:r>
        <w:rPr>
          <w:rFonts w:ascii="Arial" w:cs="Arial" w:eastAsia="Arial" w:hAnsi="Arial"/>
          <w:sz w:val="16"/>
          <w:szCs w:val="16"/>
          <w:color w:val="auto"/>
        </w:rPr>
        <w:t>We own a multi-building campus on approximately 12.5 acres in Lansing, Michigan that includes facilities for bulk manufacturing of BioThrax,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 the facility renovations initiated by the State of Michigan. Our comprehensive renovations included the implementation of work plans to systematically validate the manufacturing process of BioThrax and improve our quality systems. In December 2001, the FDA approved a supplement to our manufacturing facility license for the manufacture of BioThrax at the renovated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type w:val="continuous"/>
        </w:sectPr>
      </w:pPr>
    </w:p>
    <w:bookmarkStart w:id="56" w:name="page57"/>
    <w:bookmarkEnd w:id="56"/>
    <w:p>
      <w:pPr>
        <w:ind w:firstLine="308"/>
        <w:spacing w:after="0" w:line="255" w:lineRule="auto"/>
        <w:rPr>
          <w:sz w:val="20"/>
          <w:szCs w:val="20"/>
          <w:color w:val="auto"/>
        </w:rPr>
      </w:pPr>
      <w:r>
        <w:rPr>
          <w:rFonts w:ascii="Arial" w:cs="Arial" w:eastAsia="Arial" w:hAnsi="Arial"/>
          <w:sz w:val="17"/>
          <w:szCs w:val="17"/>
          <w:color w:val="auto"/>
        </w:rPr>
        <w:t>We operate vaccine manufacturing facilities at a multi-building campus on approximately 12.5 acres in Lansing, Michigan. To augment our existing manufacturing capabilities, we have constructed a new 50,000 square foot manufacturing facility on our Lansing campus. We substantially completed construction of this facility in 2006, and are currently conducting validation and qualification activities required for regulatory approval. This new facility is a large scale manufacturing plant that we can use to produce multiple fermentation based vaccine products, subject to complying with appropriate change-over procedures. We expect the facility to cost approximately $75 million when complete, including approximately $55 million for the building and associated capital equipment, with the balance related to validation and qualification activities required for regulatory approval and initiation of manufacturing. We have incurred costs of approximately $63 million for these purposes through December 2007.</w:t>
      </w:r>
    </w:p>
    <w:p>
      <w:pPr>
        <w:spacing w:after="0" w:line="187"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i w:val="1"/>
          <w:iCs w:val="1"/>
          <w:color w:val="auto"/>
        </w:rPr>
        <w:t>Frederick, Maryland</w:t>
      </w:r>
      <w:r>
        <w:rPr>
          <w:rFonts w:ascii="Arial" w:cs="Arial" w:eastAsia="Arial" w:hAnsi="Arial"/>
          <w:sz w:val="12"/>
          <w:szCs w:val="12"/>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own two buildings of approximately 145,000 square feet each on a 15-acre site in Frederick, Maryland. We financed the purchase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buildings with a forgivable loan from the Department of Business and Economic Development of the State of Maryland and mortgage loans from commercial lenders. These buildings serve as collateral for these financing obligations.</w:t>
      </w:r>
    </w:p>
    <w:p>
      <w:pPr>
        <w:spacing w:after="0" w:line="180"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We are in the preliminary phase of establishing plans to build out this site for product development and a portion of our potential future product manufacturing requirements. Our preliminary plans contemplate that the site would be designed to provide laboratory space, product development and pilot plant production capabilities, full scale commercial manufacturing operations, warehouse and storage facilities, fill and finish operations and administrative office space. We expect that we will complete the build out of this site in several stages. Our preliminary plans contemplate a build out of one of the two buildings on this site to accommodate laboratory space, product development, pilot plant initial product launch capabilities and administrative office space during 2008 or 2009. These plans also contemplate that we will build out commercial manufacturing operations two to three years after establishing initial product launch capabilities. We have incurred costs of approximately $4 million through December 2007 related to initial engineering design and preliminary utility build out of these facilities. Because we are in the preliminary planning stages of our Frederick build out, we cannot reasonably estimate the timing and costs that would be necessary to complete this project. If we proceed with this project, we expect the costs to be substantial and to likely require external sources of funds to finance the project. We may elect to lease all or a substantial portion of, or sell, one of these facilities to third parties.</w:t>
      </w:r>
    </w:p>
    <w:p>
      <w:pPr>
        <w:spacing w:after="0" w:line="179"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We lease two separate product development facilities. Our facility in Gaithersburg, Maryland of approximately 36,000 square feet contains a combination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laboratory and office space. Our facility in Wokingham, England consists of approximately 29,000 square feet in two buildings, and contains a combination of laboratory and office space. Our facility in Rockville, Maryland contains approximately 23,000 square feet of office space, including our executive offices.</w:t>
      </w:r>
    </w:p>
    <w:p>
      <w:pPr>
        <w:spacing w:after="0" w:line="14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9"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i w:val="1"/>
          <w:iCs w:val="1"/>
          <w:color w:val="auto"/>
        </w:rPr>
        <w:t>BioThrax product liability litigation</w:t>
      </w:r>
      <w:r>
        <w:rPr>
          <w:rFonts w:ascii="Arial" w:cs="Arial" w:eastAsia="Arial" w:hAnsi="Arial"/>
          <w:sz w:val="15"/>
          <w:szCs w:val="15"/>
          <w:color w:val="auto"/>
        </w:rPr>
        <w:t>. Between 2001 and 2003, over 100 individual plaintiffs filed a series of lawsuits in which they claimed damages resulting from</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injuries allegedly caused by vaccination with BioThrax by the DoD. In April 2006, the U.S. District Court for the Western District of Michigan entered summary judgment in our favor in four consolidated lawsuits brought by approximately 120 claimants. The District Court’s ruling in these consolidated cases was based on two grounds. First, the District Court found that we were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were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w:t>
      </w:r>
    </w:p>
    <w:p>
      <w:pPr>
        <w:spacing w:after="0" w:line="165"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In 2005 and 2006, we were named as a defendant in three federal lawsuits, each filed on behalf of a single plaintiff, claiming different injuries caused by DoD’s immunization with BioThrax. Each plaintiff sought a different amount of damages. The plaintiff in the first case alleged that the vaccine caused erosive rheumatoid arthritis and requested damages in excess of $1 million. The plaintiff in the second case alleged that the vaccine caused Bell’s palsy and other related conditions and requested damages in excess of $75,000. The plaintiff in the third case alleged that the vaccine caused a condition that originally was diagnosed as encephalitis related to a gastrointestinal infection and caused him to fall into a coma for many weeks and requested damages in excess of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ind w:right="20" w:firstLine="308"/>
        <w:spacing w:after="0" w:line="299" w:lineRule="auto"/>
        <w:rPr>
          <w:sz w:val="20"/>
          <w:szCs w:val="20"/>
          <w:color w:val="auto"/>
        </w:rPr>
      </w:pPr>
      <w:r>
        <w:rPr>
          <w:rFonts w:ascii="Arial" w:cs="Arial" w:eastAsia="Arial" w:hAnsi="Arial"/>
          <w:sz w:val="15"/>
          <w:szCs w:val="15"/>
          <w:color w:val="auto"/>
        </w:rPr>
        <w:t>The second lawsuit was dismissed with prejudice in September 2007. The third lawsuit was dismissed with prejudice in January 2008. In the one remaining lawsuit, we moved to dismiss for lack of personal jurisdiction, or in the alternative, to transfer the lawsuit to federal court in Michigan. In October 2006, that lawsuit was dismissed for lack of personal jurisdiction. The plaintiff appealed the dismissal to the U.S. Court of Appeals for the Ninth Circuit, and that appeal remains pending. If the appellate court reverses the dismissal, we intend to rely on defenses similar to those on which we prevailed in the cases that were filed between 2001 and 2003. We believe that we are entitled to indemnification under our contract with the DoD for legal fees and any damages that may result from the pending claim.</w:t>
      </w:r>
    </w:p>
    <w:p>
      <w:pPr>
        <w:spacing w:after="0" w:line="15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i w:val="1"/>
          <w:iCs w:val="1"/>
          <w:color w:val="auto"/>
        </w:rPr>
        <w:t>Insurance coverage litigation</w:t>
      </w:r>
      <w:r>
        <w:rPr>
          <w:rFonts w:ascii="Arial" w:cs="Arial" w:eastAsia="Arial" w:hAnsi="Arial"/>
          <w:sz w:val="16"/>
          <w:szCs w:val="16"/>
          <w:color w:val="auto"/>
        </w:rPr>
        <w:t>. On December 26, 2006, we were named as a defendant in a lawsuit brought by Evanston Insurance Company in the U.S.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Western District of Michigan captioned </w:t>
      </w:r>
      <w:r>
        <w:rPr>
          <w:rFonts w:ascii="Arial" w:cs="Arial" w:eastAsia="Arial" w:hAnsi="Arial"/>
          <w:sz w:val="16"/>
          <w:szCs w:val="16"/>
          <w:i w:val="1"/>
          <w:iCs w:val="1"/>
          <w:color w:val="auto"/>
        </w:rPr>
        <w:t>Evanston Insurance Company v. BioPort Corporation and Robert C. Myers.</w:t>
      </w:r>
      <w:r>
        <w:rPr>
          <w:rFonts w:ascii="Arial" w:cs="Arial" w:eastAsia="Arial" w:hAnsi="Arial"/>
          <w:sz w:val="16"/>
          <w:szCs w:val="16"/>
          <w:color w:val="auto"/>
        </w:rPr>
        <w:t xml:space="preserve"> Evanston issued a general liability policy to us in 2000, and we made a claim for coverage under that policy for defense and indemnity costs incurred as a result of the claims asserted in the BioThrax product liability litigation discussed above and the thimerosal litigation discussed below. In its complaint, Evanston asserts a number of purported bases for the court to void or reduce its obligation to defend or indemnify us, including a claim that we failed to disclose on our insurance application our alleged knowledge of “incidents, conditions, circumstances, effects or suspected defects which may result in claims.” Evanston seeks rescission or reformation of the policy to exclude a duty to defend or indemnify us for the claims asserted in the BioThrax product liability litigation and the thimerosal litigation. Evanston also seeks a refund of the approximately $331,000 that it has reimbursed us for defense costs.</w:t>
      </w:r>
    </w:p>
    <w:p>
      <w:pPr>
        <w:spacing w:after="0" w:line="178"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i w:val="1"/>
          <w:iCs w:val="1"/>
          <w:color w:val="auto"/>
        </w:rPr>
        <w:t>MilVax litigation</w:t>
      </w:r>
      <w:r>
        <w:rPr>
          <w:rFonts w:ascii="Arial" w:cs="Arial" w:eastAsia="Arial" w:hAnsi="Arial"/>
          <w:sz w:val="16"/>
          <w:szCs w:val="16"/>
          <w:color w:val="auto"/>
        </w:rPr>
        <w:t>. In 2003, six unidentified plaintiffs filed suit in the U.S. District Court for the District of Columbia against the U.S. government seeking to enjoin the</w:t>
      </w:r>
      <w:r>
        <w:rPr>
          <w:rFonts w:ascii="Arial" w:cs="Arial" w:eastAsia="Arial" w:hAnsi="Arial"/>
          <w:sz w:val="16"/>
          <w:szCs w:val="16"/>
          <w:i w:val="1"/>
          <w:iCs w:val="1"/>
          <w:color w:val="auto"/>
        </w:rPr>
        <w:t xml:space="preserve"> </w:t>
      </w:r>
      <w:r>
        <w:rPr>
          <w:rFonts w:ascii="Arial" w:cs="Arial" w:eastAsia="Arial" w:hAnsi="Arial"/>
          <w:sz w:val="16"/>
          <w:szCs w:val="16"/>
          <w:color w:val="auto"/>
        </w:rPr>
        <w:t>Anthrax Vaccine Immunization Program administered under MilVax under which all military personnel were required to be vaccinated with BioThrax. In October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In February 2006, the U.S. Court of Appeals for the District of Columbia, on appeal of the injunction by the government, ruled that the injunction had dissolved by its own terms as a result of the FDA’s final order. The matter remains pending in the District Court, where subsequent proceedings have focused on whether the plaintiffs are entitled to recover attorneys’ fees from the government.</w:t>
      </w:r>
    </w:p>
    <w:p>
      <w:pPr>
        <w:spacing w:after="0" w:line="178"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In October 2006, the DoD announced that it was resuming a mandatory vaccination program for BioThrax for designated military personnel and emergency DoD civilian personnel and contractors. In December 2006, the same counsel who represented the plaintiffs in the 2003 litigation filed a new lawsuit against the government in the same federal court, on behalf of unnamed service members and the DoD civilian employees or contractors and purportedly on behalf of a class of similarly situated individuals. The suit contends on various grounds that the FDA's 2005 final order should be set aside as substantively and procedurally flawed and that BioThrax is not properly approved for use in the DoD’s vaccination program. The plaintiffs seek a declaration that BioThrax is improperly licensed and is not approved for use against inhalation anthrax, an order vacating the FDA’s 2005 final order, and an injunction prohibiting the DoD from using BioThrax in a mandatory vaccination program. In February 2008, the federal court in which that case was pending dismissed the action, concluding that FDA did not make a clear error of judgment in reaffirming the safety and efficacy of BioThrax. Although we are not a party to the lawsuits challenging DoD’s mandatory anthrax vaccination program, if the District Court were to enjoin the mandatory use of BioThrax by DoD, the amount of future purchases of BioThrax by the U.S. government could be affected.</w:t>
      </w:r>
    </w:p>
    <w:p>
      <w:pPr>
        <w:spacing w:after="0" w:line="163"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i w:val="1"/>
          <w:iCs w:val="1"/>
          <w:color w:val="auto"/>
        </w:rPr>
        <w:t>Other</w:t>
      </w:r>
      <w:r>
        <w:rPr>
          <w:rFonts w:ascii="Arial" w:cs="Arial" w:eastAsia="Arial" w:hAnsi="Arial"/>
          <w:sz w:val="15"/>
          <w:szCs w:val="15"/>
          <w:color w:val="auto"/>
        </w:rPr>
        <w:t>. We are, and may in the future become, subject to other legal proceedings, claims and litigation arising in the ordinary course of our business in connection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manufacture, 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Inc. or Emergent BioDefense Operations, is currently a named defendant in 40 lawsuits pending in two jurisdictions: three in California and 37 in Illinois. The products at issue in these lawsuits are pediatric vaccines. Because we are not currently and have not historically been in the business of manufacturing or selling pediatric vaccines, we do not believe that we manufactured the pediatric vaccines at issue in the lawsuits.</w:t>
      </w:r>
    </w:p>
    <w:p>
      <w:pPr>
        <w:spacing w:after="0" w:line="16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Under a contractual obligation to the State of Michigan, we manufactured one batch of vaccine suitable for pediatric use. However, the contract required the State to use the vaccine solely for Michigan public health purposes. We no longer manufacture any products that contain thimerosal. We have submitted a request for coverage of the defense and indemnity costs incurred as a result of these thimerosal claims to our insurance carriers. The insurance carrier that issued our general liability policies during the relevant years is disputing coverage.</w:t>
      </w:r>
    </w:p>
    <w:p>
      <w:pPr>
        <w:spacing w:after="0" w:line="181"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64135</wp:posOffset>
            </wp:positionV>
            <wp:extent cx="72790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PART II</w:t>
      </w:r>
    </w:p>
    <w:p>
      <w:pPr>
        <w:spacing w:after="0" w:line="215" w:lineRule="exact"/>
        <w:rPr>
          <w:sz w:val="20"/>
          <w:szCs w:val="20"/>
          <w:color w:val="auto"/>
        </w:rPr>
      </w:pPr>
    </w:p>
    <w:p>
      <w:pPr>
        <w:ind w:left="1240" w:right="60" w:hanging="1230"/>
        <w:spacing w:after="0" w:line="277" w:lineRule="auto"/>
        <w:tabs>
          <w:tab w:leader="none" w:pos="12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 Information and Holders</w:t>
      </w:r>
    </w:p>
    <w:p>
      <w:pPr>
        <w:spacing w:after="0" w:line="219"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Our common stock has traded on the New York Stock Exchange under the symbol “EBS” since November 15, 2006. Prior to that time, there was no public market for our common stock. The following table sets forth the high and low sales prices per share of our common stock during each quarter of the year ended December 31, 2007 and for the period from November 15, 2006 to December 31, 2006: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7"/>
                <w:szCs w:val="17"/>
                <w:b w:val="1"/>
                <w:bCs w:val="1"/>
                <w:color w:val="auto"/>
              </w:rPr>
              <w:t>First</w:t>
            </w:r>
          </w:p>
        </w:tc>
        <w:tc>
          <w:tcPr>
            <w:tcW w:w="360" w:type="dxa"/>
            <w:vAlign w:val="bottom"/>
          </w:tcPr>
          <w:p>
            <w:pPr>
              <w:spacing w:after="0"/>
              <w:rPr>
                <w:sz w:val="18"/>
                <w:szCs w:val="18"/>
                <w:color w:val="auto"/>
              </w:rPr>
            </w:pPr>
          </w:p>
        </w:tc>
        <w:tc>
          <w:tcPr>
            <w:tcW w:w="880" w:type="dxa"/>
            <w:vAlign w:val="bottom"/>
          </w:tcPr>
          <w:p>
            <w:pPr>
              <w:jc w:val="right"/>
              <w:ind w:right="137"/>
              <w:spacing w:after="0"/>
              <w:rPr>
                <w:sz w:val="20"/>
                <w:szCs w:val="20"/>
                <w:color w:val="auto"/>
              </w:rPr>
            </w:pPr>
            <w:r>
              <w:rPr>
                <w:rFonts w:ascii="Arial" w:cs="Arial" w:eastAsia="Arial" w:hAnsi="Arial"/>
                <w:sz w:val="17"/>
                <w:szCs w:val="17"/>
                <w:b w:val="1"/>
                <w:bCs w:val="1"/>
                <w:color w:val="auto"/>
              </w:rPr>
              <w:t>Second</w:t>
            </w:r>
          </w:p>
        </w:tc>
        <w:tc>
          <w:tcPr>
            <w:tcW w:w="360" w:type="dxa"/>
            <w:vAlign w:val="bottom"/>
          </w:tcPr>
          <w:p>
            <w:pPr>
              <w:spacing w:after="0"/>
              <w:rPr>
                <w:sz w:val="18"/>
                <w:szCs w:val="18"/>
                <w:color w:val="auto"/>
              </w:rPr>
            </w:pPr>
          </w:p>
        </w:tc>
        <w:tc>
          <w:tcPr>
            <w:tcW w:w="860" w:type="dxa"/>
            <w:vAlign w:val="bottom"/>
          </w:tcPr>
          <w:p>
            <w:pPr>
              <w:jc w:val="right"/>
              <w:ind w:right="177"/>
              <w:spacing w:after="0"/>
              <w:rPr>
                <w:sz w:val="20"/>
                <w:szCs w:val="20"/>
                <w:color w:val="auto"/>
              </w:rPr>
            </w:pPr>
            <w:r>
              <w:rPr>
                <w:rFonts w:ascii="Arial" w:cs="Arial" w:eastAsia="Arial" w:hAnsi="Arial"/>
                <w:sz w:val="17"/>
                <w:szCs w:val="17"/>
                <w:b w:val="1"/>
                <w:bCs w:val="1"/>
                <w:color w:val="auto"/>
              </w:rPr>
              <w:t>Third</w:t>
            </w:r>
          </w:p>
        </w:tc>
        <w:tc>
          <w:tcPr>
            <w:tcW w:w="360" w:type="dxa"/>
            <w:vAlign w:val="bottom"/>
          </w:tcPr>
          <w:p>
            <w:pPr>
              <w:spacing w:after="0"/>
              <w:rPr>
                <w:sz w:val="18"/>
                <w:szCs w:val="18"/>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b w:val="1"/>
                <w:bCs w:val="1"/>
                <w:color w:val="auto"/>
              </w:rPr>
              <w:t>Fourth</w:t>
            </w:r>
          </w:p>
        </w:tc>
      </w:tr>
      <w:tr>
        <w:trPr>
          <w:trHeight w:val="219"/>
        </w:trPr>
        <w:tc>
          <w:tcPr>
            <w:tcW w:w="310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Quarter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Quarter</w:t>
            </w:r>
          </w:p>
        </w:tc>
      </w:tr>
      <w:tr>
        <w:trPr>
          <w:trHeight w:val="199"/>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b w:val="1"/>
                <w:bCs w:val="1"/>
                <w:color w:val="auto"/>
              </w:rPr>
              <w:t>Year Ended December 31, 2007</w:t>
            </w:r>
          </w:p>
        </w:tc>
        <w:tc>
          <w:tcPr>
            <w:tcW w:w="4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205"/>
        </w:trPr>
        <w:tc>
          <w:tcPr>
            <w:tcW w:w="3100" w:type="dxa"/>
            <w:vAlign w:val="bottom"/>
          </w:tcPr>
          <w:p>
            <w:pPr>
              <w:ind w:left="260"/>
              <w:spacing w:after="0"/>
              <w:rPr>
                <w:sz w:val="20"/>
                <w:szCs w:val="20"/>
                <w:color w:val="auto"/>
              </w:rPr>
            </w:pPr>
            <w:r>
              <w:rPr>
                <w:rFonts w:ascii="Arial" w:cs="Arial" w:eastAsia="Arial" w:hAnsi="Arial"/>
                <w:sz w:val="17"/>
                <w:szCs w:val="17"/>
                <w:color w:val="auto"/>
              </w:rPr>
              <w:t>High</w:t>
            </w:r>
          </w:p>
        </w:tc>
        <w:tc>
          <w:tcPr>
            <w:tcW w:w="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17.75</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14.85</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12.67</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10.70</w:t>
            </w:r>
          </w:p>
        </w:tc>
      </w:tr>
      <w:tr>
        <w:trPr>
          <w:trHeight w:val="205"/>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color w:val="auto"/>
              </w:rPr>
              <w:t>Low</w:t>
            </w:r>
          </w:p>
        </w:tc>
        <w:tc>
          <w:tcPr>
            <w:tcW w:w="4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10.50</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8.33</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7.67</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4.40</w:t>
            </w:r>
          </w:p>
        </w:tc>
      </w:tr>
      <w:tr>
        <w:trPr>
          <w:trHeight w:val="205"/>
        </w:trPr>
        <w:tc>
          <w:tcPr>
            <w:tcW w:w="3100" w:type="dxa"/>
            <w:vAlign w:val="bottom"/>
          </w:tcPr>
          <w:p>
            <w:pPr>
              <w:ind w:left="260"/>
              <w:spacing w:after="0"/>
              <w:rPr>
                <w:sz w:val="20"/>
                <w:szCs w:val="20"/>
                <w:color w:val="auto"/>
              </w:rPr>
            </w:pPr>
            <w:r>
              <w:rPr>
                <w:rFonts w:ascii="Arial" w:cs="Arial" w:eastAsia="Arial" w:hAnsi="Arial"/>
                <w:sz w:val="17"/>
                <w:szCs w:val="17"/>
                <w:b w:val="1"/>
                <w:bCs w:val="1"/>
                <w:color w:val="auto"/>
              </w:rPr>
              <w:t>Year Ended December 31, 2006</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3100" w:type="dxa"/>
            <w:vAlign w:val="bottom"/>
            <w:shd w:val="clear" w:color="auto" w:fill="CCFFCC"/>
          </w:tcPr>
          <w:p>
            <w:pPr>
              <w:ind w:left="260"/>
              <w:spacing w:after="0"/>
              <w:rPr>
                <w:sz w:val="20"/>
                <w:szCs w:val="20"/>
                <w:color w:val="auto"/>
              </w:rPr>
            </w:pPr>
            <w:r>
              <w:rPr>
                <w:rFonts w:ascii="Arial" w:cs="Arial" w:eastAsia="Arial" w:hAnsi="Arial"/>
                <w:sz w:val="17"/>
                <w:szCs w:val="17"/>
                <w:color w:val="auto"/>
              </w:rPr>
              <w:t>High</w:t>
            </w:r>
          </w:p>
        </w:tc>
        <w:tc>
          <w:tcPr>
            <w:tcW w:w="4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FFCC"/>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12.72</w:t>
            </w:r>
          </w:p>
        </w:tc>
      </w:tr>
      <w:tr>
        <w:trPr>
          <w:trHeight w:val="212"/>
        </w:trPr>
        <w:tc>
          <w:tcPr>
            <w:tcW w:w="3100" w:type="dxa"/>
            <w:vAlign w:val="bottom"/>
          </w:tcPr>
          <w:p>
            <w:pPr>
              <w:ind w:left="260"/>
              <w:spacing w:after="0"/>
              <w:rPr>
                <w:sz w:val="20"/>
                <w:szCs w:val="20"/>
                <w:color w:val="auto"/>
              </w:rPr>
            </w:pPr>
            <w:r>
              <w:rPr>
                <w:rFonts w:ascii="Arial" w:cs="Arial" w:eastAsia="Arial" w:hAnsi="Arial"/>
                <w:sz w:val="17"/>
                <w:szCs w:val="17"/>
                <w:color w:val="auto"/>
              </w:rPr>
              <w:t>Low</w:t>
            </w:r>
          </w:p>
        </w:tc>
        <w:tc>
          <w:tcPr>
            <w:tcW w:w="46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8"/>
                <w:szCs w:val="18"/>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n/a</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9.75</w:t>
            </w:r>
          </w:p>
        </w:tc>
      </w:tr>
    </w:tbl>
    <w:p>
      <w:pPr>
        <w:spacing w:after="0" w:line="189" w:lineRule="exact"/>
        <w:rPr>
          <w:sz w:val="20"/>
          <w:szCs w:val="20"/>
          <w:color w:val="auto"/>
        </w:rPr>
      </w:pPr>
    </w:p>
    <w:p>
      <w:pPr>
        <w:ind w:right="540" w:firstLine="308"/>
        <w:spacing w:after="0" w:line="272" w:lineRule="auto"/>
        <w:rPr>
          <w:sz w:val="20"/>
          <w:szCs w:val="20"/>
          <w:color w:val="auto"/>
        </w:rPr>
      </w:pPr>
      <w:r>
        <w:rPr>
          <w:rFonts w:ascii="Arial" w:cs="Arial" w:eastAsia="Arial" w:hAnsi="Arial"/>
          <w:sz w:val="17"/>
          <w:szCs w:val="17"/>
          <w:color w:val="auto"/>
        </w:rPr>
        <w:t>As of February 29, 2008, the closing price per share of our common stock on the New York Stock Exchange was $7.47 and we had 48 holders of record of our common stock. This number does not include beneficial owners whose shares are held by nominees in street name.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 Policy</w:t>
      </w:r>
    </w:p>
    <w:p>
      <w:pPr>
        <w:spacing w:after="0" w:line="219" w:lineRule="exact"/>
        <w:rPr>
          <w:sz w:val="20"/>
          <w:szCs w:val="20"/>
          <w:color w:val="auto"/>
        </w:rPr>
      </w:pPr>
    </w:p>
    <w:p>
      <w:pPr>
        <w:ind w:right="660" w:firstLine="308"/>
        <w:spacing w:after="0" w:line="272" w:lineRule="auto"/>
        <w:rPr>
          <w:sz w:val="20"/>
          <w:szCs w:val="20"/>
          <w:color w:val="auto"/>
        </w:rPr>
      </w:pPr>
      <w:r>
        <w:rPr>
          <w:rFonts w:ascii="Arial" w:cs="Arial" w:eastAsia="Arial" w:hAnsi="Arial"/>
          <w:sz w:val="17"/>
          <w:szCs w:val="17"/>
          <w:color w:val="auto"/>
        </w:rPr>
        <w:t>We currently intend to retain all of our future earnings to finance the growth and development of our business. We do not intend to pay cash dividends to our stockholders in the foreseeable future.</w:t>
      </w:r>
    </w:p>
    <w:p>
      <w:pPr>
        <w:spacing w:after="0" w:line="172"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On June 15, 2005, our board of directors declared a special cash dividend to the holders of our outstanding shares of common stock in an aggregate amount of approximately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Sales of Unregistered Securities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Use of Proceeds</w:t>
      </w:r>
    </w:p>
    <w:p>
      <w:pPr>
        <w:spacing w:after="0" w:line="219" w:lineRule="exact"/>
        <w:rPr>
          <w:sz w:val="20"/>
          <w:szCs w:val="20"/>
          <w:color w:val="auto"/>
        </w:rPr>
      </w:pPr>
    </w:p>
    <w:p>
      <w:pPr>
        <w:ind w:right="140" w:firstLine="308"/>
        <w:spacing w:after="0" w:line="262" w:lineRule="auto"/>
        <w:rPr>
          <w:sz w:val="20"/>
          <w:szCs w:val="20"/>
          <w:color w:val="auto"/>
        </w:rPr>
      </w:pPr>
      <w:r>
        <w:rPr>
          <w:rFonts w:ascii="Arial" w:cs="Arial" w:eastAsia="Arial" w:hAnsi="Arial"/>
          <w:sz w:val="17"/>
          <w:szCs w:val="17"/>
          <w:color w:val="auto"/>
        </w:rPr>
        <w:t>On November 20, 2006, we completed an initial public offering of 5,000,000 shares of our common stock pursuant to a registration statement on Form S-1 (File No. 333-136622), which was declared effective by the SEC on November 14, 2006. We received net proceeds from the offering of approximately $54.2 million, after deducting underwriting discounts and commissions and other offering expenses.</w:t>
      </w:r>
    </w:p>
    <w:p>
      <w:pPr>
        <w:spacing w:after="0" w:line="180"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Through December 31, 2007, we have used approximately $12.2 million of the net proceeds from the offering to fund development of our product candidates, comprised of approximately $1.6 million for label expansions and improvements for BioThrax, approximately $1.2 million for a next generation anthrax vaccine candidate, approximately $2.5 million for our anthrax immune globulin therapeutic candidate, approximately $3.3 million for our typhoid vaccine candidate and approximately $3.6 million for our hepatitis B therapeutic vaccine candidate. Through December 31, 2007, we have used approximately $19.9 million of the net proceeds from the offering to fund a portion of the construction, installation, validation and qualification activities costs for our new manufacturing facility in Lansing. We have not used any of the net proceeds from the offering to make payments, directly or indirectly, to any director or officer of ours, or any of their associates, to any person owning 10 percent or more of our common stock or to any affiliate of ours. We have invested the balance of the net proceeds from the offering in short-term, investment grade, interest-bearing instruments. There has been no material change in our planned use of the balance of the net proceeds from the offering as described in our final prospectus filed with the SEC pursuant to Rule 424(b)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168910</wp:posOffset>
            </wp:positionV>
            <wp:extent cx="72790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9" w:name="page60"/>
    <w:bookmarkEnd w:id="59"/>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219"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included in this annual report on Form 10-K and the “Management’s Discussion and Analysis of Financial Condition and Results of Operations” section of this annual report.</w:t>
      </w:r>
    </w:p>
    <w:p>
      <w:pPr>
        <w:spacing w:after="0" w:line="149" w:lineRule="exact"/>
        <w:rPr>
          <w:sz w:val="20"/>
          <w:szCs w:val="20"/>
          <w:color w:val="auto"/>
        </w:rPr>
      </w:pPr>
    </w:p>
    <w:p>
      <w:pPr>
        <w:ind w:right="180" w:firstLine="308"/>
        <w:spacing w:after="0" w:line="276" w:lineRule="auto"/>
        <w:rPr>
          <w:sz w:val="20"/>
          <w:szCs w:val="20"/>
          <w:color w:val="auto"/>
        </w:rPr>
      </w:pPr>
      <w:r>
        <w:rPr>
          <w:rFonts w:ascii="Arial" w:cs="Arial" w:eastAsia="Arial" w:hAnsi="Arial"/>
          <w:sz w:val="16"/>
          <w:szCs w:val="16"/>
          <w:color w:val="auto"/>
        </w:rPr>
        <w:t>We have derived the consolidated statement of operations data for the years ended December 31, 2007, 2006 and 2005 and the consolidated balance sheet data as of December 31, 2007 and 2006 from our audited consolidated financial statements, which are included in this annual report on Form 10-K. We have derived the consolidated statements of operations data for the years ended December 31, 2004 and 2003 and the consolidated balance sheet data as of December 31, 2005, 2004 and 2003 from our audited consolidated financial statements, which are not included in this annual report on Form 10-K. Our historical results for any prior period are not necessarily indicative of results to be expected in any future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6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3"/>
              </w:rPr>
              <w:t>(in thousands, except share and per share</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3"/>
                <w:szCs w:val="13"/>
                <w:b w:val="1"/>
                <w:bCs w:val="1"/>
                <w:color w:val="auto"/>
              </w:rPr>
              <w:t>Year Ended December 31,</w:t>
            </w: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data)</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2006</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2003</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Statements of operations data:</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100"/>
              <w:spacing w:after="0"/>
              <w:rPr>
                <w:sz w:val="20"/>
                <w:szCs w:val="20"/>
                <w:color w:val="auto"/>
              </w:rPr>
            </w:pPr>
            <w:r>
              <w:rPr>
                <w:rFonts w:ascii="Arial" w:cs="Arial" w:eastAsia="Arial" w:hAnsi="Arial"/>
                <w:sz w:val="13"/>
                <w:szCs w:val="13"/>
                <w:color w:val="auto"/>
              </w:rPr>
              <w:t>Revenues: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Product sales</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169,799</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147,995</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127,271</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81,014</w:t>
            </w:r>
          </w:p>
        </w:tc>
        <w:tc>
          <w:tcPr>
            <w:tcW w:w="3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55,536</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Contracts and grants</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13,116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4,737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3,417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2,480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233</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revenues</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182,915</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152,732</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130,688</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83,494</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55,769</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Operating expenses (income):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Cost of product sales</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40,309</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24,125</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31,603</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30,102</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22,342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53,958</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45,501</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18,381</w:t>
            </w:r>
          </w:p>
        </w:tc>
        <w:tc>
          <w:tcPr>
            <w:tcW w:w="3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10,117</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6,327</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Selling, general &amp; administrative</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55,555</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44,601</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42,793</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30,323</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19,547</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60" w:type="dxa"/>
            <w:vAlign w:val="bottom"/>
          </w:tcPr>
          <w:p>
            <w:pPr>
              <w:ind w:left="240"/>
              <w:spacing w:after="0" w:line="133" w:lineRule="exact"/>
              <w:rPr>
                <w:sz w:val="20"/>
                <w:szCs w:val="20"/>
                <w:color w:val="auto"/>
              </w:rPr>
            </w:pPr>
            <w:r>
              <w:rPr>
                <w:rFonts w:ascii="Arial" w:cs="Arial" w:eastAsia="Arial" w:hAnsi="Arial"/>
                <w:sz w:val="13"/>
                <w:szCs w:val="13"/>
                <w:color w:val="auto"/>
              </w:rPr>
              <w:t>Purchased in-process research and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60" w:type="dxa"/>
            <w:vAlign w:val="bottom"/>
          </w:tcPr>
          <w:p>
            <w:pPr>
              <w:ind w:left="400"/>
              <w:spacing w:after="0"/>
              <w:rPr>
                <w:sz w:val="20"/>
                <w:szCs w:val="20"/>
                <w:color w:val="auto"/>
              </w:rPr>
            </w:pPr>
            <w:r>
              <w:rPr>
                <w:rFonts w:ascii="Arial" w:cs="Arial" w:eastAsia="Arial" w:hAnsi="Arial"/>
                <w:sz w:val="13"/>
                <w:szCs w:val="13"/>
                <w:color w:val="auto"/>
              </w:rPr>
              <w:t>development</w:t>
            </w:r>
          </w:p>
        </w:tc>
        <w:tc>
          <w:tcPr>
            <w:tcW w:w="3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30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26,575</w:t>
            </w:r>
          </w:p>
        </w:tc>
        <w:tc>
          <w:tcPr>
            <w:tcW w:w="32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1,824</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w w:val="94"/>
              </w:rPr>
              <w:t>Settlement of State of Michigan Obligation</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(3,819)</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Litigation settlement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(10,000)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149,822</w:t>
            </w:r>
          </w:p>
        </w:tc>
        <w:tc>
          <w:tcPr>
            <w:tcW w:w="32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114,704</w:t>
            </w:r>
          </w:p>
        </w:tc>
        <w:tc>
          <w:tcPr>
            <w:tcW w:w="30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109,352</w:t>
            </w:r>
          </w:p>
        </w:tc>
        <w:tc>
          <w:tcPr>
            <w:tcW w:w="32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66,723</w:t>
            </w:r>
          </w:p>
        </w:tc>
        <w:tc>
          <w:tcPr>
            <w:tcW w:w="320" w:type="dxa"/>
            <w:vAlign w:val="bottom"/>
            <w:tcBorders>
              <w:bottom w:val="single" w:sz="8" w:color="auto"/>
            </w:tcBorders>
            <w:shd w:val="clear" w:color="auto" w:fill="CCFFCC"/>
          </w:tcPr>
          <w:p>
            <w:pPr>
              <w:spacing w:after="0"/>
              <w:rPr>
                <w:sz w:val="17"/>
                <w:szCs w:val="17"/>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50,040</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Income from operations</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33,093</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38,028</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21,336</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16,771</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5,729</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color w:val="auto"/>
              </w:rPr>
              <w:t>Other income (expense):</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2,809</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846</w:t>
            </w:r>
          </w:p>
        </w:tc>
        <w:tc>
          <w:tcPr>
            <w:tcW w:w="30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485</w:t>
            </w:r>
          </w:p>
        </w:tc>
        <w:tc>
          <w:tcPr>
            <w:tcW w:w="3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65</w:t>
            </w:r>
          </w:p>
        </w:tc>
        <w:tc>
          <w:tcPr>
            <w:tcW w:w="32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100</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(71)</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(1,152)</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(767)</w:t>
            </w:r>
          </w:p>
        </w:tc>
        <w:tc>
          <w:tcPr>
            <w:tcW w:w="320" w:type="dxa"/>
            <w:vAlign w:val="bottom"/>
            <w:shd w:val="clear" w:color="auto" w:fill="CCFFCC"/>
          </w:tcPr>
          <w:p>
            <w:pPr>
              <w:spacing w:after="0"/>
              <w:rPr>
                <w:sz w:val="18"/>
                <w:szCs w:val="18"/>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(241)</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(293)</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Other income (expense), net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other income (expense)</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2,894</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(227)</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(170)</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(25)</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40"/>
              <w:spacing w:after="0"/>
              <w:rPr>
                <w:sz w:val="20"/>
                <w:szCs w:val="20"/>
                <w:color w:val="auto"/>
              </w:rPr>
            </w:pPr>
            <w:r>
              <w:rPr>
                <w:rFonts w:ascii="Arial" w:cs="Arial" w:eastAsia="Arial" w:hAnsi="Arial"/>
                <w:sz w:val="13"/>
                <w:szCs w:val="13"/>
                <w:color w:val="auto"/>
              </w:rPr>
              <w:t>Income before provision for</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60" w:type="dxa"/>
            <w:vAlign w:val="bottom"/>
          </w:tcPr>
          <w:p>
            <w:pPr>
              <w:ind w:left="360"/>
              <w:spacing w:after="0"/>
              <w:rPr>
                <w:sz w:val="20"/>
                <w:szCs w:val="20"/>
                <w:color w:val="auto"/>
              </w:rPr>
            </w:pPr>
            <w:r>
              <w:rPr>
                <w:rFonts w:ascii="Arial" w:cs="Arial" w:eastAsia="Arial" w:hAnsi="Arial"/>
                <w:sz w:val="13"/>
                <w:szCs w:val="13"/>
                <w:color w:val="auto"/>
              </w:rPr>
              <w:t>income taxes</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35,987</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38,015</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21,109</w:t>
            </w:r>
          </w:p>
        </w:tc>
        <w:tc>
          <w:tcPr>
            <w:tcW w:w="3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16,601</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5,704</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Provision for income taxes</w:t>
            </w: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13,051</w:t>
            </w:r>
          </w:p>
        </w:tc>
        <w:tc>
          <w:tcPr>
            <w:tcW w:w="3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15,222</w:t>
            </w:r>
          </w:p>
        </w:tc>
        <w:tc>
          <w:tcPr>
            <w:tcW w:w="3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5,325</w:t>
            </w:r>
          </w:p>
        </w:tc>
        <w:tc>
          <w:tcPr>
            <w:tcW w:w="32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5,129</w:t>
            </w:r>
          </w:p>
        </w:tc>
        <w:tc>
          <w:tcPr>
            <w:tcW w:w="32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1,250</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Net income</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22,936</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22,793</w:t>
            </w:r>
          </w:p>
        </w:tc>
        <w:tc>
          <w:tcPr>
            <w:tcW w:w="3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15,784</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11,472</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4,454</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Earnings per share — basic</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0.79</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0.99</w:t>
            </w:r>
          </w:p>
        </w:tc>
        <w:tc>
          <w:tcPr>
            <w:tcW w:w="30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0.77</w:t>
            </w:r>
          </w:p>
        </w:tc>
        <w:tc>
          <w:tcPr>
            <w:tcW w:w="320" w:type="dxa"/>
            <w:vAlign w:val="bottom"/>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0.61</w:t>
            </w:r>
          </w:p>
        </w:tc>
        <w:tc>
          <w:tcPr>
            <w:tcW w:w="3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0.24</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40"/>
              <w:spacing w:after="0"/>
              <w:rPr>
                <w:sz w:val="20"/>
                <w:szCs w:val="20"/>
                <w:color w:val="auto"/>
              </w:rPr>
            </w:pPr>
            <w:r>
              <w:rPr>
                <w:rFonts w:ascii="Arial" w:cs="Arial" w:eastAsia="Arial" w:hAnsi="Arial"/>
                <w:sz w:val="13"/>
                <w:szCs w:val="13"/>
                <w:color w:val="auto"/>
              </w:rPr>
              <w:t>Earnings per share — diluted</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0.77</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0.93</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0.69</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0.56</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0.22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56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Weighted average number of shares —</w:t>
            </w:r>
          </w:p>
        </w:tc>
        <w:tc>
          <w:tcPr>
            <w:tcW w:w="3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560" w:type="dxa"/>
            <w:vAlign w:val="bottom"/>
            <w:shd w:val="clear" w:color="auto" w:fill="CCFFCC"/>
          </w:tcPr>
          <w:p>
            <w:pPr>
              <w:ind w:left="400"/>
              <w:spacing w:after="0"/>
              <w:rPr>
                <w:sz w:val="20"/>
                <w:szCs w:val="20"/>
                <w:color w:val="auto"/>
              </w:rPr>
            </w:pPr>
            <w:r>
              <w:rPr>
                <w:rFonts w:ascii="Arial" w:cs="Arial" w:eastAsia="Arial" w:hAnsi="Arial"/>
                <w:sz w:val="13"/>
                <w:szCs w:val="13"/>
                <w:color w:val="auto"/>
              </w:rPr>
              <w:t>basic</w:t>
            </w:r>
          </w:p>
        </w:tc>
        <w:tc>
          <w:tcPr>
            <w:tcW w:w="30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28,995,667</w:t>
            </w:r>
          </w:p>
        </w:tc>
        <w:tc>
          <w:tcPr>
            <w:tcW w:w="32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23,039,794</w:t>
            </w:r>
          </w:p>
        </w:tc>
        <w:tc>
          <w:tcPr>
            <w:tcW w:w="30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20,533,471</w:t>
            </w:r>
          </w:p>
        </w:tc>
        <w:tc>
          <w:tcPr>
            <w:tcW w:w="320" w:type="dxa"/>
            <w:vAlign w:val="bottom"/>
            <w:shd w:val="clear" w:color="auto" w:fill="CCFFCC"/>
          </w:tcPr>
          <w:p>
            <w:pPr>
              <w:spacing w:after="0"/>
              <w:rPr>
                <w:sz w:val="13"/>
                <w:szCs w:val="13"/>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18,919,850</w:t>
            </w:r>
          </w:p>
        </w:tc>
        <w:tc>
          <w:tcPr>
            <w:tcW w:w="320" w:type="dxa"/>
            <w:vAlign w:val="bottom"/>
            <w:shd w:val="clear" w:color="auto" w:fill="CCFFCC"/>
          </w:tcPr>
          <w:p>
            <w:pPr>
              <w:spacing w:after="0"/>
              <w:rPr>
                <w:sz w:val="13"/>
                <w:szCs w:val="13"/>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18,904,992</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60" w:type="dxa"/>
            <w:vAlign w:val="bottom"/>
          </w:tcPr>
          <w:p>
            <w:pPr>
              <w:ind w:left="240"/>
              <w:spacing w:after="0" w:line="133" w:lineRule="exact"/>
              <w:rPr>
                <w:sz w:val="20"/>
                <w:szCs w:val="20"/>
                <w:color w:val="auto"/>
              </w:rPr>
            </w:pPr>
            <w:r>
              <w:rPr>
                <w:rFonts w:ascii="Arial" w:cs="Arial" w:eastAsia="Arial" w:hAnsi="Arial"/>
                <w:sz w:val="13"/>
                <w:szCs w:val="13"/>
                <w:color w:val="auto"/>
              </w:rPr>
              <w:t>Weighted average number of shares —</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400"/>
              <w:spacing w:after="0"/>
              <w:rPr>
                <w:sz w:val="20"/>
                <w:szCs w:val="20"/>
                <w:color w:val="auto"/>
              </w:rPr>
            </w:pPr>
            <w:r>
              <w:rPr>
                <w:rFonts w:ascii="Arial" w:cs="Arial" w:eastAsia="Arial" w:hAnsi="Arial"/>
                <w:sz w:val="13"/>
                <w:szCs w:val="13"/>
                <w:color w:val="auto"/>
              </w:rPr>
              <w:t>diluted</w:t>
            </w:r>
          </w:p>
        </w:tc>
        <w:tc>
          <w:tcPr>
            <w:tcW w:w="3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29,663,127</w:t>
            </w:r>
          </w:p>
        </w:tc>
        <w:tc>
          <w:tcPr>
            <w:tcW w:w="3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24,567,302</w:t>
            </w:r>
          </w:p>
        </w:tc>
        <w:tc>
          <w:tcPr>
            <w:tcW w:w="30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22,751,733</w:t>
            </w:r>
          </w:p>
        </w:tc>
        <w:tc>
          <w:tcPr>
            <w:tcW w:w="3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20,439,252</w:t>
            </w:r>
          </w:p>
        </w:tc>
        <w:tc>
          <w:tcPr>
            <w:tcW w:w="3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20,316,752</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gridSpan w:val="3"/>
          </w:tcPr>
          <w:p>
            <w:pPr>
              <w:jc w:val="right"/>
              <w:ind w:right="156"/>
              <w:spacing w:after="0"/>
              <w:rPr>
                <w:sz w:val="20"/>
                <w:szCs w:val="20"/>
                <w:color w:val="auto"/>
              </w:rPr>
            </w:pPr>
            <w:r>
              <w:rPr>
                <w:rFonts w:ascii="Arial" w:cs="Arial" w:eastAsia="Arial" w:hAnsi="Arial"/>
                <w:sz w:val="13"/>
                <w:szCs w:val="13"/>
                <w:b w:val="1"/>
                <w:bCs w:val="1"/>
                <w:color w:val="auto"/>
                <w:w w:val="99"/>
              </w:rPr>
              <w:t>As of December 31,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5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560" w:type="dxa"/>
            <w:vAlign w:val="bottom"/>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2006</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2005</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2003</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6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Balance Sheet Data:</w:t>
            </w:r>
          </w:p>
        </w:tc>
        <w:tc>
          <w:tcPr>
            <w:tcW w:w="3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40"/>
              <w:spacing w:after="0"/>
              <w:rPr>
                <w:sz w:val="20"/>
                <w:szCs w:val="20"/>
                <w:color w:val="auto"/>
              </w:rPr>
            </w:pPr>
            <w:r>
              <w:rPr>
                <w:rFonts w:ascii="Arial" w:cs="Arial" w:eastAsia="Arial" w:hAnsi="Arial"/>
                <w:sz w:val="13"/>
                <w:szCs w:val="13"/>
                <w:color w:val="auto"/>
              </w:rPr>
              <w:t>Cash and cash equivalents</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105,730</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76,418</w:t>
            </w:r>
          </w:p>
        </w:tc>
        <w:tc>
          <w:tcPr>
            <w:tcW w:w="3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36,294</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6,821</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7,119</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Working capital</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88,649</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82,990</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29,023</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7,509</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(3,147)</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40"/>
              <w:spacing w:after="0"/>
              <w:rPr>
                <w:sz w:val="20"/>
                <w:szCs w:val="20"/>
                <w:color w:val="auto"/>
              </w:rPr>
            </w:pPr>
            <w:r>
              <w:rPr>
                <w:rFonts w:ascii="Arial" w:cs="Arial" w:eastAsia="Arial" w:hAnsi="Arial"/>
                <w:sz w:val="13"/>
                <w:szCs w:val="13"/>
                <w:color w:val="auto"/>
              </w:rPr>
              <w:t>Total assets</w:t>
            </w:r>
          </w:p>
        </w:tc>
        <w:tc>
          <w:tcPr>
            <w:tcW w:w="30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273,508</w:t>
            </w:r>
          </w:p>
        </w:tc>
        <w:tc>
          <w:tcPr>
            <w:tcW w:w="32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238,255</w:t>
            </w:r>
          </w:p>
        </w:tc>
        <w:tc>
          <w:tcPr>
            <w:tcW w:w="30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100,332</w:t>
            </w:r>
          </w:p>
        </w:tc>
        <w:tc>
          <w:tcPr>
            <w:tcW w:w="32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69,056</w:t>
            </w:r>
          </w:p>
        </w:tc>
        <w:tc>
          <w:tcPr>
            <w:tcW w:w="32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37,127</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60" w:type="dxa"/>
            <w:vAlign w:val="bottom"/>
            <w:shd w:val="clear" w:color="auto" w:fill="CCFFCC"/>
          </w:tcPr>
          <w:p>
            <w:pPr>
              <w:ind w:left="240"/>
              <w:spacing w:after="0"/>
              <w:rPr>
                <w:sz w:val="20"/>
                <w:szCs w:val="20"/>
                <w:color w:val="auto"/>
              </w:rPr>
            </w:pPr>
            <w:r>
              <w:rPr>
                <w:rFonts w:ascii="Arial" w:cs="Arial" w:eastAsia="Arial" w:hAnsi="Arial"/>
                <w:sz w:val="13"/>
                <w:szCs w:val="13"/>
                <w:color w:val="auto"/>
              </w:rPr>
              <w:t>Total long-term liabilities</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46,688</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35,436</w:t>
            </w:r>
          </w:p>
        </w:tc>
        <w:tc>
          <w:tcPr>
            <w:tcW w:w="30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10,502</w:t>
            </w:r>
          </w:p>
        </w:tc>
        <w:tc>
          <w:tcPr>
            <w:tcW w:w="32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11,921</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1,228</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60" w:type="dxa"/>
            <w:vAlign w:val="bottom"/>
          </w:tcPr>
          <w:p>
            <w:pPr>
              <w:ind w:left="240"/>
              <w:spacing w:after="0"/>
              <w:rPr>
                <w:sz w:val="20"/>
                <w:szCs w:val="20"/>
                <w:color w:val="auto"/>
              </w:rPr>
            </w:pPr>
            <w:r>
              <w:rPr>
                <w:rFonts w:ascii="Arial" w:cs="Arial" w:eastAsia="Arial" w:hAnsi="Arial"/>
                <w:sz w:val="13"/>
                <w:szCs w:val="13"/>
                <w:color w:val="auto"/>
              </w:rPr>
              <w:t>Total stockholders’ equity</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171,159</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138,472</w:t>
            </w:r>
          </w:p>
        </w:tc>
        <w:tc>
          <w:tcPr>
            <w:tcW w:w="30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59,737</w:t>
            </w:r>
          </w:p>
        </w:tc>
        <w:tc>
          <w:tcPr>
            <w:tcW w:w="32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22,949</w:t>
            </w:r>
          </w:p>
        </w:tc>
        <w:tc>
          <w:tcPr>
            <w:tcW w:w="32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8,448</w:t>
            </w: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tabs>
          <w:tab w:leader="none" w:pos="9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OF OPERATIONS</w:t>
      </w:r>
    </w:p>
    <w:p>
      <w:pPr>
        <w:spacing w:after="0" w:line="207"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review the “Special Note Regarding Forward Looking Statements” and “Risk Factors” sections of this annual report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19" w:lineRule="exact"/>
        <w:rPr>
          <w:sz w:val="20"/>
          <w:szCs w:val="20"/>
          <w:color w:val="auto"/>
        </w:rPr>
      </w:pPr>
    </w:p>
    <w:p>
      <w:pPr>
        <w:ind w:firstLine="308"/>
        <w:spacing w:after="0" w:line="237" w:lineRule="auto"/>
        <w:rPr>
          <w:sz w:val="20"/>
          <w:szCs w:val="20"/>
          <w:color w:val="auto"/>
        </w:rPr>
      </w:pPr>
      <w:r>
        <w:rPr>
          <w:rFonts w:ascii="Arial" w:cs="Arial" w:eastAsia="Arial" w:hAnsi="Arial"/>
          <w:sz w:val="17"/>
          <w:szCs w:val="17"/>
          <w:color w:val="auto"/>
        </w:rPr>
        <w:t>We are a profitable multinational biopharmaceutical company focused on the development, manufacture and commercialization of immunobiotics, consisting of vaccines and therapeutics that assist the body’s immune system to prevent or treat disease. We manufacture and market BioThrax</w:t>
      </w:r>
      <w:r>
        <w:rPr>
          <w:rFonts w:ascii="Arial" w:cs="Arial" w:eastAsia="Arial" w:hAnsi="Arial"/>
          <w:sz w:val="27"/>
          <w:szCs w:val="27"/>
          <w:color w:val="auto"/>
          <w:vertAlign w:val="superscript"/>
        </w:rPr>
        <w:t>®</w:t>
      </w:r>
      <w:r>
        <w:rPr>
          <w:rFonts w:ascii="Arial" w:cs="Arial" w:eastAsia="Arial" w:hAnsi="Arial"/>
          <w:sz w:val="17"/>
          <w:szCs w:val="17"/>
          <w:color w:val="auto"/>
        </w:rPr>
        <w:t>, the only vaccine approved by the U.S. Food and Drug Administration, for the prevention of anthrax infection. We use internally generated cash flows from the sale of BioThrax to fund the development of a product pipeline that addresses a variety of infectious diseases and other medical conditions. We develop immunobiotics for use against infectious diseases that have resulted in significant unmet or underserved public health needs and against biological agents that are potential weapons of bioterrorism and biowarfare. We operate in two business segments, biodefense and commercial.</w:t>
      </w:r>
    </w:p>
    <w:p>
      <w:pPr>
        <w:spacing w:after="0" w:line="203"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Our biodefense business focuses on immunobiotics for use against biological agents that are potential weapons of bioterrorism and biowarfare. Our product candidates targeted to the biodefense market are anthrax immune globulin therapeutic, next generation anthrax vaccine and botulinum vaccines and botulinum immune globulin therapeutic. Our commercial business focuses on immunobiotics for use against infectious diseases and other medical conditions that have resulted in significant unmet or underserved public health needs. Our product candidates targeted to the commercial market are typhoid vaccine, hepatitis B therapeutic, group B streptococcus and chlamydia vaccines. We expect to continue to seek to obtain marketed products and development stage product candidates through acquisitions and licensing arrangements with third parties.</w:t>
      </w:r>
    </w:p>
    <w:p>
      <w:pPr>
        <w:spacing w:after="0" w:line="185"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Our biodefense business has generated net income for each of the last three fiscal years. Our commercial business has generated revenue through development grant funding and an upfront license fee and additional payments for development work under a collaboration agreement with Sanofi Pasteur. None of our commercial product candidates have received marketing approval and therefore, have not generated any product sales revenues. As a result, our commercial business has incurred a net loss for each of the last three fiscal years.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Product Sales</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have derived substantially all of our revenues from BioThrax sales to the DoD and HHS, and expect for the foreseeable future to continue to derive substantially all of our revenues from the sales of BioThrax to HHS. Our total revenues from BioThrax sales were $169.8 million in 2007, $148.0 million in 2006 and $127.3 million in 2005. We are focused on increasing sales of BioThrax to U.S. government customers, expanding the market for BioThrax to other customers and pursuing label expansions and improvements for BioThrax.</w:t>
      </w:r>
    </w:p>
    <w:p>
      <w:pPr>
        <w:spacing w:after="0" w:line="185" w:lineRule="exact"/>
        <w:rPr>
          <w:sz w:val="20"/>
          <w:szCs w:val="20"/>
          <w:color w:val="auto"/>
        </w:rPr>
      </w:pPr>
    </w:p>
    <w:p>
      <w:pPr>
        <w:ind w:right="120" w:firstLine="308"/>
        <w:spacing w:after="0" w:line="303" w:lineRule="auto"/>
        <w:rPr>
          <w:sz w:val="20"/>
          <w:szCs w:val="20"/>
          <w:color w:val="auto"/>
        </w:rPr>
      </w:pPr>
      <w:r>
        <w:rPr>
          <w:rFonts w:ascii="Arial" w:cs="Arial" w:eastAsia="Arial" w:hAnsi="Arial"/>
          <w:sz w:val="15"/>
          <w:szCs w:val="15"/>
          <w:color w:val="auto"/>
        </w:rPr>
        <w:t>In addition to BioThrax, our advanced product portfolio includes an anthrax immune globulin therapeutic candidate for biodefense indications and a typhoid vaccine and hepatitis B therapeutic vaccine for commercial infectious disease indications. We are developing our anthrax immune globulin therapeutic in part with funding from NIAID. The Wellcome Trust provided funding for the Phase I and Phase II clinical trials of our typhoid vaccine candidate. We typically advance development of our biodefense product candidates only with external funding, and may slow down or put development programs on hold during periods that are not covered by funding.</w:t>
      </w:r>
    </w:p>
    <w:p>
      <w:pPr>
        <w:spacing w:after="0" w:line="155"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Our early stage product portfolio includes a next generation anthrax vaccine and botulinum vaccine and immune globulin therapeutic candidates for biodefense indications and group B streptococcus and chlamydia vaccine candidates for commercial infectious disease indications. We have entered into collaboration agreements with the HPA for the development of a recombinant botulinum vaccine candidate and a botulinum immune globulin candidate. The NIAID is conducting and funding the Phase I clinical trial of our group B streptococcus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ind w:right="220" w:firstLine="308"/>
        <w:spacing w:after="0" w:line="258" w:lineRule="auto"/>
        <w:rPr>
          <w:sz w:val="20"/>
          <w:szCs w:val="20"/>
          <w:color w:val="auto"/>
        </w:rPr>
      </w:pPr>
      <w:r>
        <w:rPr>
          <w:rFonts w:ascii="Arial" w:cs="Arial" w:eastAsia="Arial" w:hAnsi="Arial"/>
          <w:sz w:val="17"/>
          <w:szCs w:val="17"/>
          <w:color w:val="auto"/>
        </w:rPr>
        <w:t>We are actively pursuing additional government sponsored development grants as well as encouraging both governmental and non-governmental agencies and philanthropic organizations to provide development funding, or to conduct clinical studies of these products. For example, the Wellcome Trust provided funding for the Phase I and Phase II clinical trials of our typhoid vaccine candidate. In addition, the NIAID is conducting and funding one of the Phase I clinical trials of our group B streptococcus vaccine candidate.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Manufacturing Infrastructure</w:t>
      </w:r>
    </w:p>
    <w:p>
      <w:pPr>
        <w:spacing w:after="0" w:line="219"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We conduct our primary vaccine manufacturing operations at a multi-building campus on approximately 12.5 acres in Lansing, Michigan. To augment our existing manufacturing capabilities, we have constructed a new 50,000 square foot manufacturing facility on our Lansing campus. We expect the facility to cost approximately $75 million when complete, including approximately $55 million for the building and associated capital equipment, with the balance related to validation and qualification activities required for regulatory approval and initiation of manufacturing. We have incurred costs of approximately $63 million for these purposes through December 2007. We substantially completed construction of this facility in 2006, and are conducting validation and qualification activities required for regulatory approval. This new facility is a large scale manufacturing plant that we can use to produce multiple fermentation based vaccine products, subject to complying with appropriate change-over procedures.</w:t>
      </w:r>
    </w:p>
    <w:p>
      <w:pPr>
        <w:spacing w:after="0" w:line="187"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We also own two buildings in Frederick, Maryland that are available to support our future manufacturing requirements. We have incurred costs of approximately $4 million through December 2007 related to initial engineering design and preliminary utility build out of one of these buildings. Because we are in the preliminary planning stages of our Frederick build out, we cannot reasonably estimate the timing and costs that would be necessary to complete this project. If we proceed with this project, we expect the costs to be substantial and to likely require external sources of funds to finance the project. We may elect to lease all or a substantial portion of, or sell, one of these facilities to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 and Estimates</w:t>
      </w:r>
    </w:p>
    <w:p>
      <w:pPr>
        <w:spacing w:after="0" w:line="219" w:lineRule="exact"/>
        <w:rPr>
          <w:sz w:val="20"/>
          <w:szCs w:val="20"/>
          <w:color w:val="auto"/>
        </w:rPr>
      </w:pPr>
    </w:p>
    <w:p>
      <w:pPr>
        <w:ind w:right="180" w:firstLine="308"/>
        <w:spacing w:after="0" w:line="26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w:t>
      </w:r>
    </w:p>
    <w:p>
      <w:pPr>
        <w:spacing w:after="0" w:line="180"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On an ongoing basis, we evaluate our estimates and judgments, including those related to accrued expenses, fair value of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the following critical accounting policies affect our more significant judgments and estimates used in the preparation of our financial statements.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 Recognition</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7"/>
          <w:szCs w:val="17"/>
          <w:color w:val="auto"/>
        </w:rPr>
        <w:t xml:space="preserve">We recognize revenues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or SAB 104. SAB 104 requires recognition of revenues from product sales that require no continuing performance on our part if four basic criteria have been met:</w:t>
      </w:r>
    </w:p>
    <w:p>
      <w:pPr>
        <w:sectPr>
          <w:pgSz w:w="11900" w:h="16838" w:orient="portrait"/>
          <w:cols w:equalWidth="0" w:num="1">
            <w:col w:w="11400"/>
          </w:cols>
          <w:pgMar w:left="240" w:top="131" w:right="259" w:bottom="1440" w:gutter="0" w:footer="0" w:header="0"/>
        </w:sectPr>
      </w:pPr>
    </w:p>
    <w:p>
      <w:pPr>
        <w:spacing w:after="0" w:line="15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there is persuasive evidence of an arrangement;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delivery has occurred or title has passed to our customer based on contract terms;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fee is fixed and determinable and no further obligation exists;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collectibility is reasonably assured.</w:t>
      </w:r>
    </w:p>
    <w:p>
      <w:pPr>
        <w:spacing w:after="0" w:line="265" w:lineRule="exact"/>
        <w:rPr>
          <w:sz w:val="20"/>
          <w:szCs w:val="20"/>
          <w:color w:val="auto"/>
        </w:rPr>
      </w:pPr>
    </w:p>
    <w:p>
      <w:pPr>
        <w:sectPr>
          <w:pgSz w:w="11900" w:h="16838" w:orient="portrait"/>
          <w:cols w:equalWidth="0" w:num="2">
            <w:col w:w="400" w:space="220"/>
            <w:col w:w="10780"/>
          </w:cols>
          <w:pgMar w:left="240" w:top="131" w:right="259" w:bottom="1440" w:gutter="0" w:footer="0" w:header="0"/>
          <w:type w:val="continuous"/>
        </w:sectPr>
      </w:pPr>
    </w:p>
    <w:p>
      <w:pPr>
        <w:spacing w:after="0" w:line="13"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We have generated BioThrax sales revenues under U.S. government contracts with the DoD and HHS. Under previous DoD contracts, we invoiced the DoD for progress payments upon reaching contractually specified stages in the manufacture of BioThrax. We recorded as deferred revenue the full amount of each progress payment invoice that we submitted to the DoD. Title to the product passed to the DoD upon submission of the first invoice. The earnings process was considered complete upon FDA release of the product for sale and distribution. Following FDA release of the product, we segregated the product for later shipment and recognized as period revenue all deferred revenue related to the released product in accordance with the “bill and hold” sale requirements under SAB 104. At that time, we also invoiced the DoD for the final progress payment and recognized the amount of that invoice as 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166370</wp:posOffset>
            </wp:positionV>
            <wp:extent cx="72790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2" w:name="page63"/>
    <w:bookmarkEnd w:id="62"/>
    <w:p>
      <w:pPr>
        <w:ind w:right="60" w:firstLine="308"/>
        <w:spacing w:after="0" w:line="262" w:lineRule="auto"/>
        <w:rPr>
          <w:sz w:val="20"/>
          <w:szCs w:val="20"/>
          <w:color w:val="auto"/>
        </w:rPr>
      </w:pPr>
      <w:r>
        <w:rPr>
          <w:rFonts w:ascii="Arial" w:cs="Arial" w:eastAsia="Arial" w:hAnsi="Arial"/>
          <w:sz w:val="17"/>
          <w:szCs w:val="17"/>
          <w:color w:val="auto"/>
        </w:rPr>
        <w:t>Under previous contracts with HHS, we invoiced HHS and recognized the related revenues upon delivery of the product to the government carrier, at which time title to the product passed to HHS. Under our current contract with HHS, we invoice HHS and recognize the related revenues upon acceptance by the government at the delivery site, at which time title to the product passes to HHS.</w:t>
      </w:r>
    </w:p>
    <w:p>
      <w:pPr>
        <w:spacing w:after="0" w:line="180" w:lineRule="exact"/>
        <w:rPr>
          <w:sz w:val="20"/>
          <w:szCs w:val="20"/>
          <w:color w:val="auto"/>
        </w:rPr>
      </w:pPr>
    </w:p>
    <w:p>
      <w:pPr>
        <w:ind w:right="20" w:firstLine="308"/>
        <w:spacing w:after="0" w:line="270" w:lineRule="auto"/>
        <w:rPr>
          <w:sz w:val="20"/>
          <w:szCs w:val="20"/>
          <w:color w:val="auto"/>
        </w:rPr>
      </w:pPr>
      <w:r>
        <w:rPr>
          <w:rFonts w:ascii="Arial" w:cs="Arial" w:eastAsia="Arial" w:hAnsi="Arial"/>
          <w:sz w:val="16"/>
          <w:szCs w:val="16"/>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evaluated the various components of the collaboration in accordance with Emerging Issues Task Force, or EITF, Issue No. 00-21, </w:t>
      </w:r>
      <w:r>
        <w:rPr>
          <w:rFonts w:ascii="Arial" w:cs="Arial" w:eastAsia="Arial" w:hAnsi="Arial"/>
          <w:sz w:val="16"/>
          <w:szCs w:val="16"/>
          <w:i w:val="1"/>
          <w:iCs w:val="1"/>
          <w:color w:val="auto"/>
        </w:rPr>
        <w:t>Accounting for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with Multiple Deliverables, </w:t>
      </w:r>
      <w:r>
        <w:rPr>
          <w:rFonts w:ascii="Arial" w:cs="Arial" w:eastAsia="Arial" w:hAnsi="Arial"/>
          <w:sz w:val="16"/>
          <w:szCs w:val="16"/>
          <w:color w:val="auto"/>
        </w:rPr>
        <w:t>or EITF No. 00-21, which addresses whether, for revenue recognition purposes, there is one or several units of accounting in an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We concluded that under EITF No. 00-21, the upfront license fee, the development work and the milestone payments under our agreement with Sanofi Pasteur should be accounted for as a single unit of accounting. 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on behalf of Sanofi Pasteur. We generally invoice Sanofi Pasteur in advance of each quarter for the estimated work to occur in the upcoming quarter. We record the invoice amount as deferred revenue and, as services are completed, recognize the amount of the related deferred revenue as period revenues. Under the collaboration agreement, we also will be entitled to royalty payments on any future net sales of this product candidate.</w:t>
      </w:r>
    </w:p>
    <w:p>
      <w:pPr>
        <w:spacing w:after="0" w:line="183"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From time to time, we are awarded reimbursement contracts for services and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revenues and the associated costs as research and development expense. We issue invoices under these contracts after we incur the reimbursable costs. We recognize revenue upon invoicing the sponsoring organization.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Accounts Receivable</w:t>
      </w:r>
    </w:p>
    <w:p>
      <w:pPr>
        <w:spacing w:after="0" w:line="219" w:lineRule="exact"/>
        <w:rPr>
          <w:sz w:val="20"/>
          <w:szCs w:val="20"/>
          <w:color w:val="auto"/>
        </w:rPr>
      </w:pPr>
    </w:p>
    <w:p>
      <w:pPr>
        <w:ind w:right="200" w:firstLine="308"/>
        <w:spacing w:after="0" w:line="262" w:lineRule="auto"/>
        <w:rPr>
          <w:sz w:val="20"/>
          <w:szCs w:val="20"/>
          <w:color w:val="auto"/>
        </w:rPr>
      </w:pPr>
      <w:r>
        <w:rPr>
          <w:rFonts w:ascii="Arial" w:cs="Arial" w:eastAsia="Arial" w:hAnsi="Arial"/>
          <w:sz w:val="17"/>
          <w:szCs w:val="17"/>
          <w:color w:val="auto"/>
        </w:rPr>
        <w:t>Accounts receivable are stated at invoice amounts and consist primarily of amounts due from the DoD and HHS as well as amounts due under reimbursement contracts with other government entities and non-government and philanthropic organizations. Because the collection history for receivables from these entities indicate that collection is likely, we do not currently record an allowance for doubtful accounts.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Inventories</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w:t>
      </w:r>
    </w:p>
    <w:p>
      <w:pPr>
        <w:spacing w:after="0" w:line="172" w:lineRule="exact"/>
        <w:rPr>
          <w:sz w:val="20"/>
          <w:szCs w:val="20"/>
          <w:color w:val="auto"/>
        </w:rPr>
      </w:pPr>
    </w:p>
    <w:p>
      <w:pPr>
        <w:jc w:val="both"/>
        <w:ind w:right="140" w:firstLine="308"/>
        <w:spacing w:after="0" w:line="258" w:lineRule="auto"/>
        <w:rPr>
          <w:sz w:val="20"/>
          <w:szCs w:val="20"/>
          <w:color w:val="auto"/>
        </w:rPr>
      </w:pPr>
      <w:r>
        <w:rPr>
          <w:rFonts w:ascii="Arial" w:cs="Arial" w:eastAsia="Arial" w:hAnsi="Arial"/>
          <w:sz w:val="17"/>
          <w:szCs w:val="17"/>
          <w:color w:val="auto"/>
        </w:rPr>
        <w:t>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Accrued Expenses</w:t>
      </w:r>
    </w:p>
    <w:p>
      <w:pPr>
        <w:spacing w:after="0" w:line="219"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ectPr>
          <w:pgSz w:w="11900" w:h="16838" w:orient="portrait"/>
          <w:cols w:equalWidth="0" w:num="1">
            <w:col w:w="11420"/>
          </w:cols>
          <w:pgMar w:left="240" w:top="131" w:right="2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fees payable to contract research organizations in conjunction with clinical trials;</w:t>
      </w:r>
    </w:p>
    <w:p>
      <w:pPr>
        <w:spacing w:after="0" w:line="74" w:lineRule="exact"/>
        <w:rPr>
          <w:sz w:val="20"/>
          <w:szCs w:val="20"/>
          <w:color w:val="auto"/>
        </w:rPr>
      </w:pPr>
    </w:p>
    <w:p>
      <w:pPr>
        <w:ind w:right="3720"/>
        <w:spacing w:after="0" w:line="351" w:lineRule="auto"/>
        <w:rPr>
          <w:sz w:val="20"/>
          <w:szCs w:val="20"/>
          <w:color w:val="auto"/>
        </w:rPr>
      </w:pPr>
      <w:r>
        <w:rPr>
          <w:rFonts w:ascii="Arial" w:cs="Arial" w:eastAsia="Arial" w:hAnsi="Arial"/>
          <w:sz w:val="17"/>
          <w:szCs w:val="17"/>
          <w:color w:val="auto"/>
        </w:rPr>
        <w:t>fees payable to third party manufacturers in conjunction with the production of clinical trial materials; and professional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297180</wp:posOffset>
            </wp:positionV>
            <wp:extent cx="72790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2">
            <w:col w:w="400" w:space="220"/>
            <w:col w:w="10800"/>
          </w:cols>
          <w:pgMar w:left="240" w:top="131" w:right="239" w:bottom="1440" w:gutter="0" w:footer="0" w:header="0"/>
          <w:type w:val="continuous"/>
        </w:sectPr>
      </w:pPr>
    </w:p>
    <w:bookmarkStart w:id="63" w:name="page64"/>
    <w:bookmarkEnd w:id="63"/>
    <w:p>
      <w:pPr>
        <w:ind w:right="140" w:firstLine="308"/>
        <w:spacing w:after="0" w:line="299" w:lineRule="auto"/>
        <w:rPr>
          <w:sz w:val="20"/>
          <w:szCs w:val="20"/>
          <w:color w:val="auto"/>
        </w:rPr>
      </w:pPr>
      <w:r>
        <w:rPr>
          <w:rFonts w:ascii="Arial" w:cs="Arial" w:eastAsia="Arial" w:hAnsi="Arial"/>
          <w:sz w:val="15"/>
          <w:szCs w:val="15"/>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219" w:lineRule="exact"/>
        <w:rPr>
          <w:sz w:val="20"/>
          <w:szCs w:val="20"/>
          <w:color w:val="auto"/>
        </w:rPr>
      </w:pPr>
    </w:p>
    <w:p>
      <w:pPr>
        <w:jc w:val="both"/>
        <w:ind w:right="260" w:firstLine="308"/>
        <w:spacing w:after="0" w:line="262" w:lineRule="auto"/>
        <w:rPr>
          <w:sz w:val="20"/>
          <w:szCs w:val="20"/>
          <w:color w:val="auto"/>
        </w:rPr>
      </w:pPr>
      <w:r>
        <w:rPr>
          <w:rFonts w:ascii="Arial" w:cs="Arial" w:eastAsia="Arial" w:hAnsi="Arial"/>
          <w:sz w:val="17"/>
          <w:szCs w:val="17"/>
          <w:color w:val="auto"/>
        </w:rPr>
        <w:t xml:space="preserve">We account for purchased in-process research and development in accordance with Statement of Financial Accounting Standards, or SFAS, No. 2,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Research and Development Costs, </w:t>
      </w:r>
      <w:r>
        <w:rPr>
          <w:rFonts w:ascii="Arial" w:cs="Arial" w:eastAsia="Arial" w:hAnsi="Arial"/>
          <w:sz w:val="17"/>
          <w:szCs w:val="17"/>
          <w:color w:val="auto"/>
        </w:rPr>
        <w:t>along with Financial Accounting Standards Board, or FASB, Interpretation No. 4,</w:t>
      </w:r>
      <w:r>
        <w:rPr>
          <w:rFonts w:ascii="Arial" w:cs="Arial" w:eastAsia="Arial" w:hAnsi="Arial"/>
          <w:sz w:val="17"/>
          <w:szCs w:val="17"/>
          <w:i w:val="1"/>
          <w:iCs w:val="1"/>
          <w:color w:val="auto"/>
        </w:rPr>
        <w:t xml:space="preserve"> Applicability of FASB Statement No. 2 to Business Combinations Accounted for by the Purchase Method</w:t>
      </w:r>
      <w:r>
        <w:rPr>
          <w:rFonts w:ascii="Arial" w:cs="Arial" w:eastAsia="Arial" w:hAnsi="Arial"/>
          <w:sz w:val="17"/>
          <w:szCs w:val="17"/>
          <w:color w:val="auto"/>
        </w:rPr>
        <w:t>.</w:t>
      </w:r>
    </w:p>
    <w:p>
      <w:pPr>
        <w:spacing w:after="0" w:line="180" w:lineRule="exact"/>
        <w:rPr>
          <w:sz w:val="20"/>
          <w:szCs w:val="20"/>
          <w:color w:val="auto"/>
        </w:rPr>
      </w:pPr>
    </w:p>
    <w:p>
      <w:pPr>
        <w:ind w:right="20" w:firstLine="308"/>
        <w:spacing w:after="0" w:line="293" w:lineRule="auto"/>
        <w:rPr>
          <w:sz w:val="20"/>
          <w:szCs w:val="20"/>
          <w:color w:val="auto"/>
        </w:rPr>
      </w:pPr>
      <w:r>
        <w:rPr>
          <w:rFonts w:ascii="Arial" w:cs="Arial" w:eastAsia="Arial" w:hAnsi="Arial"/>
          <w:sz w:val="15"/>
          <w:szCs w:val="15"/>
          <w:color w:val="auto"/>
        </w:rPr>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tangible assets. Otherwise, we capitalize the value of the research and development project not attributable to tangible assets as an intangible asset and conduct an impairment analysis at least annually. In connection with our acquisitions of ViVacs GmbH, in July 2006, and Microscience Limited, or Microscience, in June 2005, we allocated the value of the purchase consideration to current assets, current liabilities, fixed assets and development programs. Because we determined that the development programs at ViVacs and Microscience had no future alternative use, we charged the value attributable to the development programs as in-process research and development. The ViVacs acquisition was a cash transaction, and therefore no fair value determination was necessary. For the Microscience acquisition, which was a share exchange, our board of directors determined the fair value of our shares issued in the exchange for financial statement purposes.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Stock-based Compensation</w:t>
      </w:r>
    </w:p>
    <w:p>
      <w:pPr>
        <w:spacing w:after="0" w:line="219" w:lineRule="exact"/>
        <w:rPr>
          <w:sz w:val="20"/>
          <w:szCs w:val="20"/>
          <w:color w:val="auto"/>
        </w:rPr>
      </w:pPr>
    </w:p>
    <w:p>
      <w:pPr>
        <w:jc w:val="both"/>
        <w:ind w:right="40" w:firstLine="308"/>
        <w:spacing w:after="0" w:line="262" w:lineRule="auto"/>
        <w:rPr>
          <w:sz w:val="20"/>
          <w:szCs w:val="20"/>
          <w:color w:val="auto"/>
        </w:rPr>
      </w:pPr>
      <w:r>
        <w:rPr>
          <w:rFonts w:ascii="Arial" w:cs="Arial" w:eastAsia="Arial" w:hAnsi="Arial"/>
          <w:sz w:val="17"/>
          <w:szCs w:val="17"/>
          <w:color w:val="auto"/>
        </w:rPr>
        <w:t xml:space="preserve">We adopted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No. 123(R), on January 1, 2006 using the modified prospective method. SFAS No. 123(R) requires all share-based payments to employees, including grants of employee stock options, to be recognized in the income statement based on their estimated grant date fair values.</w:t>
      </w:r>
    </w:p>
    <w:p>
      <w:pPr>
        <w:spacing w:after="0" w:line="180"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We value our share-based payment transactions using the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We measure the amount of compensation cost based on the fair value of the underlying equity award on the date of grant. We recognize compensation cost over the period that an employee provides service in exchange for the award. As of December 31, 2007, total compensation expense not yet recognized related to unvested options is approximately $2.9 million after tax. This expense is expected to be recognized over a weighted-average period of 3.0 years.</w:t>
      </w:r>
    </w:p>
    <w:p>
      <w:pPr>
        <w:spacing w:after="0" w:line="156" w:lineRule="exact"/>
        <w:rPr>
          <w:sz w:val="20"/>
          <w:szCs w:val="20"/>
          <w:color w:val="auto"/>
        </w:rPr>
      </w:pPr>
    </w:p>
    <w:p>
      <w:pPr>
        <w:ind w:right="300" w:firstLine="308"/>
        <w:spacing w:after="0" w:line="272" w:lineRule="auto"/>
        <w:rPr>
          <w:sz w:val="20"/>
          <w:szCs w:val="20"/>
          <w:color w:val="auto"/>
        </w:rPr>
      </w:pPr>
      <w:r>
        <w:rPr>
          <w:rFonts w:ascii="Arial" w:cs="Arial" w:eastAsia="Arial" w:hAnsi="Arial"/>
          <w:sz w:val="17"/>
          <w:szCs w:val="17"/>
          <w:color w:val="auto"/>
        </w:rPr>
        <w:t>The effect of adopting SFAS No. 123(R) on net income (loss) and net income (loss) per share is not necessarily representative of the effects in future years due to, among other things, the vesting period of the stock options and the fair value of additional stock option grants in future years.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firstLine="308"/>
        <w:spacing w:after="0" w:line="299" w:lineRule="auto"/>
        <w:rPr>
          <w:sz w:val="20"/>
          <w:szCs w:val="20"/>
          <w:color w:val="auto"/>
        </w:rPr>
      </w:pPr>
      <w:r>
        <w:rPr>
          <w:rFonts w:ascii="Arial" w:cs="Arial" w:eastAsia="Arial" w:hAnsi="Arial"/>
          <w:sz w:val="15"/>
          <w:szCs w:val="15"/>
          <w:color w:val="auto"/>
        </w:rPr>
        <w:t xml:space="preserve">We account for income taxes in accordance with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or SFAS No. 109. Under the asset and liability method of SFAS No. 109, deferred tax assets and liabilities are determined based on the differences between the financial reporting and the tax bases of assets and liabilities and are measured using the tax rates and laws that are expected to apply to taxable income in the years in which those temporary differences are expected to be recovered or settled. A net deferred tax asset or liability is reported in the balance sheet. Our deferred tax assets include the unamortized portion of in-process research and development expenses, the anticipated future benefit of the net operating losses that we have incurred and other timing differences between the financial reporting basis of assets and liabilities.</w:t>
      </w:r>
    </w:p>
    <w:p>
      <w:pPr>
        <w:spacing w:after="0" w:line="156" w:lineRule="exact"/>
        <w:rPr>
          <w:sz w:val="20"/>
          <w:szCs w:val="20"/>
          <w:color w:val="auto"/>
        </w:rPr>
      </w:pPr>
    </w:p>
    <w:p>
      <w:pPr>
        <w:jc w:val="both"/>
        <w:ind w:right="40" w:firstLine="308"/>
        <w:spacing w:after="0" w:line="276" w:lineRule="auto"/>
        <w:rPr>
          <w:sz w:val="20"/>
          <w:szCs w:val="20"/>
          <w:color w:val="auto"/>
        </w:rPr>
      </w:pPr>
      <w:r>
        <w:rPr>
          <w:rFonts w:ascii="Arial" w:cs="Arial" w:eastAsia="Arial" w:hAnsi="Arial"/>
          <w:sz w:val="16"/>
          <w:szCs w:val="16"/>
          <w:color w:val="auto"/>
        </w:rPr>
        <w:t>We have historically incurred net operating losses for income tax purposes in some states, primarily Maryland,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Biologics, Inc., or Antex, prior to our acquisition of Microscience in June 2005 and our acquisition of substantially all of the assets of Antex in May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ind w:firstLine="308"/>
        <w:spacing w:after="0" w:line="275" w:lineRule="auto"/>
        <w:rPr>
          <w:sz w:val="20"/>
          <w:szCs w:val="20"/>
          <w:color w:val="auto"/>
        </w:rPr>
      </w:pPr>
      <w:r>
        <w:rPr>
          <w:rFonts w:ascii="Arial" w:cs="Arial" w:eastAsia="Arial" w:hAnsi="Arial"/>
          <w:sz w:val="16"/>
          <w:szCs w:val="16"/>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71"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color w:val="auto"/>
        </w:rPr>
        <w:t xml:space="preserve">We account for uncertainty in income taxes in accordance with FASB Interpretation 48, </w:t>
      </w:r>
      <w:r>
        <w:rPr>
          <w:rFonts w:ascii="Arial" w:cs="Arial" w:eastAsia="Arial" w:hAnsi="Arial"/>
          <w:sz w:val="16"/>
          <w:szCs w:val="16"/>
          <w:i w:val="1"/>
          <w:iCs w:val="1"/>
          <w:color w:val="auto"/>
        </w:rPr>
        <w:t>Accounting for Uncertainty in Income Taxes — An Interpretation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109, Accounting for Income Taxes, </w:t>
      </w:r>
      <w:r>
        <w:rPr>
          <w:rFonts w:ascii="Arial" w:cs="Arial" w:eastAsia="Arial" w:hAnsi="Arial"/>
          <w:sz w:val="16"/>
          <w:szCs w:val="16"/>
          <w:color w:val="auto"/>
        </w:rPr>
        <w:t>or FIN 48. FIN 48 prescribes a recognition threshold and measurement attribute for the financial statement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of a tax position taken or expected to be taken in a tax return. Under FIN 48, we recognize in our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Operations Overview</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Revenues</w:t>
      </w:r>
    </w:p>
    <w:p>
      <w:pPr>
        <w:spacing w:after="0" w:line="219" w:lineRule="exact"/>
        <w:rPr>
          <w:sz w:val="20"/>
          <w:szCs w:val="20"/>
          <w:color w:val="auto"/>
        </w:rPr>
      </w:pPr>
    </w:p>
    <w:p>
      <w:pPr>
        <w:ind w:right="60" w:firstLine="308"/>
        <w:spacing w:after="0" w:line="262" w:lineRule="auto"/>
        <w:rPr>
          <w:sz w:val="20"/>
          <w:szCs w:val="20"/>
          <w:color w:val="auto"/>
        </w:rPr>
      </w:pPr>
      <w:r>
        <w:rPr>
          <w:rFonts w:ascii="Arial" w:cs="Arial" w:eastAsia="Arial" w:hAnsi="Arial"/>
          <w:sz w:val="17"/>
          <w:szCs w:val="17"/>
          <w:color w:val="auto"/>
        </w:rPr>
        <w:t>Between May 2005 and February 2007, we supplied 10.0 million doses of BioThrax to HHS for inclusion in the SNS under a base contract for 5.0 million doses for a fixed price of $123 million and a contract modification for an additional 5.0 million doses for a fixed price of $120 million. We completed delivery of all doses to HHS under this contract in February 2007.</w:t>
      </w:r>
    </w:p>
    <w:p>
      <w:pPr>
        <w:spacing w:after="0" w:line="180"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color w:val="auto"/>
        </w:rPr>
        <w:t>On September 25, 2007, we entered into an agreement with HHS to supply 18.75 million doses of BioThrax to HHS for placement into the SNS. The term of the agreement is from September 25, 2007 through September 24, 2010. The first 5.5 million doses delivered under this contract were sold to HHS at a discounted price, as specified in the contract, due to the limited remaining shelf-life for these specific doses. This discounted price does not apply to the remaining 13.25 million doses that will be sold to HHS under the contract. The firm fixed price for the 18.75 million doses, including the discount, is $400 million in the aggregate. If we receive FDA approval of our pending application to extend the expiry dating of BioThrax from three years to four years, HHS has agreed to increase the price per dose under the agreement for the remaining 13.25 million doses. In that event, HHS would make a lump sum payment to us reflecting an increase in the price per dose for specified doses delivered prior to approval and pay an increased price per dose for doses delivered following the date of such approval. The aggregate value of such price adjustment is $34 million. If we do not receive FDA approval of four-year expiry dating during the term of the agreement there will be no adjustment in the price per dose under the agreement. We delivered over 6 million doses of BioThrax to HHS under this agreement in 2007. Under this agreement, we have also agreed to provide all shipping services related to delivery of doses into the SNS over the term of the agreement, for which HHS has agreed to pay approximately $2.2 million. We invoice HHS for each delivery upon acceptance of BioThrax doses delivered into the SNS. The agreement also provides for HHS to pay up to $11.5 million in milestone payments in connection with us advancing a program to obtain a post-exposure prophylaxis indication for BioThrax. These funds are payable upon achievement of specific program milestones. In October 2007, we achieved the initial milestone and invoiced HHS for $8.8 million. We received this payment from HHS and revenue was recognized in November 2007.</w:t>
      </w:r>
    </w:p>
    <w:p>
      <w:pPr>
        <w:spacing w:after="0" w:line="162"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Since 1998, we have been a party to two supply agreements for BioThrax with the DoD. Pursuant to these contracts, we have supplied approximately 10 million doses of BioThrax for immunization of military personnel. Our most recent contract with the DoD, as amended in October 2006, provided for the supply of a minimum of approximately 1.5 million doses of BioThrax to the DoD through September 2007. As a result of a further amendment of the DoD contract in June 2007, we completed delivery of all doses to the DoD under this contract prior to June 30, 2007. We are not currently party to a procurement contract with the DoD.</w:t>
      </w:r>
    </w:p>
    <w:p>
      <w:pPr>
        <w:spacing w:after="0" w:line="155" w:lineRule="exact"/>
        <w:rPr>
          <w:sz w:val="20"/>
          <w:szCs w:val="20"/>
          <w:color w:val="auto"/>
        </w:rPr>
      </w:pPr>
    </w:p>
    <w:p>
      <w:pPr>
        <w:ind w:right="60" w:firstLine="308"/>
        <w:spacing w:after="0" w:line="286" w:lineRule="auto"/>
        <w:rPr>
          <w:sz w:val="20"/>
          <w:szCs w:val="20"/>
          <w:color w:val="auto"/>
        </w:rPr>
      </w:pPr>
      <w:r>
        <w:rPr>
          <w:rFonts w:ascii="Arial" w:cs="Arial" w:eastAsia="Arial" w:hAnsi="Arial"/>
          <w:sz w:val="16"/>
          <w:szCs w:val="16"/>
          <w:color w:val="auto"/>
        </w:rPr>
        <w:t>We believe that the DoD has a continued commitment to procure BioThrax for its active immunization program. We believe that, as a result of the October 2007 Presidential Directive, in the future the DoD will likely procure additional doses of BioThrax to satisfy ongoing requirements for its active immunization program directly from HHS and not from us. We believe that these purchases by DoD from HHS may result in additional purchases by HHS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291465</wp:posOffset>
            </wp:positionV>
            <wp:extent cx="72790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ind w:right="20" w:firstLine="349"/>
        <w:spacing w:after="0" w:line="275" w:lineRule="auto"/>
        <w:rPr>
          <w:sz w:val="20"/>
          <w:szCs w:val="20"/>
          <w:color w:val="auto"/>
        </w:rPr>
      </w:pPr>
      <w:r>
        <w:rPr>
          <w:rFonts w:ascii="Arial" w:cs="Arial" w:eastAsia="Arial" w:hAnsi="Arial"/>
          <w:sz w:val="16"/>
          <w:szCs w:val="16"/>
          <w:color w:val="auto"/>
        </w:rPr>
        <w:t>In May 2006, we entered into a collaboration agreement with Sanofi Pasteur relating to the development and commercialization of our meningitis B vaccine candidate under which we granted Sanofi Pasteur an exclusive, worldwide license under our proprietary technology to develop and commercialize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defer the upfront license fee, milestone payments and development reimbursement payments under this agreement, and record revenue in accordance with our revenue recognition policies. We are currently in negotiations with Sanofi Pasteur to amend this agreement.</w:t>
      </w:r>
    </w:p>
    <w:p>
      <w:pPr>
        <w:spacing w:after="0" w:line="171" w:lineRule="exact"/>
        <w:rPr>
          <w:sz w:val="20"/>
          <w:szCs w:val="20"/>
          <w:color w:val="auto"/>
        </w:rPr>
      </w:pPr>
    </w:p>
    <w:p>
      <w:pPr>
        <w:ind w:right="240" w:firstLine="308"/>
        <w:spacing w:after="0" w:line="286" w:lineRule="auto"/>
        <w:rPr>
          <w:sz w:val="20"/>
          <w:szCs w:val="20"/>
          <w:color w:val="auto"/>
        </w:rPr>
      </w:pPr>
      <w:r>
        <w:rPr>
          <w:rFonts w:ascii="Arial" w:cs="Arial" w:eastAsia="Arial" w:hAnsi="Arial"/>
          <w:sz w:val="16"/>
          <w:szCs w:val="16"/>
          <w:color w:val="auto"/>
        </w:rPr>
        <w:t>In September 2007, we received a development contract from NIAID, valued at up to $9.5 million, in support of non-clinical and clinical studies of our anthrax immune globulin therapeutic candidate. Under terms of the development contract, we will use the funds to conduct various studies on this product candidate, including animal efficacy studies and clinical trials. Through December 31, 2007, we have invoiced $61,000 under this contract.</w:t>
      </w:r>
    </w:p>
    <w:p>
      <w:pPr>
        <w:spacing w:after="0" w:line="163" w:lineRule="exact"/>
        <w:rPr>
          <w:sz w:val="20"/>
          <w:szCs w:val="20"/>
          <w:color w:val="auto"/>
        </w:rPr>
      </w:pPr>
    </w:p>
    <w:p>
      <w:pPr>
        <w:ind w:right="40" w:firstLine="345"/>
        <w:spacing w:after="0" w:line="272"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because of the timing of our fulfilling orders for BioThrax and work done under new and existing contracts and grants.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Cost of Product Sales</w:t>
      </w:r>
    </w:p>
    <w:p>
      <w:pPr>
        <w:spacing w:after="0" w:line="219" w:lineRule="exact"/>
        <w:rPr>
          <w:sz w:val="20"/>
          <w:szCs w:val="20"/>
          <w:color w:val="auto"/>
        </w:rPr>
      </w:pPr>
    </w:p>
    <w:p>
      <w:pPr>
        <w:ind w:right="160" w:firstLine="308"/>
        <w:spacing w:after="0" w:line="262" w:lineRule="auto"/>
        <w:rPr>
          <w:sz w:val="20"/>
          <w:szCs w:val="20"/>
          <w:color w:val="auto"/>
        </w:rPr>
      </w:pPr>
      <w:r>
        <w:rPr>
          <w:rFonts w:ascii="Arial" w:cs="Arial" w:eastAsia="Arial" w:hAnsi="Arial"/>
          <w:sz w:val="17"/>
          <w:szCs w:val="17"/>
          <w:color w:val="auto"/>
        </w:rPr>
        <w:t>The primary expense that we incur to deliver BioThrax to our customers is manufacturing costs, which are primarily fixed costs. These fixed manufacturing costs consist of attributable facilities, utilities and salaries and personnel-related expenses for indirect manufacturing support staff. Variable manufacturing costs for BioThrax consist primarily of costs for materials, direct labor and contract filling operations.</w:t>
      </w:r>
    </w:p>
    <w:p>
      <w:pPr>
        <w:spacing w:after="0" w:line="180"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We determine the cost of product sales for doses sold during a reporting period based on the average manufacturing cost per dose for the specific earlier period in which the doses sold were manufactured. We calculate the average manufacturing cost per dose in the period of manufacture by dividing the actual costs of manufacturing in such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the period of production.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Research and Development Expenses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expense research and development costs as incurred. Our research and development expenses consist primarily of:</w:t>
      </w:r>
    </w:p>
    <w:p>
      <w:pPr>
        <w:sectPr>
          <w:pgSz w:w="11900" w:h="16838" w:orient="portrait"/>
          <w:cols w:equalWidth="0" w:num="1">
            <w:col w:w="11380"/>
          </w:cols>
          <w:pgMar w:left="240" w:top="131" w:right="27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salaries and related expenses for personnel;</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fees to professional service providers for, among other things, preclinical and analytical testing, independently monitoring our clinical trials and acquiring and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evaluating data from our clinical trials;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costs of contract manufacturing services;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costs of materials used in clinical trials and research and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depreciation of capital assets used to develop our products; and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operating costs, such as the operating cost of facilities and the legal costs of pursuing patent protection of our intellectual property.</w:t>
      </w:r>
    </w:p>
    <w:p>
      <w:pPr>
        <w:spacing w:after="0" w:line="265" w:lineRule="exact"/>
        <w:rPr>
          <w:sz w:val="20"/>
          <w:szCs w:val="20"/>
          <w:color w:val="auto"/>
        </w:rPr>
      </w:pPr>
    </w:p>
    <w:p>
      <w:pPr>
        <w:sectPr>
          <w:pgSz w:w="11900" w:h="16838" w:orient="portrait"/>
          <w:cols w:equalWidth="0" w:num="2">
            <w:col w:w="400" w:space="220"/>
            <w:col w:w="10760"/>
          </w:cols>
          <w:pgMar w:left="240" w:top="131" w:right="279" w:bottom="1440" w:gutter="0" w:footer="0" w:header="0"/>
          <w:type w:val="continuous"/>
        </w:sectPr>
      </w:pPr>
    </w:p>
    <w:p>
      <w:pPr>
        <w:spacing w:after="0" w:line="13"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We believe that significant investment in product development is a competitive necessity and plan to continue these investments in order to be in a position to realize the potential of our product candidates. We expect that development spending for both our advanced stage products and earlier stage products will increase as our product development activities continue and we prepare for regulatory submissions and other regulatory activities. 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costs associated with manufacturing our product candidates on a large scale basis for later stage clinical trials, our ability to use data generated by government agencies, such as the ongoing studies with BioThrax being conducted by the Centers for Disease Control and Prevention, or CDC, and our ability to rely upon and utilize clinical and non-clinical data, such as the data generated by CDC from use of the pentavalent botulinum toxoid vaccine previously manufactured by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170815</wp:posOffset>
            </wp:positionV>
            <wp:extent cx="72790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66" w:name="page67"/>
    <w:bookmarkEnd w:id="66"/>
    <w:p>
      <w:pPr>
        <w:ind w:left="320"/>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19"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Selling, general and administrative expenses consist primarily of salaries and other related costs for personnel serving the executive, sales and marketing, business development, finance, accounting, information technology, legal and human resource functions. Other costs include facility costs not otherwise included in cost of product sales or research and development expense and professional fees for legal and accounting services. We currently market and sell BioThrax directly to the HHS with a small, targeted marketing and sales group. As we seek to broaden the market for BioThrax and if we receive marketing approval for additional products we expect that we will increase our spending for marketing and sales activities.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Total Other Income (Expense)</w:t>
      </w:r>
    </w:p>
    <w:p>
      <w:pPr>
        <w:spacing w:after="0" w:line="219" w:lineRule="exact"/>
        <w:rPr>
          <w:sz w:val="20"/>
          <w:szCs w:val="20"/>
          <w:color w:val="auto"/>
        </w:rPr>
      </w:pPr>
    </w:p>
    <w:p>
      <w:pPr>
        <w:ind w:right="120" w:firstLine="308"/>
        <w:spacing w:after="0" w:line="256" w:lineRule="auto"/>
        <w:rPr>
          <w:sz w:val="20"/>
          <w:szCs w:val="20"/>
          <w:color w:val="auto"/>
        </w:rPr>
      </w:pPr>
      <w:r>
        <w:rPr>
          <w:rFonts w:ascii="Arial" w:cs="Arial" w:eastAsia="Arial" w:hAnsi="Arial"/>
          <w:sz w:val="17"/>
          <w:szCs w:val="17"/>
          <w:color w:val="auto"/>
        </w:rPr>
        <w:t xml:space="preserve">Total other income (expense) consists principally of interest income and interest expense. We earn interest on our cash, cash equivalents and short-term investments, and we incur interest expense on our indebtedness. We capitalize interest expense in accordance with SFAS No. 34, </w:t>
      </w:r>
      <w:r>
        <w:rPr>
          <w:rFonts w:ascii="Arial" w:cs="Arial" w:eastAsia="Arial" w:hAnsi="Arial"/>
          <w:sz w:val="17"/>
          <w:szCs w:val="17"/>
          <w:i w:val="1"/>
          <w:iCs w:val="1"/>
          <w:color w:val="auto"/>
        </w:rPr>
        <w:t>Capitalization of Interest Cost</w:t>
      </w:r>
      <w:r>
        <w:rPr>
          <w:rFonts w:ascii="Arial" w:cs="Arial" w:eastAsia="Arial" w:hAnsi="Arial"/>
          <w:sz w:val="17"/>
          <w:szCs w:val="17"/>
          <w:color w:val="auto"/>
        </w:rPr>
        <w:t>, based on the cost of major ongoing projects which have not yet been placed in service, such as our new manufacturing facility. Our total interest cost will increase in future periods as compared to prior periods as a result of the term loan that we entered into in June 2007, as well as any borrowings under our revolving line of credit. In addition, some of our existing debt arrangements provide for increasing amortization of principal payments in future periods. See “Liquidity and Capital Resources — Debt Financing”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Year Ended December 31, 2007 Compared to Year Ended December 31, 2006</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21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Product sales revenues increased by $21.8 million, or 15%, to $169.8 million for 2007 from $148.0 million for 2006. This increase in product sales revenues was primarily due to a 41% increase in the number of doses of BioThrax delivered, offset by a 19% decrease in the average sales price per dose attributable to a discounted price provided to HHS due to the limited remaining shelf life for those certain doses delivered in the third quarter and first part of the fourth quarter of 2007. Product sales revenues in 2007 consisted of BioThrax sales to HHS of $141.6 million, sales to the DoD of $26.2 million and aggregate international and other sales of $2.0 million. Product sales revenues in 2006 consisted of BioThrax sales to HHS of $109.8 million, sales to the DoD of $37.4 million and aggregate international and other sales of $763,000.</w:t>
      </w:r>
    </w:p>
    <w:p>
      <w:pPr>
        <w:spacing w:after="0" w:line="185"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Contracts and grant revenues increased by $8.4 million, or 177%, to $13.1 million in 2007 from $4.7 million in 2006. Contracts and grants revenues for 2007 consisted of a milestone payment of $8.8 million from HHS in connection with the Company advancing a program to obtain a post-exposure prophylaxis indication for BioThrax, $3.1 million from the Sanofi Pasteur collaboration, related to recognition of deferred revenue associated with the upfront payment received in 2006 as well as development service revenue, and $1.2 million in grant revenue from the NIH and the Wellcome Trust. Contracts and grant revenues for 2006 consisted of $3.2 million in upfront and development program revenue from the Sanofi Pasteur collaboration and $1.5 million in grant revenue from the Wellcome Trust.</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215" w:lineRule="exact"/>
        <w:rPr>
          <w:sz w:val="20"/>
          <w:szCs w:val="20"/>
          <w:color w:val="auto"/>
        </w:rPr>
      </w:pPr>
    </w:p>
    <w:p>
      <w:pPr>
        <w:ind w:right="40" w:firstLine="308"/>
        <w:spacing w:after="0" w:line="262" w:lineRule="auto"/>
        <w:rPr>
          <w:sz w:val="20"/>
          <w:szCs w:val="20"/>
          <w:color w:val="auto"/>
        </w:rPr>
      </w:pPr>
      <w:r>
        <w:rPr>
          <w:rFonts w:ascii="Arial" w:cs="Arial" w:eastAsia="Arial" w:hAnsi="Arial"/>
          <w:sz w:val="17"/>
          <w:szCs w:val="17"/>
          <w:color w:val="auto"/>
        </w:rPr>
        <w:t>Cost of product sales increased by $16.2 million, or 67%, to $40.3 million for 2007 from $24.1 million for 2006. This increase was attributable to a 41% increase in the number of doses of BioThrax delivered, coupled with increased costs associated with our annual production shut-down, the related impact on production yield, and the write-off of waste during the period.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5" w:lineRule="exact"/>
        <w:rPr>
          <w:sz w:val="20"/>
          <w:szCs w:val="20"/>
          <w:color w:val="auto"/>
        </w:rPr>
      </w:pPr>
    </w:p>
    <w:p>
      <w:pPr>
        <w:jc w:val="both"/>
        <w:ind w:firstLine="308"/>
        <w:spacing w:after="0" w:line="258" w:lineRule="auto"/>
        <w:rPr>
          <w:sz w:val="20"/>
          <w:szCs w:val="20"/>
          <w:color w:val="auto"/>
        </w:rPr>
      </w:pPr>
      <w:r>
        <w:rPr>
          <w:rFonts w:ascii="Arial" w:cs="Arial" w:eastAsia="Arial" w:hAnsi="Arial"/>
          <w:sz w:val="17"/>
          <w:szCs w:val="17"/>
          <w:color w:val="auto"/>
        </w:rPr>
        <w:t>Research and development expenses increased by $8.5 million, or 19%, to $54.0 million for 2007 from $45.5 million for 2006. This increase reflects additional personnel and contract service costs, and includes increased expenses of $2.5 million on product candidates that are categorized in the biodefense segment, $3.7 million on product candidates categorized in the commercial segment, and $2.2 million in other research and development expenses, which are in support of technology platforms and central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ind w:right="100" w:firstLine="308"/>
        <w:spacing w:after="0" w:line="293" w:lineRule="auto"/>
        <w:rPr>
          <w:sz w:val="20"/>
          <w:szCs w:val="20"/>
          <w:color w:val="auto"/>
        </w:rPr>
      </w:pPr>
      <w:r>
        <w:rPr>
          <w:rFonts w:ascii="Arial" w:cs="Arial" w:eastAsia="Arial" w:hAnsi="Arial"/>
          <w:sz w:val="15"/>
          <w:szCs w:val="15"/>
          <w:color w:val="auto"/>
        </w:rPr>
        <w:t>The increase in spending on candidates in the biodefense and commercial segments, detailed in the table below, was attributable to increased efforts on various programs as we completed various studies and began subsequent studies and trials. The spending for BioThrax enhancements is related to preparing for and conducting animal efficacy studies to support applications for marketing approval of these enhancements, which we expect to submit to the FDA in late 2008 or 2009. The spending for our immune globulin therapeutic candidate development programs related primarily to costs associated with the plasma collection and fractionation program for our anthrax immune globulin therapeutic. The spending for the recombinant botulinum vaccine program resulted from advancing this program to the process development stage and the manufacture of clinical trial material. The spending for the next generation anthrax vaccine program resulted from feasibility studies and formulation development of product candidates. We continue to assess, and may alter, our future development plans for our products based on the interest of the U.S. government or other non-governmental organizations in providing funding for further development or procurement.</w:t>
      </w:r>
    </w:p>
    <w:p>
      <w:pPr>
        <w:spacing w:after="0" w:line="162"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The spending in 2007 for our typhoid vaccine candidate resulted from the ongoing Phase II study in Vietnam, which commenced in the first quarter of 2007. The spending in 2006 for our typhoid vaccine candidate resulted from ongoing work for the Phase I clinical trial in Vietnam, which we completed in the second quarter of 2006. The spending in 2007 for our hepatitis B therapeutic vaccine candidate resulted from preparing for and initiating our Phase II clinical trial, which commenced in the first quarter 2007. The spending in 2007 for our group B streptococcus vaccine candidate resulted from preparing for Phase I clinical trials for two of the protein components of the vaccine candidate, which the NIAID is conducting and funding. Both our chlamydia and meningitis B vaccine candidates are in preclinical development.</w:t>
      </w:r>
    </w:p>
    <w:p>
      <w:pPr>
        <w:spacing w:after="0" w:line="185"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The increase in other research and development expenses was primarily attributable to spending associated with product development programs that we acquired in the acquisition of ViVacs in July 2006.</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research and development expenses for 2007 and 2006 are shown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3"/>
          </w:tcPr>
          <w:p>
            <w:pPr>
              <w:jc w:val="center"/>
              <w:ind w:left="136"/>
              <w:spacing w:after="0"/>
              <w:rPr>
                <w:sz w:val="20"/>
                <w:szCs w:val="20"/>
                <w:color w:val="auto"/>
              </w:rPr>
            </w:pPr>
            <w:r>
              <w:rPr>
                <w:rFonts w:ascii="Arial" w:cs="Arial" w:eastAsia="Arial" w:hAnsi="Arial"/>
                <w:sz w:val="13"/>
                <w:szCs w:val="13"/>
                <w:b w:val="1"/>
                <w:bCs w:val="1"/>
                <w:color w:val="auto"/>
                <w:w w:val="88"/>
              </w:rPr>
              <w:t>Year ended</w:t>
            </w:r>
          </w:p>
        </w:tc>
        <w:tc>
          <w:tcPr>
            <w:tcW w:w="540" w:type="dxa"/>
            <w:vAlign w:val="bottom"/>
          </w:tcPr>
          <w:p>
            <w:pPr>
              <w:spacing w:after="0"/>
              <w:rPr>
                <w:sz w:val="13"/>
                <w:szCs w:val="13"/>
                <w:color w:val="auto"/>
              </w:rPr>
            </w:pPr>
          </w:p>
        </w:tc>
      </w:tr>
      <w:tr>
        <w:trPr>
          <w:trHeight w:val="154"/>
        </w:trPr>
        <w:tc>
          <w:tcPr>
            <w:tcW w:w="2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136"/>
              <w:spacing w:after="0"/>
              <w:rPr>
                <w:sz w:val="20"/>
                <w:szCs w:val="20"/>
                <w:color w:val="auto"/>
              </w:rPr>
            </w:pPr>
            <w:r>
              <w:rPr>
                <w:rFonts w:ascii="Arial" w:cs="Arial" w:eastAsia="Arial" w:hAnsi="Arial"/>
                <w:sz w:val="13"/>
                <w:szCs w:val="13"/>
                <w:b w:val="1"/>
                <w:bCs w:val="1"/>
                <w:color w:val="auto"/>
                <w:w w:val="87"/>
              </w:rPr>
              <w:t>December 31,</w:t>
            </w:r>
          </w:p>
        </w:tc>
        <w:tc>
          <w:tcPr>
            <w:tcW w:w="540" w:type="dxa"/>
            <w:vAlign w:val="bottom"/>
            <w:tcBorders>
              <w:bottom w:val="single" w:sz="8" w:color="auto"/>
            </w:tcBorders>
          </w:tcPr>
          <w:p>
            <w:pPr>
              <w:spacing w:after="0"/>
              <w:rPr>
                <w:sz w:val="13"/>
                <w:szCs w:val="13"/>
                <w:color w:val="auto"/>
              </w:rPr>
            </w:pPr>
          </w:p>
        </w:tc>
      </w:tr>
      <w:tr>
        <w:trPr>
          <w:trHeight w:val="198"/>
        </w:trPr>
        <w:tc>
          <w:tcPr>
            <w:tcW w:w="2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2007</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2006</w:t>
            </w:r>
          </w:p>
        </w:tc>
      </w:tr>
      <w:tr>
        <w:trPr>
          <w:trHeight w:val="19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Biodefense:</w:t>
            </w:r>
          </w:p>
        </w:tc>
        <w:tc>
          <w:tcPr>
            <w:tcW w:w="32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BioThrax enhancements</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5,175</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7,232</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Immune globulin therapeutic development</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13,619</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11,289</w:t>
            </w: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Recombinant bivalent botulinum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3,231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2,610</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Next generation anthrax vaccine</w:t>
            </w:r>
          </w:p>
        </w:tc>
        <w:tc>
          <w:tcPr>
            <w:tcW w:w="3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2,719</w:t>
            </w:r>
          </w:p>
        </w:tc>
        <w:tc>
          <w:tcPr>
            <w:tcW w:w="2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5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1,088</w:t>
            </w:r>
          </w:p>
        </w:tc>
      </w:tr>
      <w:tr>
        <w:trPr>
          <w:trHeight w:val="198"/>
        </w:trPr>
        <w:tc>
          <w:tcPr>
            <w:tcW w:w="2920" w:type="dxa"/>
            <w:vAlign w:val="bottom"/>
          </w:tcPr>
          <w:p>
            <w:pPr>
              <w:ind w:left="80"/>
              <w:spacing w:after="0"/>
              <w:rPr>
                <w:sz w:val="20"/>
                <w:szCs w:val="20"/>
                <w:color w:val="auto"/>
              </w:rPr>
            </w:pPr>
            <w:r>
              <w:rPr>
                <w:rFonts w:ascii="Arial" w:cs="Arial" w:eastAsia="Arial" w:hAnsi="Arial"/>
                <w:sz w:val="13"/>
                <w:szCs w:val="13"/>
                <w:color w:val="auto"/>
              </w:rPr>
              <w:t>Total biodefense</w:t>
            </w:r>
          </w:p>
        </w:tc>
        <w:tc>
          <w:tcPr>
            <w:tcW w:w="320" w:type="dxa"/>
            <w:vAlign w:val="bottom"/>
          </w:tcPr>
          <w:p>
            <w:pPr>
              <w:spacing w:after="0"/>
              <w:rPr>
                <w:sz w:val="17"/>
                <w:szCs w:val="17"/>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24,744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22,219</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Commercial:</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Typhoid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9,641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9,642</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Hepatitis B therapeutic vaccine</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5,370</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4,058</w:t>
            </w:r>
          </w:p>
        </w:tc>
      </w:tr>
      <w:tr>
        <w:trPr>
          <w:trHeight w:val="218"/>
        </w:trPr>
        <w:tc>
          <w:tcPr>
            <w:tcW w:w="2920" w:type="dxa"/>
            <w:vAlign w:val="bottom"/>
          </w:tcPr>
          <w:p>
            <w:pPr>
              <w:ind w:left="80"/>
              <w:spacing w:after="0"/>
              <w:rPr>
                <w:sz w:val="20"/>
                <w:szCs w:val="20"/>
                <w:color w:val="auto"/>
              </w:rPr>
            </w:pPr>
            <w:r>
              <w:rPr>
                <w:rFonts w:ascii="Arial" w:cs="Arial" w:eastAsia="Arial" w:hAnsi="Arial"/>
                <w:sz w:val="13"/>
                <w:szCs w:val="13"/>
                <w:color w:val="auto"/>
              </w:rPr>
              <w:t>Group B streptococcus vaccine</w:t>
            </w:r>
          </w:p>
        </w:tc>
        <w:tc>
          <w:tcPr>
            <w:tcW w:w="320" w:type="dxa"/>
            <w:vAlign w:val="bottom"/>
          </w:tcPr>
          <w:p>
            <w:pPr>
              <w:spacing w:after="0"/>
              <w:rPr>
                <w:sz w:val="18"/>
                <w:szCs w:val="18"/>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6,790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3,759</w:t>
            </w:r>
          </w:p>
        </w:tc>
      </w:tr>
      <w:tr>
        <w:trPr>
          <w:trHeight w:val="21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Chlamydia vaccine</w:t>
            </w:r>
          </w:p>
        </w:tc>
        <w:tc>
          <w:tcPr>
            <w:tcW w:w="320" w:type="dxa"/>
            <w:vAlign w:val="bottom"/>
            <w:shd w:val="clear" w:color="auto" w:fill="CCFFCC"/>
          </w:tcPr>
          <w:p>
            <w:pPr>
              <w:spacing w:after="0"/>
              <w:rPr>
                <w:sz w:val="18"/>
                <w:szCs w:val="18"/>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3,146</w:t>
            </w: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1,991</w:t>
            </w:r>
          </w:p>
        </w:tc>
      </w:tr>
      <w:tr>
        <w:trPr>
          <w:trHeight w:val="218"/>
        </w:trPr>
        <w:tc>
          <w:tcPr>
            <w:tcW w:w="29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Meningitis B vaccine</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1,212</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2,975</w:t>
            </w:r>
          </w:p>
        </w:tc>
      </w:tr>
      <w:tr>
        <w:trPr>
          <w:trHeight w:val="198"/>
        </w:trPr>
        <w:tc>
          <w:tcPr>
            <w:tcW w:w="2920" w:type="dxa"/>
            <w:vAlign w:val="bottom"/>
            <w:shd w:val="clear" w:color="auto" w:fill="CCFFCC"/>
          </w:tcPr>
          <w:p>
            <w:pPr>
              <w:ind w:left="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FFCC"/>
          </w:tcPr>
          <w:p>
            <w:pPr>
              <w:spacing w:after="0"/>
              <w:rPr>
                <w:sz w:val="17"/>
                <w:szCs w:val="17"/>
                <w:color w:val="auto"/>
              </w:rPr>
            </w:pPr>
          </w:p>
        </w:tc>
        <w:tc>
          <w:tcPr>
            <w:tcW w:w="62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26,159</w:t>
            </w: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22,425</w:t>
            </w:r>
          </w:p>
        </w:tc>
      </w:tr>
      <w:tr>
        <w:trPr>
          <w:trHeight w:val="218"/>
        </w:trPr>
        <w:tc>
          <w:tcPr>
            <w:tcW w:w="29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3,055</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857</w:t>
            </w:r>
          </w:p>
        </w:tc>
      </w:tr>
      <w:tr>
        <w:trPr>
          <w:trHeight w:val="198"/>
        </w:trPr>
        <w:tc>
          <w:tcPr>
            <w:tcW w:w="292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53,958</w:t>
            </w:r>
          </w:p>
        </w:tc>
        <w:tc>
          <w:tcPr>
            <w:tcW w:w="2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45,501</w:t>
            </w:r>
          </w:p>
        </w:tc>
      </w:tr>
      <w:tr>
        <w:trPr>
          <w:trHeight w:val="20"/>
        </w:trPr>
        <w:tc>
          <w:tcPr>
            <w:tcW w:w="2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1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Selling, general and administrative expenses increased by $11.0 million, or 25%, to $55.6 million for 2007 from $44.6 million for 2006. The increase in selling, general and administrative expenses was driven by an increase in our headquarters and staff organization to support our operations as a public company and to support the overall growth of our business, and is primarily attributable to an increase of approximately $9.0 million resulting from the addition of personnel and increased legal and other professional services for our headquarters organization and an increase of $2.1 million in sales and marketing expenses related to the growth of our staff and an increase in our selling and marketing activities. The majority of the expense is attributed to the biodefense segment, in which selling, general and administrative expenses increased by $7.4 million, or 21%, to $43.0 million for 2007 from $35.6 million for 2006. Selling, general and administrative expenses related to our commercial segment increased by $3.6 million, or 40%, to $12.5 million for 2007 from $9.0 million for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ind w:left="320"/>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In July 2006, we recorded a non-cash charge for purchased in-process research and development of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15" w:lineRule="exact"/>
        <w:rPr>
          <w:sz w:val="20"/>
          <w:szCs w:val="20"/>
          <w:color w:val="auto"/>
        </w:rPr>
      </w:pPr>
    </w:p>
    <w:p>
      <w:pPr>
        <w:ind w:firstLine="308"/>
        <w:spacing w:after="0" w:line="313" w:lineRule="auto"/>
        <w:rPr>
          <w:sz w:val="20"/>
          <w:szCs w:val="20"/>
          <w:color w:val="auto"/>
        </w:rPr>
      </w:pPr>
      <w:r>
        <w:rPr>
          <w:rFonts w:ascii="Arial" w:cs="Arial" w:eastAsia="Arial" w:hAnsi="Arial"/>
          <w:sz w:val="15"/>
          <w:szCs w:val="15"/>
          <w:color w:val="auto"/>
        </w:rPr>
        <w:t>Total other income (expense) increased by $2.9 million to income of $2.9 million for 2007 from expense of $13,000 for 2006. This increase resulted primarily from an increase in interest income of $2.0 million as a result of higher investment return on increased average cash balances, including the net proceeds of our initial public offering, and a decrease in interest expense of $1.1 million due to the capitalization of interest costs related to the construction of our new building in Lansing.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15" w:lineRule="exact"/>
        <w:rPr>
          <w:sz w:val="20"/>
          <w:szCs w:val="20"/>
          <w:color w:val="auto"/>
        </w:rPr>
      </w:pPr>
    </w:p>
    <w:p>
      <w:pPr>
        <w:ind w:right="220" w:firstLine="308"/>
        <w:spacing w:after="0" w:line="276" w:lineRule="auto"/>
        <w:rPr>
          <w:sz w:val="20"/>
          <w:szCs w:val="20"/>
          <w:color w:val="auto"/>
        </w:rPr>
      </w:pPr>
      <w:r>
        <w:rPr>
          <w:rFonts w:ascii="Arial" w:cs="Arial" w:eastAsia="Arial" w:hAnsi="Arial"/>
          <w:sz w:val="16"/>
          <w:szCs w:val="16"/>
          <w:color w:val="auto"/>
        </w:rPr>
        <w:t>Provision for income taxes decreased by $2.2 million, or 14%, to $13.1 million for 2007 from $15.2 million for 2006. The provision for income taxes for 2007 resulted primarily from our income before provision for income taxes of $36.0 million and an effective annual tax rate of 36%. The provision for income taxes for 2006 resulted primarily from our income before provision for income taxes of $38.0 million and an effective annual tax rate of 40%. The decrease in the effective annual tax rate is due primarily to a reduction in state valuation allowances related to the expected utilization of net operating losses. The provision for income taxes also reflects research and development tax credits of $880,000 for 2007 and $759,000 for 2006.</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Year Ended December 31, 2006 Compared to Year Ended December 31, 2005</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Product sales revenues increased by $20.7 million, or 16%, to $148.0 million for 2006 from $127.3 million for 2005. This increase in product sales revenues was primarily due to a 18% increase in the number of doses of BioThrax delivered. Product sales revenues in 2006 consisted of BioThrax sales to HHS of $109.8 million, sales to the DoD of $37.4 million and aggregate international and other sales of $763,000. Product sales revenues in 2005 consisted of BioThrax sales to HHS of $111.2 million, sales to the DoD of $14.5 million and aggregate international and other sales of $1.6 million.</w:t>
      </w:r>
    </w:p>
    <w:p>
      <w:pPr>
        <w:spacing w:after="0" w:line="185"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Contracts and grants revenues increased by $1.3 million, or 39%, to $4.7 million in 2006 from $3.4 million in 2005. Contracts and grants revenues for 2006 consisted of $3.2 million from the Sanofi Pasteur collaboration, related to recognition of deferred revenue associated with the upfront payment received in 2006 as well as development service revenue, and $1.5 million in grant revenue from the Wellcome Trust. Contracts and grants revenues for 2005 resulted from reimbursement from the DoD for expenses related to production development and supply chain management improvements for BioThrax incurred in prior periods, and for additional work that we performed on a project basis for the DoD’s DARPA, to evaluate a new vaccine adjuvant for BioThrax.</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215" w:lineRule="exact"/>
        <w:rPr>
          <w:sz w:val="20"/>
          <w:szCs w:val="20"/>
          <w:color w:val="auto"/>
        </w:rPr>
      </w:pPr>
    </w:p>
    <w:p>
      <w:pPr>
        <w:ind w:right="20" w:firstLine="308"/>
        <w:spacing w:after="0" w:line="313" w:lineRule="auto"/>
        <w:rPr>
          <w:sz w:val="20"/>
          <w:szCs w:val="20"/>
          <w:color w:val="auto"/>
        </w:rPr>
      </w:pPr>
      <w:r>
        <w:rPr>
          <w:rFonts w:ascii="Arial" w:cs="Arial" w:eastAsia="Arial" w:hAnsi="Arial"/>
          <w:sz w:val="15"/>
          <w:szCs w:val="15"/>
          <w:color w:val="auto"/>
        </w:rPr>
        <w:t>Cost of product sales decreased by $7.5 million, or 24%, to $24.1 million for 2006 from $31.6 million for 2005. This decrease was attributable to improved utilization of our manufacturing capacity for BioThrax, partially offset by an increase of approximately 900,000 BioThrax doses delivered. Manufacturing efficiencies resulted in a cost savings of $13.1 million. The increase in the number of doses delivered resulted in an increase of costs of approximately $5.6 million.</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5" w:lineRule="exact"/>
        <w:rPr>
          <w:sz w:val="20"/>
          <w:szCs w:val="20"/>
          <w:color w:val="auto"/>
        </w:rPr>
      </w:pPr>
    </w:p>
    <w:p>
      <w:pPr>
        <w:jc w:val="both"/>
        <w:ind w:right="320" w:firstLine="308"/>
        <w:spacing w:after="0" w:line="313" w:lineRule="auto"/>
        <w:rPr>
          <w:sz w:val="20"/>
          <w:szCs w:val="20"/>
          <w:color w:val="auto"/>
        </w:rPr>
      </w:pPr>
      <w:r>
        <w:rPr>
          <w:rFonts w:ascii="Arial" w:cs="Arial" w:eastAsia="Arial" w:hAnsi="Arial"/>
          <w:sz w:val="15"/>
          <w:szCs w:val="15"/>
          <w:color w:val="auto"/>
        </w:rPr>
        <w:t>Research and development expenses increased by $27.1 million, or 148%, to $45.5 million for 2006 from $18.4 million for 2005. This increase reflects additional personnel and contract service costs, and includes increased expenses of $11.9 million on product candidates that are categorized in the biodefense segment and $15.9 million on product candidates that are categorized in the commercial segment, offset by a reduction of $633,000 in other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790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firstLine="308"/>
        <w:spacing w:after="0" w:line="273" w:lineRule="auto"/>
        <w:rPr>
          <w:sz w:val="20"/>
          <w:szCs w:val="20"/>
          <w:color w:val="auto"/>
        </w:rPr>
      </w:pPr>
      <w:r>
        <w:rPr>
          <w:rFonts w:ascii="Arial" w:cs="Arial" w:eastAsia="Arial" w:hAnsi="Arial"/>
          <w:sz w:val="16"/>
          <w:szCs w:val="16"/>
          <w:color w:val="auto"/>
        </w:rPr>
        <w:t>The increase in spending on candidates in the biodefense segment was attributable to increased efforts on all our programs as we completed various studies and began subsequent studies and trials. The increase in spending for BioThrax enhancements is related to preparing for animal efficacy studies to support applications for marketing approval of these enhancements, which we expect to submit to the FDA in late 2008 or 2009. The increase in spending for immune globulin therapeutic development related primarily to costs associated with our plasma collection program for our anthrax immune globulin therapeutic candidate. The increase in spending for the recombinant botulinum vaccine 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feasibility studies and formulation development of product candidates.</w:t>
      </w:r>
    </w:p>
    <w:p>
      <w:pPr>
        <w:spacing w:after="0" w:line="17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increase in commercial spending was mainly attributable to spending on the commercial products listed in the table below following our acquisition of Microscience in June 2005. Research and development spending by Microscience prior to our acquisition of Microscience in June 2005 is not included in our results for 2005. The spending for our typhoid vaccine candidate resulted from ongoing work for the Phase I clinical trial in Vietnam that we completed in 2006 and preparing for our Phase II clinical trial in Vietnam that we initiated in the first quarter of 2007. The spending in 2006 for our hepatitis B therapeutic vaccine candidate resulted from preparing for our Phase II clinical trial, which we received regulatory clearance to commence in the fourth quarter of 2006. The spending in 2006 for our group B streptococcus vaccine candidate resulted from costs associated with our analysis of results from the Phase I clinical trial for one of the protein components of the vaccine candidate and preparation for Phase I clinical trials for two of the protein components of the vaccine candidate. In December 2006, we signed an agreement with the NIAID under which the NIAID has agreed to sponsor a Phase I clinical trial of each of the two components separately and the two proteins in combination in healthy human volunteers. Both our chlamydia and meningitis B vaccine candidates are in preclinical development.</w:t>
      </w:r>
    </w:p>
    <w:p>
      <w:pPr>
        <w:spacing w:after="0" w:line="175" w:lineRule="exact"/>
        <w:rPr>
          <w:sz w:val="20"/>
          <w:szCs w:val="20"/>
          <w:color w:val="auto"/>
        </w:rPr>
      </w:pPr>
    </w:p>
    <w:p>
      <w:pPr>
        <w:ind w:right="240" w:firstLine="308"/>
        <w:spacing w:after="0" w:line="272"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 at that time.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research and development expenses for 2006 and 2005 are shown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3"/>
          </w:tcPr>
          <w:p>
            <w:pPr>
              <w:jc w:val="center"/>
              <w:ind w:left="256"/>
              <w:spacing w:after="0"/>
              <w:rPr>
                <w:sz w:val="20"/>
                <w:szCs w:val="20"/>
                <w:color w:val="auto"/>
              </w:rPr>
            </w:pPr>
            <w:r>
              <w:rPr>
                <w:rFonts w:ascii="Arial" w:cs="Arial" w:eastAsia="Arial" w:hAnsi="Arial"/>
                <w:sz w:val="13"/>
                <w:szCs w:val="13"/>
                <w:b w:val="1"/>
                <w:bCs w:val="1"/>
                <w:color w:val="auto"/>
                <w:w w:val="88"/>
              </w:rPr>
              <w:t>Year ended</w:t>
            </w:r>
          </w:p>
        </w:tc>
        <w:tc>
          <w:tcPr>
            <w:tcW w:w="640" w:type="dxa"/>
            <w:vAlign w:val="bottom"/>
          </w:tcPr>
          <w:p>
            <w:pPr>
              <w:spacing w:after="0"/>
              <w:rPr>
                <w:sz w:val="13"/>
                <w:szCs w:val="13"/>
                <w:color w:val="auto"/>
              </w:rPr>
            </w:pPr>
          </w:p>
        </w:tc>
      </w:tr>
      <w:tr>
        <w:trPr>
          <w:trHeight w:val="154"/>
        </w:trPr>
        <w:tc>
          <w:tcPr>
            <w:tcW w:w="3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3"/>
                <w:szCs w:val="13"/>
                <w:b w:val="1"/>
                <w:bCs w:val="1"/>
                <w:color w:val="auto"/>
                <w:w w:val="87"/>
              </w:rPr>
              <w:t>December 31,</w:t>
            </w:r>
          </w:p>
        </w:tc>
        <w:tc>
          <w:tcPr>
            <w:tcW w:w="640" w:type="dxa"/>
            <w:vAlign w:val="bottom"/>
            <w:tcBorders>
              <w:bottom w:val="single" w:sz="8" w:color="auto"/>
            </w:tcBorders>
          </w:tcPr>
          <w:p>
            <w:pPr>
              <w:spacing w:after="0"/>
              <w:rPr>
                <w:sz w:val="13"/>
                <w:szCs w:val="13"/>
                <w:color w:val="auto"/>
              </w:rPr>
            </w:pPr>
          </w:p>
        </w:tc>
      </w:tr>
      <w:tr>
        <w:trPr>
          <w:trHeight w:val="198"/>
        </w:trPr>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2006</w:t>
            </w:r>
          </w:p>
        </w:tc>
        <w:tc>
          <w:tcPr>
            <w:tcW w:w="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2005</w:t>
            </w:r>
          </w:p>
        </w:tc>
      </w:tr>
      <w:tr>
        <w:trPr>
          <w:trHeight w:val="19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Biodefense:</w:t>
            </w:r>
          </w:p>
        </w:tc>
        <w:tc>
          <w:tcPr>
            <w:tcW w:w="3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BioThrax enhancements</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7,232</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2,883</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Immune globulin therapeutic development</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11,289</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5,309</w:t>
            </w: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Recombinant bivalent botulinum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2,610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1,708</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Next generation anthrax vaccine</w:t>
            </w:r>
          </w:p>
        </w:tc>
        <w:tc>
          <w:tcPr>
            <w:tcW w:w="300" w:type="dxa"/>
            <w:vAlign w:val="bottom"/>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1,088</w:t>
            </w:r>
          </w:p>
        </w:tc>
        <w:tc>
          <w:tcPr>
            <w:tcW w:w="3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427</w:t>
            </w:r>
          </w:p>
        </w:tc>
      </w:tr>
      <w:tr>
        <w:trPr>
          <w:trHeight w:val="198"/>
        </w:trPr>
        <w:tc>
          <w:tcPr>
            <w:tcW w:w="3380" w:type="dxa"/>
            <w:vAlign w:val="bottom"/>
          </w:tcPr>
          <w:p>
            <w:pPr>
              <w:ind w:left="80"/>
              <w:spacing w:after="0"/>
              <w:rPr>
                <w:sz w:val="20"/>
                <w:szCs w:val="20"/>
                <w:color w:val="auto"/>
              </w:rPr>
            </w:pPr>
            <w:r>
              <w:rPr>
                <w:rFonts w:ascii="Arial" w:cs="Arial" w:eastAsia="Arial" w:hAnsi="Arial"/>
                <w:sz w:val="13"/>
                <w:szCs w:val="13"/>
                <w:color w:val="auto"/>
              </w:rPr>
              <w:t>Total biodefense</w:t>
            </w:r>
          </w:p>
        </w:tc>
        <w:tc>
          <w:tcPr>
            <w:tcW w:w="3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22,219</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10,327</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b w:val="1"/>
                <w:bCs w:val="1"/>
                <w:color w:val="auto"/>
              </w:rPr>
              <w:t>Commercial:</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Typhoid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9,642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1,477</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Hepatitis B therapeutic vaccine</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4,058</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1,884</w:t>
            </w:r>
          </w:p>
        </w:tc>
      </w:tr>
      <w:tr>
        <w:trPr>
          <w:trHeight w:val="218"/>
        </w:trPr>
        <w:tc>
          <w:tcPr>
            <w:tcW w:w="3380" w:type="dxa"/>
            <w:vAlign w:val="bottom"/>
          </w:tcPr>
          <w:p>
            <w:pPr>
              <w:ind w:left="80"/>
              <w:spacing w:after="0"/>
              <w:rPr>
                <w:sz w:val="20"/>
                <w:szCs w:val="20"/>
                <w:color w:val="auto"/>
              </w:rPr>
            </w:pPr>
            <w:r>
              <w:rPr>
                <w:rFonts w:ascii="Arial" w:cs="Arial" w:eastAsia="Arial" w:hAnsi="Arial"/>
                <w:sz w:val="13"/>
                <w:szCs w:val="13"/>
                <w:color w:val="auto"/>
              </w:rPr>
              <w:t>Group B streptococcus vaccine</w:t>
            </w:r>
          </w:p>
        </w:tc>
        <w:tc>
          <w:tcPr>
            <w:tcW w:w="3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3,759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1,032</w:t>
            </w:r>
          </w:p>
        </w:tc>
      </w:tr>
      <w:tr>
        <w:trPr>
          <w:trHeight w:val="21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Chlamydia vaccine</w:t>
            </w:r>
          </w:p>
        </w:tc>
        <w:tc>
          <w:tcPr>
            <w:tcW w:w="300" w:type="dxa"/>
            <w:vAlign w:val="bottom"/>
            <w:shd w:val="clear" w:color="auto" w:fill="CCFFCC"/>
          </w:tcPr>
          <w:p>
            <w:pPr>
              <w:spacing w:after="0"/>
              <w:rPr>
                <w:sz w:val="18"/>
                <w:szCs w:val="18"/>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1,991</w:t>
            </w:r>
          </w:p>
        </w:tc>
        <w:tc>
          <w:tcPr>
            <w:tcW w:w="3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837</w:t>
            </w:r>
          </w:p>
        </w:tc>
      </w:tr>
      <w:tr>
        <w:trPr>
          <w:trHeight w:val="218"/>
        </w:trPr>
        <w:tc>
          <w:tcPr>
            <w:tcW w:w="338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Meningitis B vaccine</w:t>
            </w:r>
          </w:p>
        </w:tc>
        <w:tc>
          <w:tcPr>
            <w:tcW w:w="30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2,975</w:t>
            </w:r>
          </w:p>
        </w:tc>
        <w:tc>
          <w:tcPr>
            <w:tcW w:w="3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1,334</w:t>
            </w:r>
          </w:p>
        </w:tc>
      </w:tr>
      <w:tr>
        <w:trPr>
          <w:trHeight w:val="198"/>
        </w:trPr>
        <w:tc>
          <w:tcPr>
            <w:tcW w:w="3380" w:type="dxa"/>
            <w:vAlign w:val="bottom"/>
            <w:shd w:val="clear" w:color="auto" w:fill="CCFFCC"/>
          </w:tcPr>
          <w:p>
            <w:pPr>
              <w:ind w:left="80"/>
              <w:spacing w:after="0"/>
              <w:rPr>
                <w:sz w:val="20"/>
                <w:szCs w:val="20"/>
                <w:color w:val="auto"/>
              </w:rPr>
            </w:pPr>
            <w:r>
              <w:rPr>
                <w:rFonts w:ascii="Arial" w:cs="Arial" w:eastAsia="Arial" w:hAnsi="Arial"/>
                <w:sz w:val="13"/>
                <w:szCs w:val="13"/>
                <w:color w:val="auto"/>
              </w:rPr>
              <w:t>Total commercial</w:t>
            </w:r>
          </w:p>
        </w:tc>
        <w:tc>
          <w:tcPr>
            <w:tcW w:w="300" w:type="dxa"/>
            <w:vAlign w:val="bottom"/>
            <w:shd w:val="clear" w:color="auto" w:fill="CCFFCC"/>
          </w:tcPr>
          <w:p>
            <w:pPr>
              <w:spacing w:after="0"/>
              <w:rPr>
                <w:sz w:val="17"/>
                <w:szCs w:val="17"/>
                <w:color w:val="auto"/>
              </w:rPr>
            </w:pPr>
          </w:p>
        </w:tc>
        <w:tc>
          <w:tcPr>
            <w:tcW w:w="88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22,425</w:t>
            </w:r>
          </w:p>
        </w:tc>
        <w:tc>
          <w:tcPr>
            <w:tcW w:w="3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6,564</w:t>
            </w:r>
          </w:p>
        </w:tc>
      </w:tr>
      <w:tr>
        <w:trPr>
          <w:trHeight w:val="218"/>
        </w:trPr>
        <w:tc>
          <w:tcPr>
            <w:tcW w:w="338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00" w:type="dxa"/>
            <w:vAlign w:val="bottom"/>
            <w:tcBorders>
              <w:bottom w:val="single" w:sz="8" w:color="CCFFCC"/>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857</w:t>
            </w:r>
          </w:p>
        </w:tc>
        <w:tc>
          <w:tcPr>
            <w:tcW w:w="32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1,490</w:t>
            </w:r>
          </w:p>
        </w:tc>
      </w:tr>
      <w:tr>
        <w:trPr>
          <w:trHeight w:val="198"/>
        </w:trPr>
        <w:tc>
          <w:tcPr>
            <w:tcW w:w="3380" w:type="dxa"/>
            <w:vAlign w:val="bottom"/>
            <w:tcBorders>
              <w:bottom w:val="single" w:sz="8" w:color="CCFFCC"/>
            </w:tcBorders>
            <w:shd w:val="clear" w:color="auto" w:fill="CCFFCC"/>
          </w:tcPr>
          <w:p>
            <w:pPr>
              <w:ind w:left="8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CCFFCC"/>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45,501</w:t>
            </w:r>
          </w:p>
        </w:tc>
        <w:tc>
          <w:tcPr>
            <w:tcW w:w="320" w:type="dxa"/>
            <w:vAlign w:val="bottom"/>
            <w:tcBorders>
              <w:bottom w:val="single" w:sz="8" w:color="CCFFCC"/>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18,381</w:t>
            </w:r>
          </w:p>
        </w:tc>
      </w:tr>
      <w:tr>
        <w:trPr>
          <w:trHeight w:val="20"/>
        </w:trPr>
        <w:tc>
          <w:tcPr>
            <w:tcW w:w="3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15"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Selling, general and administrative expenses increased by $1.8 million, or 4%, to $44.6 million for 2006 from $42.8 million for 2005. The increase in selling, general and administrative expenses was primarily attributable to an increase in general and administrative expenses of $1.0 million resulting from the addition of personnel and increased legal and other professional services for our headquarters organization, and an increase of $937,000 related to the addition of personnel for Emergent Product Development UK. Selling, general and administrative expenses related to our biodefense segment decreased by $397,000, or 1%, to $35.6 million for 2006 from $36.0 million for 2005. Selling, general and administrative expenses related to our commercial segment increased by $2.2 million, or 33%, to $9.0 million for 2006 from $6.8 million for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ind w:left="320"/>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In July 2006, we recorded a non-cash charge for purchased in-process research and development of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w:t>
      </w:r>
    </w:p>
    <w:p>
      <w:pPr>
        <w:spacing w:after="0" w:line="173"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In June 2005, we recorded a non-cash charge for purchased in-process research and development of $26.6 million associated with our acquisition of Microscience. We valued the 3,636,801 shares of class A common stock that we issued in the acquisition at $28.2 million after the inclusion of acquisition costs. Of this amount, we identified $1.4 million as current assets, $863,000 as fixed assets, $684,000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2005, we recorded a gain of $10.0 million relating to a settlement of a litigation matter that we initiated to resolve a contract and intellectual property dispute.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Total other expense decreased by $214,000, or 94%, to $13,000 for 2006 from $227,000 for 2005. This decrease resulted primarily from an increase in interest income of $361,000 as a result of higher investment return on increased average cash balances, including the net proceeds of our initial public offering, and an increase in other income of $238,000, offset by an increase in interest expense of $385,000 related primarily to the mortgage loan we entered into in April 2006 and the term loan we entered into in August 2006.</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Income Taxes</w:t>
      </w:r>
    </w:p>
    <w:p>
      <w:pPr>
        <w:spacing w:after="0" w:line="215"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Provision for income taxes increased by $9.9 million, or 186%, to $15.2 million for 2006 from $5.3 million for 2005. The provision for income taxes for 2006 resulted primarily from our income before provision for income taxes of $38.0 million and an effective annual tax rate of 40%. The provision for income taxes for 2005 resulted primarily from our income before provision for income taxes of $21.1 million and an effective annual tax rate of 25%. The increase in the effective annual tax rate is due primarily to the impact of foreign and state net operating losses and an increase in permanent differences, including incentive stock options. The provision for income taxes also reflects research and development tax credits of $759,000 for 2006 and $474,000 for 2005.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15" w:lineRule="exact"/>
        <w:rPr>
          <w:sz w:val="20"/>
          <w:szCs w:val="20"/>
          <w:color w:val="auto"/>
        </w:rPr>
      </w:pPr>
    </w:p>
    <w:p>
      <w:pPr>
        <w:ind w:right="20" w:firstLine="308"/>
        <w:spacing w:after="0" w:line="276" w:lineRule="auto"/>
        <w:rPr>
          <w:sz w:val="20"/>
          <w:szCs w:val="20"/>
          <w:color w:val="auto"/>
        </w:rPr>
      </w:pPr>
      <w:r>
        <w:rPr>
          <w:rFonts w:ascii="Arial" w:cs="Arial" w:eastAsia="Arial" w:hAnsi="Arial"/>
          <w:sz w:val="16"/>
          <w:szCs w:val="16"/>
          <w:color w:val="auto"/>
        </w:rPr>
        <w:t>We require cash to meet our operating expenses and for capital expenditures, acquisitions and principal and interest payments on our debt. We have funded our cash requirements from inception through December 31, 2007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the net proceeds from our initial public offering and, to a lesser extent, from the sale of our common stock upon exercise of stock options. We have operated profitably for each of the years in the three year period ended December 31, 2007.</w:t>
      </w:r>
    </w:p>
    <w:p>
      <w:pPr>
        <w:spacing w:after="0" w:line="173"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As of December 31, 2007, we had cash and cash equivalents of $105.7 million. On November 20, 2006, we completed our initial public offering, in which we raised $54.2 million,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information regarding our cash flows for the years ended December 31, 2007, 2006 and 2005.</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7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9"/>
              </w:rPr>
              <w:t>Year ended December 31,</w:t>
            </w:r>
          </w:p>
        </w:tc>
        <w:tc>
          <w:tcPr>
            <w:tcW w:w="1040" w:type="dxa"/>
            <w:vAlign w:val="bottom"/>
            <w:tcBorders>
              <w:bottom w:val="single" w:sz="8" w:color="auto"/>
            </w:tcBorders>
          </w:tcPr>
          <w:p>
            <w:pPr>
              <w:spacing w:after="0"/>
              <w:rPr>
                <w:sz w:val="13"/>
                <w:szCs w:val="13"/>
                <w:color w:val="auto"/>
              </w:rPr>
            </w:pPr>
          </w:p>
        </w:tc>
      </w:tr>
      <w:tr>
        <w:trPr>
          <w:trHeight w:val="198"/>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2007</w:t>
            </w:r>
          </w:p>
        </w:tc>
        <w:tc>
          <w:tcPr>
            <w:tcW w:w="196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2006</w:t>
            </w: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89535</wp:posOffset>
            </wp:positionV>
            <wp:extent cx="4404360" cy="130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04360" cy="13017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96" w:lineRule="exact"/>
        <w:rPr>
          <w:sz w:val="20"/>
          <w:szCs w:val="20"/>
          <w:color w:val="auto"/>
        </w:rPr>
      </w:pPr>
    </w:p>
    <w:p>
      <w:pPr>
        <w:ind w:left="180"/>
        <w:spacing w:after="0"/>
        <w:rPr>
          <w:sz w:val="20"/>
          <w:szCs w:val="20"/>
          <w:color w:val="auto"/>
        </w:rPr>
      </w:pPr>
      <w:r>
        <w:rPr>
          <w:rFonts w:ascii="Arial" w:cs="Arial" w:eastAsia="Arial" w:hAnsi="Arial"/>
          <w:sz w:val="11"/>
          <w:szCs w:val="11"/>
          <w:color w:val="auto"/>
        </w:rPr>
        <w:t>Net cash provided by (used in):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Operating activities(1)</w:t>
      </w:r>
    </w:p>
    <w:p>
      <w:pPr>
        <w:ind w:left="180"/>
        <w:spacing w:after="0"/>
        <w:rPr>
          <w:sz w:val="20"/>
          <w:szCs w:val="20"/>
          <w:color w:val="auto"/>
        </w:rPr>
      </w:pPr>
      <w:r>
        <w:rPr>
          <w:rFonts w:ascii="Arial" w:cs="Arial" w:eastAsia="Arial" w:hAnsi="Arial"/>
          <w:sz w:val="13"/>
          <w:szCs w:val="13"/>
          <w:color w:val="auto"/>
        </w:rPr>
        <w:t>Investing activities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Financing activities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Total net cash provided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jc w:val="right"/>
              <w:ind w:right="35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54,790</w:t>
            </w:r>
          </w:p>
        </w:tc>
        <w:tc>
          <w:tcPr>
            <w:tcW w:w="48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(4,258)</w:t>
            </w:r>
          </w:p>
        </w:tc>
        <w:tc>
          <w:tcPr>
            <w:tcW w:w="52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41,974</w:t>
            </w:r>
          </w:p>
        </w:tc>
      </w:tr>
      <w:tr>
        <w:trPr>
          <w:trHeight w:val="154"/>
        </w:trPr>
        <w:tc>
          <w:tcPr>
            <w:tcW w:w="580" w:type="dxa"/>
            <w:vAlign w:val="bottom"/>
          </w:tcPr>
          <w:p>
            <w:pPr>
              <w:spacing w:after="0"/>
              <w:rPr>
                <w:sz w:val="13"/>
                <w:szCs w:val="13"/>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(43,969)</w:t>
            </w:r>
          </w:p>
        </w:tc>
        <w:tc>
          <w:tcPr>
            <w:tcW w:w="48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(41,446)</w:t>
            </w:r>
          </w:p>
        </w:tc>
        <w:tc>
          <w:tcPr>
            <w:tcW w:w="520" w:type="dxa"/>
            <w:vAlign w:val="bottom"/>
          </w:tcPr>
          <w:p>
            <w:pPr>
              <w:spacing w:after="0"/>
              <w:rPr>
                <w:sz w:val="13"/>
                <w:szCs w:val="13"/>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(7,091)</w:t>
            </w:r>
          </w:p>
        </w:tc>
      </w:tr>
      <w:tr>
        <w:trPr>
          <w:trHeight w:val="150"/>
        </w:trPr>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18,491</w:t>
            </w: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85,828</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(5,410)</w:t>
            </w:r>
          </w:p>
        </w:tc>
      </w:tr>
      <w:tr>
        <w:trPr>
          <w:trHeight w:val="134"/>
        </w:trPr>
        <w:tc>
          <w:tcPr>
            <w:tcW w:w="580" w:type="dxa"/>
            <w:vAlign w:val="bottom"/>
            <w:tcBorders>
              <w:bottom w:val="single" w:sz="8" w:color="auto"/>
            </w:tcBorders>
          </w:tcPr>
          <w:p>
            <w:pPr>
              <w:jc w:val="right"/>
              <w:ind w:right="356"/>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29,312</w:t>
            </w:r>
          </w:p>
        </w:tc>
        <w:tc>
          <w:tcPr>
            <w:tcW w:w="48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40,124</w:t>
            </w:r>
          </w:p>
        </w:tc>
        <w:tc>
          <w:tcPr>
            <w:tcW w:w="52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29,473</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-1731645</wp:posOffset>
            </wp:positionH>
            <wp:positionV relativeFrom="paragraph">
              <wp:posOffset>-308610</wp:posOffset>
            </wp:positionV>
            <wp:extent cx="4404360" cy="895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04360" cy="89535"/>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-121285</wp:posOffset>
            </wp:positionV>
            <wp:extent cx="4404360" cy="106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04360" cy="10604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100" w:space="720"/>
            <w:col w:w="8580"/>
          </w:cols>
          <w:pgMar w:left="240" w:top="131" w:right="259" w:bottom="1440" w:gutter="0" w:footer="0" w:header="0"/>
          <w:type w:val="continuous"/>
        </w:sectPr>
      </w:pPr>
    </w:p>
    <w:p>
      <w:pPr>
        <w:spacing w:after="0"/>
        <w:rPr>
          <w:sz w:val="20"/>
          <w:szCs w:val="20"/>
          <w:color w:val="auto"/>
        </w:rPr>
      </w:pPr>
      <w:r>
        <w:rPr>
          <w:rFonts w:ascii="Arial" w:cs="Arial" w:eastAsia="Arial" w:hAnsi="Arial"/>
          <w:sz w:val="17"/>
          <w:szCs w:val="17"/>
          <w:color w:val="auto"/>
        </w:rPr>
        <w:t>(1) Includes the effect of exchange rate changes on cash and cash equivalents.</w:t>
      </w:r>
    </w:p>
    <w:p>
      <w:pPr>
        <w:spacing w:after="0" w:line="215" w:lineRule="exact"/>
        <w:rPr>
          <w:sz w:val="20"/>
          <w:szCs w:val="20"/>
          <w:color w:val="auto"/>
        </w:rPr>
      </w:pPr>
    </w:p>
    <w:p>
      <w:pPr>
        <w:ind w:firstLine="246"/>
        <w:spacing w:after="0" w:line="257" w:lineRule="auto"/>
        <w:rPr>
          <w:sz w:val="20"/>
          <w:szCs w:val="20"/>
          <w:color w:val="auto"/>
        </w:rPr>
      </w:pPr>
      <w:r>
        <w:rPr>
          <w:rFonts w:ascii="Arial" w:cs="Arial" w:eastAsia="Arial" w:hAnsi="Arial"/>
          <w:sz w:val="17"/>
          <w:szCs w:val="17"/>
          <w:color w:val="auto"/>
        </w:rPr>
        <w:t>Net cash provided by operating activities of $54.8 million in 2007 resulted principally from our net income of $22.9 million, a decrease in accounts receivable of $24.5 million due to amounts billed primarily to HHS in December 2006 that were collected in 2007, partially offset by amounts billed in December 2007 and outstanding at year end, a decrease in inventory of $7.8 million related to increased product sales in 2007, and $4.8 million from the impact of non-cash depreciation and amortization, partially offset by a decrease in income taxes payable of $5.2 million due to the timing of payment of the 2006 income tax liability offset by the pending payable for 2007 income taxes.</w:t>
      </w:r>
    </w:p>
    <w:p>
      <w:pPr>
        <w:spacing w:after="0" w:line="184" w:lineRule="exact"/>
        <w:rPr>
          <w:sz w:val="20"/>
          <w:szCs w:val="20"/>
          <w:color w:val="auto"/>
        </w:rPr>
      </w:pPr>
    </w:p>
    <w:p>
      <w:pPr>
        <w:ind w:right="100" w:firstLine="308"/>
        <w:spacing w:after="0" w:line="276" w:lineRule="auto"/>
        <w:rPr>
          <w:sz w:val="20"/>
          <w:szCs w:val="20"/>
          <w:color w:val="auto"/>
        </w:rPr>
      </w:pPr>
      <w:r>
        <w:rPr>
          <w:rFonts w:ascii="Arial" w:cs="Arial" w:eastAsia="Arial" w:hAnsi="Arial"/>
          <w:sz w:val="16"/>
          <w:szCs w:val="16"/>
          <w:color w:val="auto"/>
        </w:rPr>
        <w:t>Net cash used in operating activities of $4.3 million in 2006 resulted principally from our net income of $22.8 million, an increase in income taxes payable of $11.5 million due to the timing of payment of the 2006 income tax liability, an increase in accounts payable of $5.8 million related to increased research and development and selling, general and administrative expenses, and the impact of non-cash depreciation and amortization expense of $4.7 million, offset by an increase in accounts receivable of $40.8 million due from the DoD and HHS reflecting amounts billed in December 2006 that were still outstanding at year end, and a increase in inventory of $8.3 million reflecting the value of work in process for BioThrax lots being manufactured or awaiting delivery.</w:t>
      </w:r>
    </w:p>
    <w:p>
      <w:pPr>
        <w:spacing w:after="0" w:line="173"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Net cash provided by operating activities of $42.0 million in 2005 resulted principally from our net income of $15.8 million, a non-cash charge for purchased in-process research and development related to the Microscience acquisition, which reduced net income by $26.6 million, and a reduction of accounts receivable of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87" w:lineRule="exact"/>
        <w:rPr>
          <w:sz w:val="20"/>
          <w:szCs w:val="20"/>
          <w:color w:val="auto"/>
        </w:rPr>
      </w:pPr>
    </w:p>
    <w:p>
      <w:pPr>
        <w:ind w:right="80" w:firstLine="308"/>
        <w:spacing w:after="0" w:line="299" w:lineRule="auto"/>
        <w:rPr>
          <w:sz w:val="20"/>
          <w:szCs w:val="20"/>
          <w:color w:val="auto"/>
        </w:rPr>
      </w:pPr>
      <w:r>
        <w:rPr>
          <w:rFonts w:ascii="Arial" w:cs="Arial" w:eastAsia="Arial" w:hAnsi="Arial"/>
          <w:sz w:val="15"/>
          <w:szCs w:val="15"/>
          <w:color w:val="auto"/>
        </w:rPr>
        <w:t>Net cash used in investing activities for the years ended December 31, 2007, 2006 and 2005 resulted principally from the purchase of property, plant and equipment. Capital expenditures in 2007 include $30.3 million in construction and related costs for our new manufacturing facility in Lansing and approximately $13.7 million in infrastructure investments and other equipment. Capital expenditures in 2006 relate primarily to $25.7 million for construction of our new building in Lansing, Michigan, $10.2 million related to the acquisition of our second facility in Frederick, Maryland, and approximately $5.3 million in infrastructure investments and other equipment. Capital expenditures in 2005 were primarily attributable to investments in information technology upgrades and miscellaneous facility enhancements.</w:t>
      </w:r>
    </w:p>
    <w:p>
      <w:pPr>
        <w:spacing w:after="0" w:line="156"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Net cash provided by financing activities of $18.5 million in 2007 resulted primarily from $15.3 million in additional proceeds from a term loan with HSBC related to financing a portion of the costs related to the construction of our new building in Lansing, $17.9 million in proceeds from borrowings under our revolving line of credit with Fifth Third Bank, $6.0 million related to excess tax benefits from the exercise of stock options, and $2.5 million in proceeds from stock option exercises, partially offset by $18.0 million in principal payments on long-term indebtedness, including $15.0 million in payments on our revolving line of credit with Fifth Third Bank and restricted cash deposits in 2007 consist of $5.0 million in restricted cash deposits in conjunction with our June 2007 HSBC term loan.</w:t>
      </w:r>
    </w:p>
    <w:p>
      <w:pPr>
        <w:spacing w:after="0" w:line="173" w:lineRule="exact"/>
        <w:rPr>
          <w:sz w:val="20"/>
          <w:szCs w:val="20"/>
          <w:color w:val="auto"/>
        </w:rPr>
      </w:pPr>
    </w:p>
    <w:p>
      <w:pPr>
        <w:ind w:right="100" w:firstLine="308"/>
        <w:spacing w:after="0" w:line="313" w:lineRule="auto"/>
        <w:rPr>
          <w:sz w:val="20"/>
          <w:szCs w:val="20"/>
          <w:color w:val="auto"/>
        </w:rPr>
      </w:pPr>
      <w:r>
        <w:rPr>
          <w:rFonts w:ascii="Arial" w:cs="Arial" w:eastAsia="Arial" w:hAnsi="Arial"/>
          <w:sz w:val="15"/>
          <w:szCs w:val="15"/>
          <w:color w:val="auto"/>
        </w:rPr>
        <w:t>Net cash provided by financing activities of $85.8 million in 2006 resulted primarily from $54.2 million in proceeds from our initial public offering, $15.0 million in proceeds related to financing a portion of the costs related to the construction of our new building in Lansing, $8.5 million in proceeds from notes payable related to the financing of the purchase of our Frederick facility in April 2006, and $8.9 million in proceeds from our revolving line of credit with Fifth Third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790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2" w:name="page73"/>
    <w:bookmarkEnd w:id="72"/>
    <w:p>
      <w:pPr>
        <w:ind w:firstLine="308"/>
        <w:spacing w:after="0" w:line="272" w:lineRule="auto"/>
        <w:rPr>
          <w:sz w:val="20"/>
          <w:szCs w:val="20"/>
          <w:color w:val="auto"/>
        </w:rPr>
      </w:pPr>
      <w:r>
        <w:rPr>
          <w:rFonts w:ascii="Arial" w:cs="Arial" w:eastAsia="Arial" w:hAnsi="Arial"/>
          <w:sz w:val="17"/>
          <w:szCs w:val="17"/>
          <w:color w:val="auto"/>
        </w:rPr>
        <w:t>Net cash used in financing activities of $5.4 million in 2005 resulted principally from the payment of a special dividend of $5.4 million from a portion of the proceeds of a litigation settlement and the repayment of notes payable to employees.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contractual obligations at December 31, 2007: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Payments due by period</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6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6"/>
              <w:spacing w:after="0" w:line="134" w:lineRule="exact"/>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2008</w:t>
            </w:r>
          </w:p>
        </w:tc>
        <w:tc>
          <w:tcPr>
            <w:tcW w:w="3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2011</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After 2012</w:t>
            </w:r>
          </w:p>
        </w:tc>
        <w:tc>
          <w:tcPr>
            <w:tcW w:w="0" w:type="dxa"/>
            <w:vAlign w:val="bottom"/>
          </w:tcPr>
          <w:p>
            <w:pPr>
              <w:spacing w:after="0"/>
              <w:rPr>
                <w:sz w:val="1"/>
                <w:szCs w:val="1"/>
                <w:color w:val="auto"/>
              </w:rPr>
            </w:pPr>
          </w:p>
        </w:tc>
      </w:tr>
      <w:tr>
        <w:trPr>
          <w:trHeight w:val="134"/>
        </w:trPr>
        <w:tc>
          <w:tcPr>
            <w:tcW w:w="21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b w:val="1"/>
                <w:bCs w:val="1"/>
                <w:color w:val="auto"/>
              </w:rPr>
              <w:t>Contractual obligations:</w:t>
            </w:r>
          </w:p>
        </w:tc>
        <w:tc>
          <w:tcPr>
            <w:tcW w:w="3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60" w:type="dxa"/>
            <w:vAlign w:val="bottom"/>
          </w:tcPr>
          <w:p>
            <w:pPr>
              <w:ind w:left="240"/>
              <w:spacing w:after="0" w:line="141" w:lineRule="exact"/>
              <w:rPr>
                <w:sz w:val="20"/>
                <w:szCs w:val="20"/>
                <w:color w:val="auto"/>
              </w:rPr>
            </w:pPr>
            <w:r>
              <w:rPr>
                <w:rFonts w:ascii="Arial" w:cs="Arial" w:eastAsia="Arial" w:hAnsi="Arial"/>
                <w:sz w:val="13"/>
                <w:szCs w:val="13"/>
                <w:color w:val="auto"/>
              </w:rPr>
              <w:t>Short and long-term debt(1)</w:t>
            </w:r>
          </w:p>
        </w:tc>
        <w:tc>
          <w:tcPr>
            <w:tcW w:w="3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46,102</w:t>
            </w:r>
          </w:p>
        </w:tc>
        <w:tc>
          <w:tcPr>
            <w:tcW w:w="3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5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3,514</w:t>
            </w:r>
          </w:p>
        </w:tc>
        <w:tc>
          <w:tcPr>
            <w:tcW w:w="32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6,049</w:t>
            </w:r>
          </w:p>
        </w:tc>
        <w:tc>
          <w:tcPr>
            <w:tcW w:w="380" w:type="dxa"/>
            <w:vAlign w:val="bottom"/>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3,585</w:t>
            </w:r>
          </w:p>
        </w:tc>
        <w:tc>
          <w:tcPr>
            <w:tcW w:w="480" w:type="dxa"/>
            <w:vAlign w:val="bottom"/>
          </w:tcPr>
          <w:p>
            <w:pPr>
              <w:jc w:val="right"/>
              <w:ind w:right="256"/>
              <w:spacing w:after="0" w:line="141"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16"/>
              <w:spacing w:after="0" w:line="141" w:lineRule="exact"/>
              <w:rPr>
                <w:sz w:val="20"/>
                <w:szCs w:val="20"/>
                <w:color w:val="auto"/>
              </w:rPr>
            </w:pPr>
            <w:r>
              <w:rPr>
                <w:rFonts w:ascii="Arial" w:cs="Arial" w:eastAsia="Arial" w:hAnsi="Arial"/>
                <w:sz w:val="13"/>
                <w:szCs w:val="13"/>
                <w:color w:val="auto"/>
                <w:w w:val="95"/>
              </w:rPr>
              <w:t>16,203</w:t>
            </w:r>
          </w:p>
        </w:tc>
        <w:tc>
          <w:tcPr>
            <w:tcW w:w="340" w:type="dxa"/>
            <w:vAlign w:val="bottom"/>
          </w:tcPr>
          <w:p>
            <w:pPr>
              <w:jc w:val="right"/>
              <w:ind w:right="116"/>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16,751</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216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Operating lease obligations</w:t>
            </w:r>
          </w:p>
        </w:tc>
        <w:tc>
          <w:tcPr>
            <w:tcW w:w="300" w:type="dxa"/>
            <w:vAlign w:val="bottom"/>
            <w:shd w:val="clear" w:color="auto" w:fill="CCFFCC"/>
          </w:tcPr>
          <w:p>
            <w:pPr>
              <w:spacing w:after="0"/>
              <w:rPr>
                <w:sz w:val="12"/>
                <w:szCs w:val="12"/>
                <w:color w:val="auto"/>
              </w:rPr>
            </w:pPr>
          </w:p>
        </w:tc>
        <w:tc>
          <w:tcPr>
            <w:tcW w:w="6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13,983</w:t>
            </w:r>
          </w:p>
        </w:tc>
        <w:tc>
          <w:tcPr>
            <w:tcW w:w="300" w:type="dxa"/>
            <w:vAlign w:val="bottom"/>
            <w:shd w:val="clear" w:color="auto" w:fill="CCFFCC"/>
          </w:tcPr>
          <w:p>
            <w:pPr>
              <w:spacing w:after="0"/>
              <w:rPr>
                <w:sz w:val="12"/>
                <w:szCs w:val="12"/>
                <w:color w:val="auto"/>
              </w:rPr>
            </w:pPr>
          </w:p>
        </w:tc>
        <w:tc>
          <w:tcPr>
            <w:tcW w:w="5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2,048</w:t>
            </w:r>
          </w:p>
        </w:tc>
        <w:tc>
          <w:tcPr>
            <w:tcW w:w="320" w:type="dxa"/>
            <w:vAlign w:val="bottom"/>
            <w:shd w:val="clear" w:color="auto" w:fill="CCFFCC"/>
          </w:tcPr>
          <w:p>
            <w:pPr>
              <w:spacing w:after="0"/>
              <w:rPr>
                <w:sz w:val="12"/>
                <w:szCs w:val="12"/>
                <w:color w:val="auto"/>
              </w:rPr>
            </w:pPr>
          </w:p>
        </w:tc>
        <w:tc>
          <w:tcPr>
            <w:tcW w:w="4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1,436</w:t>
            </w:r>
          </w:p>
        </w:tc>
        <w:tc>
          <w:tcPr>
            <w:tcW w:w="380" w:type="dxa"/>
            <w:vAlign w:val="bottom"/>
            <w:shd w:val="clear" w:color="auto" w:fill="CCFFCC"/>
          </w:tcPr>
          <w:p>
            <w:pPr>
              <w:spacing w:after="0"/>
              <w:rPr>
                <w:sz w:val="12"/>
                <w:szCs w:val="12"/>
                <w:color w:val="auto"/>
              </w:rPr>
            </w:pPr>
          </w:p>
        </w:tc>
        <w:tc>
          <w:tcPr>
            <w:tcW w:w="54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1,453</w:t>
            </w:r>
          </w:p>
        </w:tc>
        <w:tc>
          <w:tcPr>
            <w:tcW w:w="480" w:type="dxa"/>
            <w:vAlign w:val="bottom"/>
            <w:shd w:val="clear" w:color="auto" w:fill="CCFFCC"/>
          </w:tcPr>
          <w:p>
            <w:pPr>
              <w:spacing w:after="0"/>
              <w:rPr>
                <w:sz w:val="12"/>
                <w:szCs w:val="12"/>
                <w:color w:val="auto"/>
              </w:rPr>
            </w:pPr>
          </w:p>
        </w:tc>
        <w:tc>
          <w:tcPr>
            <w:tcW w:w="48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1,471</w:t>
            </w:r>
          </w:p>
        </w:tc>
        <w:tc>
          <w:tcPr>
            <w:tcW w:w="340" w:type="dxa"/>
            <w:vAlign w:val="bottom"/>
            <w:shd w:val="clear" w:color="auto" w:fill="CCFFCC"/>
          </w:tcPr>
          <w:p>
            <w:pPr>
              <w:spacing w:after="0"/>
              <w:rPr>
                <w:sz w:val="12"/>
                <w:szCs w:val="12"/>
                <w:color w:val="auto"/>
              </w:rPr>
            </w:pPr>
          </w:p>
        </w:tc>
        <w:tc>
          <w:tcPr>
            <w:tcW w:w="6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1,489</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6,086</w:t>
            </w:r>
          </w:p>
        </w:tc>
        <w:tc>
          <w:tcPr>
            <w:tcW w:w="0" w:type="dxa"/>
            <w:vAlign w:val="bottom"/>
          </w:tcPr>
          <w:p>
            <w:pPr>
              <w:spacing w:after="0"/>
              <w:rPr>
                <w:sz w:val="1"/>
                <w:szCs w:val="1"/>
                <w:color w:val="auto"/>
              </w:rPr>
            </w:pPr>
          </w:p>
        </w:tc>
      </w:tr>
      <w:tr>
        <w:trPr>
          <w:trHeight w:val="154"/>
        </w:trPr>
        <w:tc>
          <w:tcPr>
            <w:tcW w:w="216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Contractual settlement liabilities</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50</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160" w:type="dxa"/>
            <w:vAlign w:val="bottom"/>
            <w:tcBorders>
              <w:bottom w:val="single" w:sz="8" w:color="CCFFCC"/>
            </w:tcBorders>
            <w:shd w:val="clear" w:color="auto" w:fill="CCFFCC"/>
          </w:tcPr>
          <w:p>
            <w:pPr>
              <w:ind w:left="320"/>
              <w:spacing w:after="0" w:line="134" w:lineRule="exact"/>
              <w:rPr>
                <w:sz w:val="20"/>
                <w:szCs w:val="20"/>
                <w:color w:val="auto"/>
              </w:rPr>
            </w:pPr>
            <w:r>
              <w:rPr>
                <w:rFonts w:ascii="Arial" w:cs="Arial" w:eastAsia="Arial" w:hAnsi="Arial"/>
                <w:sz w:val="13"/>
                <w:szCs w:val="13"/>
                <w:b w:val="1"/>
                <w:bCs w:val="1"/>
                <w:color w:val="auto"/>
              </w:rPr>
              <w:t>Total contractual obligations</w:t>
            </w:r>
          </w:p>
        </w:tc>
        <w:tc>
          <w:tcPr>
            <w:tcW w:w="300" w:type="dxa"/>
            <w:vAlign w:val="bottom"/>
            <w:tcBorders>
              <w:bottom w:val="single" w:sz="8" w:color="auto"/>
            </w:tcBorders>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60,135</w:t>
            </w:r>
          </w:p>
        </w:tc>
        <w:tc>
          <w:tcPr>
            <w:tcW w:w="300" w:type="dxa"/>
            <w:vAlign w:val="bottom"/>
            <w:tcBorders>
              <w:bottom w:val="single" w:sz="8" w:color="auto"/>
            </w:tcBorders>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5,612</w:t>
            </w:r>
          </w:p>
        </w:tc>
        <w:tc>
          <w:tcPr>
            <w:tcW w:w="32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7,485</w:t>
            </w:r>
          </w:p>
        </w:tc>
        <w:tc>
          <w:tcPr>
            <w:tcW w:w="38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5,038</w:t>
            </w:r>
          </w:p>
        </w:tc>
        <w:tc>
          <w:tcPr>
            <w:tcW w:w="480" w:type="dxa"/>
            <w:vAlign w:val="bottom"/>
            <w:tcBorders>
              <w:bottom w:val="single" w:sz="8" w:color="auto"/>
            </w:tcBorders>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w w:val="95"/>
              </w:rPr>
              <w:t>17,674</w:t>
            </w:r>
          </w:p>
        </w:tc>
        <w:tc>
          <w:tcPr>
            <w:tcW w:w="34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18,240</w:t>
            </w:r>
          </w:p>
        </w:tc>
        <w:tc>
          <w:tcPr>
            <w:tcW w:w="280" w:type="dxa"/>
            <w:vAlign w:val="bottom"/>
            <w:tcBorders>
              <w:bottom w:val="single" w:sz="8" w:color="auto"/>
            </w:tcBorders>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6,086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(1) Includes scheduled interest payments.</w:t>
      </w:r>
    </w:p>
    <w:p>
      <w:pPr>
        <w:spacing w:after="0" w:line="215" w:lineRule="exact"/>
        <w:rPr>
          <w:sz w:val="20"/>
          <w:szCs w:val="20"/>
          <w:color w:val="auto"/>
        </w:rPr>
      </w:pPr>
    </w:p>
    <w:p>
      <w:pPr>
        <w:ind w:right="60" w:firstLine="308"/>
        <w:spacing w:after="0" w:line="299" w:lineRule="auto"/>
        <w:rPr>
          <w:sz w:val="20"/>
          <w:szCs w:val="20"/>
          <w:color w:val="auto"/>
        </w:rPr>
      </w:pPr>
      <w:r>
        <w:rPr>
          <w:rFonts w:ascii="Arial" w:cs="Arial" w:eastAsia="Arial" w:hAnsi="Arial"/>
          <w:sz w:val="15"/>
          <w:szCs w:val="15"/>
          <w:color w:val="auto"/>
        </w:rPr>
        <w:t>The preceding table excludes contingent contractual payments that we may become obligated to make upon achievement of specified research, development and commercialization milestones and contingent contractual royalty payments.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We are not obligated to pay any minimum royalties under our existing contracts.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Debt Financing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2007, we had $57.9 million principal amount of debt outstanding, comprised primarily of the following:</w:t>
      </w:r>
    </w:p>
    <w:p>
      <w:pPr>
        <w:spacing w:after="0" w:line="215" w:lineRule="exact"/>
        <w:rPr>
          <w:sz w:val="20"/>
          <w:szCs w:val="20"/>
          <w:color w:val="auto"/>
        </w:rPr>
      </w:pPr>
    </w:p>
    <w:p>
      <w:pPr>
        <w:ind w:left="620" w:right="100" w:hanging="310"/>
        <w:spacing w:after="0" w:line="181" w:lineRule="auto"/>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$2.5 million outstanding under a forgivable loan from the Department of Business and Economic Development of the State of Maryland used to finance eligible costs incurred to purchase the first facility in Frederick, Maryland;</w:t>
      </w:r>
    </w:p>
    <w:p>
      <w:pPr>
        <w:spacing w:after="0" w:line="1" w:lineRule="exact"/>
        <w:rPr>
          <w:rFonts w:ascii="Arial" w:cs="Arial" w:eastAsia="Arial" w:hAnsi="Arial"/>
          <w:sz w:val="34"/>
          <w:szCs w:val="34"/>
          <w:b w:val="1"/>
          <w:bCs w:val="1"/>
          <w:color w:val="auto"/>
          <w:vertAlign w:val="subscript"/>
        </w:rPr>
      </w:pPr>
    </w:p>
    <w:p>
      <w:pPr>
        <w:ind w:left="620" w:hanging="310"/>
        <w:spacing w:after="0" w:line="182" w:lineRule="auto"/>
        <w:tabs>
          <w:tab w:leader="none" w:pos="620" w:val="left"/>
        </w:tabs>
        <w:numPr>
          <w:ilvl w:val="0"/>
          <w:numId w:val="17"/>
        </w:numPr>
        <w:rPr>
          <w:rFonts w:ascii="Arial" w:cs="Arial" w:eastAsia="Arial" w:hAnsi="Arial"/>
          <w:sz w:val="33"/>
          <w:szCs w:val="33"/>
          <w:b w:val="1"/>
          <w:bCs w:val="1"/>
          <w:color w:val="auto"/>
          <w:vertAlign w:val="subscript"/>
        </w:rPr>
      </w:pPr>
      <w:r>
        <w:rPr>
          <w:rFonts w:ascii="Arial" w:cs="Arial" w:eastAsia="Arial" w:hAnsi="Arial"/>
          <w:sz w:val="14"/>
          <w:szCs w:val="14"/>
          <w:color w:val="auto"/>
        </w:rPr>
        <w:t>$6.6 million outstanding under a mortgage loan from PNC Bank (formerly Mercantile Potomac Bank) used to finance the remaining portion of the purchase price for the first Frederick facility;</w:t>
      </w:r>
    </w:p>
    <w:p>
      <w:pPr>
        <w:ind w:left="620" w:right="40" w:hanging="310"/>
        <w:spacing w:after="0"/>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$8.2 million outstanding under a mortgage loan from HSBC Realty Credit Corporation used to finance the purchase price for the second facility on the Frederick site;</w:t>
      </w:r>
    </w:p>
    <w:p>
      <w:pPr>
        <w:spacing w:after="0" w:line="19" w:lineRule="exact"/>
        <w:rPr>
          <w:rFonts w:ascii="Arial" w:cs="Arial" w:eastAsia="Arial" w:hAnsi="Arial"/>
          <w:sz w:val="34"/>
          <w:szCs w:val="34"/>
          <w:b w:val="1"/>
          <w:bCs w:val="1"/>
          <w:color w:val="auto"/>
          <w:vertAlign w:val="subscript"/>
        </w:rPr>
      </w:pPr>
    </w:p>
    <w:p>
      <w:pPr>
        <w:ind w:left="620" w:right="260" w:hanging="310"/>
        <w:spacing w:after="0"/>
        <w:tabs>
          <w:tab w:leader="none" w:pos="620" w:val="left"/>
        </w:tabs>
        <w:numPr>
          <w:ilvl w:val="0"/>
          <w:numId w:val="17"/>
        </w:numPr>
        <w:rPr>
          <w:rFonts w:ascii="Arial" w:cs="Arial" w:eastAsia="Arial" w:hAnsi="Arial"/>
          <w:sz w:val="34"/>
          <w:szCs w:val="34"/>
          <w:b w:val="1"/>
          <w:bCs w:val="1"/>
          <w:color w:val="auto"/>
          <w:vertAlign w:val="subscript"/>
        </w:rPr>
      </w:pPr>
      <w:r>
        <w:rPr>
          <w:rFonts w:ascii="Arial" w:cs="Arial" w:eastAsia="Arial" w:hAnsi="Arial"/>
          <w:sz w:val="14"/>
          <w:szCs w:val="14"/>
          <w:color w:val="auto"/>
        </w:rPr>
        <w:t>$28.8 million outstanding under a term loan from HSBC Realty Credit Corporation used to finance a portion of the costs of our facility expansion in Lansing, Michigan; and</w:t>
      </w:r>
    </w:p>
    <w:p>
      <w:pPr>
        <w:spacing w:after="0" w:line="19" w:lineRule="exact"/>
        <w:rPr>
          <w:rFonts w:ascii="Arial" w:cs="Arial" w:eastAsia="Arial" w:hAnsi="Arial"/>
          <w:sz w:val="34"/>
          <w:szCs w:val="34"/>
          <w:b w:val="1"/>
          <w:bCs w:val="1"/>
          <w:color w:val="auto"/>
          <w:vertAlign w:val="subscript"/>
        </w:rPr>
      </w:pPr>
    </w:p>
    <w:p>
      <w:pPr>
        <w:ind w:left="620" w:hanging="310"/>
        <w:spacing w:after="0" w:line="186" w:lineRule="auto"/>
        <w:tabs>
          <w:tab w:leader="none" w:pos="620" w:val="left"/>
        </w:tabs>
        <w:numPr>
          <w:ilvl w:val="0"/>
          <w:numId w:val="17"/>
        </w:numPr>
        <w:rPr>
          <w:rFonts w:ascii="Arial" w:cs="Arial" w:eastAsia="Arial" w:hAnsi="Arial"/>
          <w:sz w:val="23"/>
          <w:szCs w:val="23"/>
          <w:b w:val="1"/>
          <w:bCs w:val="1"/>
          <w:color w:val="auto"/>
          <w:vertAlign w:val="subscript"/>
        </w:rPr>
      </w:pPr>
      <w:r>
        <w:rPr>
          <w:rFonts w:ascii="Arial" w:cs="Arial" w:eastAsia="Arial" w:hAnsi="Arial"/>
          <w:sz w:val="12"/>
          <w:szCs w:val="12"/>
          <w:color w:val="auto"/>
        </w:rPr>
        <w:t>$11.8 million outstanding under a $15.0 million revolving line of credit with Fifth Third Bank. This balance was repaid in January 2008.</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can borrow under the line of credit with Fifth Third Bank through May 2008.</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Some of our debt instruments contain financial and operating covenants. In particular:</w:t>
      </w:r>
    </w:p>
    <w:p>
      <w:pPr>
        <w:spacing w:after="0" w:line="215" w:lineRule="exact"/>
        <w:rPr>
          <w:sz w:val="20"/>
          <w:szCs w:val="20"/>
          <w:color w:val="auto"/>
        </w:rPr>
      </w:pPr>
    </w:p>
    <w:p>
      <w:pPr>
        <w:ind w:left="620" w:right="20" w:hanging="310"/>
        <w:spacing w:after="0" w:line="188" w:lineRule="auto"/>
        <w:tabs>
          <w:tab w:leader="none" w:pos="620" w:val="left"/>
        </w:tabs>
        <w:numPr>
          <w:ilvl w:val="0"/>
          <w:numId w:val="18"/>
        </w:numPr>
        <w:rPr>
          <w:rFonts w:ascii="Arial" w:cs="Arial" w:eastAsia="Arial" w:hAnsi="Arial"/>
          <w:sz w:val="39"/>
          <w:szCs w:val="39"/>
          <w:b w:val="1"/>
          <w:bCs w:val="1"/>
          <w:color w:val="auto"/>
          <w:vertAlign w:val="subscript"/>
        </w:rPr>
      </w:pPr>
      <w:r>
        <w:rPr>
          <w:rFonts w:ascii="Arial" w:cs="Arial" w:eastAsia="Arial" w:hAnsi="Arial"/>
          <w:sz w:val="15"/>
          <w:szCs w:val="15"/>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1" w:lineRule="exact"/>
        <w:rPr>
          <w:rFonts w:ascii="Arial" w:cs="Arial" w:eastAsia="Arial" w:hAnsi="Arial"/>
          <w:sz w:val="39"/>
          <w:szCs w:val="39"/>
          <w:b w:val="1"/>
          <w:bCs w:val="1"/>
          <w:color w:val="auto"/>
          <w:vertAlign w:val="subscript"/>
        </w:rPr>
      </w:pPr>
    </w:p>
    <w:p>
      <w:pPr>
        <w:ind w:left="620" w:right="160" w:hanging="310"/>
        <w:spacing w:after="0" w:line="184" w:lineRule="auto"/>
        <w:tabs>
          <w:tab w:leader="none" w:pos="620" w:val="left"/>
        </w:tabs>
        <w:numPr>
          <w:ilvl w:val="0"/>
          <w:numId w:val="18"/>
        </w:numPr>
        <w:rPr>
          <w:rFonts w:ascii="Arial" w:cs="Arial" w:eastAsia="Arial" w:hAnsi="Arial"/>
          <w:sz w:val="45"/>
          <w:szCs w:val="45"/>
          <w:b w:val="1"/>
          <w:bCs w:val="1"/>
          <w:color w:val="auto"/>
          <w:vertAlign w:val="subscript"/>
        </w:rPr>
      </w:pPr>
      <w:r>
        <w:rPr>
          <w:rFonts w:ascii="Arial" w:cs="Arial" w:eastAsia="Arial" w:hAnsi="Arial"/>
          <w:sz w:val="16"/>
          <w:szCs w:val="16"/>
          <w:color w:val="auto"/>
        </w:rPr>
        <w:t>Under our mortgage loan from PNC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 12 months, of not less than 1.1 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184150</wp:posOffset>
            </wp:positionV>
            <wp:extent cx="72790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ind w:left="620" w:right="20" w:hanging="310"/>
        <w:spacing w:after="0" w:line="217" w:lineRule="auto"/>
        <w:tabs>
          <w:tab w:leader="none" w:pos="620" w:val="left"/>
        </w:tabs>
        <w:numPr>
          <w:ilvl w:val="0"/>
          <w:numId w:val="19"/>
        </w:numPr>
        <w:rPr>
          <w:rFonts w:ascii="Arial" w:cs="Arial" w:eastAsia="Arial" w:hAnsi="Arial"/>
          <w:sz w:val="39"/>
          <w:szCs w:val="39"/>
          <w:b w:val="1"/>
          <w:bCs w:val="1"/>
          <w:color w:val="auto"/>
          <w:vertAlign w:val="subscript"/>
        </w:rPr>
      </w:pPr>
      <w:r>
        <w:rPr>
          <w:rFonts w:ascii="Arial" w:cs="Arial" w:eastAsia="Arial" w:hAnsi="Arial"/>
          <w:sz w:val="15"/>
          <w:szCs w:val="15"/>
          <w:color w:val="auto"/>
        </w:rPr>
        <w:t>Under our term loan with HSBC Realty Credit Corporation, we are required to maintain on an annual basis a book leverage ratio of less than 1.25. This ratio is calculated by dividing total liabilities, excluding deferred revenues specific to contracts with the U.S. government, by total net worth. In addition, we are required to maintain on a quarterly basis a debt coverage ratio of not less than 1.25 to 1.00 or maintain $5.0 million in a cash collateral account. This ratio is calculated by dividing earnings before interest, taxes, depreciation and amortization for the most recent four quarters by the sum of current obligations under capital leases and principal obligations and interest expenses for borrowed money, in each case due and payable for the following four quarters.</w:t>
      </w:r>
    </w:p>
    <w:p>
      <w:pPr>
        <w:spacing w:after="0" w:line="3" w:lineRule="exact"/>
        <w:rPr>
          <w:rFonts w:ascii="Arial" w:cs="Arial" w:eastAsia="Arial" w:hAnsi="Arial"/>
          <w:sz w:val="39"/>
          <w:szCs w:val="39"/>
          <w:b w:val="1"/>
          <w:bCs w:val="1"/>
          <w:color w:val="auto"/>
          <w:vertAlign w:val="subscript"/>
        </w:rPr>
      </w:pPr>
    </w:p>
    <w:p>
      <w:pPr>
        <w:ind w:left="620" w:right="220" w:hanging="310"/>
        <w:spacing w:after="0" w:line="182" w:lineRule="auto"/>
        <w:tabs>
          <w:tab w:leader="none" w:pos="620" w:val="left"/>
        </w:tabs>
        <w:numPr>
          <w:ilvl w:val="0"/>
          <w:numId w:val="19"/>
        </w:numPr>
        <w:rPr>
          <w:rFonts w:ascii="Arial" w:cs="Arial" w:eastAsia="Arial" w:hAnsi="Arial"/>
          <w:sz w:val="33"/>
          <w:szCs w:val="33"/>
          <w:b w:val="1"/>
          <w:bCs w:val="1"/>
          <w:color w:val="auto"/>
          <w:vertAlign w:val="subscript"/>
        </w:rPr>
      </w:pPr>
      <w:r>
        <w:rPr>
          <w:rFonts w:ascii="Arial" w:cs="Arial" w:eastAsia="Arial" w:hAnsi="Arial"/>
          <w:sz w:val="14"/>
          <w:szCs w:val="14"/>
          <w:color w:val="auto"/>
        </w:rPr>
        <w:t>Under our revolving line of credit with Fifth Third Bank, our wholly owned subsidiary, Emergent BioDefense Operations, is required to maintain at all times a ratio of total liabilities to tangible net worth of not more than 2.5 to 1.0.</w:t>
      </w:r>
    </w:p>
    <w:p>
      <w:pPr>
        <w:spacing w:after="0" w:line="198" w:lineRule="exact"/>
        <w:rPr>
          <w:sz w:val="20"/>
          <w:szCs w:val="20"/>
          <w:color w:val="auto"/>
        </w:rPr>
      </w:pPr>
    </w:p>
    <w:p>
      <w:pPr>
        <w:ind w:right="20" w:firstLine="308"/>
        <w:spacing w:after="0" w:line="303" w:lineRule="auto"/>
        <w:rPr>
          <w:sz w:val="20"/>
          <w:szCs w:val="20"/>
          <w:color w:val="auto"/>
        </w:rPr>
      </w:pPr>
      <w:r>
        <w:rPr>
          <w:rFonts w:ascii="Arial" w:cs="Arial" w:eastAsia="Arial" w:hAnsi="Arial"/>
          <w:sz w:val="15"/>
          <w:szCs w:val="15"/>
          <w:color w:val="auto"/>
        </w:rPr>
        <w:t>Our debt instruments also contain negative covenants restricting our activities. Our term loan with HSBC Realty Credit Corporation limits the ability of Emergent BioDefense Operations to incur indebtedness and liens, sell assets, make loans, advances or guarantees, enter into mergers or similar transactions and enter into transactions with affiliates. Our line of credit with Fifth Third Bank limits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155" w:lineRule="exact"/>
        <w:rPr>
          <w:sz w:val="20"/>
          <w:szCs w:val="20"/>
          <w:color w:val="auto"/>
        </w:rPr>
      </w:pPr>
    </w:p>
    <w:p>
      <w:pPr>
        <w:ind w:right="140" w:firstLine="308"/>
        <w:spacing w:after="0" w:line="303" w:lineRule="auto"/>
        <w:rPr>
          <w:sz w:val="20"/>
          <w:szCs w:val="20"/>
          <w:color w:val="auto"/>
        </w:rPr>
      </w:pPr>
      <w:r>
        <w:rPr>
          <w:rFonts w:ascii="Arial" w:cs="Arial" w:eastAsia="Arial" w:hAnsi="Arial"/>
          <w:sz w:val="15"/>
          <w:szCs w:val="15"/>
          <w:color w:val="auto"/>
        </w:rPr>
        <w:t>The facilities, software and other equipment that we purchased with the proceeds of our loans from PNC Bank, the State of Maryland and HSBC Realty Credit Corporation serve as collateral for these loans. Our line of credit with Fifth Third Bank is secured by accounts receivable under our DoD and HHS contracts. Our term loan with HSBC Realty Credit Corporation is secured by substantially all of Emergent BioDefense Operations’ assets, other than accounts receivable under our DoD and HHS contracts. The covenants under our existing debt instruments and the pledge of our existing assets as collateral limit our ability to obtain additional debt financing.</w:t>
      </w:r>
    </w:p>
    <w:p>
      <w:pPr>
        <w:spacing w:after="0" w:line="155"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Under our mortgage loan from PNC Bank, we began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85" w:lineRule="exact"/>
        <w:rPr>
          <w:sz w:val="20"/>
          <w:szCs w:val="20"/>
          <w:color w:val="auto"/>
        </w:rPr>
      </w:pPr>
    </w:p>
    <w:p>
      <w:pPr>
        <w:ind w:right="860" w:firstLine="308"/>
        <w:spacing w:after="0" w:line="341" w:lineRule="auto"/>
        <w:rPr>
          <w:sz w:val="20"/>
          <w:szCs w:val="20"/>
          <w:color w:val="auto"/>
        </w:rPr>
      </w:pPr>
      <w:r>
        <w:rPr>
          <w:rFonts w:ascii="Arial" w:cs="Arial" w:eastAsia="Arial" w:hAnsi="Arial"/>
          <w:sz w:val="15"/>
          <w:szCs w:val="15"/>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125" w:lineRule="exact"/>
        <w:rPr>
          <w:sz w:val="20"/>
          <w:szCs w:val="20"/>
          <w:color w:val="auto"/>
        </w:rPr>
      </w:pPr>
    </w:p>
    <w:p>
      <w:pPr>
        <w:ind w:right="160" w:firstLine="308"/>
        <w:spacing w:after="0" w:line="341" w:lineRule="auto"/>
        <w:rPr>
          <w:sz w:val="20"/>
          <w:szCs w:val="20"/>
          <w:color w:val="auto"/>
        </w:rPr>
      </w:pPr>
      <w:r>
        <w:rPr>
          <w:rFonts w:ascii="Arial" w:cs="Arial" w:eastAsia="Arial" w:hAnsi="Arial"/>
          <w:sz w:val="15"/>
          <w:szCs w:val="15"/>
          <w:color w:val="auto"/>
        </w:rPr>
        <w:t>Under our term loan with HSBC Realty Credit Corporation, we are required to make monthly payments in the amount of $250,000 in principal plus accrued interest beginning August 2007, with a residual principal payment due upon maturity in June 2012. Interest on the loan accrues at an annual rate equal to LIBOR plus 2.75%.</w:t>
      </w:r>
    </w:p>
    <w:p>
      <w:pPr>
        <w:spacing w:after="0" w:line="12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Under our revolving line of credit with Fifth Third Bank, any outstanding principal is due upon maturity in May 2008. The principal amount outstanding at any time under the line of credit may not exceed 75% of total eligible accounts receivable under the DoD and HHS contracts. Consistent with the terms of this agreement, we repaid $11.8 million of outstanding principal under the line of credit in January 2008. Interest is payable monthly and accrues at an annual rate equal to 0.375% less than the prime rate of interest established from time to time by Fifth Third Bank.</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Tax Benefits</w:t>
      </w:r>
    </w:p>
    <w:p>
      <w:pPr>
        <w:spacing w:after="0" w:line="215"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beginning in 2006. These tax benefits are primarily based on our $75 million planned investment in our Lansing facility. In addition, we must maintain a specified number of employees in Lansing to continue to qualify for these tax benefits.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15" w:lineRule="exact"/>
        <w:rPr>
          <w:sz w:val="20"/>
          <w:szCs w:val="20"/>
          <w:color w:val="auto"/>
        </w:rPr>
      </w:pPr>
    </w:p>
    <w:p>
      <w:pPr>
        <w:ind w:right="260" w:firstLine="308"/>
        <w:spacing w:after="0" w:line="262" w:lineRule="auto"/>
        <w:rPr>
          <w:sz w:val="20"/>
          <w:szCs w:val="20"/>
          <w:color w:val="auto"/>
        </w:rPr>
      </w:pPr>
      <w:r>
        <w:rPr>
          <w:rFonts w:ascii="Arial" w:cs="Arial" w:eastAsia="Arial" w:hAnsi="Arial"/>
          <w:sz w:val="17"/>
          <w:szCs w:val="17"/>
          <w:color w:val="auto"/>
        </w:rPr>
        <w:t>We expect to continue to fund our anticipated operating expenses, capital expenditures and debt service requirements from existing cash and cash equivalents, revenues from BioThrax product sales and other committed sources of funding. There are numerous risks and uncertainties associated with BioThrax product sales and with the development and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ind w:right="120" w:firstLine="308"/>
        <w:spacing w:after="0" w:line="258" w:lineRule="auto"/>
        <w:rPr>
          <w:sz w:val="20"/>
          <w:szCs w:val="20"/>
          <w:color w:val="auto"/>
        </w:rPr>
      </w:pPr>
      <w:r>
        <w:rPr>
          <w:rFonts w:ascii="Arial" w:cs="Arial" w:eastAsia="Arial" w:hAnsi="Arial"/>
          <w:sz w:val="17"/>
          <w:szCs w:val="17"/>
          <w:color w:val="auto"/>
        </w:rPr>
        <w:t>We may seek to raise additional external debt financing to provide additional financial flexibility. Our committed external sources of funds consist of the remaining borrowing availability under our revolving line of credit with Fifth Third Bank, development funding under our collaboration agreement with Sanofi Pasteur and funding from the NIAID, including for studies related to our anthrax immune globulin therapeutic product candidate. Our ability to borrow additional amounts under our loan agreements is subject to our satisfaction of specified conditions.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will depend on many factors, including:</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level and timing of BioThrax product sales and cost of product sales;</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timing of, and the costs involved in validation and qualification activities related to our new manufacturing facility in Lansing, Michigan and the build out of our manufacturing facility in Frederick, Maryland;</w:t>
      </w:r>
    </w:p>
    <w:p>
      <w:pPr>
        <w:spacing w:after="0" w:line="1" w:lineRule="exact"/>
        <w:rPr>
          <w:sz w:val="20"/>
          <w:szCs w:val="20"/>
          <w:color w:val="auto"/>
        </w:rPr>
      </w:pPr>
    </w:p>
    <w:p>
      <w:pPr>
        <w:ind w:right="4760"/>
        <w:spacing w:after="0" w:line="369" w:lineRule="auto"/>
        <w:rPr>
          <w:sz w:val="20"/>
          <w:szCs w:val="20"/>
          <w:color w:val="auto"/>
        </w:rPr>
      </w:pPr>
      <w:r>
        <w:rPr>
          <w:rFonts w:ascii="Arial" w:cs="Arial" w:eastAsia="Arial" w:hAnsi="Arial"/>
          <w:sz w:val="15"/>
          <w:szCs w:val="15"/>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4380"/>
        <w:spacing w:after="0" w:line="401" w:lineRule="auto"/>
        <w:rPr>
          <w:sz w:val="20"/>
          <w:szCs w:val="20"/>
          <w:color w:val="auto"/>
        </w:rPr>
      </w:pPr>
      <w:r>
        <w:rPr>
          <w:rFonts w:ascii="Arial" w:cs="Arial" w:eastAsia="Arial" w:hAnsi="Arial"/>
          <w:sz w:val="14"/>
          <w:szCs w:val="14"/>
          <w:color w:val="auto"/>
        </w:rPr>
        <w:t>the number of, and development requirements for, other product candidates that we may pursue; the costs of commercialization activities, including product marketing, sales and distribution;</w:t>
      </w:r>
    </w:p>
    <w:p>
      <w:pPr>
        <w:ind w:right="420"/>
        <w:spacing w:after="0" w:line="256" w:lineRule="auto"/>
        <w:rPr>
          <w:sz w:val="20"/>
          <w:szCs w:val="20"/>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extent to which we acquire or invest in businesses, products and technologies;</w:t>
      </w:r>
    </w:p>
    <w:p>
      <w:pPr>
        <w:spacing w:after="0" w:line="66" w:lineRule="exact"/>
        <w:rPr>
          <w:sz w:val="20"/>
          <w:szCs w:val="20"/>
          <w:color w:val="auto"/>
        </w:rPr>
      </w:pPr>
    </w:p>
    <w:p>
      <w:pPr>
        <w:ind w:right="2400"/>
        <w:spacing w:after="0" w:line="388" w:lineRule="auto"/>
        <w:rPr>
          <w:sz w:val="20"/>
          <w:szCs w:val="20"/>
          <w:color w:val="auto"/>
        </w:rPr>
      </w:pPr>
      <w:r>
        <w:rPr>
          <w:rFonts w:ascii="Arial" w:cs="Arial" w:eastAsia="Arial" w:hAnsi="Arial"/>
          <w:sz w:val="16"/>
          <w:szCs w:val="16"/>
          <w:color w:val="auto"/>
        </w:rPr>
        <w:t>our ability to obtain development funding from government entities and non-government and philanthropic organizations; and our ability to establish and maintain collaborations, such as our collaboration with Sanofi Pasteur.</w:t>
      </w:r>
    </w:p>
    <w:p>
      <w:pPr>
        <w:spacing w:after="0" w:line="149" w:lineRule="exact"/>
        <w:rPr>
          <w:sz w:val="20"/>
          <w:szCs w:val="20"/>
          <w:color w:val="auto"/>
        </w:rPr>
      </w:pPr>
    </w:p>
    <w:p>
      <w:pPr>
        <w:sectPr>
          <w:pgSz w:w="11900" w:h="16838" w:orient="portrait"/>
          <w:cols w:equalWidth="0" w:num="2">
            <w:col w:w="400" w:space="220"/>
            <w:col w:w="10800"/>
          </w:cols>
          <w:pgMar w:left="240" w:top="131" w:right="239" w:bottom="1440" w:gutter="0" w:footer="0" w:header="0"/>
          <w:type w:val="continuous"/>
        </w:sectPr>
      </w:pPr>
    </w:p>
    <w:p>
      <w:pPr>
        <w:jc w:val="both"/>
        <w:ind w:right="380" w:firstLine="308"/>
        <w:spacing w:after="0" w:line="286" w:lineRule="auto"/>
        <w:rPr>
          <w:sz w:val="20"/>
          <w:szCs w:val="20"/>
          <w:color w:val="auto"/>
        </w:rPr>
      </w:pPr>
      <w:r>
        <w:rPr>
          <w:rFonts w:ascii="Arial" w:cs="Arial" w:eastAsia="Arial" w:hAnsi="Arial"/>
          <w:sz w:val="16"/>
          <w:szCs w:val="16"/>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63"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215"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19" w:lineRule="exact"/>
        <w:rPr>
          <w:sz w:val="20"/>
          <w:szCs w:val="20"/>
          <w:color w:val="auto"/>
        </w:rPr>
      </w:pPr>
    </w:p>
    <w:p>
      <w:pPr>
        <w:ind w:firstLine="308"/>
        <w:spacing w:after="0" w:line="296" w:lineRule="auto"/>
        <w:rPr>
          <w:sz w:val="20"/>
          <w:szCs w:val="20"/>
          <w:color w:val="auto"/>
        </w:rPr>
      </w:pPr>
      <w:r>
        <w:rPr>
          <w:rFonts w:ascii="Arial" w:cs="Arial" w:eastAsia="Arial" w:hAnsi="Arial"/>
          <w:sz w:val="15"/>
          <w:szCs w:val="15"/>
          <w:color w:val="auto"/>
        </w:rPr>
        <w:t xml:space="preserve">In December 2007, the FASB issued SFAS No. 160, </w:t>
      </w:r>
      <w:r>
        <w:rPr>
          <w:rFonts w:ascii="Arial" w:cs="Arial" w:eastAsia="Arial" w:hAnsi="Arial"/>
          <w:sz w:val="15"/>
          <w:szCs w:val="15"/>
          <w:i w:val="1"/>
          <w:iCs w:val="1"/>
          <w:color w:val="auto"/>
        </w:rPr>
        <w:t>Noncontrolling Interests in Consolidated Financial Statements - an Amendment of ARB No. 51,</w:t>
      </w:r>
      <w:r>
        <w:rPr>
          <w:rFonts w:ascii="Arial" w:cs="Arial" w:eastAsia="Arial" w:hAnsi="Arial"/>
          <w:sz w:val="15"/>
          <w:szCs w:val="15"/>
          <w:color w:val="auto"/>
        </w:rPr>
        <w:t xml:space="preserve"> or SFAS No. 160</w:t>
      </w:r>
      <w:r>
        <w:rPr>
          <w:rFonts w:ascii="Arial" w:cs="Arial" w:eastAsia="Arial" w:hAnsi="Arial"/>
          <w:sz w:val="15"/>
          <w:szCs w:val="15"/>
          <w:i w:val="1"/>
          <w:iCs w:val="1"/>
          <w:color w:val="auto"/>
        </w:rPr>
        <w:t>.</w:t>
      </w:r>
      <w:r>
        <w:rPr>
          <w:rFonts w:ascii="Arial" w:cs="Arial" w:eastAsia="Arial" w:hAnsi="Arial"/>
          <w:sz w:val="15"/>
          <w:szCs w:val="15"/>
          <w:color w:val="auto"/>
        </w:rPr>
        <w:t xml:space="preserve"> SFAS No. 160 clarifies that a noncontrolling interest in a subsidiary is an ownership interest in the consolidated entity that should be reported as equity in the consolidated financial statements, requires consolidated net income to be reported at amounts that include the amounts attributable to both the parent and the noncontrolling interest, establishes a single method of accounting for changes in a parent’s ownership interest in a subsidiary that do not result in deconsolidation, and requires that a parent recognize a gain or loss in net income when a subsidiary is deconsolidated. The provisions of SFAS No. 160 are effective for fiscal years beginning on or after December 15, 2008. We are currently evaluating the impact of the adoption of this statement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159385</wp:posOffset>
            </wp:positionV>
            <wp:extent cx="72790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5" w:name="page76"/>
    <w:bookmarkEnd w:id="75"/>
    <w:p>
      <w:pPr>
        <w:ind w:right="200" w:firstLine="308"/>
        <w:spacing w:after="0" w:line="294" w:lineRule="auto"/>
        <w:rPr>
          <w:sz w:val="20"/>
          <w:szCs w:val="20"/>
          <w:color w:val="auto"/>
        </w:rPr>
      </w:pPr>
      <w:r>
        <w:rPr>
          <w:rFonts w:ascii="Arial" w:cs="Arial" w:eastAsia="Arial" w:hAnsi="Arial"/>
          <w:sz w:val="15"/>
          <w:szCs w:val="15"/>
          <w:color w:val="auto"/>
        </w:rPr>
        <w:t xml:space="preserve">In December 2007, the FASB issued SFAS No. 141R, </w:t>
      </w:r>
      <w:r>
        <w:rPr>
          <w:rFonts w:ascii="Arial" w:cs="Arial" w:eastAsia="Arial" w:hAnsi="Arial"/>
          <w:sz w:val="15"/>
          <w:szCs w:val="15"/>
          <w:i w:val="1"/>
          <w:iCs w:val="1"/>
          <w:color w:val="auto"/>
        </w:rPr>
        <w:t>Business Combinations</w:t>
      </w:r>
      <w:r>
        <w:rPr>
          <w:rFonts w:ascii="Arial" w:cs="Arial" w:eastAsia="Arial" w:hAnsi="Arial"/>
          <w:sz w:val="15"/>
          <w:szCs w:val="15"/>
          <w:color w:val="auto"/>
        </w:rPr>
        <w:t>, or SFAS No.141R. SFAS No. 141R requires the acquiring entity in a business combination to record all assets acquired and liabilities assumed at their respective acquisition-date fair values, changes the recognition of assets acquired and liabilities assumed arising from contingencies, changes the recognition and measurement of contingent consideration, and requires the expensing of acquisition-related costs as incurred. SFAS No. 141R also requires additional disclosure of information surrounding a business combination, such that users of the entity's financial statements can fully understand the nature and financial impact of the business combination. SFAS No. 141R applies prospectively to business combinations for which the acquisition date is on or after the beginning of the first annual reporting period beginning on or after December 15, 2008, and it may not applied before that date. The provisions of SFAS No. 141R will impact our financial statements to the extent that we are party to a business combination after the pronouncement has been adopted.</w:t>
      </w:r>
    </w:p>
    <w:p>
      <w:pPr>
        <w:spacing w:after="0" w:line="162" w:lineRule="exact"/>
        <w:rPr>
          <w:sz w:val="20"/>
          <w:szCs w:val="20"/>
          <w:color w:val="auto"/>
        </w:rPr>
      </w:pPr>
    </w:p>
    <w:p>
      <w:pPr>
        <w:ind w:right="60" w:firstLine="308"/>
        <w:spacing w:after="0" w:line="276" w:lineRule="auto"/>
        <w:rPr>
          <w:sz w:val="20"/>
          <w:szCs w:val="20"/>
          <w:color w:val="auto"/>
        </w:rPr>
      </w:pPr>
      <w:r>
        <w:rPr>
          <w:rFonts w:ascii="Arial" w:cs="Arial" w:eastAsia="Arial" w:hAnsi="Arial"/>
          <w:sz w:val="16"/>
          <w:szCs w:val="16"/>
          <w:color w:val="auto"/>
        </w:rPr>
        <w:t xml:space="preserve">In June 2007, the FASB issued EITF No. 07-3, </w:t>
      </w:r>
      <w:r>
        <w:rPr>
          <w:rFonts w:ascii="Arial" w:cs="Arial" w:eastAsia="Arial" w:hAnsi="Arial"/>
          <w:sz w:val="16"/>
          <w:szCs w:val="16"/>
          <w:i w:val="1"/>
          <w:iCs w:val="1"/>
          <w:color w:val="auto"/>
        </w:rPr>
        <w:t>Accounting for Nonrefundable Advance Payments for Goods or Services Received for Use in Future 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Development Activities</w:t>
      </w:r>
      <w:r>
        <w:rPr>
          <w:rFonts w:ascii="Arial" w:cs="Arial" w:eastAsia="Arial" w:hAnsi="Arial"/>
          <w:sz w:val="16"/>
          <w:szCs w:val="16"/>
          <w:color w:val="auto"/>
        </w:rPr>
        <w:t>, or EITF No. 07-3. EITF No. 07-3 states that nonrefundable advance payments for goods or services that will be used or rendered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activities should be deferred and capitalized. Such amounts should be recognized as an expense as the related goods are delivered or the related services are performed. The provisions of EITF No. 07-3 are effective for fiscal years beginning after December 15, 2007. We anticipate that the adoption of the provisions of EITF No. 07-3 will not have a material impact on our financial statements.</w:t>
      </w:r>
    </w:p>
    <w:p>
      <w:pPr>
        <w:spacing w:after="0" w:line="173"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 No. 115</w:t>
      </w:r>
      <w:r>
        <w:rPr>
          <w:rFonts w:ascii="Arial" w:cs="Arial" w:eastAsia="Arial" w:hAnsi="Arial"/>
          <w:sz w:val="16"/>
          <w:szCs w:val="16"/>
          <w:color w:val="auto"/>
        </w:rPr>
        <w:t>, or SFAS No. 159. SFAS No. 159 permits entities to choose to measure many financial instruments and certain other items at fair value. The objective is</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We anticipate that the adoption of this statement will not have a material impact on our financial statements.</w:t>
      </w:r>
    </w:p>
    <w:p>
      <w:pPr>
        <w:spacing w:after="0" w:line="122" w:lineRule="exact"/>
        <w:rPr>
          <w:sz w:val="20"/>
          <w:szCs w:val="20"/>
          <w:color w:val="auto"/>
        </w:rPr>
      </w:pPr>
    </w:p>
    <w:p>
      <w:pPr>
        <w:ind w:right="260" w:firstLine="308"/>
        <w:spacing w:after="0" w:line="299" w:lineRule="auto"/>
        <w:rPr>
          <w:sz w:val="20"/>
          <w:szCs w:val="20"/>
          <w:color w:val="auto"/>
        </w:rPr>
      </w:pPr>
      <w:r>
        <w:rPr>
          <w:rFonts w:ascii="Arial" w:cs="Arial" w:eastAsia="Arial" w:hAnsi="Arial"/>
          <w:sz w:val="15"/>
          <w:szCs w:val="15"/>
          <w:color w:val="auto"/>
        </w:rPr>
        <w:t xml:space="preserve">In September 2006, the FASB issued SFAS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or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We anticipate that the adoption of this statement will not have a material impact on our financial statements.</w:t>
      </w:r>
    </w:p>
    <w:p>
      <w:pPr>
        <w:spacing w:after="0" w:line="15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9" w:lineRule="exact"/>
        <w:rPr>
          <w:sz w:val="20"/>
          <w:szCs w:val="20"/>
          <w:color w:val="auto"/>
        </w:rPr>
      </w:pPr>
    </w:p>
    <w:p>
      <w:pPr>
        <w:ind w:right="40" w:firstLine="246"/>
        <w:spacing w:after="0" w:line="279" w:lineRule="auto"/>
        <w:rPr>
          <w:sz w:val="20"/>
          <w:szCs w:val="20"/>
          <w:color w:val="auto"/>
        </w:rPr>
      </w:pPr>
      <w:r>
        <w:rPr>
          <w:rFonts w:ascii="Arial" w:cs="Arial" w:eastAsia="Arial" w:hAnsi="Arial"/>
          <w:sz w:val="16"/>
          <w:szCs w:val="16"/>
          <w:color w:val="auto"/>
        </w:rPr>
        <w:t>Our exposure to market risk is currently confined to our cash and cash equivalents and restricted cash that have maturities of less than three months. We currently do not hedge interest rate exposure or foreign currency exchange exposure. We have not used derivative financial instruments for speculation or trading purposes. Because of the short-term maturities of our cash and cash equivalents, we do not believe that an increase in market rates would have a significant impact on the realized value of our investments, but would likely increase the interest expense associated with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295910</wp:posOffset>
            </wp:positionV>
            <wp:extent cx="72790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tabs>
          <w:tab w:leader="none" w:pos="9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Board of Directors and Stockholders of Emergent BioSolutions Inc. and Subsidiaries</w:t>
      </w:r>
    </w:p>
    <w:p>
      <w:pPr>
        <w:spacing w:after="0" w:line="215" w:lineRule="exact"/>
        <w:rPr>
          <w:sz w:val="20"/>
          <w:szCs w:val="20"/>
          <w:color w:val="auto"/>
        </w:rPr>
      </w:pPr>
    </w:p>
    <w:p>
      <w:pPr>
        <w:ind w:right="80" w:firstLine="615"/>
        <w:spacing w:after="0" w:line="313" w:lineRule="auto"/>
        <w:rPr>
          <w:sz w:val="20"/>
          <w:szCs w:val="20"/>
          <w:color w:val="auto"/>
        </w:rPr>
      </w:pPr>
      <w:r>
        <w:rPr>
          <w:rFonts w:ascii="Arial" w:cs="Arial" w:eastAsia="Arial" w:hAnsi="Arial"/>
          <w:sz w:val="15"/>
          <w:szCs w:val="15"/>
          <w:color w:val="auto"/>
        </w:rPr>
        <w:t>We also have audited the accompanying consolidated balance sheets of Emergent BioSolutions Inc. and Subsidiaries as of December 31, 2007 and 2006, and the related consolidated statements of operations,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46" w:lineRule="exact"/>
        <w:rPr>
          <w:sz w:val="20"/>
          <w:szCs w:val="20"/>
          <w:color w:val="auto"/>
        </w:rPr>
      </w:pPr>
    </w:p>
    <w:p>
      <w:pPr>
        <w:ind w:right="100" w:firstLine="615"/>
        <w:spacing w:after="0" w:line="303"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55" w:lineRule="exact"/>
        <w:rPr>
          <w:sz w:val="20"/>
          <w:szCs w:val="20"/>
          <w:color w:val="auto"/>
        </w:rPr>
      </w:pPr>
    </w:p>
    <w:p>
      <w:pPr>
        <w:ind w:right="60" w:firstLine="615"/>
        <w:spacing w:after="0" w:line="262"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Emergent BioSolutions Inc. and Subsidiaries at December 31, 2007 and 2006, and the consolidated results of their operations and their cash flows for each of the three years in the period ended December 31, 2007, in conformity with U.S. generally accepted accounting principles.</w:t>
      </w:r>
    </w:p>
    <w:p>
      <w:pPr>
        <w:spacing w:after="0" w:line="180" w:lineRule="exact"/>
        <w:rPr>
          <w:sz w:val="20"/>
          <w:szCs w:val="20"/>
          <w:color w:val="auto"/>
        </w:rPr>
      </w:pPr>
    </w:p>
    <w:p>
      <w:pPr>
        <w:ind w:right="560" w:firstLine="615"/>
        <w:spacing w:after="0" w:line="341" w:lineRule="auto"/>
        <w:rPr>
          <w:sz w:val="20"/>
          <w:szCs w:val="20"/>
          <w:color w:val="auto"/>
        </w:rPr>
      </w:pPr>
      <w:r>
        <w:rPr>
          <w:rFonts w:ascii="Arial" w:cs="Arial" w:eastAsia="Arial" w:hAnsi="Arial"/>
          <w:sz w:val="15"/>
          <w:szCs w:val="15"/>
          <w:color w:val="auto"/>
        </w:rPr>
        <w:t>As discussed in Note 11 to the consolidated financial statements, in 2007 the Company changed its method of accounting for uncertain tax provisions. As discussed in Note 2 to the consolidated financial statements, in 2006 the Company changed its method of accounting for share-based payments.</w:t>
      </w:r>
    </w:p>
    <w:p>
      <w:pPr>
        <w:spacing w:after="0" w:line="125" w:lineRule="exact"/>
        <w:rPr>
          <w:sz w:val="20"/>
          <w:szCs w:val="20"/>
          <w:color w:val="auto"/>
        </w:rPr>
      </w:pPr>
    </w:p>
    <w:p>
      <w:pPr>
        <w:jc w:val="both"/>
        <w:ind w:right="320" w:firstLine="615"/>
        <w:spacing w:after="0" w:line="31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Emergent BioSolutions Inc. and Subsidiaries’ internal control over financial reporting as of December 31, 2007, based on criteria established in Internal Control – Integrated Framework issued by the Committee of Sponsoring Organizations of the Treadway Commission and our report dated March 6, 2008 expressed an unqualified opinion thereon.</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189865</wp:posOffset>
            </wp:positionV>
            <wp:extent cx="72790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tbl>
      <w:tblPr>
        <w:tblLayout w:type="fixed"/>
        <w:tblInd w:w="100" w:type="dxa"/>
        <w:tblCellMar>
          <w:top w:w="0" w:type="dxa"/>
          <w:left w:w="0" w:type="dxa"/>
          <w:bottom w:w="0" w:type="dxa"/>
          <w:right w:w="0" w:type="dxa"/>
        </w:tblCellMar>
      </w:tblPr>
      <w:tr>
        <w:trPr>
          <w:trHeight w:val="166"/>
        </w:trPr>
        <w:tc>
          <w:tcPr>
            <w:tcW w:w="4360" w:type="dxa"/>
            <w:vAlign w:val="bottom"/>
          </w:tcPr>
          <w:p>
            <w:pPr>
              <w:jc w:val="center"/>
              <w:ind w:left="1016"/>
              <w:spacing w:after="0"/>
              <w:rPr>
                <w:sz w:val="20"/>
                <w:szCs w:val="20"/>
                <w:color w:val="auto"/>
              </w:rPr>
            </w:pPr>
            <w:r>
              <w:rPr>
                <w:rFonts w:ascii="Arial" w:cs="Arial" w:eastAsia="Arial" w:hAnsi="Arial"/>
                <w:sz w:val="13"/>
                <w:szCs w:val="13"/>
                <w:b w:val="1"/>
                <w:bCs w:val="1"/>
                <w:color w:val="auto"/>
                <w:w w:val="87"/>
              </w:rPr>
              <w:t>Emergent BioSolutions Inc. and Subsidiaries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5"/>
        </w:trPr>
        <w:tc>
          <w:tcPr>
            <w:tcW w:w="4360" w:type="dxa"/>
            <w:vAlign w:val="bottom"/>
          </w:tcPr>
          <w:p>
            <w:pPr>
              <w:jc w:val="center"/>
              <w:ind w:left="1016"/>
              <w:spacing w:after="0"/>
              <w:rPr>
                <w:sz w:val="20"/>
                <w:szCs w:val="20"/>
                <w:color w:val="auto"/>
              </w:rPr>
            </w:pPr>
            <w:r>
              <w:rPr>
                <w:rFonts w:ascii="Arial" w:cs="Arial" w:eastAsia="Arial" w:hAnsi="Arial"/>
                <w:sz w:val="13"/>
                <w:szCs w:val="13"/>
                <w:b w:val="1"/>
                <w:bCs w:val="1"/>
                <w:color w:val="auto"/>
                <w:w w:val="85"/>
              </w:rPr>
              <w:t>Consolidated Balance Sheets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tcPr>
          <w:p>
            <w:pPr>
              <w:jc w:val="center"/>
              <w:ind w:left="1036"/>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640" w:type="dxa"/>
            <w:vAlign w:val="bottom"/>
          </w:tcPr>
          <w:p>
            <w:pPr>
              <w:spacing w:after="0"/>
              <w:rPr>
                <w:sz w:val="17"/>
                <w:szCs w:val="17"/>
                <w:color w:val="auto"/>
              </w:rPr>
            </w:pPr>
          </w:p>
        </w:tc>
      </w:tr>
      <w:tr>
        <w:trPr>
          <w:trHeight w:val="26"/>
        </w:trPr>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78"/>
        </w:trPr>
        <w:tc>
          <w:tcPr>
            <w:tcW w:w="436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2006</w:t>
            </w:r>
          </w:p>
        </w:tc>
      </w:tr>
      <w:tr>
        <w:trPr>
          <w:trHeight w:val="172"/>
        </w:trPr>
        <w:tc>
          <w:tcPr>
            <w:tcW w:w="4360" w:type="dxa"/>
            <w:vAlign w:val="bottom"/>
            <w:tcBorders>
              <w:bottom w:val="single" w:sz="8" w:color="CCFFCC"/>
            </w:tcBorders>
            <w:shd w:val="clear" w:color="auto" w:fill="CCFFCC"/>
          </w:tcPr>
          <w:p>
            <w:pPr>
              <w:ind w:left="1920"/>
              <w:spacing w:after="0"/>
              <w:rPr>
                <w:sz w:val="20"/>
                <w:szCs w:val="20"/>
                <w:color w:val="auto"/>
              </w:rPr>
            </w:pPr>
            <w:r>
              <w:rPr>
                <w:rFonts w:ascii="Arial" w:cs="Arial" w:eastAsia="Arial" w:hAnsi="Arial"/>
                <w:sz w:val="13"/>
                <w:szCs w:val="13"/>
                <w:b w:val="1"/>
                <w:bCs w:val="1"/>
                <w:color w:val="auto"/>
              </w:rPr>
              <w:t>ASSETS</w:t>
            </w:r>
          </w:p>
        </w:tc>
        <w:tc>
          <w:tcPr>
            <w:tcW w:w="340" w:type="dxa"/>
            <w:vAlign w:val="bottom"/>
            <w:tcBorders>
              <w:bottom w:val="single" w:sz="8" w:color="CCFFCC"/>
            </w:tcBorders>
            <w:shd w:val="clear" w:color="auto" w:fill="CCFFCC"/>
          </w:tcPr>
          <w:p>
            <w:pPr>
              <w:spacing w:after="0"/>
              <w:rPr>
                <w:sz w:val="14"/>
                <w:szCs w:val="14"/>
                <w:color w:val="auto"/>
              </w:rPr>
            </w:pPr>
          </w:p>
        </w:tc>
        <w:tc>
          <w:tcPr>
            <w:tcW w:w="76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CCFFCC"/>
            </w:tcBorders>
            <w:shd w:val="clear" w:color="auto" w:fill="CCFFCC"/>
          </w:tcPr>
          <w:p>
            <w:pPr>
              <w:spacing w:after="0"/>
              <w:rPr>
                <w:sz w:val="14"/>
                <w:szCs w:val="14"/>
                <w:color w:val="auto"/>
              </w:rPr>
            </w:pPr>
          </w:p>
        </w:tc>
      </w:tr>
      <w:tr>
        <w:trPr>
          <w:trHeight w:val="205"/>
        </w:trPr>
        <w:tc>
          <w:tcPr>
            <w:tcW w:w="4360" w:type="dxa"/>
            <w:vAlign w:val="bottom"/>
          </w:tcPr>
          <w:p>
            <w:pPr>
              <w:ind w:left="80"/>
              <w:spacing w:after="0"/>
              <w:rPr>
                <w:sz w:val="20"/>
                <w:szCs w:val="20"/>
                <w:color w:val="auto"/>
              </w:rPr>
            </w:pPr>
            <w:r>
              <w:rPr>
                <w:rFonts w:ascii="Arial" w:cs="Arial" w:eastAsia="Arial" w:hAnsi="Arial"/>
                <w:sz w:val="13"/>
                <w:szCs w:val="13"/>
                <w:color w:val="auto"/>
              </w:rPr>
              <w:t>Current assets: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Cash and cash equivalents</w:t>
            </w:r>
          </w:p>
        </w:tc>
        <w:tc>
          <w:tcPr>
            <w:tcW w:w="340" w:type="dxa"/>
            <w:vAlign w:val="bottom"/>
            <w:shd w:val="clear" w:color="auto" w:fill="CCFFCC"/>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105,730</w:t>
            </w:r>
          </w:p>
        </w:tc>
        <w:tc>
          <w:tcPr>
            <w:tcW w:w="44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76,418</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Accounts receivable</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18,817</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43,331</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Inventories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16,897</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24,721</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Income taxes receivable</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869</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tax assets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295</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2,866</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1,703</w:t>
            </w:r>
          </w:p>
        </w:tc>
      </w:tr>
      <w:tr>
        <w:trPr>
          <w:trHeight w:val="185"/>
        </w:trPr>
        <w:tc>
          <w:tcPr>
            <w:tcW w:w="4360" w:type="dxa"/>
            <w:vAlign w:val="bottom"/>
            <w:shd w:val="clear" w:color="auto" w:fill="CCFFCC"/>
          </w:tcPr>
          <w:p>
            <w:pPr>
              <w:ind w:left="360"/>
              <w:spacing w:after="0"/>
              <w:rPr>
                <w:sz w:val="20"/>
                <w:szCs w:val="20"/>
                <w:color w:val="auto"/>
              </w:rPr>
            </w:pPr>
            <w:r>
              <w:rPr>
                <w:rFonts w:ascii="Arial" w:cs="Arial" w:eastAsia="Arial" w:hAnsi="Arial"/>
                <w:sz w:val="13"/>
                <w:szCs w:val="13"/>
                <w:color w:val="auto"/>
              </w:rPr>
              <w:t>Total current assets</w:t>
            </w:r>
          </w:p>
        </w:tc>
        <w:tc>
          <w:tcPr>
            <w:tcW w:w="3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144,310</w:t>
            </w:r>
          </w:p>
        </w:tc>
        <w:tc>
          <w:tcPr>
            <w:tcW w:w="440" w:type="dxa"/>
            <w:vAlign w:val="bottom"/>
            <w:tcBorders>
              <w:bottom w:val="single" w:sz="8" w:color="auto"/>
            </w:tcBorders>
            <w:shd w:val="clear" w:color="auto" w:fill="CCFFCC"/>
          </w:tcPr>
          <w:p>
            <w:pPr>
              <w:spacing w:after="0"/>
              <w:rPr>
                <w:sz w:val="16"/>
                <w:szCs w:val="16"/>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147,337</w:t>
            </w:r>
          </w:p>
        </w:tc>
      </w:tr>
      <w:tr>
        <w:trPr>
          <w:trHeight w:val="185"/>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Property, plant and equipment, net</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110,218</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78,174</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Deferred tax assets, net of current</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12,397</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11,477</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Restricted cash</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5,200</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192</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Other assets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1,383</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1,075</w:t>
            </w:r>
          </w:p>
        </w:tc>
      </w:tr>
      <w:tr>
        <w:trPr>
          <w:trHeight w:val="185"/>
        </w:trPr>
        <w:tc>
          <w:tcPr>
            <w:tcW w:w="436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r>
      <w:tr>
        <w:trPr>
          <w:trHeight w:val="232"/>
        </w:trPr>
        <w:tc>
          <w:tcPr>
            <w:tcW w:w="4360" w:type="dxa"/>
            <w:vAlign w:val="bottom"/>
            <w:tcBorders>
              <w:bottom w:val="single" w:sz="8" w:color="CCFFCC"/>
            </w:tcBorders>
          </w:tcPr>
          <w:p>
            <w:pPr>
              <w:ind w:left="360"/>
              <w:spacing w:after="0"/>
              <w:rPr>
                <w:sz w:val="20"/>
                <w:szCs w:val="20"/>
                <w:color w:val="auto"/>
              </w:rPr>
            </w:pPr>
            <w:r>
              <w:rPr>
                <w:rFonts w:ascii="Arial" w:cs="Arial" w:eastAsia="Arial" w:hAnsi="Arial"/>
                <w:sz w:val="13"/>
                <w:szCs w:val="13"/>
                <w:color w:val="auto"/>
              </w:rPr>
              <w:t>Total assets</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273,508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238,255</w:t>
            </w:r>
          </w:p>
        </w:tc>
      </w:tr>
      <w:tr>
        <w:trPr>
          <w:trHeight w:val="158"/>
        </w:trPr>
        <w:tc>
          <w:tcPr>
            <w:tcW w:w="436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760" w:type="dxa"/>
            <w:vAlign w:val="bottom"/>
            <w:shd w:val="clear" w:color="auto" w:fill="CCFFCC"/>
          </w:tcPr>
          <w:p>
            <w:pPr>
              <w:spacing w:after="0"/>
              <w:rPr>
                <w:sz w:val="13"/>
                <w:szCs w:val="13"/>
                <w:color w:val="auto"/>
              </w:rPr>
            </w:pPr>
          </w:p>
        </w:tc>
        <w:tc>
          <w:tcPr>
            <w:tcW w:w="4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05"/>
        </w:trPr>
        <w:tc>
          <w:tcPr>
            <w:tcW w:w="4360" w:type="dxa"/>
            <w:vAlign w:val="bottom"/>
          </w:tcPr>
          <w:p>
            <w:pPr>
              <w:ind w:left="780"/>
              <w:spacing w:after="0"/>
              <w:rPr>
                <w:sz w:val="20"/>
                <w:szCs w:val="20"/>
                <w:color w:val="auto"/>
              </w:rPr>
            </w:pPr>
            <w:r>
              <w:rPr>
                <w:rFonts w:ascii="Arial" w:cs="Arial" w:eastAsia="Arial" w:hAnsi="Arial"/>
                <w:sz w:val="13"/>
                <w:szCs w:val="13"/>
                <w:b w:val="1"/>
                <w:bCs w:val="1"/>
                <w:color w:val="auto"/>
              </w:rPr>
              <w:t>LIABILITIES AND STOCKHOLDERS' EQUITY</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17,979</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27,366</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4,056</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3,270</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Accrued compensation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9,502</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7,190</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Indebtedness under lines of credit</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11,832</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8,930</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Long-term indebtedness, current portion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3,514</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2,456</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Income taxes payable</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7,665</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13,703</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Deferred tax liabilities</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211</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revenue, current portion</w:t>
            </w:r>
          </w:p>
        </w:tc>
        <w:tc>
          <w:tcPr>
            <w:tcW w:w="34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902</w:t>
            </w:r>
          </w:p>
        </w:tc>
        <w:tc>
          <w:tcPr>
            <w:tcW w:w="440" w:type="dxa"/>
            <w:vAlign w:val="bottom"/>
            <w:tcBorders>
              <w:bottom w:val="single" w:sz="8" w:color="auto"/>
            </w:tcBorders>
            <w:shd w:val="clear" w:color="auto" w:fill="CCFFCC"/>
          </w:tcPr>
          <w:p>
            <w:pPr>
              <w:spacing w:after="0"/>
              <w:rPr>
                <w:sz w:val="17"/>
                <w:szCs w:val="17"/>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1,432</w:t>
            </w:r>
          </w:p>
        </w:tc>
      </w:tr>
      <w:tr>
        <w:trPr>
          <w:trHeight w:val="185"/>
        </w:trPr>
        <w:tc>
          <w:tcPr>
            <w:tcW w:w="4360" w:type="dxa"/>
            <w:vAlign w:val="bottom"/>
          </w:tcPr>
          <w:p>
            <w:pPr>
              <w:ind w:left="360"/>
              <w:spacing w:after="0"/>
              <w:rPr>
                <w:sz w:val="20"/>
                <w:szCs w:val="20"/>
                <w:color w:val="auto"/>
              </w:rPr>
            </w:pPr>
            <w:r>
              <w:rPr>
                <w:rFonts w:ascii="Arial" w:cs="Arial" w:eastAsia="Arial" w:hAnsi="Arial"/>
                <w:sz w:val="13"/>
                <w:szCs w:val="13"/>
                <w:color w:val="auto"/>
              </w:rPr>
              <w:t>Total current liabilities</w:t>
            </w:r>
          </w:p>
        </w:tc>
        <w:tc>
          <w:tcPr>
            <w:tcW w:w="340" w:type="dxa"/>
            <w:vAlign w:val="bottom"/>
          </w:tcPr>
          <w:p>
            <w:pPr>
              <w:spacing w:after="0"/>
              <w:rPr>
                <w:sz w:val="16"/>
                <w:szCs w:val="16"/>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55,661</w:t>
            </w:r>
          </w:p>
        </w:tc>
        <w:tc>
          <w:tcPr>
            <w:tcW w:w="440" w:type="dxa"/>
            <w:vAlign w:val="bottom"/>
          </w:tcPr>
          <w:p>
            <w:pPr>
              <w:spacing w:after="0"/>
              <w:rPr>
                <w:sz w:val="16"/>
                <w:szCs w:val="16"/>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64,347</w:t>
            </w:r>
          </w:p>
        </w:tc>
      </w:tr>
      <w:tr>
        <w:trPr>
          <w:trHeight w:val="205"/>
        </w:trPr>
        <w:tc>
          <w:tcPr>
            <w:tcW w:w="43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Long-term indebtedness, net of current portion</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42,588</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31,368</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Deferred revenue, net of current portion</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2,473</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2,997</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Other liabilities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1,627</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1,071</w:t>
            </w:r>
          </w:p>
        </w:tc>
      </w:tr>
      <w:tr>
        <w:trPr>
          <w:trHeight w:val="185"/>
        </w:trPr>
        <w:tc>
          <w:tcPr>
            <w:tcW w:w="4360" w:type="dxa"/>
            <w:vAlign w:val="bottom"/>
            <w:shd w:val="clear" w:color="auto" w:fill="CCFFCC"/>
          </w:tcPr>
          <w:p>
            <w:pPr>
              <w:ind w:left="360"/>
              <w:spacing w:after="0"/>
              <w:rPr>
                <w:sz w:val="20"/>
                <w:szCs w:val="20"/>
                <w:color w:val="auto"/>
              </w:rPr>
            </w:pPr>
            <w:r>
              <w:rPr>
                <w:rFonts w:ascii="Arial" w:cs="Arial" w:eastAsia="Arial" w:hAnsi="Arial"/>
                <w:sz w:val="13"/>
                <w:szCs w:val="13"/>
                <w:color w:val="auto"/>
              </w:rPr>
              <w:t>Total liabilities</w:t>
            </w:r>
          </w:p>
        </w:tc>
        <w:tc>
          <w:tcPr>
            <w:tcW w:w="340" w:type="dxa"/>
            <w:vAlign w:val="bottom"/>
            <w:shd w:val="clear" w:color="auto" w:fill="CCFFCC"/>
          </w:tcPr>
          <w:p>
            <w:pPr>
              <w:spacing w:after="0"/>
              <w:rPr>
                <w:sz w:val="16"/>
                <w:szCs w:val="16"/>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102,349</w:t>
            </w:r>
          </w:p>
        </w:tc>
        <w:tc>
          <w:tcPr>
            <w:tcW w:w="44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99,783</w:t>
            </w:r>
          </w:p>
        </w:tc>
      </w:tr>
      <w:tr>
        <w:trPr>
          <w:trHeight w:val="192"/>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Commitments and contingencies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5"/>
        </w:trPr>
        <w:tc>
          <w:tcPr>
            <w:tcW w:w="4360" w:type="dxa"/>
            <w:vAlign w:val="bottom"/>
            <w:shd w:val="clear" w:color="auto" w:fill="CCFFCC"/>
          </w:tcPr>
          <w:p>
            <w:pPr>
              <w:ind w:left="80"/>
              <w:spacing w:after="0"/>
              <w:rPr>
                <w:sz w:val="20"/>
                <w:szCs w:val="20"/>
                <w:color w:val="auto"/>
              </w:rPr>
            </w:pPr>
            <w:r>
              <w:rPr>
                <w:rFonts w:ascii="Arial" w:cs="Arial" w:eastAsia="Arial" w:hAnsi="Arial"/>
                <w:sz w:val="13"/>
                <w:szCs w:val="13"/>
                <w:color w:val="auto"/>
              </w:rPr>
              <w:t>Stockholders’ equity:</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r>
      <w:tr>
        <w:trPr>
          <w:trHeight w:val="132"/>
        </w:trPr>
        <w:tc>
          <w:tcPr>
            <w:tcW w:w="4360" w:type="dxa"/>
            <w:vAlign w:val="bottom"/>
          </w:tcPr>
          <w:p>
            <w:pPr>
              <w:ind w:left="220"/>
              <w:spacing w:after="0" w:line="133" w:lineRule="exact"/>
              <w:rPr>
                <w:sz w:val="20"/>
                <w:szCs w:val="20"/>
                <w:color w:val="auto"/>
              </w:rPr>
            </w:pPr>
            <w:r>
              <w:rPr>
                <w:rFonts w:ascii="Arial" w:cs="Arial" w:eastAsia="Arial" w:hAnsi="Arial"/>
                <w:sz w:val="13"/>
                <w:szCs w:val="13"/>
                <w:color w:val="auto"/>
                <w:w w:val="96"/>
              </w:rPr>
              <w:t>Preferred Stock $0.001 par value; 15,000,000 shares authorized, 0 shares</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0"/>
        </w:trPr>
        <w:tc>
          <w:tcPr>
            <w:tcW w:w="4360" w:type="dxa"/>
            <w:vAlign w:val="bottom"/>
          </w:tcPr>
          <w:p>
            <w:pPr>
              <w:ind w:left="380"/>
              <w:spacing w:after="0"/>
              <w:rPr>
                <w:sz w:val="20"/>
                <w:szCs w:val="20"/>
                <w:color w:val="auto"/>
              </w:rPr>
            </w:pPr>
            <w:r>
              <w:rPr>
                <w:rFonts w:ascii="Arial" w:cs="Arial" w:eastAsia="Arial" w:hAnsi="Arial"/>
                <w:sz w:val="13"/>
                <w:szCs w:val="13"/>
                <w:color w:val="auto"/>
                <w:w w:val="99"/>
              </w:rPr>
              <w:t>issued and outstanding at December 31, 2007 and 2006, respectively</w:t>
            </w:r>
          </w:p>
        </w:tc>
        <w:tc>
          <w:tcPr>
            <w:tcW w:w="340" w:type="dxa"/>
            <w:vAlign w:val="bottom"/>
          </w:tcPr>
          <w:p>
            <w:pPr>
              <w:spacing w:after="0"/>
              <w:rPr>
                <w:sz w:val="13"/>
                <w:szCs w:val="13"/>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32"/>
        </w:trPr>
        <w:tc>
          <w:tcPr>
            <w:tcW w:w="4360" w:type="dxa"/>
            <w:vAlign w:val="bottom"/>
            <w:shd w:val="clear" w:color="auto" w:fill="CCFFCC"/>
          </w:tcPr>
          <w:p>
            <w:pPr>
              <w:ind w:left="220"/>
              <w:spacing w:after="0" w:line="133" w:lineRule="exact"/>
              <w:rPr>
                <w:sz w:val="20"/>
                <w:szCs w:val="20"/>
                <w:color w:val="auto"/>
              </w:rPr>
            </w:pPr>
            <w:r>
              <w:rPr>
                <w:rFonts w:ascii="Arial" w:cs="Arial" w:eastAsia="Arial" w:hAnsi="Arial"/>
                <w:sz w:val="13"/>
                <w:szCs w:val="13"/>
                <w:color w:val="auto"/>
                <w:w w:val="91"/>
              </w:rPr>
              <w:t>Common Stock, $0.001 par value; 100,000,000 shares authorized, 29,750,237</w:t>
            </w:r>
          </w:p>
        </w:tc>
        <w:tc>
          <w:tcPr>
            <w:tcW w:w="34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r>
      <w:tr>
        <w:trPr>
          <w:trHeight w:val="141"/>
        </w:trPr>
        <w:tc>
          <w:tcPr>
            <w:tcW w:w="4360" w:type="dxa"/>
            <w:vAlign w:val="bottom"/>
            <w:shd w:val="clear" w:color="auto" w:fill="CCFFCC"/>
          </w:tcPr>
          <w:p>
            <w:pPr>
              <w:ind w:left="380"/>
              <w:spacing w:after="0" w:line="141" w:lineRule="exact"/>
              <w:rPr>
                <w:sz w:val="20"/>
                <w:szCs w:val="20"/>
                <w:color w:val="auto"/>
              </w:rPr>
            </w:pPr>
            <w:r>
              <w:rPr>
                <w:rFonts w:ascii="Arial" w:cs="Arial" w:eastAsia="Arial" w:hAnsi="Arial"/>
                <w:sz w:val="13"/>
                <w:szCs w:val="13"/>
                <w:color w:val="auto"/>
                <w:w w:val="92"/>
              </w:rPr>
              <w:t>and 27,596,249 shares issued and outstanding at December 31, 2007 and</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r>
      <w:tr>
        <w:trPr>
          <w:trHeight w:val="150"/>
        </w:trPr>
        <w:tc>
          <w:tcPr>
            <w:tcW w:w="4360" w:type="dxa"/>
            <w:vAlign w:val="bottom"/>
            <w:shd w:val="clear" w:color="auto" w:fill="CCFFCC"/>
          </w:tcPr>
          <w:p>
            <w:pPr>
              <w:ind w:left="380"/>
              <w:spacing w:after="0"/>
              <w:rPr>
                <w:sz w:val="20"/>
                <w:szCs w:val="20"/>
                <w:color w:val="auto"/>
              </w:rPr>
            </w:pPr>
            <w:r>
              <w:rPr>
                <w:rFonts w:ascii="Arial" w:cs="Arial" w:eastAsia="Arial" w:hAnsi="Arial"/>
                <w:sz w:val="13"/>
                <w:szCs w:val="13"/>
                <w:color w:val="auto"/>
              </w:rPr>
              <w:t>2006, respectively</w:t>
            </w:r>
          </w:p>
        </w:tc>
        <w:tc>
          <w:tcPr>
            <w:tcW w:w="340" w:type="dxa"/>
            <w:vAlign w:val="bottom"/>
            <w:shd w:val="clear" w:color="auto" w:fill="CCFFCC"/>
          </w:tcPr>
          <w:p>
            <w:pPr>
              <w:spacing w:after="0"/>
              <w:rPr>
                <w:sz w:val="13"/>
                <w:szCs w:val="13"/>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30</w:t>
            </w:r>
          </w:p>
        </w:tc>
        <w:tc>
          <w:tcPr>
            <w:tcW w:w="440" w:type="dxa"/>
            <w:vAlign w:val="bottom"/>
            <w:shd w:val="clear" w:color="auto" w:fill="CCFFCC"/>
          </w:tcPr>
          <w:p>
            <w:pPr>
              <w:spacing w:after="0"/>
              <w:rPr>
                <w:sz w:val="13"/>
                <w:szCs w:val="13"/>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w:t>
            </w:r>
          </w:p>
        </w:tc>
      </w:tr>
      <w:tr>
        <w:trPr>
          <w:trHeight w:val="205"/>
        </w:trPr>
        <w:tc>
          <w:tcPr>
            <w:tcW w:w="436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7"/>
                <w:szCs w:val="17"/>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101,933</w:t>
            </w:r>
          </w:p>
        </w:tc>
        <w:tc>
          <w:tcPr>
            <w:tcW w:w="440" w:type="dxa"/>
            <w:vAlign w:val="bottom"/>
          </w:tcPr>
          <w:p>
            <w:pPr>
              <w:spacing w:after="0"/>
              <w:rPr>
                <w:sz w:val="17"/>
                <w:szCs w:val="17"/>
                <w:color w:val="auto"/>
              </w:rPr>
            </w:pP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90,920</w:t>
            </w:r>
          </w:p>
        </w:tc>
      </w:tr>
      <w:tr>
        <w:trPr>
          <w:trHeight w:val="20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Accumulated other comprehensive loss</w:t>
            </w:r>
          </w:p>
        </w:tc>
        <w:tc>
          <w:tcPr>
            <w:tcW w:w="340" w:type="dxa"/>
            <w:vAlign w:val="bottom"/>
            <w:shd w:val="clear" w:color="auto" w:fill="CCFFCC"/>
          </w:tcPr>
          <w:p>
            <w:pPr>
              <w:spacing w:after="0"/>
              <w:rPr>
                <w:sz w:val="17"/>
                <w:szCs w:val="17"/>
                <w:color w:val="auto"/>
              </w:rPr>
            </w:pPr>
          </w:p>
        </w:tc>
        <w:tc>
          <w:tcPr>
            <w:tcW w:w="7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(1,130)</w:t>
            </w:r>
          </w:p>
        </w:tc>
        <w:tc>
          <w:tcPr>
            <w:tcW w:w="440" w:type="dxa"/>
            <w:vAlign w:val="bottom"/>
            <w:shd w:val="clear" w:color="auto" w:fill="CCFFCC"/>
          </w:tcPr>
          <w:p>
            <w:pPr>
              <w:spacing w:after="0"/>
              <w:rPr>
                <w:sz w:val="17"/>
                <w:szCs w:val="17"/>
                <w:color w:val="auto"/>
              </w:rPr>
            </w:pPr>
          </w:p>
        </w:tc>
        <w:tc>
          <w:tcPr>
            <w:tcW w:w="6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(473)</w:t>
            </w:r>
          </w:p>
        </w:tc>
      </w:tr>
      <w:tr>
        <w:trPr>
          <w:trHeight w:val="205"/>
        </w:trPr>
        <w:tc>
          <w:tcPr>
            <w:tcW w:w="4360" w:type="dxa"/>
            <w:vAlign w:val="bottom"/>
            <w:tcBorders>
              <w:bottom w:val="single" w:sz="8" w:color="CCFFCC"/>
            </w:tcBorders>
          </w:tcPr>
          <w:p>
            <w:pPr>
              <w:ind w:left="220"/>
              <w:spacing w:after="0"/>
              <w:rPr>
                <w:sz w:val="20"/>
                <w:szCs w:val="20"/>
                <w:color w:val="auto"/>
              </w:rPr>
            </w:pPr>
            <w:r>
              <w:rPr>
                <w:rFonts w:ascii="Arial" w:cs="Arial" w:eastAsia="Arial" w:hAnsi="Arial"/>
                <w:sz w:val="13"/>
                <w:szCs w:val="13"/>
                <w:color w:val="auto"/>
              </w:rPr>
              <w:t>Retained earnings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70,326</w:t>
            </w: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47,997</w:t>
            </w:r>
          </w:p>
        </w:tc>
      </w:tr>
      <w:tr>
        <w:trPr>
          <w:trHeight w:val="185"/>
        </w:trPr>
        <w:tc>
          <w:tcPr>
            <w:tcW w:w="43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Total stockholders’ equity</w:t>
            </w:r>
          </w:p>
        </w:tc>
        <w:tc>
          <w:tcPr>
            <w:tcW w:w="3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171,159</w:t>
            </w:r>
          </w:p>
        </w:tc>
        <w:tc>
          <w:tcPr>
            <w:tcW w:w="440" w:type="dxa"/>
            <w:vAlign w:val="bottom"/>
            <w:tcBorders>
              <w:bottom w:val="single" w:sz="8" w:color="auto"/>
            </w:tcBorders>
            <w:shd w:val="clear" w:color="auto" w:fill="CCFFCC"/>
          </w:tcPr>
          <w:p>
            <w:pPr>
              <w:spacing w:after="0"/>
              <w:rPr>
                <w:sz w:val="16"/>
                <w:szCs w:val="16"/>
                <w:color w:val="auto"/>
              </w:rPr>
            </w:pPr>
          </w:p>
        </w:tc>
        <w:tc>
          <w:tcPr>
            <w:tcW w:w="6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138,472</w:t>
            </w:r>
          </w:p>
        </w:tc>
      </w:tr>
      <w:tr>
        <w:trPr>
          <w:trHeight w:val="172"/>
        </w:trPr>
        <w:tc>
          <w:tcPr>
            <w:tcW w:w="4360" w:type="dxa"/>
            <w:vAlign w:val="bottom"/>
          </w:tcPr>
          <w:p>
            <w:pPr>
              <w:ind w:left="220"/>
              <w:spacing w:after="0"/>
              <w:rPr>
                <w:sz w:val="20"/>
                <w:szCs w:val="20"/>
                <w:color w:val="auto"/>
              </w:rPr>
            </w:pPr>
            <w:r>
              <w:rPr>
                <w:rFonts w:ascii="Arial" w:cs="Arial" w:eastAsia="Arial" w:hAnsi="Arial"/>
                <w:sz w:val="13"/>
                <w:szCs w:val="13"/>
                <w:color w:val="auto"/>
              </w:rPr>
              <w:t>Total liabilities and stockholders’ equity</w:t>
            </w: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273,508</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238,255</w:t>
            </w:r>
          </w:p>
        </w:tc>
      </w:tr>
      <w:tr>
        <w:trPr>
          <w:trHeight w:val="20"/>
        </w:trPr>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152"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290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88"/>
              </w:rPr>
              <w:t>Emergent BioSolutions Inc. and Subsidiaries</w:t>
            </w: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2700" w:type="dxa"/>
            <w:vAlign w:val="bottom"/>
          </w:tcPr>
          <w:p>
            <w:pPr>
              <w:spacing w:after="0"/>
              <w:rPr>
                <w:sz w:val="16"/>
                <w:szCs w:val="16"/>
                <w:color w:val="auto"/>
              </w:rPr>
            </w:pPr>
          </w:p>
        </w:tc>
        <w:tc>
          <w:tcPr>
            <w:tcW w:w="2440" w:type="dxa"/>
            <w:vAlign w:val="bottom"/>
            <w:gridSpan w:val="3"/>
          </w:tcPr>
          <w:p>
            <w:pPr>
              <w:jc w:val="center"/>
              <w:ind w:left="116"/>
              <w:spacing w:after="0"/>
              <w:rPr>
                <w:sz w:val="20"/>
                <w:szCs w:val="20"/>
                <w:color w:val="auto"/>
              </w:rPr>
            </w:pPr>
            <w:r>
              <w:rPr>
                <w:rFonts w:ascii="Arial" w:cs="Arial" w:eastAsia="Arial" w:hAnsi="Arial"/>
                <w:sz w:val="13"/>
                <w:szCs w:val="13"/>
                <w:b w:val="1"/>
                <w:bCs w:val="1"/>
                <w:color w:val="auto"/>
                <w:w w:val="87"/>
              </w:rPr>
              <w:t>Consolidated Statements of Operations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tcPr>
          <w:p>
            <w:pPr>
              <w:spacing w:after="0"/>
              <w:rPr>
                <w:sz w:val="16"/>
                <w:szCs w:val="16"/>
                <w:color w:val="auto"/>
              </w:rPr>
            </w:pPr>
          </w:p>
        </w:tc>
        <w:tc>
          <w:tcPr>
            <w:tcW w:w="2900" w:type="dxa"/>
            <w:vAlign w:val="bottom"/>
            <w:gridSpan w:val="4"/>
          </w:tcPr>
          <w:p>
            <w:pPr>
              <w:jc w:val="center"/>
              <w:ind w:right="216"/>
              <w:spacing w:after="0"/>
              <w:rPr>
                <w:sz w:val="20"/>
                <w:szCs w:val="20"/>
                <w:color w:val="auto"/>
              </w:rPr>
            </w:pPr>
            <w:r>
              <w:rPr>
                <w:rFonts w:ascii="Arial" w:cs="Arial" w:eastAsia="Arial" w:hAnsi="Arial"/>
                <w:sz w:val="13"/>
                <w:szCs w:val="13"/>
                <w:b w:val="1"/>
                <w:bCs w:val="1"/>
                <w:color w:val="auto"/>
                <w:w w:val="87"/>
              </w:rPr>
              <w:t>(in thousands, except share and per share data)</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6"/>
        </w:trPr>
        <w:tc>
          <w:tcPr>
            <w:tcW w:w="2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66"/>
        </w:trPr>
        <w:tc>
          <w:tcPr>
            <w:tcW w:w="2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2007</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2006</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2005</w:t>
            </w:r>
          </w:p>
        </w:tc>
      </w:tr>
      <w:tr>
        <w:trPr>
          <w:trHeight w:val="179"/>
        </w:trPr>
        <w:tc>
          <w:tcPr>
            <w:tcW w:w="2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Revenues:</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Product sales</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169,799</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147,995</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127,271</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Contracts and grants</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13,116</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4,737</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3,417</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Total revenues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182,915</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152,732</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130,688</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Operating expense (income):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Cost of product sales</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40,309</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24,125</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31,603</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53,958</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45,501</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18,381</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Selling, general and administrative</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55,555</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44,601</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42,793</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w w:val="86"/>
              </w:rPr>
              <w:t>Purchased in-process research and development</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26,575</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Litigation settlement</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(10,000)</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Income from operations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33,093</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38,028</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21,336</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Other income (expense):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income</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2,809</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846</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485</w:t>
            </w:r>
          </w:p>
        </w:tc>
      </w:tr>
      <w:tr>
        <w:trPr>
          <w:trHeight w:val="192"/>
        </w:trPr>
        <w:tc>
          <w:tcPr>
            <w:tcW w:w="270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(71)</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(1,152)</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(767)</w:t>
            </w:r>
          </w:p>
        </w:tc>
      </w:tr>
      <w:tr>
        <w:trPr>
          <w:trHeight w:val="192"/>
        </w:trPr>
        <w:tc>
          <w:tcPr>
            <w:tcW w:w="2700" w:type="dxa"/>
            <w:vAlign w:val="bottom"/>
            <w:shd w:val="clear" w:color="auto" w:fill="CCFFCC"/>
          </w:tcPr>
          <w:p>
            <w:pPr>
              <w:ind w:left="240"/>
              <w:spacing w:after="0"/>
              <w:rPr>
                <w:sz w:val="20"/>
                <w:szCs w:val="20"/>
                <w:color w:val="auto"/>
              </w:rPr>
            </w:pPr>
            <w:r>
              <w:rPr>
                <w:rFonts w:ascii="Arial" w:cs="Arial" w:eastAsia="Arial" w:hAnsi="Arial"/>
                <w:sz w:val="13"/>
                <w:szCs w:val="13"/>
                <w:color w:val="auto"/>
              </w:rPr>
              <w:t>Other income (expense), net</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156</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293</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55</w:t>
            </w:r>
          </w:p>
        </w:tc>
      </w:tr>
      <w:tr>
        <w:trPr>
          <w:trHeight w:val="17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Total other income (expense)</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2,894</w:t>
            </w:r>
          </w:p>
        </w:tc>
        <w:tc>
          <w:tcPr>
            <w:tcW w:w="46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(227)</w:t>
            </w:r>
          </w:p>
        </w:tc>
      </w:tr>
      <w:tr>
        <w:trPr>
          <w:trHeight w:val="192"/>
        </w:trPr>
        <w:tc>
          <w:tcPr>
            <w:tcW w:w="270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spacing w:after="0"/>
              <w:rPr>
                <w:sz w:val="16"/>
                <w:szCs w:val="16"/>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Income before provision for income taxes</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35,987</w:t>
            </w:r>
          </w:p>
        </w:tc>
        <w:tc>
          <w:tcPr>
            <w:tcW w:w="46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38,015</w:t>
            </w:r>
          </w:p>
        </w:tc>
        <w:tc>
          <w:tcPr>
            <w:tcW w:w="420" w:type="dxa"/>
            <w:vAlign w:val="bottom"/>
          </w:tcPr>
          <w:p>
            <w:pPr>
              <w:spacing w:after="0"/>
              <w:rPr>
                <w:sz w:val="16"/>
                <w:szCs w:val="16"/>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21,109</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Provision for income taxes</w:t>
            </w:r>
          </w:p>
        </w:tc>
        <w:tc>
          <w:tcPr>
            <w:tcW w:w="700" w:type="dxa"/>
            <w:vAlign w:val="bottom"/>
            <w:shd w:val="clear" w:color="auto" w:fill="CCFFCC"/>
          </w:tcPr>
          <w:p>
            <w:pPr>
              <w:spacing w:after="0"/>
              <w:rPr>
                <w:sz w:val="16"/>
                <w:szCs w:val="16"/>
                <w:color w:val="auto"/>
              </w:rPr>
            </w:pPr>
          </w:p>
        </w:tc>
        <w:tc>
          <w:tcPr>
            <w:tcW w:w="56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13,051</w:t>
            </w:r>
          </w:p>
        </w:tc>
        <w:tc>
          <w:tcPr>
            <w:tcW w:w="460" w:type="dxa"/>
            <w:vAlign w:val="bottom"/>
            <w:tcBorders>
              <w:bottom w:val="single" w:sz="8" w:color="auto"/>
            </w:tcBorders>
            <w:shd w:val="clear" w:color="auto" w:fill="CCFFCC"/>
          </w:tcPr>
          <w:p>
            <w:pPr>
              <w:spacing w:after="0"/>
              <w:rPr>
                <w:sz w:val="16"/>
                <w:szCs w:val="16"/>
                <w:color w:val="auto"/>
              </w:rPr>
            </w:pPr>
          </w:p>
        </w:tc>
        <w:tc>
          <w:tcPr>
            <w:tcW w:w="10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15,222</w:t>
            </w:r>
          </w:p>
        </w:tc>
        <w:tc>
          <w:tcPr>
            <w:tcW w:w="420" w:type="dxa"/>
            <w:vAlign w:val="bottom"/>
            <w:tcBorders>
              <w:bottom w:val="single" w:sz="8" w:color="auto"/>
            </w:tcBorders>
            <w:shd w:val="clear" w:color="auto" w:fill="CCFFCC"/>
          </w:tcPr>
          <w:p>
            <w:pPr>
              <w:spacing w:after="0"/>
              <w:rPr>
                <w:sz w:val="16"/>
                <w:szCs w:val="16"/>
                <w:color w:val="auto"/>
              </w:rPr>
            </w:pPr>
          </w:p>
        </w:tc>
        <w:tc>
          <w:tcPr>
            <w:tcW w:w="9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5,325</w:t>
            </w:r>
          </w:p>
        </w:tc>
      </w:tr>
      <w:tr>
        <w:trPr>
          <w:trHeight w:val="199"/>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Net income</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22,936</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22,793</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15,784</w:t>
            </w:r>
          </w:p>
        </w:tc>
      </w:tr>
      <w:tr>
        <w:trPr>
          <w:trHeight w:val="145"/>
        </w:trPr>
        <w:tc>
          <w:tcPr>
            <w:tcW w:w="270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auto"/>
            </w:tcBorders>
            <w:shd w:val="clear" w:color="auto" w:fill="CCFFCC"/>
          </w:tcPr>
          <w:p>
            <w:pPr>
              <w:spacing w:after="0"/>
              <w:rPr>
                <w:sz w:val="12"/>
                <w:szCs w:val="12"/>
                <w:color w:val="auto"/>
              </w:rPr>
            </w:pPr>
          </w:p>
        </w:tc>
        <w:tc>
          <w:tcPr>
            <w:tcW w:w="1180" w:type="dxa"/>
            <w:vAlign w:val="bottom"/>
            <w:tcBorders>
              <w:top w:val="single" w:sz="8" w:color="auto"/>
            </w:tcBorders>
            <w:shd w:val="clear" w:color="auto" w:fill="CCFFCC"/>
          </w:tcPr>
          <w:p>
            <w:pPr>
              <w:spacing w:after="0"/>
              <w:rPr>
                <w:sz w:val="12"/>
                <w:szCs w:val="12"/>
                <w:color w:val="auto"/>
              </w:rPr>
            </w:pPr>
          </w:p>
        </w:tc>
        <w:tc>
          <w:tcPr>
            <w:tcW w:w="460" w:type="dxa"/>
            <w:vAlign w:val="bottom"/>
            <w:tcBorders>
              <w:top w:val="single" w:sz="8" w:color="auto"/>
            </w:tcBorders>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r>
      <w:tr>
        <w:trPr>
          <w:trHeight w:val="192"/>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rPr>
              <w:t>Earnings per share - basic</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0.79</w:t>
            </w: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0.99</w:t>
            </w:r>
          </w:p>
        </w:tc>
        <w:tc>
          <w:tcPr>
            <w:tcW w:w="42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0.77</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Earnings per share - diluted</w:t>
            </w:r>
          </w:p>
        </w:tc>
        <w:tc>
          <w:tcPr>
            <w:tcW w:w="1260" w:type="dxa"/>
            <w:vAlign w:val="bottom"/>
            <w:gridSpan w:val="2"/>
            <w:shd w:val="clear" w:color="auto" w:fill="CCFFCC"/>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0.77</w:t>
            </w:r>
          </w:p>
        </w:tc>
        <w:tc>
          <w:tcPr>
            <w:tcW w:w="460" w:type="dxa"/>
            <w:vAlign w:val="bottom"/>
            <w:shd w:val="clear" w:color="auto" w:fill="CCFFCC"/>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0.93</w:t>
            </w:r>
          </w:p>
        </w:tc>
        <w:tc>
          <w:tcPr>
            <w:tcW w:w="42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0.69</w:t>
            </w:r>
          </w:p>
        </w:tc>
      </w:tr>
      <w:tr>
        <w:trPr>
          <w:trHeight w:val="385"/>
        </w:trPr>
        <w:tc>
          <w:tcPr>
            <w:tcW w:w="2700" w:type="dxa"/>
            <w:vAlign w:val="bottom"/>
          </w:tcPr>
          <w:p>
            <w:pPr>
              <w:ind w:left="100"/>
              <w:spacing w:after="0"/>
              <w:rPr>
                <w:sz w:val="20"/>
                <w:szCs w:val="20"/>
                <w:color w:val="auto"/>
              </w:rPr>
            </w:pPr>
            <w:r>
              <w:rPr>
                <w:rFonts w:ascii="Arial" w:cs="Arial" w:eastAsia="Arial" w:hAnsi="Arial"/>
                <w:sz w:val="13"/>
                <w:szCs w:val="13"/>
                <w:b w:val="1"/>
                <w:bCs w:val="1"/>
                <w:color w:val="auto"/>
                <w:w w:val="95"/>
              </w:rPr>
              <w:t>Weighted-average number of shares - basic</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color w:val="auto"/>
              </w:rPr>
              <w:t>28,995,667</w:t>
            </w:r>
          </w:p>
        </w:tc>
        <w:tc>
          <w:tcPr>
            <w:tcW w:w="460" w:type="dxa"/>
            <w:vAlign w:val="bottom"/>
          </w:tcPr>
          <w:p>
            <w:pPr>
              <w:spacing w:after="0"/>
              <w:rPr>
                <w:sz w:val="24"/>
                <w:szCs w:val="24"/>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23,039,794</w:t>
            </w:r>
          </w:p>
        </w:tc>
        <w:tc>
          <w:tcPr>
            <w:tcW w:w="42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color w:val="auto"/>
              </w:rPr>
              <w:t>20,533,471</w:t>
            </w: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w w:val="92"/>
              </w:rPr>
              <w:t>Weighted-average number of shares - diluted</w:t>
            </w:r>
          </w:p>
        </w:tc>
        <w:tc>
          <w:tcPr>
            <w:tcW w:w="70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29,663,127</w:t>
            </w:r>
          </w:p>
        </w:tc>
        <w:tc>
          <w:tcPr>
            <w:tcW w:w="460" w:type="dxa"/>
            <w:vAlign w:val="bottom"/>
            <w:shd w:val="clear" w:color="auto" w:fill="CCFFCC"/>
          </w:tcPr>
          <w:p>
            <w:pPr>
              <w:spacing w:after="0"/>
              <w:rPr>
                <w:sz w:val="16"/>
                <w:szCs w:val="16"/>
                <w:color w:val="auto"/>
              </w:rPr>
            </w:pP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24,567,302</w:t>
            </w:r>
          </w:p>
        </w:tc>
        <w:tc>
          <w:tcPr>
            <w:tcW w:w="420" w:type="dxa"/>
            <w:vAlign w:val="bottom"/>
            <w:shd w:val="clear" w:color="auto" w:fill="CCFFCC"/>
          </w:tcPr>
          <w:p>
            <w:pPr>
              <w:spacing w:after="0"/>
              <w:rPr>
                <w:sz w:val="16"/>
                <w:szCs w:val="16"/>
                <w:color w:val="auto"/>
              </w:rPr>
            </w:pP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22,751,733</w:t>
            </w:r>
          </w:p>
        </w:tc>
      </w:tr>
      <w:tr>
        <w:trPr>
          <w:trHeight w:val="192"/>
        </w:trPr>
        <w:tc>
          <w:tcPr>
            <w:tcW w:w="2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270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Cash dividends per share - basic</w:t>
            </w:r>
          </w:p>
        </w:tc>
        <w:tc>
          <w:tcPr>
            <w:tcW w:w="1260" w:type="dxa"/>
            <w:vAlign w:val="bottom"/>
            <w:gridSpan w:val="2"/>
            <w:shd w:val="clear" w:color="auto" w:fill="CCFFCC"/>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FFCC"/>
          </w:tcPr>
          <w:p>
            <w:pPr>
              <w:jc w:val="right"/>
              <w:ind w:right="29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0.26</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357"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6"/>
        </w:trPr>
        <w:tc>
          <w:tcPr>
            <w:tcW w:w="5060" w:type="dxa"/>
            <w:vAlign w:val="bottom"/>
            <w:gridSpan w:val="2"/>
          </w:tcPr>
          <w:p>
            <w:pPr>
              <w:jc w:val="center"/>
              <w:ind w:left="2496"/>
              <w:spacing w:after="0"/>
              <w:rPr>
                <w:sz w:val="20"/>
                <w:szCs w:val="20"/>
                <w:color w:val="auto"/>
              </w:rPr>
            </w:pPr>
            <w:r>
              <w:rPr>
                <w:rFonts w:ascii="Arial" w:cs="Arial" w:eastAsia="Arial" w:hAnsi="Arial"/>
                <w:sz w:val="13"/>
                <w:szCs w:val="13"/>
                <w:b w:val="1"/>
                <w:bCs w:val="1"/>
                <w:color w:val="auto"/>
                <w:w w:val="88"/>
              </w:rPr>
              <w:t>Emergent BioSolutions Inc. and Subsidiaries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5060" w:type="dxa"/>
            <w:vAlign w:val="bottom"/>
            <w:gridSpan w:val="2"/>
          </w:tcPr>
          <w:p>
            <w:pPr>
              <w:jc w:val="center"/>
              <w:ind w:left="2496"/>
              <w:spacing w:after="0"/>
              <w:rPr>
                <w:sz w:val="20"/>
                <w:szCs w:val="20"/>
                <w:color w:val="auto"/>
              </w:rPr>
            </w:pPr>
            <w:r>
              <w:rPr>
                <w:rFonts w:ascii="Arial" w:cs="Arial" w:eastAsia="Arial" w:hAnsi="Arial"/>
                <w:sz w:val="13"/>
                <w:szCs w:val="13"/>
                <w:b w:val="1"/>
                <w:bCs w:val="1"/>
                <w:color w:val="auto"/>
                <w:w w:val="86"/>
              </w:rPr>
              <w:t>Consolidated Statements of Cash Flows</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4620" w:type="dxa"/>
            <w:vAlign w:val="bottom"/>
          </w:tcPr>
          <w:p>
            <w:pPr>
              <w:jc w:val="center"/>
              <w:ind w:left="2936"/>
              <w:spacing w:after="0"/>
              <w:rPr>
                <w:sz w:val="20"/>
                <w:szCs w:val="20"/>
                <w:color w:val="auto"/>
              </w:rPr>
            </w:pPr>
            <w:r>
              <w:rPr>
                <w:rFonts w:ascii="Arial" w:cs="Arial" w:eastAsia="Arial" w:hAnsi="Arial"/>
                <w:sz w:val="13"/>
                <w:szCs w:val="13"/>
                <w:b w:val="1"/>
                <w:bCs w:val="1"/>
                <w:color w:val="auto"/>
                <w:w w:val="87"/>
              </w:rPr>
              <w:t>(in thousands)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0"/>
        </w:trPr>
        <w:tc>
          <w:tcPr>
            <w:tcW w:w="46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Year Ended December 31,</w:t>
            </w:r>
          </w:p>
        </w:tc>
        <w:tc>
          <w:tcPr>
            <w:tcW w:w="580" w:type="dxa"/>
            <w:vAlign w:val="bottom"/>
            <w:tcBorders>
              <w:bottom w:val="single" w:sz="8" w:color="auto"/>
            </w:tcBorders>
          </w:tcPr>
          <w:p>
            <w:pPr>
              <w:spacing w:after="0"/>
              <w:rPr>
                <w:sz w:val="15"/>
                <w:szCs w:val="15"/>
                <w:color w:val="auto"/>
              </w:rPr>
            </w:pPr>
          </w:p>
        </w:tc>
      </w:tr>
      <w:tr>
        <w:trPr>
          <w:trHeight w:val="172"/>
        </w:trPr>
        <w:tc>
          <w:tcPr>
            <w:tcW w:w="4620" w:type="dxa"/>
            <w:vAlign w:val="bottom"/>
            <w:tcBorders>
              <w:bottom w:val="single" w:sz="8" w:color="CCFFC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2007</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2006</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2005</w:t>
            </w:r>
          </w:p>
        </w:tc>
      </w:tr>
      <w:tr>
        <w:trPr>
          <w:trHeight w:val="172"/>
        </w:trPr>
        <w:tc>
          <w:tcPr>
            <w:tcW w:w="46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Cash flows from operating activities:</w:t>
            </w:r>
          </w:p>
        </w:tc>
        <w:tc>
          <w:tcPr>
            <w:tcW w:w="440" w:type="dxa"/>
            <w:vAlign w:val="bottom"/>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22,936</w:t>
            </w:r>
          </w:p>
        </w:tc>
        <w:tc>
          <w:tcPr>
            <w:tcW w:w="4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22,793</w:t>
            </w:r>
          </w:p>
        </w:tc>
        <w:tc>
          <w:tcPr>
            <w:tcW w:w="4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15,784</w:t>
            </w:r>
          </w:p>
        </w:tc>
      </w:tr>
      <w:tr>
        <w:trPr>
          <w:trHeight w:val="235"/>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w w:val="95"/>
              </w:rPr>
              <w:t>Adjustments to reconcile net income to net cash provided by (used in) operating</w:t>
            </w:r>
          </w:p>
        </w:tc>
        <w:tc>
          <w:tcPr>
            <w:tcW w:w="44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r>
      <w:tr>
        <w:trPr>
          <w:trHeight w:val="150"/>
        </w:trPr>
        <w:tc>
          <w:tcPr>
            <w:tcW w:w="4620" w:type="dxa"/>
            <w:vAlign w:val="bottom"/>
            <w:shd w:val="clear" w:color="auto" w:fill="CCFFCC"/>
          </w:tcPr>
          <w:p>
            <w:pPr>
              <w:ind w:left="480"/>
              <w:spacing w:after="0"/>
              <w:rPr>
                <w:sz w:val="20"/>
                <w:szCs w:val="20"/>
                <w:color w:val="auto"/>
              </w:rPr>
            </w:pPr>
            <w:r>
              <w:rPr>
                <w:rFonts w:ascii="Arial" w:cs="Arial" w:eastAsia="Arial" w:hAnsi="Arial"/>
                <w:sz w:val="13"/>
                <w:szCs w:val="13"/>
                <w:color w:val="auto"/>
              </w:rPr>
              <w:t>activities (net of effects of acquisitions):</w:t>
            </w:r>
          </w:p>
        </w:tc>
        <w:tc>
          <w:tcPr>
            <w:tcW w:w="44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4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42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Stock-based compensation expense (credit)</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2,541</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723</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(17)</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Depreciation and amortization</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4,817</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4,715</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3,549</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Deferred income taxes</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5,589</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987</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w w:val="94"/>
              </w:rPr>
              <w:t>(10,968)</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Loss on disposal of property and equipment</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32</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Purchased in-process research and development</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477</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26,575</w:t>
            </w:r>
          </w:p>
        </w:tc>
      </w:tr>
      <w:tr>
        <w:trPr>
          <w:trHeight w:val="192"/>
        </w:trPr>
        <w:tc>
          <w:tcPr>
            <w:tcW w:w="4620" w:type="dxa"/>
            <w:vAlign w:val="bottom"/>
            <w:shd w:val="clear" w:color="auto" w:fill="CCFFCC"/>
          </w:tcPr>
          <w:p>
            <w:pPr>
              <w:ind w:left="360"/>
              <w:spacing w:after="0"/>
              <w:rPr>
                <w:sz w:val="20"/>
                <w:szCs w:val="20"/>
                <w:color w:val="auto"/>
              </w:rPr>
            </w:pPr>
            <w:r>
              <w:rPr>
                <w:rFonts w:ascii="Arial" w:cs="Arial" w:eastAsia="Arial" w:hAnsi="Arial"/>
                <w:sz w:val="13"/>
                <w:szCs w:val="13"/>
                <w:color w:val="auto"/>
              </w:rPr>
              <w:t>Excess tax benefits from stock-based compensation</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(6,003)</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(789)</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tcPr>
          <w:p>
            <w:pPr>
              <w:ind w:left="360"/>
              <w:spacing w:after="0"/>
              <w:rPr>
                <w:sz w:val="20"/>
                <w:szCs w:val="20"/>
                <w:color w:val="auto"/>
              </w:rPr>
            </w:pPr>
            <w:r>
              <w:rPr>
                <w:rFonts w:ascii="Arial" w:cs="Arial" w:eastAsia="Arial" w:hAnsi="Arial"/>
                <w:sz w:val="13"/>
                <w:szCs w:val="13"/>
                <w:color w:val="auto"/>
              </w:rPr>
              <w:t>Changes in operating assets and liabilities: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Accounts receivable</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24,514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(40,801)</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16,107</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Inventories</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7,825</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(8,280)</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(3,189)</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Income taxes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(5,169)</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11,463</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(2,390)</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Prepaid expenses and other assets</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(1,316)</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(792)</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(865)</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Accounts payable</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(2,303)</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5,801</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5,463</w:t>
            </w:r>
          </w:p>
        </w:tc>
      </w:tr>
      <w:tr>
        <w:trPr>
          <w:trHeight w:val="192"/>
        </w:trPr>
        <w:tc>
          <w:tcPr>
            <w:tcW w:w="4620" w:type="dxa"/>
            <w:vAlign w:val="bottom"/>
          </w:tcPr>
          <w:p>
            <w:pPr>
              <w:ind w:left="500"/>
              <w:spacing w:after="0"/>
              <w:rPr>
                <w:sz w:val="20"/>
                <w:szCs w:val="20"/>
                <w:color w:val="auto"/>
              </w:rPr>
            </w:pPr>
            <w:r>
              <w:rPr>
                <w:rFonts w:ascii="Arial" w:cs="Arial" w:eastAsia="Arial" w:hAnsi="Arial"/>
                <w:sz w:val="13"/>
                <w:szCs w:val="13"/>
                <w:color w:val="auto"/>
              </w:rPr>
              <w:t>Accrued compensation</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2,312</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1,013</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2,466</w:t>
            </w:r>
          </w:p>
        </w:tc>
      </w:tr>
      <w:tr>
        <w:trPr>
          <w:trHeight w:val="19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Accrued expenses and other liabilities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734</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1,513</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619</w:t>
            </w:r>
          </w:p>
        </w:tc>
      </w:tr>
      <w:tr>
        <w:trPr>
          <w:trHeight w:val="192"/>
        </w:trPr>
        <w:tc>
          <w:tcPr>
            <w:tcW w:w="4620" w:type="dxa"/>
            <w:vAlign w:val="bottom"/>
            <w:tcBorders>
              <w:bottom w:val="single" w:sz="8" w:color="CCFFCC"/>
            </w:tcBorders>
          </w:tcPr>
          <w:p>
            <w:pPr>
              <w:ind w:left="500"/>
              <w:spacing w:after="0"/>
              <w:rPr>
                <w:sz w:val="20"/>
                <w:szCs w:val="20"/>
                <w:color w:val="auto"/>
              </w:rPr>
            </w:pPr>
            <w:r>
              <w:rPr>
                <w:rFonts w:ascii="Arial" w:cs="Arial" w:eastAsia="Arial" w:hAnsi="Arial"/>
                <w:sz w:val="13"/>
                <w:szCs w:val="13"/>
                <w:color w:val="auto"/>
              </w:rPr>
              <w:t>Deferred revenue</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(2,911)</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94"/>
              </w:rPr>
              <w:t>(10,916)</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provided by (used in) operating activities</w:t>
            </w:r>
          </w:p>
        </w:tc>
        <w:tc>
          <w:tcPr>
            <w:tcW w:w="44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55,447</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(4,061)</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42,250</w:t>
            </w:r>
          </w:p>
        </w:tc>
      </w:tr>
      <w:tr>
        <w:trPr>
          <w:trHeight w:val="172"/>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Cash flows from investing activities: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Purchases of property, plant and equipment</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w w:val="90"/>
              </w:rPr>
              <w:t>(43,969)</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(41,228)</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(6,532)</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Acquisitions, net of cash received</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(218)</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(559)</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used in investing activities</w:t>
            </w:r>
          </w:p>
        </w:tc>
        <w:tc>
          <w:tcPr>
            <w:tcW w:w="44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0"/>
              </w:rPr>
              <w:t>(43,969)</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(41,446)</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(7,091)</w:t>
            </w:r>
          </w:p>
        </w:tc>
      </w:tr>
      <w:tr>
        <w:trPr>
          <w:trHeight w:val="172"/>
        </w:trPr>
        <w:tc>
          <w:tcPr>
            <w:tcW w:w="4620" w:type="dxa"/>
            <w:vAlign w:val="bottom"/>
          </w:tcPr>
          <w:p>
            <w:pPr>
              <w:ind w:left="100"/>
              <w:spacing w:after="0"/>
              <w:rPr>
                <w:sz w:val="20"/>
                <w:szCs w:val="20"/>
                <w:color w:val="auto"/>
              </w:rPr>
            </w:pPr>
            <w:r>
              <w:rPr>
                <w:rFonts w:ascii="Arial" w:cs="Arial" w:eastAsia="Arial" w:hAnsi="Arial"/>
                <w:sz w:val="13"/>
                <w:szCs w:val="13"/>
                <w:b w:val="1"/>
                <w:bCs w:val="1"/>
                <w:color w:val="auto"/>
              </w:rPr>
              <w:t>Cash flows from financing activities: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Restricted cash deposits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(5,008)</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(192)</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1,250</w:t>
            </w: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Proceeds from borrowings on long term indebtedness and lines of credit</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33,195</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32,430</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31</w:t>
            </w: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Proceeds from notes payable to employees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123</w:t>
            </w:r>
          </w:p>
        </w:tc>
      </w:tr>
      <w:tr>
        <w:trPr>
          <w:trHeight w:val="218"/>
        </w:trPr>
        <w:tc>
          <w:tcPr>
            <w:tcW w:w="4620" w:type="dxa"/>
            <w:vAlign w:val="bottom"/>
          </w:tcPr>
          <w:p>
            <w:pPr>
              <w:ind w:left="240"/>
              <w:spacing w:after="0"/>
              <w:rPr>
                <w:sz w:val="20"/>
                <w:szCs w:val="20"/>
                <w:color w:val="auto"/>
              </w:rPr>
            </w:pPr>
            <w:r>
              <w:rPr>
                <w:rFonts w:ascii="Arial" w:cs="Arial" w:eastAsia="Arial" w:hAnsi="Arial"/>
                <w:sz w:val="13"/>
                <w:szCs w:val="13"/>
                <w:color w:val="auto"/>
              </w:rPr>
              <w:t>Issuance of common stock in initial public offering (net of issuance cost)</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54,229</w:t>
            </w:r>
          </w:p>
        </w:tc>
        <w:tc>
          <w:tcPr>
            <w:tcW w:w="420" w:type="dxa"/>
            <w:vAlign w:val="bottom"/>
          </w:tcPr>
          <w:p>
            <w:pPr>
              <w:spacing w:after="0"/>
              <w:rPr>
                <w:sz w:val="18"/>
                <w:szCs w:val="18"/>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Issuance of common stock subject to exercise of stock options</w:t>
            </w:r>
          </w:p>
        </w:tc>
        <w:tc>
          <w:tcPr>
            <w:tcW w:w="44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2,471</w:t>
            </w:r>
          </w:p>
        </w:tc>
        <w:tc>
          <w:tcPr>
            <w:tcW w:w="400" w:type="dxa"/>
            <w:vAlign w:val="bottom"/>
            <w:shd w:val="clear" w:color="auto" w:fill="CCFFCC"/>
          </w:tcPr>
          <w:p>
            <w:pPr>
              <w:spacing w:after="0"/>
              <w:rPr>
                <w:sz w:val="18"/>
                <w:szCs w:val="18"/>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590</w:t>
            </w:r>
          </w:p>
        </w:tc>
        <w:tc>
          <w:tcPr>
            <w:tcW w:w="42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33</w:t>
            </w:r>
          </w:p>
        </w:tc>
      </w:tr>
      <w:tr>
        <w:trPr>
          <w:trHeight w:val="218"/>
        </w:trPr>
        <w:tc>
          <w:tcPr>
            <w:tcW w:w="4620" w:type="dxa"/>
            <w:vAlign w:val="bottom"/>
          </w:tcPr>
          <w:p>
            <w:pPr>
              <w:ind w:left="240"/>
              <w:spacing w:after="0"/>
              <w:rPr>
                <w:sz w:val="20"/>
                <w:szCs w:val="20"/>
                <w:color w:val="auto"/>
              </w:rPr>
            </w:pPr>
            <w:r>
              <w:rPr>
                <w:rFonts w:ascii="Arial" w:cs="Arial" w:eastAsia="Arial" w:hAnsi="Arial"/>
                <w:sz w:val="13"/>
                <w:szCs w:val="13"/>
                <w:color w:val="auto"/>
              </w:rPr>
              <w:t>Redemption of Class B common stock</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8"/>
                <w:szCs w:val="18"/>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(192)</w:t>
            </w:r>
          </w:p>
        </w:tc>
        <w:tc>
          <w:tcPr>
            <w:tcW w:w="420" w:type="dxa"/>
            <w:vAlign w:val="bottom"/>
          </w:tcPr>
          <w:p>
            <w:pPr>
              <w:spacing w:after="0"/>
              <w:rPr>
                <w:sz w:val="18"/>
                <w:szCs w:val="18"/>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(337)</w:t>
            </w:r>
          </w:p>
        </w:tc>
      </w:tr>
      <w:tr>
        <w:trPr>
          <w:trHeight w:val="132"/>
        </w:trPr>
        <w:tc>
          <w:tcPr>
            <w:tcW w:w="462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w w:val="93"/>
              </w:rPr>
              <w:t>Principal payments on long term indebtedness, notes payable to employees, and</w:t>
            </w:r>
          </w:p>
        </w:tc>
        <w:tc>
          <w:tcPr>
            <w:tcW w:w="44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r>
      <w:tr>
        <w:trPr>
          <w:trHeight w:val="150"/>
        </w:trPr>
        <w:tc>
          <w:tcPr>
            <w:tcW w:w="4620" w:type="dxa"/>
            <w:vAlign w:val="bottom"/>
            <w:shd w:val="clear" w:color="auto" w:fill="CCFFCC"/>
          </w:tcPr>
          <w:p>
            <w:pPr>
              <w:ind w:left="480"/>
              <w:spacing w:after="0"/>
              <w:rPr>
                <w:sz w:val="20"/>
                <w:szCs w:val="20"/>
                <w:color w:val="auto"/>
              </w:rPr>
            </w:pPr>
            <w:r>
              <w:rPr>
                <w:rFonts w:ascii="Arial" w:cs="Arial" w:eastAsia="Arial" w:hAnsi="Arial"/>
                <w:sz w:val="13"/>
                <w:szCs w:val="13"/>
                <w:color w:val="auto"/>
              </w:rPr>
              <w:t>lines of credits</w:t>
            </w:r>
          </w:p>
        </w:tc>
        <w:tc>
          <w:tcPr>
            <w:tcW w:w="440" w:type="dxa"/>
            <w:vAlign w:val="bottom"/>
            <w:shd w:val="clear" w:color="auto" w:fill="CCFFCC"/>
          </w:tcPr>
          <w:p>
            <w:pPr>
              <w:spacing w:after="0"/>
              <w:rPr>
                <w:sz w:val="13"/>
                <w:szCs w:val="13"/>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w w:val="90"/>
              </w:rPr>
              <w:t>(18,015)</w:t>
            </w:r>
          </w:p>
        </w:tc>
        <w:tc>
          <w:tcPr>
            <w:tcW w:w="400" w:type="dxa"/>
            <w:vAlign w:val="bottom"/>
            <w:shd w:val="clear" w:color="auto" w:fill="CCFFCC"/>
          </w:tcPr>
          <w:p>
            <w:pPr>
              <w:spacing w:after="0"/>
              <w:rPr>
                <w:sz w:val="13"/>
                <w:szCs w:val="13"/>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(1,569)</w:t>
            </w:r>
          </w:p>
        </w:tc>
        <w:tc>
          <w:tcPr>
            <w:tcW w:w="420" w:type="dxa"/>
            <w:vAlign w:val="bottom"/>
            <w:shd w:val="clear" w:color="auto" w:fill="CCFFCC"/>
          </w:tcPr>
          <w:p>
            <w:pPr>
              <w:spacing w:after="0"/>
              <w:rPr>
                <w:sz w:val="13"/>
                <w:szCs w:val="13"/>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(1,110)</w:t>
            </w:r>
          </w:p>
        </w:tc>
      </w:tr>
      <w:tr>
        <w:trPr>
          <w:trHeight w:val="192"/>
        </w:trPr>
        <w:tc>
          <w:tcPr>
            <w:tcW w:w="4620" w:type="dxa"/>
            <w:vAlign w:val="bottom"/>
          </w:tcPr>
          <w:p>
            <w:pPr>
              <w:ind w:left="240"/>
              <w:spacing w:after="0"/>
              <w:rPr>
                <w:sz w:val="20"/>
                <w:szCs w:val="20"/>
                <w:color w:val="auto"/>
              </w:rPr>
            </w:pPr>
            <w:r>
              <w:rPr>
                <w:rFonts w:ascii="Arial" w:cs="Arial" w:eastAsia="Arial" w:hAnsi="Arial"/>
                <w:sz w:val="13"/>
                <w:szCs w:val="13"/>
                <w:color w:val="auto"/>
              </w:rPr>
              <w:t>Excess tax benefits from stock-based compensation</w:t>
            </w:r>
          </w:p>
        </w:tc>
        <w:tc>
          <w:tcPr>
            <w:tcW w:w="4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6,003</w:t>
            </w:r>
          </w:p>
        </w:tc>
        <w:tc>
          <w:tcPr>
            <w:tcW w:w="4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789</w:t>
            </w:r>
          </w:p>
        </w:tc>
        <w:tc>
          <w:tcPr>
            <w:tcW w:w="420" w:type="dxa"/>
            <w:vAlign w:val="bottom"/>
          </w:tcPr>
          <w:p>
            <w:pPr>
              <w:spacing w:after="0"/>
              <w:rPr>
                <w:sz w:val="16"/>
                <w:szCs w:val="16"/>
                <w:color w:val="auto"/>
              </w:rPr>
            </w:pP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Debt issuance costs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(155)</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(257)</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Payment of dividend</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(5,400)</w:t>
            </w:r>
          </w:p>
        </w:tc>
      </w:tr>
      <w:tr>
        <w:trPr>
          <w:trHeight w:val="172"/>
        </w:trPr>
        <w:tc>
          <w:tcPr>
            <w:tcW w:w="4620" w:type="dxa"/>
            <w:vAlign w:val="bottom"/>
            <w:shd w:val="clear" w:color="auto" w:fill="CCFFCC"/>
          </w:tcPr>
          <w:p>
            <w:pPr>
              <w:ind w:left="500"/>
              <w:spacing w:after="0"/>
              <w:rPr>
                <w:sz w:val="20"/>
                <w:szCs w:val="20"/>
                <w:color w:val="auto"/>
              </w:rPr>
            </w:pPr>
            <w:r>
              <w:rPr>
                <w:rFonts w:ascii="Arial" w:cs="Arial" w:eastAsia="Arial" w:hAnsi="Arial"/>
                <w:sz w:val="13"/>
                <w:szCs w:val="13"/>
                <w:color w:val="auto"/>
              </w:rPr>
              <w:t>Net cash provided by (used in) financing activities</w:t>
            </w:r>
          </w:p>
        </w:tc>
        <w:tc>
          <w:tcPr>
            <w:tcW w:w="44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18,491</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85,828</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(5,410)</w:t>
            </w:r>
          </w:p>
        </w:tc>
      </w:tr>
      <w:tr>
        <w:trPr>
          <w:trHeight w:val="172"/>
        </w:trPr>
        <w:tc>
          <w:tcPr>
            <w:tcW w:w="4620" w:type="dxa"/>
            <w:vAlign w:val="bottom"/>
            <w:tcBorders>
              <w:bottom w:val="single" w:sz="8" w:color="CCFFC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Effect of exchange rate changes on cash and cash equivalents</w:t>
            </w:r>
          </w:p>
        </w:tc>
        <w:tc>
          <w:tcPr>
            <w:tcW w:w="440" w:type="dxa"/>
            <w:vAlign w:val="bottom"/>
            <w:tcBorders>
              <w:bottom w:val="single" w:sz="8" w:color="auto"/>
            </w:tcBorders>
            <w:shd w:val="clear" w:color="auto" w:fill="CCFFCC"/>
          </w:tcPr>
          <w:p>
            <w:pPr>
              <w:spacing w:after="0"/>
              <w:rPr>
                <w:sz w:val="14"/>
                <w:szCs w:val="14"/>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(657)</w:t>
            </w:r>
          </w:p>
        </w:tc>
        <w:tc>
          <w:tcPr>
            <w:tcW w:w="4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(197)</w:t>
            </w:r>
          </w:p>
        </w:tc>
        <w:tc>
          <w:tcPr>
            <w:tcW w:w="4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(276)</w:t>
            </w:r>
          </w:p>
        </w:tc>
      </w:tr>
      <w:tr>
        <w:trPr>
          <w:trHeight w:val="172"/>
        </w:trPr>
        <w:tc>
          <w:tcPr>
            <w:tcW w:w="4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Net increase (decrease) in cash and cash equivalents</w:t>
            </w:r>
          </w:p>
        </w:tc>
        <w:tc>
          <w:tcPr>
            <w:tcW w:w="440" w:type="dxa"/>
            <w:vAlign w:val="bottom"/>
            <w:shd w:val="clear" w:color="auto" w:fill="CCFFCC"/>
          </w:tcPr>
          <w:p>
            <w:pPr>
              <w:spacing w:after="0"/>
              <w:rPr>
                <w:sz w:val="16"/>
                <w:szCs w:val="16"/>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29,312</w:t>
            </w:r>
          </w:p>
        </w:tc>
        <w:tc>
          <w:tcPr>
            <w:tcW w:w="400" w:type="dxa"/>
            <w:vAlign w:val="bottom"/>
            <w:shd w:val="clear" w:color="auto" w:fill="CCFFCC"/>
          </w:tcPr>
          <w:p>
            <w:pPr>
              <w:spacing w:after="0"/>
              <w:rPr>
                <w:sz w:val="16"/>
                <w:szCs w:val="16"/>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40,124</w:t>
            </w:r>
          </w:p>
        </w:tc>
        <w:tc>
          <w:tcPr>
            <w:tcW w:w="42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29,473</w:t>
            </w:r>
          </w:p>
        </w:tc>
      </w:tr>
      <w:tr>
        <w:trPr>
          <w:trHeight w:val="19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Cash and cash equivalents at beginning of year</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76,418</w:t>
            </w: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36,294</w:t>
            </w: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6,821</w:t>
            </w:r>
          </w:p>
        </w:tc>
      </w:tr>
      <w:tr>
        <w:trPr>
          <w:trHeight w:val="159"/>
        </w:trPr>
        <w:tc>
          <w:tcPr>
            <w:tcW w:w="46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3"/>
                <w:szCs w:val="13"/>
                <w:color w:val="auto"/>
              </w:rPr>
              <w:t>Cash and cash equivalents at end of year</w:t>
            </w:r>
          </w:p>
        </w:tc>
        <w:tc>
          <w:tcPr>
            <w:tcW w:w="44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93"/>
              </w:rPr>
              <w:t>105,730</w:t>
            </w:r>
          </w:p>
        </w:tc>
        <w:tc>
          <w:tcPr>
            <w:tcW w:w="40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76,418</w:t>
            </w:r>
          </w:p>
        </w:tc>
        <w:tc>
          <w:tcPr>
            <w:tcW w:w="42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36,294</w:t>
            </w:r>
          </w:p>
        </w:tc>
      </w:tr>
      <w:tr>
        <w:trPr>
          <w:trHeight w:val="20"/>
        </w:trPr>
        <w:tc>
          <w:tcPr>
            <w:tcW w:w="4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5"/>
        </w:trPr>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2"/>
        </w:trPr>
        <w:tc>
          <w:tcPr>
            <w:tcW w:w="46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440" w:type="dxa"/>
            <w:vAlign w:val="bottom"/>
            <w:tcBorders>
              <w:bottom w:val="single" w:sz="8" w:color="auto"/>
            </w:tcBorders>
            <w:shd w:val="clear" w:color="auto" w:fill="CCFFCC"/>
          </w:tcPr>
          <w:p>
            <w:pPr>
              <w:spacing w:after="0"/>
              <w:rPr>
                <w:sz w:val="16"/>
                <w:szCs w:val="16"/>
                <w:color w:val="auto"/>
              </w:rPr>
            </w:pPr>
          </w:p>
        </w:tc>
        <w:tc>
          <w:tcPr>
            <w:tcW w:w="480" w:type="dxa"/>
            <w:vAlign w:val="bottom"/>
            <w:tcBorders>
              <w:bottom w:val="single" w:sz="8" w:color="auto"/>
            </w:tcBorders>
            <w:shd w:val="clear" w:color="auto" w:fill="CCFFCC"/>
          </w:tcPr>
          <w:p>
            <w:pPr>
              <w:spacing w:after="0"/>
              <w:rPr>
                <w:sz w:val="16"/>
                <w:szCs w:val="16"/>
                <w:color w:val="auto"/>
              </w:rPr>
            </w:pPr>
          </w:p>
        </w:tc>
        <w:tc>
          <w:tcPr>
            <w:tcW w:w="400" w:type="dxa"/>
            <w:vAlign w:val="bottom"/>
            <w:tcBorders>
              <w:bottom w:val="single" w:sz="8" w:color="auto"/>
            </w:tcBorders>
            <w:shd w:val="clear" w:color="auto" w:fill="CCFFCC"/>
          </w:tcPr>
          <w:p>
            <w:pPr>
              <w:spacing w:after="0"/>
              <w:rPr>
                <w:sz w:val="16"/>
                <w:szCs w:val="16"/>
                <w:color w:val="auto"/>
              </w:rPr>
            </w:pPr>
          </w:p>
        </w:tc>
        <w:tc>
          <w:tcPr>
            <w:tcW w:w="680" w:type="dxa"/>
            <w:vAlign w:val="bottom"/>
            <w:tcBorders>
              <w:bottom w:val="single" w:sz="8" w:color="auto"/>
            </w:tcBorders>
            <w:shd w:val="clear" w:color="auto" w:fill="CCFFCC"/>
          </w:tcPr>
          <w:p>
            <w:pPr>
              <w:spacing w:after="0"/>
              <w:rPr>
                <w:sz w:val="16"/>
                <w:szCs w:val="16"/>
                <w:color w:val="auto"/>
              </w:rPr>
            </w:pPr>
          </w:p>
        </w:tc>
        <w:tc>
          <w:tcPr>
            <w:tcW w:w="420" w:type="dxa"/>
            <w:vAlign w:val="bottom"/>
            <w:tcBorders>
              <w:bottom w:val="single" w:sz="8" w:color="auto"/>
            </w:tcBorders>
            <w:shd w:val="clear" w:color="auto" w:fill="CCFFCC"/>
          </w:tcPr>
          <w:p>
            <w:pPr>
              <w:spacing w:after="0"/>
              <w:rPr>
                <w:sz w:val="16"/>
                <w:szCs w:val="16"/>
                <w:color w:val="auto"/>
              </w:rPr>
            </w:pPr>
          </w:p>
        </w:tc>
        <w:tc>
          <w:tcPr>
            <w:tcW w:w="580" w:type="dxa"/>
            <w:vAlign w:val="bottom"/>
            <w:tcBorders>
              <w:bottom w:val="single" w:sz="8" w:color="auto"/>
            </w:tcBorders>
            <w:shd w:val="clear" w:color="auto" w:fill="CCFFCC"/>
          </w:tcPr>
          <w:p>
            <w:pPr>
              <w:spacing w:after="0"/>
              <w:rPr>
                <w:sz w:val="16"/>
                <w:szCs w:val="16"/>
                <w:color w:val="auto"/>
              </w:rPr>
            </w:pPr>
          </w:p>
        </w:tc>
      </w:tr>
      <w:tr>
        <w:trPr>
          <w:trHeight w:val="172"/>
        </w:trPr>
        <w:tc>
          <w:tcPr>
            <w:tcW w:w="462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Cash paid during the year for interest</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3,094</w:t>
            </w: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1,681</w:t>
            </w:r>
          </w:p>
        </w:tc>
        <w:tc>
          <w:tcPr>
            <w:tcW w:w="4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696</w:t>
            </w: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Cash paid during the year for income taxes</w:t>
            </w:r>
          </w:p>
        </w:tc>
        <w:tc>
          <w:tcPr>
            <w:tcW w:w="440" w:type="dxa"/>
            <w:vAlign w:val="bottom"/>
            <w:tcBorders>
              <w:bottom w:val="single" w:sz="8" w:color="auto"/>
            </w:tcBorders>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14,329</w:t>
            </w:r>
          </w:p>
        </w:tc>
        <w:tc>
          <w:tcPr>
            <w:tcW w:w="4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2,788</w:t>
            </w:r>
          </w:p>
        </w:tc>
        <w:tc>
          <w:tcPr>
            <w:tcW w:w="42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17,985</w:t>
            </w:r>
          </w:p>
        </w:tc>
      </w:tr>
      <w:tr>
        <w:trPr>
          <w:trHeight w:val="172"/>
        </w:trPr>
        <w:tc>
          <w:tcPr>
            <w:tcW w:w="4620" w:type="dxa"/>
            <w:vAlign w:val="bottom"/>
            <w:tcBorders>
              <w:bottom w:val="single" w:sz="8" w:color="CCFFCC"/>
            </w:tcBorders>
          </w:tcPr>
          <w:p>
            <w:pPr>
              <w:ind w:left="100"/>
              <w:spacing w:after="0"/>
              <w:rPr>
                <w:sz w:val="20"/>
                <w:szCs w:val="20"/>
                <w:color w:val="auto"/>
              </w:rPr>
            </w:pPr>
            <w:r>
              <w:rPr>
                <w:rFonts w:ascii="Arial" w:cs="Arial" w:eastAsia="Arial" w:hAnsi="Arial"/>
                <w:sz w:val="13"/>
                <w:szCs w:val="13"/>
                <w:b w:val="1"/>
                <w:bCs w:val="1"/>
                <w:color w:val="auto"/>
                <w:w w:val="99"/>
              </w:rPr>
              <w:t>Supplemental information on non-cash investing and financing activities:</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72"/>
        </w:trPr>
        <w:tc>
          <w:tcPr>
            <w:tcW w:w="46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Issuance of common stock to acquire Microscience Limited</w:t>
            </w:r>
          </w:p>
        </w:tc>
        <w:tc>
          <w:tcPr>
            <w:tcW w:w="440" w:type="dxa"/>
            <w:vAlign w:val="bottom"/>
            <w:tcBorders>
              <w:bottom w:val="single" w:sz="8" w:color="auto"/>
            </w:tcBorders>
            <w:shd w:val="clear" w:color="auto" w:fill="CCFFCC"/>
          </w:tcPr>
          <w:p>
            <w:pPr>
              <w:jc w:val="right"/>
              <w:ind w:right="216"/>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27,001</w:t>
            </w:r>
          </w:p>
        </w:tc>
      </w:tr>
      <w:tr>
        <w:trPr>
          <w:trHeight w:val="185"/>
        </w:trPr>
        <w:tc>
          <w:tcPr>
            <w:tcW w:w="4620" w:type="dxa"/>
            <w:vAlign w:val="bottom"/>
          </w:tcPr>
          <w:p>
            <w:pPr>
              <w:ind w:left="240"/>
              <w:spacing w:after="0"/>
              <w:rPr>
                <w:sz w:val="20"/>
                <w:szCs w:val="20"/>
                <w:color w:val="auto"/>
              </w:rPr>
            </w:pPr>
            <w:r>
              <w:rPr>
                <w:rFonts w:ascii="Arial" w:cs="Arial" w:eastAsia="Arial" w:hAnsi="Arial"/>
                <w:sz w:val="13"/>
                <w:szCs w:val="13"/>
                <w:color w:val="auto"/>
              </w:rPr>
              <w:t>Purchases of property, plant and equipment unpaid at year end</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7,084</w:t>
            </w:r>
          </w:p>
        </w:tc>
        <w:tc>
          <w:tcPr>
            <w:tcW w:w="40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11,140</w:t>
            </w:r>
          </w:p>
        </w:tc>
        <w:tc>
          <w:tcPr>
            <w:tcW w:w="4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-6985</wp:posOffset>
            </wp:positionV>
            <wp:extent cx="19050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500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2790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219"/>
          </w:cols>
          <w:pgMar w:left="240" w:top="178" w:right="1440" w:bottom="1440" w:gutter="0" w:footer="0" w:header="0"/>
        </w:sectPr>
      </w:pPr>
    </w:p>
    <w:bookmarkStart w:id="80" w:name="page81"/>
    <w:bookmarkEnd w:id="80"/>
    <w:tbl>
      <w:tblPr>
        <w:tblLayout w:type="fixed"/>
        <w:tblInd w:w="8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0" w:type="dxa"/>
            <w:vAlign w:val="bottom"/>
            <w:gridSpan w:val="5"/>
          </w:tcPr>
          <w:p>
            <w:pPr>
              <w:jc w:val="right"/>
              <w:ind w:right="76"/>
              <w:spacing w:after="0"/>
              <w:rPr>
                <w:sz w:val="20"/>
                <w:szCs w:val="20"/>
                <w:color w:val="auto"/>
              </w:rPr>
            </w:pPr>
            <w:r>
              <w:rPr>
                <w:rFonts w:ascii="Arial" w:cs="Arial" w:eastAsia="Arial" w:hAnsi="Arial"/>
                <w:sz w:val="13"/>
                <w:szCs w:val="13"/>
                <w:b w:val="1"/>
                <w:bCs w:val="1"/>
                <w:color w:val="auto"/>
                <w:w w:val="96"/>
              </w:rPr>
              <w:t>Consolidated Statements of Changes in Stockholders' Equity</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3"/>
                <w:szCs w:val="13"/>
                <w:b w:val="1"/>
                <w:bCs w:val="1"/>
                <w:color w:val="auto"/>
                <w:w w:val="88"/>
              </w:rPr>
              <w:t>(in thousands, except share and per share data)</w:t>
            </w:r>
          </w:p>
        </w:tc>
        <w:tc>
          <w:tcPr>
            <w:tcW w:w="10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80" w:type="dxa"/>
            <w:vAlign w:val="bottom"/>
          </w:tcPr>
          <w:p>
            <w:pPr>
              <w:spacing w:after="0"/>
              <w:rPr>
                <w:sz w:val="12"/>
                <w:szCs w:val="12"/>
                <w:color w:val="auto"/>
              </w:rPr>
            </w:pPr>
          </w:p>
        </w:tc>
        <w:tc>
          <w:tcPr>
            <w:tcW w:w="1600" w:type="dxa"/>
            <w:vAlign w:val="bottom"/>
            <w:gridSpan w:val="2"/>
          </w:tcPr>
          <w:p>
            <w:pPr>
              <w:jc w:val="right"/>
              <w:ind w:right="36"/>
              <w:spacing w:after="0" w:line="141" w:lineRule="exact"/>
              <w:rPr>
                <w:sz w:val="20"/>
                <w:szCs w:val="20"/>
                <w:color w:val="auto"/>
              </w:rPr>
            </w:pPr>
            <w:r>
              <w:rPr>
                <w:rFonts w:ascii="Arial" w:cs="Arial" w:eastAsia="Arial" w:hAnsi="Arial"/>
                <w:sz w:val="13"/>
                <w:szCs w:val="13"/>
                <w:b w:val="1"/>
                <w:bCs w:val="1"/>
                <w:color w:val="auto"/>
                <w:w w:val="96"/>
              </w:rPr>
              <w:t>Class A $0.001 Par Value</w:t>
            </w:r>
          </w:p>
        </w:tc>
        <w:tc>
          <w:tcPr>
            <w:tcW w:w="1560" w:type="dxa"/>
            <w:vAlign w:val="bottom"/>
            <w:gridSpan w:val="2"/>
          </w:tcPr>
          <w:p>
            <w:pPr>
              <w:jc w:val="right"/>
              <w:ind w:right="76"/>
              <w:spacing w:after="0" w:line="141" w:lineRule="exact"/>
              <w:rPr>
                <w:sz w:val="20"/>
                <w:szCs w:val="20"/>
                <w:color w:val="auto"/>
              </w:rPr>
            </w:pPr>
            <w:r>
              <w:rPr>
                <w:rFonts w:ascii="Arial" w:cs="Arial" w:eastAsia="Arial" w:hAnsi="Arial"/>
                <w:sz w:val="13"/>
                <w:szCs w:val="13"/>
                <w:b w:val="1"/>
                <w:bCs w:val="1"/>
                <w:color w:val="auto"/>
                <w:w w:val="95"/>
              </w:rPr>
              <w:t>Class B $0.01 Par Value</w:t>
            </w:r>
          </w:p>
        </w:tc>
        <w:tc>
          <w:tcPr>
            <w:tcW w:w="1580" w:type="dxa"/>
            <w:vAlign w:val="bottom"/>
            <w:gridSpan w:val="2"/>
          </w:tcPr>
          <w:p>
            <w:pPr>
              <w:jc w:val="right"/>
              <w:ind w:right="276"/>
              <w:spacing w:after="0" w:line="141" w:lineRule="exact"/>
              <w:rPr>
                <w:sz w:val="20"/>
                <w:szCs w:val="20"/>
                <w:color w:val="auto"/>
              </w:rPr>
            </w:pPr>
            <w:r>
              <w:rPr>
                <w:rFonts w:ascii="Arial" w:cs="Arial" w:eastAsia="Arial" w:hAnsi="Arial"/>
                <w:sz w:val="13"/>
                <w:szCs w:val="13"/>
                <w:b w:val="1"/>
                <w:bCs w:val="1"/>
                <w:color w:val="auto"/>
              </w:rPr>
              <w:t>$0.001 Par Value</w:t>
            </w:r>
          </w:p>
        </w:tc>
        <w:tc>
          <w:tcPr>
            <w:tcW w:w="1000" w:type="dxa"/>
            <w:vAlign w:val="bottom"/>
          </w:tcPr>
          <w:p>
            <w:pPr>
              <w:jc w:val="right"/>
              <w:ind w:right="156"/>
              <w:spacing w:after="0" w:line="141" w:lineRule="exact"/>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ind w:right="336"/>
              <w:spacing w:after="0" w:line="141" w:lineRule="exact"/>
              <w:rPr>
                <w:sz w:val="20"/>
                <w:szCs w:val="20"/>
                <w:color w:val="auto"/>
              </w:rPr>
            </w:pPr>
            <w:r>
              <w:rPr>
                <w:rFonts w:ascii="Arial" w:cs="Arial" w:eastAsia="Arial" w:hAnsi="Arial"/>
                <w:sz w:val="13"/>
                <w:szCs w:val="13"/>
                <w:b w:val="1"/>
                <w:bCs w:val="1"/>
                <w:color w:val="auto"/>
              </w:rPr>
              <w:t>Other</w:t>
            </w:r>
          </w:p>
        </w:tc>
        <w:tc>
          <w:tcPr>
            <w:tcW w:w="740" w:type="dxa"/>
            <w:vAlign w:val="bottom"/>
          </w:tcPr>
          <w:p>
            <w:pPr>
              <w:spacing w:after="0"/>
              <w:rPr>
                <w:sz w:val="12"/>
                <w:szCs w:val="12"/>
                <w:color w:val="auto"/>
              </w:rPr>
            </w:pPr>
          </w:p>
        </w:tc>
        <w:tc>
          <w:tcPr>
            <w:tcW w:w="1100" w:type="dxa"/>
            <w:vAlign w:val="bottom"/>
          </w:tcPr>
          <w:p>
            <w:pPr>
              <w:jc w:val="right"/>
              <w:ind w:right="356"/>
              <w:spacing w:after="0" w:line="14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16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Common Stock</w:t>
            </w:r>
          </w:p>
        </w:tc>
        <w:tc>
          <w:tcPr>
            <w:tcW w:w="15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3"/>
                <w:szCs w:val="13"/>
                <w:b w:val="1"/>
                <w:bCs w:val="1"/>
                <w:color w:val="auto"/>
              </w:rPr>
              <w:t>Common Stock</w:t>
            </w:r>
          </w:p>
        </w:tc>
        <w:tc>
          <w:tcPr>
            <w:tcW w:w="15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jc w:val="right"/>
              <w:ind w:right="216"/>
              <w:spacing w:after="0"/>
              <w:rPr>
                <w:sz w:val="20"/>
                <w:szCs w:val="20"/>
                <w:color w:val="auto"/>
              </w:rPr>
            </w:pPr>
            <w:r>
              <w:rPr>
                <w:rFonts w:ascii="Arial" w:cs="Arial" w:eastAsia="Arial" w:hAnsi="Arial"/>
                <w:sz w:val="13"/>
                <w:szCs w:val="13"/>
                <w:b w:val="1"/>
                <w:bCs w:val="1"/>
                <w:color w:val="auto"/>
              </w:rPr>
              <w:t>Paid-In</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740" w:type="dxa"/>
            <w:vAlign w:val="bottom"/>
          </w:tcPr>
          <w:p>
            <w:pPr>
              <w:jc w:val="right"/>
              <w:ind w:right="76"/>
              <w:spacing w:after="0"/>
              <w:rPr>
                <w:sz w:val="20"/>
                <w:szCs w:val="20"/>
                <w:color w:val="auto"/>
              </w:rPr>
            </w:pPr>
            <w:r>
              <w:rPr>
                <w:rFonts w:ascii="Arial" w:cs="Arial" w:eastAsia="Arial" w:hAnsi="Arial"/>
                <w:sz w:val="13"/>
                <w:szCs w:val="13"/>
                <w:b w:val="1"/>
                <w:bCs w:val="1"/>
                <w:color w:val="auto"/>
              </w:rPr>
              <w:t>Retained</w:t>
            </w:r>
          </w:p>
        </w:tc>
        <w:tc>
          <w:tcPr>
            <w:tcW w:w="1100" w:type="dxa"/>
            <w:vAlign w:val="bottom"/>
          </w:tcPr>
          <w:p>
            <w:pPr>
              <w:jc w:val="right"/>
              <w:ind w:right="96"/>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94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b w:val="1"/>
                <w:bCs w:val="1"/>
                <w:color w:val="auto"/>
              </w:rPr>
              <w:t>Amount</w:t>
            </w:r>
          </w:p>
        </w:tc>
        <w:tc>
          <w:tcPr>
            <w:tcW w:w="84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Shares</w:t>
            </w:r>
          </w:p>
        </w:tc>
        <w:tc>
          <w:tcPr>
            <w:tcW w:w="72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b w:val="1"/>
                <w:bCs w:val="1"/>
                <w:color w:val="auto"/>
              </w:rPr>
              <w:t>Amount</w:t>
            </w:r>
          </w:p>
        </w:tc>
        <w:tc>
          <w:tcPr>
            <w:tcW w:w="100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Capital</w:t>
            </w:r>
          </w:p>
        </w:tc>
        <w:tc>
          <w:tcPr>
            <w:tcW w:w="10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5"/>
              </w:rPr>
              <w:t>Loss</w:t>
            </w:r>
          </w:p>
        </w:tc>
        <w:tc>
          <w:tcPr>
            <w:tcW w:w="74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rPr>
              <w:t>Earnings</w:t>
            </w:r>
          </w:p>
        </w:tc>
        <w:tc>
          <w:tcPr>
            <w:tcW w:w="11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Balance at December 31, 2004</w:t>
            </w:r>
          </w:p>
        </w:tc>
        <w:tc>
          <w:tcPr>
            <w:tcW w:w="9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18,666,479</w:t>
            </w: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19</w:t>
            </w:r>
          </w:p>
        </w:tc>
        <w:tc>
          <w:tcPr>
            <w:tcW w:w="84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7,610</w:t>
            </w:r>
          </w:p>
        </w:tc>
        <w:tc>
          <w:tcPr>
            <w:tcW w:w="108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15,320</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22,949</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00"/>
              <w:spacing w:after="0" w:line="133" w:lineRule="exact"/>
              <w:rPr>
                <w:sz w:val="20"/>
                <w:szCs w:val="20"/>
                <w:color w:val="auto"/>
              </w:rPr>
            </w:pPr>
            <w:r>
              <w:rPr>
                <w:rFonts w:ascii="Arial" w:cs="Arial" w:eastAsia="Arial" w:hAnsi="Arial"/>
                <w:sz w:val="13"/>
                <w:szCs w:val="13"/>
                <w:color w:val="auto"/>
              </w:rPr>
              <w:t>Issuance of common stock to acquire</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280"/>
              <w:spacing w:after="0"/>
              <w:rPr>
                <w:sz w:val="20"/>
                <w:szCs w:val="20"/>
                <w:color w:val="auto"/>
              </w:rPr>
            </w:pPr>
            <w:r>
              <w:rPr>
                <w:rFonts w:ascii="Arial" w:cs="Arial" w:eastAsia="Arial" w:hAnsi="Arial"/>
                <w:sz w:val="13"/>
                <w:szCs w:val="13"/>
                <w:color w:val="auto"/>
              </w:rPr>
              <w:t>Microscience Limited</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3,636,801</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26,998</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27,001</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133,451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32</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Redemption of common stock</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(112,168)</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(28)</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(308)</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Forfeiture of stock options</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Payment of dividend</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(5,400)</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(5,400)</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15,784</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15,784</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(276)</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15,508</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8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Balance at December 31, 2005</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22,303,280</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$ 22</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21,283</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$ 34,595</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(276)</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$ 25,396</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$ 59,737</w:t>
            </w:r>
          </w:p>
        </w:tc>
        <w:tc>
          <w:tcPr>
            <w:tcW w:w="0" w:type="dxa"/>
            <w:vAlign w:val="bottom"/>
          </w:tcPr>
          <w:p>
            <w:pPr>
              <w:spacing w:after="0"/>
              <w:rPr>
                <w:sz w:val="1"/>
                <w:szCs w:val="1"/>
                <w:color w:val="auto"/>
              </w:rPr>
            </w:pPr>
          </w:p>
        </w:tc>
      </w:tr>
      <w:tr>
        <w:trPr>
          <w:trHeight w:val="185"/>
        </w:trPr>
        <w:tc>
          <w:tcPr>
            <w:tcW w:w="278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200"/>
              <w:spacing w:after="0" w:line="141" w:lineRule="exact"/>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95,858</w:t>
            </w:r>
          </w:p>
        </w:tc>
        <w:tc>
          <w:tcPr>
            <w:tcW w:w="720" w:type="dxa"/>
            <w:vAlign w:val="bottom"/>
          </w:tcPr>
          <w:p>
            <w:pPr>
              <w:jc w:val="right"/>
              <w:ind w:right="76"/>
              <w:spacing w:after="0" w:line="141" w:lineRule="exact"/>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line="141" w:lineRule="exact"/>
              <w:rPr>
                <w:sz w:val="20"/>
                <w:szCs w:val="20"/>
                <w:color w:val="auto"/>
              </w:rPr>
            </w:pPr>
            <w:r>
              <w:rPr>
                <w:rFonts w:ascii="Arial" w:cs="Arial" w:eastAsia="Arial" w:hAnsi="Arial"/>
                <w:sz w:val="13"/>
                <w:szCs w:val="13"/>
                <w:color w:val="auto"/>
              </w:rPr>
              <w:t>175,828</w:t>
            </w:r>
          </w:p>
        </w:tc>
        <w:tc>
          <w:tcPr>
            <w:tcW w:w="7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589</w:t>
            </w:r>
          </w:p>
        </w:tc>
        <w:tc>
          <w:tcPr>
            <w:tcW w:w="10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41"/>
        </w:trPr>
        <w:tc>
          <w:tcPr>
            <w:tcW w:w="2780" w:type="dxa"/>
            <w:vAlign w:val="bottom"/>
            <w:shd w:val="clear" w:color="auto" w:fill="CCFFCC"/>
          </w:tcPr>
          <w:p>
            <w:pPr>
              <w:ind w:left="200"/>
              <w:spacing w:after="0" w:line="141" w:lineRule="exact"/>
              <w:rPr>
                <w:sz w:val="20"/>
                <w:szCs w:val="20"/>
                <w:color w:val="auto"/>
              </w:rPr>
            </w:pPr>
            <w:r>
              <w:rPr>
                <w:rFonts w:ascii="Arial" w:cs="Arial" w:eastAsia="Arial" w:hAnsi="Arial"/>
                <w:sz w:val="13"/>
                <w:szCs w:val="13"/>
                <w:color w:val="auto"/>
              </w:rPr>
              <w:t>Redemption of common stock</w:t>
            </w:r>
          </w:p>
        </w:tc>
        <w:tc>
          <w:tcPr>
            <w:tcW w:w="9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(192)</w:t>
            </w:r>
          </w:p>
        </w:tc>
        <w:tc>
          <w:tcPr>
            <w:tcW w:w="11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32"/>
        </w:trPr>
        <w:tc>
          <w:tcPr>
            <w:tcW w:w="2780" w:type="dxa"/>
            <w:vAlign w:val="bottom"/>
          </w:tcPr>
          <w:p>
            <w:pPr>
              <w:ind w:left="240"/>
              <w:spacing w:after="0" w:line="133" w:lineRule="exact"/>
              <w:rPr>
                <w:sz w:val="20"/>
                <w:szCs w:val="20"/>
                <w:color w:val="auto"/>
              </w:rPr>
            </w:pPr>
            <w:r>
              <w:rPr>
                <w:rFonts w:ascii="Arial" w:cs="Arial" w:eastAsia="Arial" w:hAnsi="Arial"/>
                <w:sz w:val="13"/>
                <w:szCs w:val="13"/>
                <w:color w:val="auto"/>
                <w:w w:val="96"/>
              </w:rPr>
              <w:t>Conversion of class A $0.001 and class B par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400"/>
              <w:spacing w:after="0" w:line="141" w:lineRule="exact"/>
              <w:rPr>
                <w:sz w:val="20"/>
                <w:szCs w:val="20"/>
                <w:color w:val="auto"/>
              </w:rPr>
            </w:pPr>
            <w:r>
              <w:rPr>
                <w:rFonts w:ascii="Arial" w:cs="Arial" w:eastAsia="Arial" w:hAnsi="Arial"/>
                <w:sz w:val="13"/>
                <w:szCs w:val="13"/>
                <w:color w:val="auto"/>
              </w:rPr>
              <w:t>value $0.001 to common stock $.001 par</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400"/>
              <w:spacing w:after="0"/>
              <w:rPr>
                <w:sz w:val="20"/>
                <w:szCs w:val="20"/>
                <w:color w:val="auto"/>
              </w:rPr>
            </w:pPr>
            <w:r>
              <w:rPr>
                <w:rFonts w:ascii="Arial" w:cs="Arial" w:eastAsia="Arial" w:hAnsi="Arial"/>
                <w:sz w:val="13"/>
                <w:szCs w:val="13"/>
                <w:color w:val="auto"/>
              </w:rPr>
              <w:t>value common stock</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(22,303,280)</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(22)</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(117,141)</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22,420,421</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23</w:t>
            </w:r>
          </w:p>
        </w:tc>
        <w:tc>
          <w:tcPr>
            <w:tcW w:w="1000" w:type="dxa"/>
            <w:vAlign w:val="bottom"/>
          </w:tcPr>
          <w:p>
            <w:pPr>
              <w:spacing w:after="0"/>
              <w:rPr>
                <w:sz w:val="13"/>
                <w:szCs w:val="13"/>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Issuance of common stock in initial public</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offering (net of issuance cost)</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5,000,000</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54,224</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54,229</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723</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723</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Excess tax benefits from exercises of non-</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qualified stock options</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789</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789</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22,793</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22,793</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(197)</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22,596</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8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Balance at December 31, 2006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27,596,249</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$ 28</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$ 90,920</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(473)</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$ 47,997</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$ 138,472</w:t>
            </w:r>
          </w:p>
        </w:tc>
        <w:tc>
          <w:tcPr>
            <w:tcW w:w="0" w:type="dxa"/>
            <w:vAlign w:val="bottom"/>
          </w:tcPr>
          <w:p>
            <w:pPr>
              <w:spacing w:after="0"/>
              <w:rPr>
                <w:sz w:val="1"/>
                <w:szCs w:val="1"/>
                <w:color w:val="auto"/>
              </w:rPr>
            </w:pPr>
          </w:p>
        </w:tc>
      </w:tr>
      <w:tr>
        <w:trPr>
          <w:trHeight w:val="185"/>
        </w:trPr>
        <w:tc>
          <w:tcPr>
            <w:tcW w:w="278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780" w:type="dxa"/>
            <w:vAlign w:val="bottom"/>
          </w:tcPr>
          <w:p>
            <w:pPr>
              <w:ind w:left="200"/>
              <w:spacing w:after="0" w:line="141" w:lineRule="exact"/>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line="141"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line="141" w:lineRule="exact"/>
              <w:rPr>
                <w:sz w:val="20"/>
                <w:szCs w:val="20"/>
                <w:color w:val="auto"/>
              </w:rPr>
            </w:pPr>
            <w:r>
              <w:rPr>
                <w:rFonts w:ascii="Arial" w:cs="Arial" w:eastAsia="Arial" w:hAnsi="Arial"/>
                <w:sz w:val="13"/>
                <w:szCs w:val="13"/>
                <w:color w:val="auto"/>
              </w:rPr>
              <w:t>2,153,988</w:t>
            </w:r>
          </w:p>
        </w:tc>
        <w:tc>
          <w:tcPr>
            <w:tcW w:w="7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w:t>
            </w:r>
          </w:p>
        </w:tc>
        <w:tc>
          <w:tcPr>
            <w:tcW w:w="10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2,469</w:t>
            </w:r>
          </w:p>
        </w:tc>
        <w:tc>
          <w:tcPr>
            <w:tcW w:w="10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2,471</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Stock-based compensation expense</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2,541</w:t>
            </w:r>
          </w:p>
        </w:tc>
        <w:tc>
          <w:tcPr>
            <w:tcW w:w="1080" w:type="dxa"/>
            <w:vAlign w:val="bottom"/>
            <w:shd w:val="clear" w:color="auto" w:fill="CCFFCC"/>
          </w:tcPr>
          <w:p>
            <w:pPr>
              <w:spacing w:after="0"/>
              <w:rPr>
                <w:sz w:val="17"/>
                <w:szCs w:val="17"/>
                <w:color w:val="auto"/>
              </w:rPr>
            </w:pP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2,541</w:t>
            </w:r>
          </w:p>
        </w:tc>
        <w:tc>
          <w:tcPr>
            <w:tcW w:w="0" w:type="dxa"/>
            <w:vAlign w:val="bottom"/>
          </w:tcPr>
          <w:p>
            <w:pPr>
              <w:spacing w:after="0"/>
              <w:rPr>
                <w:sz w:val="1"/>
                <w:szCs w:val="1"/>
                <w:color w:val="auto"/>
              </w:rPr>
            </w:pPr>
          </w:p>
        </w:tc>
      </w:tr>
      <w:tr>
        <w:trPr>
          <w:trHeight w:val="132"/>
        </w:trPr>
        <w:tc>
          <w:tcPr>
            <w:tcW w:w="2780" w:type="dxa"/>
            <w:vAlign w:val="bottom"/>
          </w:tcPr>
          <w:p>
            <w:pPr>
              <w:ind w:left="200"/>
              <w:spacing w:after="0" w:line="133" w:lineRule="exact"/>
              <w:rPr>
                <w:sz w:val="20"/>
                <w:szCs w:val="20"/>
                <w:color w:val="auto"/>
              </w:rPr>
            </w:pPr>
            <w:r>
              <w:rPr>
                <w:rFonts w:ascii="Arial" w:cs="Arial" w:eastAsia="Arial" w:hAnsi="Arial"/>
                <w:sz w:val="13"/>
                <w:szCs w:val="13"/>
                <w:color w:val="auto"/>
              </w:rPr>
              <w:t>Cumulative effect of change in accounting</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360"/>
              <w:spacing w:after="0"/>
              <w:rPr>
                <w:sz w:val="20"/>
                <w:szCs w:val="20"/>
                <w:color w:val="auto"/>
              </w:rPr>
            </w:pPr>
            <w:r>
              <w:rPr>
                <w:rFonts w:ascii="Arial" w:cs="Arial" w:eastAsia="Arial" w:hAnsi="Arial"/>
                <w:sz w:val="13"/>
                <w:szCs w:val="13"/>
                <w:color w:val="auto"/>
              </w:rPr>
              <w:t>principle (FIN 48)</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3"/>
                <w:szCs w:val="13"/>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(607)</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32"/>
        </w:trPr>
        <w:tc>
          <w:tcPr>
            <w:tcW w:w="2780" w:type="dxa"/>
            <w:vAlign w:val="bottom"/>
            <w:shd w:val="clear" w:color="auto" w:fill="CCFFCC"/>
          </w:tcPr>
          <w:p>
            <w:pPr>
              <w:ind w:left="240"/>
              <w:spacing w:after="0" w:line="133" w:lineRule="exact"/>
              <w:rPr>
                <w:sz w:val="20"/>
                <w:szCs w:val="20"/>
                <w:color w:val="auto"/>
              </w:rPr>
            </w:pPr>
            <w:r>
              <w:rPr>
                <w:rFonts w:ascii="Arial" w:cs="Arial" w:eastAsia="Arial" w:hAnsi="Arial"/>
                <w:sz w:val="13"/>
                <w:szCs w:val="13"/>
                <w:color w:val="auto"/>
              </w:rPr>
              <w:t>Excess tax benefits from exercises of non-</w:t>
            </w:r>
          </w:p>
        </w:tc>
        <w:tc>
          <w:tcPr>
            <w:tcW w:w="9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FFCC"/>
          </w:tcPr>
          <w:p>
            <w:pPr>
              <w:ind w:left="400"/>
              <w:spacing w:after="0"/>
              <w:rPr>
                <w:sz w:val="20"/>
                <w:szCs w:val="20"/>
                <w:color w:val="auto"/>
              </w:rPr>
            </w:pPr>
            <w:r>
              <w:rPr>
                <w:rFonts w:ascii="Arial" w:cs="Arial" w:eastAsia="Arial" w:hAnsi="Arial"/>
                <w:sz w:val="13"/>
                <w:szCs w:val="13"/>
                <w:color w:val="auto"/>
              </w:rPr>
              <w:t>qualified stock options</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6,003</w:t>
            </w:r>
          </w:p>
        </w:tc>
        <w:tc>
          <w:tcPr>
            <w:tcW w:w="1080" w:type="dxa"/>
            <w:vAlign w:val="bottom"/>
            <w:shd w:val="clear" w:color="auto" w:fill="CCFFCC"/>
          </w:tcPr>
          <w:p>
            <w:pPr>
              <w:spacing w:after="0"/>
              <w:rPr>
                <w:sz w:val="13"/>
                <w:szCs w:val="13"/>
                <w:color w:val="auto"/>
              </w:rPr>
            </w:pP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6,003</w:t>
            </w:r>
          </w:p>
        </w:tc>
        <w:tc>
          <w:tcPr>
            <w:tcW w:w="0" w:type="dxa"/>
            <w:vAlign w:val="bottom"/>
          </w:tcPr>
          <w:p>
            <w:pPr>
              <w:spacing w:after="0"/>
              <w:rPr>
                <w:sz w:val="1"/>
                <w:szCs w:val="1"/>
                <w:color w:val="auto"/>
              </w:rPr>
            </w:pPr>
          </w:p>
        </w:tc>
      </w:tr>
      <w:tr>
        <w:trPr>
          <w:trHeight w:val="205"/>
        </w:trPr>
        <w:tc>
          <w:tcPr>
            <w:tcW w:w="27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22,936</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22,936</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ind w:left="200"/>
              <w:spacing w:after="0"/>
              <w:rPr>
                <w:sz w:val="20"/>
                <w:szCs w:val="20"/>
                <w:color w:val="auto"/>
              </w:rPr>
            </w:pPr>
            <w:r>
              <w:rPr>
                <w:rFonts w:ascii="Arial" w:cs="Arial" w:eastAsia="Arial" w:hAnsi="Arial"/>
                <w:sz w:val="13"/>
                <w:szCs w:val="13"/>
                <w:color w:val="auto"/>
              </w:rPr>
              <w:t>Foreign currency translation</w:t>
            </w: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FFCC"/>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8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(657)</w:t>
            </w:r>
          </w:p>
        </w:tc>
        <w:tc>
          <w:tcPr>
            <w:tcW w:w="74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Arial" w:cs="Arial" w:eastAsia="Arial" w:hAnsi="Arial"/>
                <w:sz w:val="13"/>
                <w:szCs w:val="13"/>
                <w:color w:val="auto"/>
              </w:rPr>
              <w:t>Comprehensive income</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22,279</w:t>
            </w:r>
          </w:p>
        </w:tc>
        <w:tc>
          <w:tcPr>
            <w:tcW w:w="0" w:type="dxa"/>
            <w:vAlign w:val="bottom"/>
          </w:tcPr>
          <w:p>
            <w:pPr>
              <w:spacing w:after="0"/>
              <w:rPr>
                <w:sz w:val="1"/>
                <w:szCs w:val="1"/>
                <w:color w:val="auto"/>
              </w:rPr>
            </w:pPr>
          </w:p>
        </w:tc>
      </w:tr>
      <w:tr>
        <w:trPr>
          <w:trHeight w:val="205"/>
        </w:trPr>
        <w:tc>
          <w:tcPr>
            <w:tcW w:w="2780" w:type="dxa"/>
            <w:vAlign w:val="bottom"/>
            <w:shd w:val="clear" w:color="auto" w:fill="CCFFCC"/>
          </w:tcPr>
          <w:p>
            <w:pPr>
              <w:spacing w:after="0"/>
              <w:rPr>
                <w:sz w:val="17"/>
                <w:szCs w:val="17"/>
                <w:color w:val="auto"/>
              </w:rPr>
            </w:pPr>
          </w:p>
        </w:tc>
        <w:tc>
          <w:tcPr>
            <w:tcW w:w="94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000" w:type="dxa"/>
            <w:vAlign w:val="bottom"/>
            <w:tcBorders>
              <w:bottom w:val="single" w:sz="8" w:color="auto"/>
            </w:tcBorders>
            <w:shd w:val="clear" w:color="auto" w:fill="CCFFCC"/>
          </w:tcPr>
          <w:p>
            <w:pPr>
              <w:spacing w:after="0"/>
              <w:rPr>
                <w:sz w:val="17"/>
                <w:szCs w:val="17"/>
                <w:color w:val="auto"/>
              </w:rPr>
            </w:pPr>
          </w:p>
        </w:tc>
        <w:tc>
          <w:tcPr>
            <w:tcW w:w="10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1100" w:type="dxa"/>
            <w:vAlign w:val="bottom"/>
            <w:tcBorders>
              <w:bottom w:val="single" w:sz="8" w:color="auto"/>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780" w:type="dxa"/>
            <w:vAlign w:val="bottom"/>
          </w:tcPr>
          <w:p>
            <w:pPr>
              <w:ind w:left="100"/>
              <w:spacing w:after="0"/>
              <w:rPr>
                <w:sz w:val="20"/>
                <w:szCs w:val="20"/>
                <w:color w:val="auto"/>
              </w:rPr>
            </w:pPr>
            <w:r>
              <w:rPr>
                <w:rFonts w:ascii="Arial" w:cs="Arial" w:eastAsia="Arial" w:hAnsi="Arial"/>
                <w:sz w:val="13"/>
                <w:szCs w:val="13"/>
                <w:color w:val="auto"/>
              </w:rPr>
              <w:t>Balance at December 31, 2007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29,750,237</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$ 30</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$ 101,933</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 (1,130)</w:t>
            </w: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$ 70,326</w:t>
            </w: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$ 171,159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194310</wp:posOffset>
            </wp:positionV>
            <wp:extent cx="72790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520"/>
          </w:cols>
          <w:pgMar w:left="240" w:top="323" w:right="139" w:bottom="1440" w:gutter="0" w:footer="0" w:header="0"/>
        </w:sectPr>
      </w:pPr>
    </w:p>
    <w:bookmarkStart w:id="81" w:name="page82"/>
    <w:bookmarkEnd w:id="81"/>
    <w:p>
      <w:pPr>
        <w:jc w:val="center"/>
        <w:spacing w:after="0"/>
        <w:rPr>
          <w:sz w:val="20"/>
          <w:szCs w:val="20"/>
          <w:color w:val="auto"/>
        </w:rPr>
      </w:pPr>
      <w:r>
        <w:rPr>
          <w:rFonts w:ascii="Arial" w:cs="Arial" w:eastAsia="Arial" w:hAnsi="Arial"/>
          <w:sz w:val="17"/>
          <w:szCs w:val="17"/>
          <w:b w:val="1"/>
          <w:bCs w:val="1"/>
          <w:color w:val="auto"/>
        </w:rPr>
        <w:t>Emergent BioSolutions Inc. and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5" w:lineRule="exact"/>
        <w:rPr>
          <w:sz w:val="20"/>
          <w:szCs w:val="20"/>
          <w:color w:val="auto"/>
        </w:rPr>
      </w:pPr>
    </w:p>
    <w:p>
      <w:pPr>
        <w:ind w:left="320" w:hanging="317"/>
        <w:spacing w:after="0"/>
        <w:tabs>
          <w:tab w:leader="none" w:pos="32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the business and organization</w:t>
      </w:r>
    </w:p>
    <w:p>
      <w:pPr>
        <w:spacing w:after="0" w:line="219" w:lineRule="exact"/>
        <w:rPr>
          <w:sz w:val="20"/>
          <w:szCs w:val="20"/>
          <w:color w:val="auto"/>
        </w:rPr>
      </w:pPr>
    </w:p>
    <w:p>
      <w:pPr>
        <w:ind w:right="120" w:firstLine="308"/>
        <w:spacing w:after="0" w:line="296" w:lineRule="auto"/>
        <w:rPr>
          <w:sz w:val="20"/>
          <w:szCs w:val="20"/>
          <w:color w:val="auto"/>
        </w:rPr>
      </w:pPr>
      <w:r>
        <w:rPr>
          <w:rFonts w:ascii="Arial" w:cs="Arial" w:eastAsia="Arial" w:hAnsi="Arial"/>
          <w:sz w:val="15"/>
          <w:szCs w:val="15"/>
          <w:color w:val="auto"/>
        </w:rPr>
        <w:t>Emergent BioSolutions Inc. (the “Company” or “Emergent”) is a biopharmaceutical company focused on the development, manufacture and commercialization of immunobiotics. The Company is developing products to be offered both to the biodefense and commercial markets.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In December 2001, the U.S. Food and Drug Administration (“FDA”) approved a supplement to the Company’s manufacturing facility license for the manufacture of BioThrax at the renovated facilities. In June 2004, the Company completed a corporate reorganization (“Reorganization”).</w:t>
      </w:r>
    </w:p>
    <w:p>
      <w:pPr>
        <w:spacing w:after="0" w:line="159"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As a result of the Reorganization, BioPort became a wholly owned subsidiary of Emergent. The Company has renamed BioPort as Emergent BioDefense Operations Lansing Inc. (“Emergent BioDefense Operations”). The Company acquired its portfolio of commercial vaccine candidates through an acquisition of Microscience Limited (“Microscience”) in a share exchange in June 2005 and an acquisition of substantially all of the assets, for cash, of Antex Biologics Inc. (“Antex”) in May 2003 and ViVacs GmbH, Germany (“ViVacs”) in July 2006. The Company has renamed Microscience as Emergent Product Development UK Limited, Antex as Emergent Product Development Gaithersburg Inc. and ViVacs as Emergent Product Development Germany GmbH.</w:t>
      </w:r>
    </w:p>
    <w:p>
      <w:pPr>
        <w:spacing w:after="0" w:line="169" w:lineRule="exact"/>
        <w:rPr>
          <w:sz w:val="20"/>
          <w:szCs w:val="20"/>
          <w:color w:val="auto"/>
        </w:rPr>
      </w:pPr>
    </w:p>
    <w:p>
      <w:pPr>
        <w:ind w:left="320" w:right="8060" w:hanging="317"/>
        <w:spacing w:after="0" w:line="614" w:lineRule="auto"/>
        <w:tabs>
          <w:tab w:leader="none" w:pos="3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 and consolidation</w:t>
      </w:r>
    </w:p>
    <w:p>
      <w:pPr>
        <w:spacing w:after="0" w:line="1" w:lineRule="exact"/>
        <w:rPr>
          <w:sz w:val="20"/>
          <w:szCs w:val="20"/>
          <w:color w:val="auto"/>
        </w:rPr>
      </w:pPr>
    </w:p>
    <w:p>
      <w:pPr>
        <w:ind w:right="100" w:firstLine="308"/>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Emergent and its wholly owned subsidiaries. All significant intercompany accounts and transactions have been eliminated in consolidation.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Use of estimates</w:t>
      </w:r>
    </w:p>
    <w:p>
      <w:pPr>
        <w:spacing w:after="0" w:line="219" w:lineRule="exact"/>
        <w:rPr>
          <w:sz w:val="20"/>
          <w:szCs w:val="20"/>
          <w:color w:val="auto"/>
        </w:rPr>
      </w:pPr>
    </w:p>
    <w:p>
      <w:pPr>
        <w:ind w:right="100" w:firstLine="308"/>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Cash and cash equivalents</w:t>
      </w:r>
    </w:p>
    <w:p>
      <w:pPr>
        <w:spacing w:after="0" w:line="219" w:lineRule="exact"/>
        <w:rPr>
          <w:sz w:val="20"/>
          <w:szCs w:val="20"/>
          <w:color w:val="auto"/>
        </w:rPr>
      </w:pPr>
    </w:p>
    <w:p>
      <w:pPr>
        <w:jc w:val="both"/>
        <w:ind w:firstLine="308"/>
        <w:spacing w:after="0" w:line="258" w:lineRule="auto"/>
        <w:rPr>
          <w:sz w:val="20"/>
          <w:szCs w:val="20"/>
          <w:color w:val="auto"/>
        </w:rPr>
      </w:pPr>
      <w:r>
        <w:rPr>
          <w:rFonts w:ascii="Arial" w:cs="Arial" w:eastAsia="Arial" w:hAnsi="Arial"/>
          <w:sz w:val="17"/>
          <w:szCs w:val="17"/>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The Company does not anticipate any losses with such cash balances. At December 31, 2007 and 2006 the Company maintained all of its cash and cash equivalents in four financial institutions.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19" w:lineRule="exact"/>
        <w:rPr>
          <w:sz w:val="20"/>
          <w:szCs w:val="20"/>
          <w:color w:val="auto"/>
        </w:rPr>
      </w:pPr>
    </w:p>
    <w:p>
      <w:pPr>
        <w:ind w:right="80" w:firstLine="308"/>
        <w:spacing w:after="0" w:line="303" w:lineRule="auto"/>
        <w:rPr>
          <w:sz w:val="20"/>
          <w:szCs w:val="20"/>
          <w:color w:val="auto"/>
        </w:rPr>
      </w:pPr>
      <w:r>
        <w:rPr>
          <w:rFonts w:ascii="Arial" w:cs="Arial" w:eastAsia="Arial" w:hAnsi="Arial"/>
          <w:sz w:val="15"/>
          <w:szCs w:val="15"/>
          <w:color w:val="auto"/>
        </w:rPr>
        <w:t>The carrying amounts of the Company’s short-term financial instruments, which include cash and cash equivalents, accounts receivable and accounts payable, approximate their fair values due to their short maturities. The fair value of the Company’s long-term indebtedness is estimated based on the quoted prices for the same or similar issues or on the current rates offered to the Company for debt of the same remaining maturities. The carrying value and fair value of long-term indebtedness were $46.1 million and $45.6 million, respectively, at December 31, 2007 and $33.8 million and $33.2 million, respectively, at December 31, 2006.</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Restricted cash</w:t>
      </w:r>
    </w:p>
    <w:p>
      <w:pPr>
        <w:spacing w:after="0" w:line="219" w:lineRule="exact"/>
        <w:rPr>
          <w:sz w:val="20"/>
          <w:szCs w:val="20"/>
          <w:color w:val="auto"/>
        </w:rPr>
      </w:pPr>
    </w:p>
    <w:p>
      <w:pPr>
        <w:ind w:right="80" w:firstLine="308"/>
        <w:spacing w:after="0" w:line="262" w:lineRule="auto"/>
        <w:rPr>
          <w:sz w:val="20"/>
          <w:szCs w:val="20"/>
          <w:color w:val="auto"/>
        </w:rPr>
      </w:pPr>
      <w:r>
        <w:rPr>
          <w:rFonts w:ascii="Arial" w:cs="Arial" w:eastAsia="Arial" w:hAnsi="Arial"/>
          <w:sz w:val="17"/>
          <w:szCs w:val="17"/>
          <w:color w:val="auto"/>
        </w:rPr>
        <w:t>Restricted cash at December 31, 2007 and 2006 includes a certificate of deposit held by a bank as collateral for a letter of credit acting as a security deposit on a loan. Restricted cash at December 31, 2007 also includes $5.0 million in a pledged bank deposit account as collateral for a term loan. As of December 31, 2007 and 2006 the Company had restricted cash of $5.2 million and $192,000,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2" w:name="page83"/>
    <w:bookmarkEnd w:id="82"/>
    <w:p>
      <w:pPr>
        <w:ind w:left="320"/>
        <w:spacing w:after="0"/>
        <w:rPr>
          <w:sz w:val="20"/>
          <w:szCs w:val="20"/>
          <w:color w:val="auto"/>
        </w:rPr>
      </w:pPr>
      <w:r>
        <w:rPr>
          <w:rFonts w:ascii="Arial" w:cs="Arial" w:eastAsia="Arial" w:hAnsi="Arial"/>
          <w:sz w:val="17"/>
          <w:szCs w:val="17"/>
          <w:b w:val="1"/>
          <w:bCs w:val="1"/>
          <w:color w:val="auto"/>
        </w:rPr>
        <w:t>Significant customers and accounts receivable</w:t>
      </w:r>
    </w:p>
    <w:p>
      <w:pPr>
        <w:spacing w:after="0" w:line="219" w:lineRule="exact"/>
        <w:rPr>
          <w:sz w:val="20"/>
          <w:szCs w:val="20"/>
          <w:color w:val="auto"/>
        </w:rPr>
      </w:pPr>
    </w:p>
    <w:p>
      <w:pPr>
        <w:ind w:right="220" w:firstLine="308"/>
        <w:spacing w:after="0" w:line="292" w:lineRule="auto"/>
        <w:rPr>
          <w:sz w:val="20"/>
          <w:szCs w:val="20"/>
          <w:color w:val="auto"/>
        </w:rPr>
      </w:pPr>
      <w:r>
        <w:rPr>
          <w:rFonts w:ascii="Arial" w:cs="Arial" w:eastAsia="Arial" w:hAnsi="Arial"/>
          <w:sz w:val="15"/>
          <w:szCs w:val="15"/>
          <w:color w:val="auto"/>
        </w:rPr>
        <w:t>The Company’s primary customers are the U.S. Department of Defense (the “DoD”) and U.S. Department of Health and Human Services (“HHS”). For the years ended December 31, 2007, 2006 and 2005, sales of BioThrax to the DoD and HHS comprised 97%, 97% and 96%, of total revenues, respectively. As of December 31, 2007 and 2006, the Company’s receivable balances were comprised of 84% and 100%, respectively, from these customers. Unbilled accounts receivable, included in accounts receivable, totaling $1.1 million and $26,000 as of December 31, 2007 and 2006, respectively, relate to various service contracts for which product has been delivered or work has been performed, though invoicing has not yet occurred. Accounts receivable are stated at invoice amounts and consist primarily of amounts due from the DoD and HHS as well as amounts due under reimbursement contracts with other government entities and non-government and philanthropic organizations. If necessary, the Company records a provision for doubtful receivables to allow for any amounts which may be unrecoverable. This provision is based upon an analysis of the Company’s prior collection experience, customer creditworthiness and current economic trends. As of December 31, 2007 and 2006, an allowance for doubtful accounts was not recorded, as the collection history from these customers indicates collection is probable.</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Concentrations of credit risk</w:t>
      </w:r>
    </w:p>
    <w:p>
      <w:pPr>
        <w:spacing w:after="0" w:line="219"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Inventories</w:t>
      </w:r>
    </w:p>
    <w:p>
      <w:pPr>
        <w:spacing w:after="0" w:line="219" w:lineRule="exact"/>
        <w:rPr>
          <w:sz w:val="20"/>
          <w:szCs w:val="20"/>
          <w:color w:val="auto"/>
        </w:rPr>
      </w:pPr>
    </w:p>
    <w:p>
      <w:pPr>
        <w:ind w:firstLine="308"/>
        <w:spacing w:after="0" w:line="303" w:lineRule="auto"/>
        <w:rPr>
          <w:sz w:val="20"/>
          <w:szCs w:val="20"/>
          <w:color w:val="auto"/>
        </w:rPr>
      </w:pPr>
      <w:r>
        <w:rPr>
          <w:rFonts w:ascii="Arial" w:cs="Arial" w:eastAsia="Arial" w:hAnsi="Arial"/>
          <w:sz w:val="15"/>
          <w:szCs w:val="15"/>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Property, plant and equipment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are stated at cost. Depreciation is computed using the straight-line method over the following estimated useful lives:</w:t>
      </w:r>
    </w:p>
    <w:p>
      <w:pPr>
        <w:sectPr>
          <w:pgSz w:w="11900" w:h="16838" w:orient="portrait"/>
          <w:cols w:equalWidth="0" w:num="1">
            <w:col w:w="11420"/>
          </w:cols>
          <w:pgMar w:left="240" w:top="127" w:right="239" w:bottom="1440" w:gutter="0" w:footer="0" w:header="0"/>
        </w:sect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Buildings</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Furniture and equipment</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Software</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39 years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3-7 years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Lesser of 3 years or product life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Lesser of the asset life or lease term</w:t>
      </w:r>
    </w:p>
    <w:p>
      <w:pPr>
        <w:spacing w:after="0" w:line="211" w:lineRule="exact"/>
        <w:rPr>
          <w:sz w:val="20"/>
          <w:szCs w:val="20"/>
          <w:color w:val="auto"/>
        </w:rPr>
      </w:pPr>
    </w:p>
    <w:p>
      <w:pPr>
        <w:sectPr>
          <w:pgSz w:w="11900" w:h="16838" w:orient="portrait"/>
          <w:cols w:equalWidth="0" w:num="2">
            <w:col w:w="3140" w:space="720"/>
            <w:col w:w="7560"/>
          </w:cols>
          <w:pgMar w:left="240" w:top="127" w:right="239" w:bottom="1440" w:gutter="0" w:footer="0" w:header="0"/>
          <w:type w:val="continuous"/>
        </w:sectPr>
      </w:pPr>
    </w:p>
    <w:p>
      <w:pPr>
        <w:spacing w:after="0" w:line="30" w:lineRule="exact"/>
        <w:rPr>
          <w:sz w:val="20"/>
          <w:szCs w:val="20"/>
          <w:color w:val="auto"/>
        </w:rPr>
      </w:pPr>
    </w:p>
    <w:p>
      <w:pPr>
        <w:ind w:right="480" w:firstLine="308"/>
        <w:spacing w:after="0" w:line="272" w:lineRule="auto"/>
        <w:rPr>
          <w:sz w:val="20"/>
          <w:szCs w:val="20"/>
          <w:color w:val="auto"/>
        </w:rPr>
      </w:pPr>
      <w:r>
        <w:rPr>
          <w:rFonts w:ascii="Arial" w:cs="Arial" w:eastAsia="Arial" w:hAnsi="Arial"/>
          <w:sz w:val="17"/>
          <w:szCs w:val="17"/>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right="340" w:firstLine="308"/>
        <w:spacing w:after="0" w:line="258" w:lineRule="auto"/>
        <w:rPr>
          <w:sz w:val="20"/>
          <w:szCs w:val="20"/>
          <w:color w:val="auto"/>
        </w:rPr>
      </w:pPr>
      <w:r>
        <w:rPr>
          <w:rFonts w:ascii="Arial" w:cs="Arial" w:eastAsia="Arial" w:hAnsi="Arial"/>
          <w:sz w:val="17"/>
          <w:szCs w:val="17"/>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185" w:lineRule="exact"/>
        <w:rPr>
          <w:sz w:val="20"/>
          <w:szCs w:val="20"/>
          <w:color w:val="auto"/>
        </w:rPr>
      </w:pPr>
    </w:p>
    <w:p>
      <w:pPr>
        <w:jc w:val="both"/>
        <w:ind w:firstLine="308"/>
        <w:spacing w:after="0" w:line="299" w:lineRule="auto"/>
        <w:rPr>
          <w:sz w:val="20"/>
          <w:szCs w:val="20"/>
          <w:color w:val="auto"/>
        </w:rPr>
      </w:pPr>
      <w:r>
        <w:rPr>
          <w:rFonts w:ascii="Arial" w:cs="Arial" w:eastAsia="Arial" w:hAnsi="Arial"/>
          <w:sz w:val="15"/>
          <w:szCs w:val="15"/>
          <w:color w:val="auto"/>
        </w:rPr>
        <w:t>The Company records valuation allowances to reduce deferred tax assets to the amounts that more likely than not will be realized. The Company considers future taxable income and ongoing tax planning 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83" w:name="page84"/>
    <w:bookmarkEnd w:id="83"/>
    <w:p>
      <w:pPr>
        <w:ind w:right="80" w:firstLine="308"/>
        <w:spacing w:after="0" w:line="262" w:lineRule="auto"/>
        <w:rPr>
          <w:sz w:val="20"/>
          <w:szCs w:val="20"/>
          <w:color w:val="auto"/>
        </w:rPr>
      </w:pPr>
      <w:r>
        <w:rPr>
          <w:rFonts w:ascii="Arial" w:cs="Arial" w:eastAsia="Arial" w:hAnsi="Arial"/>
          <w:sz w:val="17"/>
          <w:szCs w:val="17"/>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and the Company’s initial public offering, the Company believes the use of the operating losses will be significantly limited.</w:t>
      </w:r>
    </w:p>
    <w:p>
      <w:pPr>
        <w:spacing w:after="0" w:line="180"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Revenue recognition</w:t>
      </w:r>
    </w:p>
    <w:p>
      <w:pPr>
        <w:spacing w:after="0" w:line="219" w:lineRule="exact"/>
        <w:rPr>
          <w:sz w:val="20"/>
          <w:szCs w:val="20"/>
          <w:color w:val="auto"/>
        </w:rPr>
      </w:pPr>
    </w:p>
    <w:p>
      <w:pPr>
        <w:ind w:right="160" w:firstLine="308"/>
        <w:spacing w:after="0" w:line="304" w:lineRule="auto"/>
        <w:rPr>
          <w:sz w:val="20"/>
          <w:szCs w:val="20"/>
          <w:color w:val="auto"/>
        </w:rPr>
      </w:pPr>
      <w:r>
        <w:rPr>
          <w:rFonts w:ascii="Arial" w:cs="Arial" w:eastAsia="Arial" w:hAnsi="Arial"/>
          <w:sz w:val="16"/>
          <w:szCs w:val="16"/>
          <w:color w:val="auto"/>
        </w:rPr>
        <w:t xml:space="preserve">The Company recognizes revenues from product sales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No. 104”). SAB No. 104 requires recognition of revenues from product sales that require no continuing performance by the Company if four basic criteria have been met:</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42"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there is persuasive evidence of an arrangement;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delivery has occurred and title has passed to the Company’s customer;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the fee is fixed and determinable and no further obligation exists; and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collectibility is reasonably assured.</w:t>
      </w:r>
    </w:p>
    <w:p>
      <w:pPr>
        <w:spacing w:after="0" w:line="265" w:lineRule="exact"/>
        <w:rPr>
          <w:sz w:val="20"/>
          <w:szCs w:val="20"/>
          <w:color w:val="auto"/>
        </w:rPr>
      </w:pPr>
    </w:p>
    <w:p>
      <w:pPr>
        <w:sectPr>
          <w:pgSz w:w="11900" w:h="16838" w:orient="portrait"/>
          <w:cols w:equalWidth="0" w:num="2">
            <w:col w:w="700" w:space="540"/>
            <w:col w:w="10180"/>
          </w:cols>
          <w:pgMar w:left="240" w:top="131" w:right="239" w:bottom="1440" w:gutter="0" w:footer="0" w:header="0"/>
          <w:type w:val="continuous"/>
        </w:sectPr>
      </w:pPr>
    </w:p>
    <w:p>
      <w:pPr>
        <w:spacing w:after="0" w:line="13" w:lineRule="exact"/>
        <w:rPr>
          <w:sz w:val="20"/>
          <w:szCs w:val="20"/>
          <w:color w:val="auto"/>
        </w:rPr>
      </w:pPr>
    </w:p>
    <w:p>
      <w:pPr>
        <w:jc w:val="both"/>
        <w:ind w:right="120" w:firstLine="308"/>
        <w:spacing w:after="0" w:line="286" w:lineRule="auto"/>
        <w:rPr>
          <w:sz w:val="20"/>
          <w:szCs w:val="20"/>
          <w:color w:val="auto"/>
        </w:rPr>
      </w:pPr>
      <w:r>
        <w:rPr>
          <w:rFonts w:ascii="Arial" w:cs="Arial" w:eastAsia="Arial" w:hAnsi="Arial"/>
          <w:sz w:val="16"/>
          <w:szCs w:val="16"/>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163" w:lineRule="exact"/>
        <w:rPr>
          <w:sz w:val="20"/>
          <w:szCs w:val="20"/>
          <w:color w:val="auto"/>
        </w:rPr>
      </w:pPr>
    </w:p>
    <w:p>
      <w:pPr>
        <w:ind w:right="60" w:firstLine="308"/>
        <w:spacing w:after="0" w:line="286" w:lineRule="auto"/>
        <w:rPr>
          <w:sz w:val="20"/>
          <w:szCs w:val="20"/>
          <w:color w:val="auto"/>
        </w:rPr>
      </w:pPr>
      <w:r>
        <w:rPr>
          <w:rFonts w:ascii="Arial" w:cs="Arial" w:eastAsia="Arial" w:hAnsi="Arial"/>
          <w:sz w:val="16"/>
          <w:szCs w:val="16"/>
          <w:color w:val="auto"/>
        </w:rPr>
        <w:t>Under the Company’s previous contracts with the DoD, title to the product passed to the DoD upon submission of the first invoice. The earnings process was considered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163"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(“SNS”). This interpretation provides for revenue recognition for specifically identified products purchased for the SNS in the event that all requirements for revenue recognition, as specified in Statement of Financial Accounting Concepts No. 5, </w:t>
      </w:r>
      <w:r>
        <w:rPr>
          <w:rFonts w:ascii="Arial" w:cs="Arial" w:eastAsia="Arial" w:hAnsi="Arial"/>
          <w:sz w:val="17"/>
          <w:szCs w:val="17"/>
          <w:i w:val="1"/>
          <w:iCs w:val="1"/>
          <w:color w:val="auto"/>
        </w:rPr>
        <w:t>Recognition and Measurement in Financial Statements of Business Enterprises,</w:t>
      </w:r>
      <w:r>
        <w:rPr>
          <w:rFonts w:ascii="Arial" w:cs="Arial" w:eastAsia="Arial" w:hAnsi="Arial"/>
          <w:sz w:val="17"/>
          <w:szCs w:val="17"/>
          <w:color w:val="auto"/>
        </w:rPr>
        <w:t xml:space="preserve"> are not met. While the Company’s contracts with HHS are for qualifying sales of vaccine for placement into the SNS, the Company meets all requirements for revenue recognition upon delivery of product to HHS, and therefore has not applied this guidance.</w:t>
      </w:r>
    </w:p>
    <w:p>
      <w:pPr>
        <w:spacing w:after="0" w:line="18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 xml:space="preserve">Collaborative research and development agreements can provide for one or more of up-front license fees, research payments, and milestone payments. Agreements with multiple components (“deliverables” or “items”) are evaluated in accordance with Emerging Issues Task Force (“EITF”) Issue No. 00-21, </w:t>
      </w:r>
      <w:r>
        <w:rPr>
          <w:rFonts w:ascii="Arial" w:cs="Arial" w:eastAsia="Arial" w:hAnsi="Arial"/>
          <w:sz w:val="16"/>
          <w:szCs w:val="16"/>
          <w:i w:val="1"/>
          <w:iCs w:val="1"/>
          <w:color w:val="auto"/>
        </w:rPr>
        <w:t>Accounting for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with Multiple Deliverables </w:t>
      </w:r>
      <w:r>
        <w:rPr>
          <w:rFonts w:ascii="Arial" w:cs="Arial" w:eastAsia="Arial" w:hAnsi="Arial"/>
          <w:sz w:val="16"/>
          <w:szCs w:val="16"/>
          <w:color w:val="auto"/>
        </w:rPr>
        <w:t>(“EITF No. 00-21”), to determine if the deliverables can be divided into more than one unit of accounting. An item can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be considered a separate unit of accounting if all of the following criteria are met: (1) the delivered item(s) has value to the customer on a stand-alone basis; (2) there is objective and reliable evidence of the fair value of the undelivered items(s); and (3) if the arrangement includes a general right of return relative to the delivered item(s), delivery or performance of the undelivered item(s) is considered probable and substantially in control of the Company. Items that cannot be divided into separate units are combined with other units of accounting, as appropriate. Consideration received is allocated among the separate units based on their respective fair values or based on the residual value method and is recognized in full when the criteria in the discussion of SAB No. 104 above are met. The Company deems service to have been rendered if no continuing obligation exists on the part of the Company.</w:t>
      </w:r>
    </w:p>
    <w:p>
      <w:pPr>
        <w:spacing w:after="0" w:line="175" w:lineRule="exact"/>
        <w:rPr>
          <w:sz w:val="20"/>
          <w:szCs w:val="20"/>
          <w:color w:val="auto"/>
        </w:rPr>
      </w:pPr>
    </w:p>
    <w:p>
      <w:pPr>
        <w:ind w:right="20" w:firstLine="308"/>
        <w:spacing w:after="0" w:line="299" w:lineRule="auto"/>
        <w:rPr>
          <w:sz w:val="20"/>
          <w:szCs w:val="20"/>
          <w:color w:val="auto"/>
        </w:rPr>
      </w:pPr>
      <w:r>
        <w:rPr>
          <w:rFonts w:ascii="Arial" w:cs="Arial" w:eastAsia="Arial" w:hAnsi="Arial"/>
          <w:sz w:val="15"/>
          <w:szCs w:val="15"/>
          <w:color w:val="auto"/>
        </w:rPr>
        <w:t>Revenue associated with non-refundable up-front license fees under arrangements where the license fees and research and development activities cannot be accounted for as separate units of accounting is deferred and recognized as revenue on a straight-line basis over the expected term of the Company’s continued involvement in the research and development process. Revenues from the achievement of research and development milestones, if deemed substantive, are recognized as revenue when the milestones are achieved, and the milestone payments are due and collectible. If not deemed substantive, the Company would recognize such milestone as revenue on a straight-line basis over the remaining expected term of continued involvement in the research and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157480</wp:posOffset>
            </wp:positionV>
            <wp:extent cx="72790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4" w:name="page85"/>
    <w:bookmarkEnd w:id="84"/>
    <w:p>
      <w:pPr>
        <w:ind w:right="100" w:firstLine="308"/>
        <w:spacing w:after="0" w:line="303" w:lineRule="auto"/>
        <w:rPr>
          <w:sz w:val="20"/>
          <w:szCs w:val="20"/>
          <w:color w:val="auto"/>
        </w:rPr>
      </w:pPr>
      <w:r>
        <w:rPr>
          <w:rFonts w:ascii="Arial" w:cs="Arial" w:eastAsia="Arial" w:hAnsi="Arial"/>
          <w:sz w:val="15"/>
          <w:szCs w:val="15"/>
          <w:color w:val="auto"/>
        </w:rPr>
        <w:t>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appears reasonable in relation to the effort expended, the other milestones in the arrangement and the related risk associated with the achievement of the milestone and any ongoing research and development or other services are priced at fair value. Payments received in advance of work performed are recorded as deferred revenue.</w:t>
      </w:r>
    </w:p>
    <w:p>
      <w:pPr>
        <w:spacing w:after="0" w:line="155" w:lineRule="exact"/>
        <w:rPr>
          <w:sz w:val="20"/>
          <w:szCs w:val="20"/>
          <w:color w:val="auto"/>
        </w:rPr>
      </w:pPr>
    </w:p>
    <w:p>
      <w:pPr>
        <w:ind w:firstLine="308"/>
        <w:spacing w:after="0" w:line="279" w:lineRule="auto"/>
        <w:rPr>
          <w:sz w:val="20"/>
          <w:szCs w:val="20"/>
          <w:color w:val="auto"/>
        </w:rPr>
      </w:pPr>
      <w:r>
        <w:rPr>
          <w:rFonts w:ascii="Arial" w:cs="Arial" w:eastAsia="Arial" w:hAnsi="Arial"/>
          <w:sz w:val="16"/>
          <w:szCs w:val="16"/>
          <w:color w:val="auto"/>
        </w:rPr>
        <w:t xml:space="preserve">Payments received by the Company for the reimbursement of expenses for research and development activities are recorded in accordance with EITF Issue No. 99-19, </w:t>
      </w:r>
      <w:r>
        <w:rPr>
          <w:rFonts w:ascii="Arial" w:cs="Arial" w:eastAsia="Arial" w:hAnsi="Arial"/>
          <w:sz w:val="16"/>
          <w:szCs w:val="16"/>
          <w:i w:val="1"/>
          <w:iCs w:val="1"/>
          <w:color w:val="auto"/>
        </w:rPr>
        <w:t xml:space="preserve">Reporting Revenue Gross as Principal Versus Net as an Agent </w:t>
      </w:r>
      <w:r>
        <w:rPr>
          <w:rFonts w:ascii="Arial" w:cs="Arial" w:eastAsia="Arial" w:hAnsi="Arial"/>
          <w:sz w:val="16"/>
          <w:szCs w:val="16"/>
          <w:color w:val="auto"/>
        </w:rPr>
        <w:t>(“EITF No. 99-19”). Pursuant to EITF No. 99-19, for transactions in which the Company acts as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with discretion to choose suppliers, bears credit risk and performs a substantive part of the services, revenue is recorded at the gross amount of the reimbursement. Costs associated with these reimbursements are reflected as a component of research and development expenses.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Impairment of long-lived assets</w:t>
      </w:r>
    </w:p>
    <w:p>
      <w:pPr>
        <w:spacing w:after="0" w:line="219"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 xml:space="preserve">In accordance with Statement of Financial Accounting Standards (“SFAS”)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(“SFAS No. 144”), the Company assesses the recoverability of its long-lived assets for which an indicator of impairment exists by determining whether the carrying value of such assets can be recovered through undiscounted future operating cash flows. If the Company concludes that the carrying value will not be recovered, the Company measures the amount of such impairment by comparing the fair value to the carrying value. The Company has recorded no impairment losses for the years ended December 31, 2007, 2006 and 2005.</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Research and development</w:t>
      </w:r>
    </w:p>
    <w:p>
      <w:pPr>
        <w:spacing w:after="0" w:line="219" w:lineRule="exact"/>
        <w:rPr>
          <w:sz w:val="20"/>
          <w:szCs w:val="20"/>
          <w:color w:val="auto"/>
        </w:rPr>
      </w:pPr>
    </w:p>
    <w:p>
      <w:pPr>
        <w:ind w:right="80" w:firstLine="308"/>
        <w:spacing w:after="0" w:line="262" w:lineRule="auto"/>
        <w:rPr>
          <w:sz w:val="20"/>
          <w:szCs w:val="20"/>
          <w:color w:val="auto"/>
        </w:rPr>
      </w:pPr>
      <w:r>
        <w:rPr>
          <w:rFonts w:ascii="Arial" w:cs="Arial" w:eastAsia="Arial" w:hAnsi="Arial"/>
          <w:sz w:val="17"/>
          <w:szCs w:val="17"/>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219" w:lineRule="exact"/>
        <w:rPr>
          <w:sz w:val="20"/>
          <w:szCs w:val="20"/>
          <w:color w:val="auto"/>
        </w:rPr>
      </w:pPr>
    </w:p>
    <w:p>
      <w:pPr>
        <w:ind w:right="100" w:firstLine="308"/>
        <w:spacing w:after="0" w:line="296" w:lineRule="auto"/>
        <w:rPr>
          <w:sz w:val="20"/>
          <w:szCs w:val="20"/>
          <w:color w:val="auto"/>
        </w:rPr>
      </w:pPr>
      <w:r>
        <w:rPr>
          <w:rFonts w:ascii="Arial" w:cs="Arial" w:eastAsia="Arial" w:hAnsi="Arial"/>
          <w:sz w:val="15"/>
          <w:szCs w:val="15"/>
          <w:color w:val="auto"/>
        </w:rPr>
        <w:t xml:space="preserve">The Company accounts for purchased in-process research and development in accordance with the SFAS No. 2, </w:t>
      </w:r>
      <w:r>
        <w:rPr>
          <w:rFonts w:ascii="Arial" w:cs="Arial" w:eastAsia="Arial" w:hAnsi="Arial"/>
          <w:sz w:val="15"/>
          <w:szCs w:val="15"/>
          <w:i w:val="1"/>
          <w:iCs w:val="1"/>
          <w:color w:val="auto"/>
        </w:rPr>
        <w:t>Accounting for Research and Development Costs</w:t>
      </w:r>
      <w:r>
        <w:rPr>
          <w:rFonts w:ascii="Arial" w:cs="Arial" w:eastAsia="Arial" w:hAnsi="Arial"/>
          <w:sz w:val="15"/>
          <w:szCs w:val="15"/>
          <w:color w:val="auto"/>
        </w:rPr>
        <w:t xml:space="preserve"> (“SFAS No. 2”) along with Financial Accounting Standards Board (“FASB”) Interpretation No. 4, </w:t>
      </w:r>
      <w:r>
        <w:rPr>
          <w:rFonts w:ascii="Arial" w:cs="Arial" w:eastAsia="Arial" w:hAnsi="Arial"/>
          <w:sz w:val="15"/>
          <w:szCs w:val="15"/>
          <w:i w:val="1"/>
          <w:iCs w:val="1"/>
          <w:color w:val="auto"/>
        </w:rPr>
        <w:t>Applicability of FASB Statement No. 2 to Business Combinations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Accounted for by the Purchase Method — an interpretation of FASB Statement No. 2 </w:t>
      </w:r>
      <w:r>
        <w:rPr>
          <w:rFonts w:ascii="Arial" w:cs="Arial" w:eastAsia="Arial" w:hAnsi="Arial"/>
          <w:sz w:val="15"/>
          <w:szCs w:val="15"/>
          <w:color w:val="auto"/>
        </w:rPr>
        <w:t>(“FIN 4”). Under these standards, the Company is required to determine whether the</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relating to a particular research and development project acquired through an acquisition has an alternative future use. If the determination is that the technology has no alternative future use, the acquisition amount assigned to assets to be used in the particular research and development project is expensed. Otherwise, the Company capitalizes and amortizes the costs incurred over the estimated useful lives of the technology acquired.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Comprehensive income</w:t>
      </w:r>
    </w:p>
    <w:p>
      <w:pPr>
        <w:spacing w:after="0" w:line="219" w:lineRule="exact"/>
        <w:rPr>
          <w:sz w:val="20"/>
          <w:szCs w:val="20"/>
          <w:color w:val="auto"/>
        </w:rPr>
      </w:pPr>
    </w:p>
    <w:p>
      <w:pPr>
        <w:ind w:right="420" w:firstLine="308"/>
        <w:spacing w:after="0" w:line="303" w:lineRule="auto"/>
        <w:rPr>
          <w:sz w:val="20"/>
          <w:szCs w:val="20"/>
          <w:color w:val="auto"/>
        </w:rPr>
      </w:pPr>
      <w:r>
        <w:rPr>
          <w:rFonts w:ascii="Arial" w:cs="Arial" w:eastAsia="Arial" w:hAnsi="Arial"/>
          <w:sz w:val="15"/>
          <w:szCs w:val="15"/>
          <w:color w:val="auto"/>
        </w:rPr>
        <w:t xml:space="preserve">SFAS No. 130, </w:t>
      </w:r>
      <w:r>
        <w:rPr>
          <w:rFonts w:ascii="Arial" w:cs="Arial" w:eastAsia="Arial" w:hAnsi="Arial"/>
          <w:sz w:val="15"/>
          <w:szCs w:val="15"/>
          <w:i w:val="1"/>
          <w:iCs w:val="1"/>
          <w:color w:val="auto"/>
        </w:rPr>
        <w:t>Reporting Comprehensive Income,</w:t>
      </w:r>
      <w:r>
        <w:rPr>
          <w:rFonts w:ascii="Arial" w:cs="Arial" w:eastAsia="Arial" w:hAnsi="Arial"/>
          <w:sz w:val="15"/>
          <w:szCs w:val="15"/>
          <w:color w:val="auto"/>
        </w:rPr>
        <w:t xml:space="preserve"> requires the presentation of the comprehensive income and its components as part of the financial statements. Comprehensive income is comprised of net income and other changes in equity that are excluded from net income.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Foreign currencies</w:t>
      </w:r>
    </w:p>
    <w:p>
      <w:pPr>
        <w:spacing w:after="0" w:line="219" w:lineRule="exact"/>
        <w:rPr>
          <w:sz w:val="20"/>
          <w:szCs w:val="20"/>
          <w:color w:val="auto"/>
        </w:rPr>
      </w:pPr>
    </w:p>
    <w:p>
      <w:pPr>
        <w:jc w:val="both"/>
        <w:ind w:right="360" w:firstLine="308"/>
        <w:spacing w:after="0" w:line="262" w:lineRule="auto"/>
        <w:rPr>
          <w:sz w:val="20"/>
          <w:szCs w:val="20"/>
          <w:color w:val="auto"/>
        </w:rPr>
      </w:pPr>
      <w:r>
        <w:rPr>
          <w:rFonts w:ascii="Arial" w:cs="Arial" w:eastAsia="Arial" w:hAnsi="Arial"/>
          <w:sz w:val="17"/>
          <w:szCs w:val="17"/>
          <w:color w:val="auto"/>
        </w:rPr>
        <w:t>The local currency is the functional currency for the Company’s foreign subsidiaries and, as such, assets and liabilities are translated into U.S. dollars at year-end exchange rates. Income and expense items are translated at average exchange rates during the year. Translation adjustments resulting from this process are charged or credited to other comprehensive income (loss).</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Capitalized interest</w:t>
      </w:r>
    </w:p>
    <w:p>
      <w:pPr>
        <w:spacing w:after="0" w:line="219"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 xml:space="preserve">The Company capitalizes interest in accordance with SFAS No. 34, </w:t>
      </w:r>
      <w:r>
        <w:rPr>
          <w:rFonts w:ascii="Arial" w:cs="Arial" w:eastAsia="Arial" w:hAnsi="Arial"/>
          <w:sz w:val="17"/>
          <w:szCs w:val="17"/>
          <w:i w:val="1"/>
          <w:iCs w:val="1"/>
          <w:color w:val="auto"/>
        </w:rPr>
        <w:t>Capitalization of Interest Cost</w:t>
      </w:r>
      <w:r>
        <w:rPr>
          <w:rFonts w:ascii="Arial" w:cs="Arial" w:eastAsia="Arial" w:hAnsi="Arial"/>
          <w:sz w:val="17"/>
          <w:szCs w:val="17"/>
          <w:color w:val="auto"/>
        </w:rPr>
        <w:t>, based on the cost of major ongoing capital projects which have not yet been placed in service. For the years ended December 31, 2007, 2006 and 2005, the Company incurred interest expense of $3.2 million, $1.9 million and $767,000, respectively. Of these amounts, the Company capitalized $3.1 million, $759,000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ind w:left="320"/>
        <w:spacing w:after="0"/>
        <w:rPr>
          <w:sz w:val="20"/>
          <w:szCs w:val="20"/>
          <w:color w:val="auto"/>
        </w:rPr>
      </w:pPr>
      <w:r>
        <w:rPr>
          <w:rFonts w:ascii="Arial" w:cs="Arial" w:eastAsia="Arial" w:hAnsi="Arial"/>
          <w:sz w:val="17"/>
          <w:szCs w:val="17"/>
          <w:b w:val="1"/>
          <w:bCs w:val="1"/>
          <w:color w:val="auto"/>
        </w:rPr>
        <w:t>Certain risks and uncertainties</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6"/>
          <w:szCs w:val="16"/>
          <w:color w:val="auto"/>
        </w:rPr>
        <w:t>The Company has derived substantially all of its revenue from sales of BioThrax under contracts with the DoD and HHS. The Company’s ongoing U.S. government contract does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Earnings per share</w:t>
      </w:r>
    </w:p>
    <w:p>
      <w:pPr>
        <w:spacing w:after="0" w:line="219" w:lineRule="exact"/>
        <w:rPr>
          <w:sz w:val="20"/>
          <w:szCs w:val="20"/>
          <w:color w:val="auto"/>
        </w:rPr>
      </w:pPr>
    </w:p>
    <w:p>
      <w:pPr>
        <w:ind w:firstLine="308"/>
        <w:spacing w:after="0" w:line="262" w:lineRule="auto"/>
        <w:rPr>
          <w:sz w:val="20"/>
          <w:szCs w:val="20"/>
          <w:color w:val="auto"/>
        </w:rPr>
      </w:pPr>
      <w:r>
        <w:rPr>
          <w:rFonts w:ascii="Arial" w:cs="Arial" w:eastAsia="Arial" w:hAnsi="Arial"/>
          <w:sz w:val="17"/>
          <w:szCs w:val="17"/>
          <w:color w:val="auto"/>
        </w:rPr>
        <w:t>Basic net income per share of common stock excludes dilution for potential common stock issuances and is computed by dividing net income by the weighted average number of shares outstanding for the period. Diluted net income per share reflects the potential dilution that could occur if securities or other contracts to issue common stock were exercised or converted into common stock.</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calculation of basic and diluted net income per share:</w:t>
      </w:r>
    </w:p>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33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 thousands, except share and per share data)</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w w:val="91"/>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6"/>
              <w:spacing w:after="0" w:line="134" w:lineRule="exact"/>
              <w:rPr>
                <w:sz w:val="20"/>
                <w:szCs w:val="20"/>
                <w:color w:val="auto"/>
              </w:rPr>
            </w:pPr>
            <w:r>
              <w:rPr>
                <w:rFonts w:ascii="Arial" w:cs="Arial" w:eastAsia="Arial" w:hAnsi="Arial"/>
                <w:sz w:val="13"/>
                <w:szCs w:val="13"/>
                <w:b w:val="1"/>
                <w:bCs w:val="1"/>
                <w:color w:val="auto"/>
              </w:rPr>
              <w:t>2007</w:t>
            </w: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b w:val="1"/>
                <w:bCs w:val="1"/>
                <w:color w:val="auto"/>
              </w:rPr>
              <w:t>2006</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b w:val="1"/>
                <w:bCs w:val="1"/>
                <w:color w:val="auto"/>
              </w:rPr>
              <w:t>2005</w:t>
            </w: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Numerator:</w:t>
            </w:r>
          </w:p>
        </w:tc>
        <w:tc>
          <w:tcPr>
            <w:tcW w:w="3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Net Income</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22,936</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22,793</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15,784</w:t>
            </w: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Denominator:</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Weighted-average number of shares—basic</w:t>
            </w:r>
          </w:p>
        </w:tc>
        <w:tc>
          <w:tcPr>
            <w:tcW w:w="32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28,995,667</w:t>
            </w:r>
          </w:p>
        </w:tc>
        <w:tc>
          <w:tcPr>
            <w:tcW w:w="38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23,039,794</w:t>
            </w:r>
          </w:p>
        </w:tc>
        <w:tc>
          <w:tcPr>
            <w:tcW w:w="3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20,533,471</w:t>
            </w:r>
          </w:p>
        </w:tc>
        <w:tc>
          <w:tcPr>
            <w:tcW w:w="0" w:type="dxa"/>
            <w:vAlign w:val="bottom"/>
          </w:tcPr>
          <w:p>
            <w:pPr>
              <w:spacing w:after="0"/>
              <w:rPr>
                <w:sz w:val="1"/>
                <w:szCs w:val="1"/>
                <w:color w:val="auto"/>
              </w:rPr>
            </w:pPr>
          </w:p>
        </w:tc>
      </w:tr>
      <w:tr>
        <w:trPr>
          <w:trHeight w:val="134"/>
        </w:trPr>
        <w:tc>
          <w:tcPr>
            <w:tcW w:w="332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Dilutive securities—stock options</w:t>
            </w: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667,460</w:t>
            </w:r>
          </w:p>
        </w:tc>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1,527,508</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2,218,262</w:t>
            </w:r>
          </w:p>
        </w:tc>
        <w:tc>
          <w:tcPr>
            <w:tcW w:w="0" w:type="dxa"/>
            <w:vAlign w:val="bottom"/>
          </w:tcPr>
          <w:p>
            <w:pPr>
              <w:spacing w:after="0"/>
              <w:rPr>
                <w:sz w:val="1"/>
                <w:szCs w:val="1"/>
                <w:color w:val="auto"/>
              </w:rPr>
            </w:pPr>
          </w:p>
        </w:tc>
      </w:tr>
      <w:tr>
        <w:trPr>
          <w:trHeight w:val="134"/>
        </w:trPr>
        <w:tc>
          <w:tcPr>
            <w:tcW w:w="33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Weighted-average number of shares—diluted</w:t>
            </w:r>
          </w:p>
        </w:tc>
        <w:tc>
          <w:tcPr>
            <w:tcW w:w="32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29,663,127</w:t>
            </w:r>
          </w:p>
        </w:tc>
        <w:tc>
          <w:tcPr>
            <w:tcW w:w="38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24,567,302</w:t>
            </w:r>
          </w:p>
        </w:tc>
        <w:tc>
          <w:tcPr>
            <w:tcW w:w="3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22,751,733</w:t>
            </w:r>
          </w:p>
        </w:tc>
        <w:tc>
          <w:tcPr>
            <w:tcW w:w="0" w:type="dxa"/>
            <w:vAlign w:val="bottom"/>
          </w:tcPr>
          <w:p>
            <w:pPr>
              <w:spacing w:after="0"/>
              <w:rPr>
                <w:sz w:val="1"/>
                <w:szCs w:val="1"/>
                <w:color w:val="auto"/>
              </w:rPr>
            </w:pPr>
          </w:p>
        </w:tc>
      </w:tr>
      <w:tr>
        <w:trPr>
          <w:trHeight w:val="134"/>
        </w:trPr>
        <w:tc>
          <w:tcPr>
            <w:tcW w:w="3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Earnings per share-basic</w:t>
            </w:r>
          </w:p>
        </w:tc>
        <w:tc>
          <w:tcPr>
            <w:tcW w:w="32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0.79</w:t>
            </w:r>
          </w:p>
        </w:tc>
        <w:tc>
          <w:tcPr>
            <w:tcW w:w="38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0.99</w:t>
            </w:r>
          </w:p>
        </w:tc>
        <w:tc>
          <w:tcPr>
            <w:tcW w:w="38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0.77</w:t>
            </w:r>
          </w:p>
        </w:tc>
        <w:tc>
          <w:tcPr>
            <w:tcW w:w="0" w:type="dxa"/>
            <w:vAlign w:val="bottom"/>
          </w:tcPr>
          <w:p>
            <w:pPr>
              <w:spacing w:after="0"/>
              <w:rPr>
                <w:sz w:val="1"/>
                <w:szCs w:val="1"/>
                <w:color w:val="auto"/>
              </w:rPr>
            </w:pPr>
          </w:p>
        </w:tc>
      </w:tr>
      <w:tr>
        <w:trPr>
          <w:trHeight w:val="154"/>
        </w:trPr>
        <w:tc>
          <w:tcPr>
            <w:tcW w:w="3320" w:type="dxa"/>
            <w:vAlign w:val="bottom"/>
          </w:tcPr>
          <w:p>
            <w:pPr>
              <w:ind w:left="80"/>
              <w:spacing w:after="0"/>
              <w:rPr>
                <w:sz w:val="20"/>
                <w:szCs w:val="20"/>
                <w:color w:val="auto"/>
              </w:rPr>
            </w:pPr>
            <w:r>
              <w:rPr>
                <w:rFonts w:ascii="Arial" w:cs="Arial" w:eastAsia="Arial" w:hAnsi="Arial"/>
                <w:sz w:val="13"/>
                <w:szCs w:val="13"/>
                <w:color w:val="auto"/>
              </w:rPr>
              <w:t>Earnings per share-diluted</w:t>
            </w:r>
          </w:p>
        </w:tc>
        <w:tc>
          <w:tcPr>
            <w:tcW w:w="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0.77</w:t>
            </w:r>
          </w:p>
        </w:tc>
        <w:tc>
          <w:tcPr>
            <w:tcW w:w="3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0.93</w:t>
            </w:r>
          </w:p>
        </w:tc>
        <w:tc>
          <w:tcPr>
            <w:tcW w:w="3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For the years ending December 31, 2007, 2006 and 2005, outstanding stock options to purchase approximately 463,000, 160,000 and 21,000 shares, respectively, of common stock are not considered in the diluted earnings per share calculation because the exercise price of these options is greater than the average per share closing price during the year.</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219" w:lineRule="exact"/>
        <w:rPr>
          <w:sz w:val="20"/>
          <w:szCs w:val="20"/>
          <w:color w:val="auto"/>
        </w:rPr>
      </w:pPr>
    </w:p>
    <w:p>
      <w:pPr>
        <w:ind w:right="60" w:firstLine="308"/>
        <w:spacing w:after="0" w:line="294" w:lineRule="auto"/>
        <w:rPr>
          <w:sz w:val="20"/>
          <w:szCs w:val="20"/>
          <w:color w:val="auto"/>
        </w:rPr>
      </w:pPr>
      <w:r>
        <w:rPr>
          <w:rFonts w:ascii="Arial" w:cs="Arial" w:eastAsia="Arial" w:hAnsi="Arial"/>
          <w:sz w:val="15"/>
          <w:szCs w:val="15"/>
          <w:color w:val="auto"/>
        </w:rPr>
        <w:t xml:space="preserve">As of December 31, 2007, the Company has two stock-based employee compensation plans, the Emergent BioSolutions Inc. 2006 Stock Incentive Plan (the “2006 Plan”) and the Emergent BioSolutions Employee Stock Option Plan (the “2004 Plan”), described more fully in Note 10 — Stockholders’ Equity. Through December 31, 2005, the Company accounted for grants under the 2004 Plan using the intrinsic value method in accordance with the provisions of Accounting Principles Board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(“APB No. 25”) and provided the pro forma disclosures of net income and net income per share in accordance with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(“SFAS No. 123”) as amended by SFAS No. 148, </w:t>
      </w:r>
      <w:r>
        <w:rPr>
          <w:rFonts w:ascii="Arial" w:cs="Arial" w:eastAsia="Arial" w:hAnsi="Arial"/>
          <w:sz w:val="15"/>
          <w:szCs w:val="15"/>
          <w:i w:val="1"/>
          <w:iCs w:val="1"/>
          <w:color w:val="auto"/>
        </w:rPr>
        <w:t>Accounting for Stock-Based Compensation-Transition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w:t>
      </w:r>
      <w:r>
        <w:rPr>
          <w:rFonts w:ascii="Arial" w:cs="Arial" w:eastAsia="Arial" w:hAnsi="Arial"/>
          <w:sz w:val="15"/>
          <w:szCs w:val="15"/>
          <w:color w:val="auto"/>
        </w:rPr>
        <w:t>using the fair value method. Under APB No. 25, compensation expense is based on the difference, if any, on the date of the grant between the fair value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stock and the exercise price of the option and is recognized ratably over the vesting period of the option.</w:t>
      </w:r>
    </w:p>
    <w:p>
      <w:pPr>
        <w:spacing w:after="0" w:line="162" w:lineRule="exact"/>
        <w:rPr>
          <w:sz w:val="20"/>
          <w:szCs w:val="20"/>
          <w:color w:val="auto"/>
        </w:rPr>
      </w:pPr>
    </w:p>
    <w:p>
      <w:pPr>
        <w:jc w:val="both"/>
        <w:ind w:firstLine="308"/>
        <w:spacing w:after="0" w:line="279" w:lineRule="auto"/>
        <w:rPr>
          <w:sz w:val="20"/>
          <w:szCs w:val="20"/>
          <w:color w:val="auto"/>
        </w:rPr>
      </w:pPr>
      <w:r>
        <w:rPr>
          <w:rFonts w:ascii="Arial" w:cs="Arial" w:eastAsia="Arial" w:hAnsi="Arial"/>
          <w:sz w:val="16"/>
          <w:szCs w:val="16"/>
          <w:color w:val="auto"/>
        </w:rPr>
        <w:t xml:space="preserve">Effective January 1, 2006, the Company adopted the fair value provisions of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using the modified prospective method. Under the fair value recognition provisions of SFAS No. 123(R), the Company recognizes stock-based compensation net of an estimated forfeiture rate. The Company accounts for equity instruments issued to non-employees in accordance with SFAS No. 123 and EITF Issue No. 96-18, </w:t>
      </w:r>
      <w:r>
        <w:rPr>
          <w:rFonts w:ascii="Arial" w:cs="Arial" w:eastAsia="Arial" w:hAnsi="Arial"/>
          <w:sz w:val="16"/>
          <w:szCs w:val="16"/>
          <w:i w:val="1"/>
          <w:iCs w:val="1"/>
          <w:color w:val="auto"/>
        </w:rPr>
        <w:t>Accounting for Equity</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That Are Issued to Other Than Employees for Acquiring, or in Conjunction with Selling Goods or Services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165735</wp:posOffset>
            </wp:positionV>
            <wp:extent cx="727900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6" w:name="page87"/>
    <w:bookmarkEnd w:id="86"/>
    <w:p>
      <w:pPr>
        <w:ind w:right="100" w:firstLine="308"/>
        <w:spacing w:after="0" w:line="279" w:lineRule="auto"/>
        <w:rPr>
          <w:sz w:val="20"/>
          <w:szCs w:val="20"/>
          <w:color w:val="auto"/>
        </w:rPr>
      </w:pPr>
      <w:r>
        <w:rPr>
          <w:rFonts w:ascii="Arial" w:cs="Arial" w:eastAsia="Arial" w:hAnsi="Arial"/>
          <w:sz w:val="16"/>
          <w:szCs w:val="16"/>
          <w:color w:val="auto"/>
        </w:rPr>
        <w:t>Under the modified prospective method, compensation cost recognized in 2007 and 2006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and vested subsequent to December 31, 2005, based on the grant date fair value estimated in accordance with the provisions of SFAS No. 123(R). Stock based compensation is recognized on a straight-line basis over the vesting period.</w:t>
      </w:r>
    </w:p>
    <w:p>
      <w:pPr>
        <w:spacing w:after="0" w:line="170" w:lineRule="exact"/>
        <w:rPr>
          <w:sz w:val="20"/>
          <w:szCs w:val="20"/>
          <w:color w:val="auto"/>
        </w:rPr>
      </w:pPr>
    </w:p>
    <w:p>
      <w:pPr>
        <w:ind w:right="340" w:firstLine="308"/>
        <w:spacing w:after="0" w:line="382" w:lineRule="auto"/>
        <w:rPr>
          <w:sz w:val="20"/>
          <w:szCs w:val="20"/>
          <w:color w:val="auto"/>
        </w:rPr>
      </w:pPr>
      <w:r>
        <w:rPr>
          <w:rFonts w:ascii="Arial" w:cs="Arial" w:eastAsia="Arial" w:hAnsi="Arial"/>
          <w:sz w:val="14"/>
          <w:szCs w:val="14"/>
          <w:color w:val="auto"/>
        </w:rPr>
        <w:t>Results for prior periods have not been restated. Based on options granted to employees as of December 31, 2007, total compensation expense not yet recognized related to unvested options is approximately $2.9 million, after tax. The Company expects to recognize that expense over a weighted average period of 3.0 years.</w:t>
      </w:r>
    </w:p>
    <w:p>
      <w:pPr>
        <w:spacing w:after="0" w:line="103"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48"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2060" w:type="dxa"/>
            <w:vAlign w:val="bottom"/>
          </w:tcPr>
          <w:p>
            <w:pPr>
              <w:spacing w:after="0"/>
              <w:rPr>
                <w:sz w:val="13"/>
                <w:szCs w:val="13"/>
                <w:color w:val="auto"/>
              </w:rPr>
            </w:pPr>
          </w:p>
        </w:tc>
        <w:tc>
          <w:tcPr>
            <w:tcW w:w="26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3"/>
                <w:szCs w:val="13"/>
                <w:b w:val="1"/>
                <w:bCs w:val="1"/>
                <w:color w:val="auto"/>
              </w:rPr>
              <w:t>Year Ended December 31,</w:t>
            </w:r>
          </w:p>
        </w:tc>
      </w:tr>
      <w:tr>
        <w:trPr>
          <w:trHeight w:val="198"/>
        </w:trPr>
        <w:tc>
          <w:tcPr>
            <w:tcW w:w="20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2007</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2006</w:t>
            </w: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2005</w:t>
            </w:r>
          </w:p>
        </w:tc>
      </w:tr>
      <w:tr>
        <w:trPr>
          <w:trHeight w:val="134"/>
        </w:trPr>
        <w:tc>
          <w:tcPr>
            <w:tcW w:w="20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color w:val="auto"/>
              </w:rPr>
              <w:t>Expected dividend yield</w:t>
            </w:r>
          </w:p>
        </w:tc>
        <w:tc>
          <w:tcPr>
            <w:tcW w:w="1000" w:type="dxa"/>
            <w:vAlign w:val="bottom"/>
            <w:shd w:val="clear" w:color="auto" w:fill="CCFFCC"/>
          </w:tcPr>
          <w:p>
            <w:pPr>
              <w:jc w:val="right"/>
              <w:ind w:right="76"/>
              <w:spacing w:after="0" w:line="134" w:lineRule="exact"/>
              <w:rPr>
                <w:sz w:val="20"/>
                <w:szCs w:val="20"/>
                <w:color w:val="auto"/>
              </w:rPr>
            </w:pPr>
            <w:r>
              <w:rPr>
                <w:rFonts w:ascii="Arial" w:cs="Arial" w:eastAsia="Arial" w:hAnsi="Arial"/>
                <w:sz w:val="13"/>
                <w:szCs w:val="13"/>
                <w:color w:val="auto"/>
              </w:rPr>
              <w:t>0%</w:t>
            </w:r>
          </w:p>
        </w:tc>
        <w:tc>
          <w:tcPr>
            <w:tcW w:w="84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0%</w:t>
            </w:r>
          </w:p>
        </w:tc>
        <w:tc>
          <w:tcPr>
            <w:tcW w:w="80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0%</w:t>
            </w:r>
          </w:p>
        </w:tc>
      </w:tr>
      <w:tr>
        <w:trPr>
          <w:trHeight w:val="141"/>
        </w:trPr>
        <w:tc>
          <w:tcPr>
            <w:tcW w:w="2060" w:type="dxa"/>
            <w:vAlign w:val="bottom"/>
          </w:tcPr>
          <w:p>
            <w:pPr>
              <w:ind w:left="100"/>
              <w:spacing w:after="0" w:line="141" w:lineRule="exact"/>
              <w:rPr>
                <w:sz w:val="20"/>
                <w:szCs w:val="20"/>
                <w:color w:val="auto"/>
              </w:rPr>
            </w:pPr>
            <w:r>
              <w:rPr>
                <w:rFonts w:ascii="Arial" w:cs="Arial" w:eastAsia="Arial" w:hAnsi="Arial"/>
                <w:sz w:val="13"/>
                <w:szCs w:val="13"/>
                <w:color w:val="auto"/>
              </w:rPr>
              <w:t>Expected volatility</w:t>
            </w:r>
          </w:p>
        </w:tc>
        <w:tc>
          <w:tcPr>
            <w:tcW w:w="1000" w:type="dxa"/>
            <w:vAlign w:val="bottom"/>
          </w:tcPr>
          <w:p>
            <w:pPr>
              <w:jc w:val="right"/>
              <w:ind w:right="76"/>
              <w:spacing w:after="0" w:line="141" w:lineRule="exact"/>
              <w:rPr>
                <w:sz w:val="20"/>
                <w:szCs w:val="20"/>
                <w:color w:val="auto"/>
              </w:rPr>
            </w:pPr>
            <w:r>
              <w:rPr>
                <w:rFonts w:ascii="Arial" w:cs="Arial" w:eastAsia="Arial" w:hAnsi="Arial"/>
                <w:sz w:val="13"/>
                <w:szCs w:val="13"/>
                <w:color w:val="auto"/>
              </w:rPr>
              <w:t>50%</w:t>
            </w:r>
          </w:p>
        </w:tc>
        <w:tc>
          <w:tcPr>
            <w:tcW w:w="840" w:type="dxa"/>
            <w:vAlign w:val="bottom"/>
          </w:tcPr>
          <w:p>
            <w:pPr>
              <w:jc w:val="right"/>
              <w:ind w:right="56"/>
              <w:spacing w:after="0" w:line="141" w:lineRule="exact"/>
              <w:rPr>
                <w:sz w:val="20"/>
                <w:szCs w:val="20"/>
                <w:color w:val="auto"/>
              </w:rPr>
            </w:pPr>
            <w:r>
              <w:rPr>
                <w:rFonts w:ascii="Arial" w:cs="Arial" w:eastAsia="Arial" w:hAnsi="Arial"/>
                <w:sz w:val="13"/>
                <w:szCs w:val="13"/>
                <w:color w:val="auto"/>
              </w:rPr>
              <w:t>50%</w:t>
            </w:r>
          </w:p>
        </w:tc>
        <w:tc>
          <w:tcPr>
            <w:tcW w:w="8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50%</w:t>
            </w:r>
          </w:p>
        </w:tc>
      </w:tr>
      <w:tr>
        <w:trPr>
          <w:trHeight w:val="141"/>
        </w:trPr>
        <w:tc>
          <w:tcPr>
            <w:tcW w:w="206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Risk-free interest rate</w:t>
            </w:r>
          </w:p>
        </w:tc>
        <w:tc>
          <w:tcPr>
            <w:tcW w:w="1000" w:type="dxa"/>
            <w:vAlign w:val="bottom"/>
            <w:shd w:val="clear" w:color="auto" w:fill="CCFFCC"/>
          </w:tcPr>
          <w:p>
            <w:pPr>
              <w:jc w:val="right"/>
              <w:ind w:right="76"/>
              <w:spacing w:after="0" w:line="141" w:lineRule="exact"/>
              <w:rPr>
                <w:sz w:val="20"/>
                <w:szCs w:val="20"/>
                <w:color w:val="auto"/>
              </w:rPr>
            </w:pPr>
            <w:r>
              <w:rPr>
                <w:rFonts w:ascii="Arial" w:cs="Arial" w:eastAsia="Arial" w:hAnsi="Arial"/>
                <w:sz w:val="13"/>
                <w:szCs w:val="13"/>
                <w:color w:val="auto"/>
              </w:rPr>
              <w:t>2.99-5.09%</w:t>
            </w:r>
          </w:p>
        </w:tc>
        <w:tc>
          <w:tcPr>
            <w:tcW w:w="84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4.58-5.21%</w:t>
            </w:r>
          </w:p>
        </w:tc>
        <w:tc>
          <w:tcPr>
            <w:tcW w:w="8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3.33-4.32%</w:t>
            </w:r>
          </w:p>
        </w:tc>
      </w:tr>
      <w:tr>
        <w:trPr>
          <w:trHeight w:val="154"/>
        </w:trPr>
        <w:tc>
          <w:tcPr>
            <w:tcW w:w="2060" w:type="dxa"/>
            <w:vAlign w:val="bottom"/>
          </w:tcPr>
          <w:p>
            <w:pPr>
              <w:ind w:left="100"/>
              <w:spacing w:after="0"/>
              <w:rPr>
                <w:sz w:val="20"/>
                <w:szCs w:val="20"/>
                <w:color w:val="auto"/>
              </w:rPr>
            </w:pPr>
            <w:r>
              <w:rPr>
                <w:rFonts w:ascii="Arial" w:cs="Arial" w:eastAsia="Arial" w:hAnsi="Arial"/>
                <w:sz w:val="13"/>
                <w:szCs w:val="13"/>
                <w:color w:val="auto"/>
              </w:rPr>
              <w:t>Expected average life of options</w:t>
            </w: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3.0 years</w:t>
            </w: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3.0 years</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2.9 years</w:t>
            </w:r>
          </w:p>
        </w:tc>
      </w:tr>
    </w:tbl>
    <w:p>
      <w:pPr>
        <w:spacing w:after="0" w:line="179" w:lineRule="exact"/>
        <w:rPr>
          <w:sz w:val="20"/>
          <w:szCs w:val="20"/>
          <w:color w:val="auto"/>
        </w:rPr>
      </w:pPr>
    </w:p>
    <w:p>
      <w:pPr>
        <w:sectPr>
          <w:pgSz w:w="11900" w:h="16838" w:orient="portrait"/>
          <w:cols w:equalWidth="0" w:num="1">
            <w:col w:w="11420"/>
          </w:cols>
          <w:pgMar w:left="240" w:top="131" w:right="239" w:bottom="1440" w:gutter="0" w:footer="0" w:header="0"/>
        </w:sect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140"/>
        <w:spacing w:after="0" w:line="256" w:lineRule="auto"/>
        <w:rPr>
          <w:sz w:val="20"/>
          <w:szCs w:val="20"/>
          <w:color w:val="auto"/>
        </w:rPr>
      </w:pPr>
      <w:r>
        <w:rPr>
          <w:rFonts w:ascii="Arial" w:cs="Arial" w:eastAsia="Arial" w:hAnsi="Arial"/>
          <w:sz w:val="17"/>
          <w:szCs w:val="17"/>
          <w:color w:val="auto"/>
        </w:rPr>
        <w:t>Expected dividend yield — The Company does not pay regular dividends on its common stock and does not anticipate paying any dividends in the foreseeable future.</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Expected volatility — Volatility is a measure of the amount by which a financial variable, such as share price, has fluctuated (historical volatility) or is expected to fluctuate (expected volatility) during a period. The Company analyzed the expected historical volatility used by similar companies at a similar stage of development to estimate expected volatility. The volatility used by these similar companies ranged from 33% to 79%, with an average estimated volatility of 53%.</w:t>
      </w:r>
    </w:p>
    <w:p>
      <w:pPr>
        <w:spacing w:after="0" w:line="3"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Risk-free interest rate — This is the range of U.S. Treasury rates with a term that most closely resembles the expected life of the option as of the date in which the option was granted.</w:t>
      </w:r>
    </w:p>
    <w:p>
      <w:pPr>
        <w:spacing w:after="0" w:line="1"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Expected average life of options — This is the period of time that the options granted are expected to remain outstanding. This estimate is based primarily on the employee position profile of option holders and the trading lock out periods that result from the employee’s access to stock price sensitive information.</w:t>
      </w:r>
    </w:p>
    <w:p>
      <w:pPr>
        <w:spacing w:after="0" w:line="134" w:lineRule="exact"/>
        <w:rPr>
          <w:sz w:val="20"/>
          <w:szCs w:val="20"/>
          <w:color w:val="auto"/>
        </w:rPr>
      </w:pPr>
    </w:p>
    <w:p>
      <w:pPr>
        <w:sectPr>
          <w:pgSz w:w="11900" w:h="16838" w:orient="portrait"/>
          <w:cols w:equalWidth="0" w:num="2">
            <w:col w:w="400" w:space="280"/>
            <w:col w:w="10740"/>
          </w:cols>
          <w:pgMar w:left="240" w:top="131" w:right="239" w:bottom="1440" w:gutter="0" w:footer="0" w:header="0"/>
          <w:type w:val="continuous"/>
        </w:sectPr>
      </w:pPr>
    </w:p>
    <w:p>
      <w:pPr>
        <w:jc w:val="both"/>
        <w:ind w:firstLine="308"/>
        <w:spacing w:after="0" w:line="262" w:lineRule="auto"/>
        <w:rPr>
          <w:sz w:val="20"/>
          <w:szCs w:val="20"/>
          <w:color w:val="auto"/>
        </w:rPr>
      </w:pPr>
      <w:r>
        <w:rPr>
          <w:rFonts w:ascii="Arial" w:cs="Arial" w:eastAsia="Arial" w:hAnsi="Arial"/>
          <w:sz w:val="17"/>
          <w:szCs w:val="17"/>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from stock-based compensation) to be classified as financing cash flows.</w:t>
      </w:r>
    </w:p>
    <w:p>
      <w:pPr>
        <w:spacing w:after="0" w:line="180"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The following table illustrates the effect on net income and net income per share if the Company had applied the fair value recognition provisions of SFAS No. 123 to stock-based employee compensation for the year ended December 31, 2005.</w:t>
      </w:r>
    </w:p>
    <w:p>
      <w:pPr>
        <w:spacing w:after="0" w:line="168"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Year Ended</w:t>
      </w:r>
    </w:p>
    <w:p>
      <w:pPr>
        <w:spacing w:after="0" w:line="6" w:lineRule="exact"/>
        <w:rPr>
          <w:sz w:val="20"/>
          <w:szCs w:val="20"/>
          <w:color w:val="auto"/>
        </w:rPr>
      </w:pPr>
    </w:p>
    <w:p>
      <w:pPr>
        <w:ind w:left="180"/>
        <w:spacing w:after="0"/>
        <w:tabs>
          <w:tab w:leader="none" w:pos="3740" w:val="left"/>
        </w:tabs>
        <w:rPr>
          <w:sz w:val="20"/>
          <w:szCs w:val="20"/>
          <w:color w:val="auto"/>
        </w:rPr>
      </w:pPr>
      <w:r>
        <w:rPr>
          <w:rFonts w:ascii="Arial" w:cs="Arial" w:eastAsia="Arial" w:hAnsi="Arial"/>
          <w:sz w:val="13"/>
          <w:szCs w:val="13"/>
          <w:b w:val="1"/>
          <w:bCs w:val="1"/>
          <w:color w:val="auto"/>
        </w:rPr>
        <w:t>(in thousands, except per share data)</w:t>
      </w:r>
      <w:r>
        <w:rPr>
          <w:sz w:val="20"/>
          <w:szCs w:val="20"/>
          <w:color w:val="auto"/>
        </w:rPr>
        <w:tab/>
      </w:r>
      <w:r>
        <w:rPr>
          <w:rFonts w:ascii="Arial" w:cs="Arial" w:eastAsia="Arial" w:hAnsi="Arial"/>
          <w:sz w:val="11"/>
          <w:szCs w:val="11"/>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-5715</wp:posOffset>
            </wp:positionV>
            <wp:extent cx="3109595" cy="977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09595" cy="977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p>
      <w:pPr>
        <w:ind w:left="180"/>
        <w:spacing w:after="0" w:line="233" w:lineRule="auto"/>
        <w:rPr>
          <w:sz w:val="20"/>
          <w:szCs w:val="20"/>
          <w:color w:val="auto"/>
        </w:rPr>
      </w:pPr>
      <w:r>
        <w:rPr>
          <w:rFonts w:ascii="Arial" w:cs="Arial" w:eastAsia="Arial" w:hAnsi="Arial"/>
          <w:sz w:val="13"/>
          <w:szCs w:val="13"/>
          <w:color w:val="auto"/>
        </w:rPr>
        <w:t>Net income, as reported</w:t>
      </w:r>
    </w:p>
    <w:p>
      <w:pPr>
        <w:ind w:left="180"/>
        <w:spacing w:after="0" w:line="235" w:lineRule="auto"/>
        <w:rPr>
          <w:sz w:val="20"/>
          <w:szCs w:val="20"/>
          <w:color w:val="auto"/>
        </w:rPr>
      </w:pPr>
      <w:r>
        <w:rPr>
          <w:rFonts w:ascii="Arial" w:cs="Arial" w:eastAsia="Arial" w:hAnsi="Arial"/>
          <w:sz w:val="13"/>
          <w:szCs w:val="13"/>
          <w:color w:val="auto"/>
        </w:rPr>
        <w:t>Add: Stock-based compensation in reported net income,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-6985</wp:posOffset>
            </wp:positionV>
            <wp:extent cx="3109595" cy="276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09595" cy="276860"/>
                    </a:xfrm>
                    <a:prstGeom prst="rect">
                      <a:avLst/>
                    </a:prstGeom>
                    <a:noFill/>
                  </pic:spPr>
                </pic:pic>
              </a:graphicData>
            </a:graphic>
          </wp:anchor>
        </w:drawing>
      </w:r>
    </w:p>
    <w:p>
      <w:pPr>
        <w:ind w:left="180" w:right="180"/>
        <w:spacing w:after="0" w:line="233" w:lineRule="auto"/>
        <w:rPr>
          <w:sz w:val="20"/>
          <w:szCs w:val="20"/>
          <w:color w:val="auto"/>
        </w:rPr>
      </w:pPr>
      <w:r>
        <w:rPr>
          <w:rFonts w:ascii="Arial" w:cs="Arial" w:eastAsia="Arial" w:hAnsi="Arial"/>
          <w:sz w:val="13"/>
          <w:szCs w:val="13"/>
          <w:color w:val="auto"/>
        </w:rPr>
        <w:t>Deduct: Total stock-based compensation expense determined under the fair value based method for all awards, net of taxes</w:t>
      </w:r>
    </w:p>
    <w:p>
      <w:pPr>
        <w:ind w:left="180"/>
        <w:spacing w:after="0" w:line="227" w:lineRule="auto"/>
        <w:rPr>
          <w:sz w:val="20"/>
          <w:szCs w:val="20"/>
          <w:color w:val="auto"/>
        </w:rPr>
      </w:pPr>
      <w:r>
        <w:rPr>
          <w:rFonts w:ascii="Arial" w:cs="Arial" w:eastAsia="Arial" w:hAnsi="Arial"/>
          <w:sz w:val="13"/>
          <w:szCs w:val="13"/>
          <w:color w:val="auto"/>
        </w:rPr>
        <w:t>Pro forma net income</w:t>
      </w:r>
    </w:p>
    <w:p>
      <w:pPr>
        <w:spacing w:after="0" w:line="20" w:lineRule="exact"/>
        <w:rPr>
          <w:sz w:val="20"/>
          <w:szCs w:val="20"/>
          <w:color w:val="auto"/>
        </w:rPr>
      </w:pPr>
      <w:r>
        <w:rPr>
          <w:sz w:val="20"/>
          <w:szCs w:val="20"/>
          <w:color w:val="auto"/>
        </w:rPr>
        <w:br w:type="column"/>
      </w:r>
    </w:p>
    <w:p>
      <w:pPr>
        <w:ind w:left="1120" w:hanging="1114"/>
        <w:spacing w:after="0"/>
        <w:tabs>
          <w:tab w:leader="none" w:pos="11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15,784</w:t>
      </w:r>
    </w:p>
    <w:p>
      <w:pPr>
        <w:spacing w:after="0" w:line="147" w:lineRule="exact"/>
        <w:rPr>
          <w:rFonts w:ascii="Arial" w:cs="Arial" w:eastAsia="Arial" w:hAnsi="Arial"/>
          <w:sz w:val="11"/>
          <w:szCs w:val="11"/>
          <w:color w:val="auto"/>
        </w:rPr>
      </w:pPr>
    </w:p>
    <w:p>
      <w:pPr>
        <w:ind w:left="1420"/>
        <w:spacing w:after="0"/>
        <w:rPr>
          <w:rFonts w:ascii="Arial" w:cs="Arial" w:eastAsia="Arial" w:hAnsi="Arial"/>
          <w:sz w:val="11"/>
          <w:szCs w:val="11"/>
          <w:color w:val="auto"/>
        </w:rPr>
      </w:pPr>
      <w:r>
        <w:rPr>
          <w:rFonts w:ascii="Arial" w:cs="Arial" w:eastAsia="Arial" w:hAnsi="Arial"/>
          <w:sz w:val="13"/>
          <w:szCs w:val="13"/>
          <w:color w:val="auto"/>
        </w:rPr>
        <w:t>-</w:t>
      </w:r>
    </w:p>
    <w:p>
      <w:pPr>
        <w:spacing w:after="0" w:line="286" w:lineRule="exact"/>
        <w:rPr>
          <w:sz w:val="20"/>
          <w:szCs w:val="20"/>
          <w:color w:val="auto"/>
        </w:rPr>
      </w:pPr>
    </w:p>
    <w:p>
      <w:pPr>
        <w:jc w:val="right"/>
        <w:ind w:right="6520"/>
        <w:spacing w:after="0"/>
        <w:rPr>
          <w:sz w:val="20"/>
          <w:szCs w:val="20"/>
          <w:color w:val="auto"/>
        </w:rPr>
      </w:pPr>
      <w:r>
        <w:rPr>
          <w:rFonts w:ascii="Arial" w:cs="Arial" w:eastAsia="Arial" w:hAnsi="Arial"/>
          <w:sz w:val="13"/>
          <w:szCs w:val="13"/>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0</wp:posOffset>
            </wp:positionV>
            <wp:extent cx="1050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1120" w:hanging="1114"/>
        <w:spacing w:after="0"/>
        <w:tabs>
          <w:tab w:leader="none" w:pos="11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15,526</w:t>
      </w:r>
    </w:p>
    <w:p>
      <w:pPr>
        <w:spacing w:after="0" w:line="15" w:lineRule="exact"/>
        <w:rPr>
          <w:sz w:val="20"/>
          <w:szCs w:val="20"/>
          <w:color w:val="auto"/>
        </w:rPr>
      </w:pPr>
    </w:p>
    <w:p>
      <w:pPr>
        <w:sectPr>
          <w:pgSz w:w="11900" w:h="16838" w:orient="portrait"/>
          <w:cols w:equalWidth="0" w:num="2">
            <w:col w:w="3060" w:space="360"/>
            <w:col w:w="8000"/>
          </w:cols>
          <w:pgMar w:left="240" w:top="131" w:right="239" w:bottom="1440" w:gutter="0" w:footer="0" w:header="0"/>
          <w:type w:val="continuous"/>
        </w:sectPr>
      </w:pPr>
    </w:p>
    <w:tbl>
      <w:tblPr>
        <w:tblLayout w:type="fixed"/>
        <w:tblInd w:w="100" w:type="dxa"/>
        <w:tblCellMar>
          <w:top w:w="0" w:type="dxa"/>
          <w:left w:w="0" w:type="dxa"/>
          <w:bottom w:w="0" w:type="dxa"/>
          <w:right w:w="0" w:type="dxa"/>
        </w:tblCellMar>
      </w:tblPr>
      <w:tr>
        <w:trPr>
          <w:trHeight w:val="159"/>
        </w:trPr>
        <w:tc>
          <w:tcPr>
            <w:tcW w:w="3240" w:type="dxa"/>
            <w:vAlign w:val="bottom"/>
            <w:tcBorders>
              <w:top w:val="single" w:sz="8" w:color="CCFFCC"/>
            </w:tcBorders>
            <w:shd w:val="clear" w:color="auto" w:fill="CCFFCC"/>
          </w:tcPr>
          <w:p>
            <w:pPr>
              <w:spacing w:after="0"/>
              <w:rPr>
                <w:sz w:val="13"/>
                <w:szCs w:val="13"/>
                <w:color w:val="auto"/>
              </w:rPr>
            </w:pPr>
          </w:p>
        </w:tc>
        <w:tc>
          <w:tcPr>
            <w:tcW w:w="740" w:type="dxa"/>
            <w:vAlign w:val="bottom"/>
            <w:tcBorders>
              <w:top w:val="single" w:sz="8" w:color="auto"/>
            </w:tcBorders>
            <w:shd w:val="clear" w:color="auto" w:fill="CCFFCC"/>
          </w:tcPr>
          <w:p>
            <w:pPr>
              <w:spacing w:after="0"/>
              <w:rPr>
                <w:sz w:val="13"/>
                <w:szCs w:val="13"/>
                <w:color w:val="auto"/>
              </w:rPr>
            </w:pPr>
          </w:p>
        </w:tc>
        <w:tc>
          <w:tcPr>
            <w:tcW w:w="900" w:type="dxa"/>
            <w:vAlign w:val="bottom"/>
            <w:tcBorders>
              <w:top w:val="single" w:sz="8" w:color="auto"/>
            </w:tcBorders>
            <w:shd w:val="clear" w:color="auto" w:fill="CCFFCC"/>
          </w:tcPr>
          <w:p>
            <w:pPr>
              <w:spacing w:after="0"/>
              <w:rPr>
                <w:sz w:val="13"/>
                <w:szCs w:val="13"/>
                <w:color w:val="auto"/>
              </w:rPr>
            </w:pPr>
          </w:p>
        </w:tc>
      </w:tr>
      <w:tr>
        <w:trPr>
          <w:trHeight w:val="141"/>
        </w:trPr>
        <w:tc>
          <w:tcPr>
            <w:tcW w:w="3240" w:type="dxa"/>
            <w:vAlign w:val="bottom"/>
          </w:tcPr>
          <w:p>
            <w:pPr>
              <w:ind w:left="80"/>
              <w:spacing w:after="0" w:line="141" w:lineRule="exact"/>
              <w:rPr>
                <w:sz w:val="20"/>
                <w:szCs w:val="20"/>
                <w:color w:val="auto"/>
              </w:rPr>
            </w:pPr>
            <w:r>
              <w:rPr>
                <w:rFonts w:ascii="Arial" w:cs="Arial" w:eastAsia="Arial" w:hAnsi="Arial"/>
                <w:sz w:val="13"/>
                <w:szCs w:val="13"/>
                <w:color w:val="auto"/>
              </w:rPr>
              <w:t>Net income per common share – basic</w:t>
            </w:r>
          </w:p>
        </w:tc>
        <w:tc>
          <w:tcPr>
            <w:tcW w:w="740" w:type="dxa"/>
            <w:vAlign w:val="bottom"/>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0.77</w:t>
            </w:r>
          </w:p>
        </w:tc>
      </w:tr>
      <w:tr>
        <w:trPr>
          <w:trHeight w:val="141"/>
        </w:trPr>
        <w:tc>
          <w:tcPr>
            <w:tcW w:w="324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Net income per common share – diluted</w:t>
            </w:r>
          </w:p>
        </w:tc>
        <w:tc>
          <w:tcPr>
            <w:tcW w:w="740" w:type="dxa"/>
            <w:vAlign w:val="bottom"/>
            <w:shd w:val="clear" w:color="auto" w:fill="CCFFCC"/>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0.69</w:t>
            </w:r>
          </w:p>
        </w:tc>
      </w:tr>
      <w:tr>
        <w:trPr>
          <w:trHeight w:val="141"/>
        </w:trPr>
        <w:tc>
          <w:tcPr>
            <w:tcW w:w="3240" w:type="dxa"/>
            <w:vAlign w:val="bottom"/>
          </w:tcPr>
          <w:p>
            <w:pPr>
              <w:ind w:left="80"/>
              <w:spacing w:after="0" w:line="141" w:lineRule="exact"/>
              <w:rPr>
                <w:sz w:val="20"/>
                <w:szCs w:val="20"/>
                <w:color w:val="auto"/>
              </w:rPr>
            </w:pPr>
            <w:r>
              <w:rPr>
                <w:rFonts w:ascii="Arial" w:cs="Arial" w:eastAsia="Arial" w:hAnsi="Arial"/>
                <w:sz w:val="13"/>
                <w:szCs w:val="13"/>
                <w:color w:val="auto"/>
              </w:rPr>
              <w:t>Pro forma net income per common share – basic</w:t>
            </w:r>
          </w:p>
        </w:tc>
        <w:tc>
          <w:tcPr>
            <w:tcW w:w="740" w:type="dxa"/>
            <w:vAlign w:val="bottom"/>
          </w:tcPr>
          <w:p>
            <w:pPr>
              <w:jc w:val="right"/>
              <w:ind w:right="516"/>
              <w:spacing w:after="0" w:line="141"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6"/>
              <w:spacing w:after="0" w:line="141" w:lineRule="exact"/>
              <w:rPr>
                <w:sz w:val="20"/>
                <w:szCs w:val="20"/>
                <w:color w:val="auto"/>
              </w:rPr>
            </w:pPr>
            <w:r>
              <w:rPr>
                <w:rFonts w:ascii="Arial" w:cs="Arial" w:eastAsia="Arial" w:hAnsi="Arial"/>
                <w:sz w:val="13"/>
                <w:szCs w:val="13"/>
                <w:color w:val="auto"/>
              </w:rPr>
              <w:t>0.76</w:t>
            </w:r>
          </w:p>
        </w:tc>
      </w:tr>
      <w:tr>
        <w:trPr>
          <w:trHeight w:val="154"/>
        </w:trPr>
        <w:tc>
          <w:tcPr>
            <w:tcW w:w="3240" w:type="dxa"/>
            <w:vAlign w:val="bottom"/>
            <w:shd w:val="clear" w:color="auto" w:fill="CCFFCC"/>
          </w:tcPr>
          <w:p>
            <w:pPr>
              <w:ind w:left="80"/>
              <w:spacing w:after="0"/>
              <w:rPr>
                <w:sz w:val="20"/>
                <w:szCs w:val="20"/>
                <w:color w:val="auto"/>
              </w:rPr>
            </w:pPr>
            <w:r>
              <w:rPr>
                <w:rFonts w:ascii="Arial" w:cs="Arial" w:eastAsia="Arial" w:hAnsi="Arial"/>
                <w:sz w:val="13"/>
                <w:szCs w:val="13"/>
                <w:color w:val="auto"/>
              </w:rPr>
              <w:t>Pro forma net income per common share – diluted</w:t>
            </w:r>
          </w:p>
        </w:tc>
        <w:tc>
          <w:tcPr>
            <w:tcW w:w="740" w:type="dxa"/>
            <w:vAlign w:val="bottom"/>
            <w:tcBorders>
              <w:bottom w:val="single" w:sz="8" w:color="auto"/>
            </w:tcBorders>
            <w:shd w:val="clear" w:color="auto" w:fill="CCFFCC"/>
          </w:tcPr>
          <w:p>
            <w:pPr>
              <w:jc w:val="right"/>
              <w:ind w:right="51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0.68</w:t>
            </w: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Reclassifications</w:t>
      </w:r>
    </w:p>
    <w:p>
      <w:pPr>
        <w:spacing w:after="0" w:line="219" w:lineRule="exact"/>
        <w:rPr>
          <w:sz w:val="20"/>
          <w:szCs w:val="20"/>
          <w:color w:val="auto"/>
        </w:rPr>
      </w:pPr>
    </w:p>
    <w:p>
      <w:pPr>
        <w:ind w:right="340" w:firstLine="308"/>
        <w:spacing w:after="0" w:line="272" w:lineRule="auto"/>
        <w:rPr>
          <w:sz w:val="20"/>
          <w:szCs w:val="20"/>
          <w:color w:val="auto"/>
        </w:rPr>
      </w:pPr>
      <w:r>
        <w:rPr>
          <w:rFonts w:ascii="Arial" w:cs="Arial" w:eastAsia="Arial" w:hAnsi="Arial"/>
          <w:sz w:val="17"/>
          <w:szCs w:val="17"/>
          <w:color w:val="auto"/>
        </w:rPr>
        <w:t>Restricted cash deposits in the consolidated statements of cash flows for the years ended December 31, 2006 and 2005 have been reclassified from investing cash flows to financing cash flows, to conform to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7" w:name="page88"/>
    <w:bookmarkEnd w:id="87"/>
    <w:p>
      <w:pPr>
        <w:ind w:left="320"/>
        <w:spacing w:after="0"/>
        <w:rPr>
          <w:sz w:val="20"/>
          <w:szCs w:val="20"/>
          <w:color w:val="auto"/>
        </w:rPr>
      </w:pPr>
      <w:r>
        <w:rPr>
          <w:rFonts w:ascii="Arial" w:cs="Arial" w:eastAsia="Arial" w:hAnsi="Arial"/>
          <w:sz w:val="17"/>
          <w:szCs w:val="17"/>
          <w:b w:val="1"/>
          <w:bCs w:val="1"/>
          <w:color w:val="auto"/>
        </w:rPr>
        <w:t>Recent accounting pronouncements</w:t>
      </w:r>
    </w:p>
    <w:p>
      <w:pPr>
        <w:spacing w:after="0" w:line="219" w:lineRule="exact"/>
        <w:rPr>
          <w:sz w:val="20"/>
          <w:szCs w:val="20"/>
          <w:color w:val="auto"/>
        </w:rPr>
      </w:pPr>
    </w:p>
    <w:p>
      <w:pPr>
        <w:ind w:right="140" w:firstLine="308"/>
        <w:spacing w:after="0" w:line="296" w:lineRule="auto"/>
        <w:rPr>
          <w:sz w:val="20"/>
          <w:szCs w:val="20"/>
          <w:color w:val="auto"/>
        </w:rPr>
      </w:pPr>
      <w:r>
        <w:rPr>
          <w:rFonts w:ascii="Arial" w:cs="Arial" w:eastAsia="Arial" w:hAnsi="Arial"/>
          <w:sz w:val="15"/>
          <w:szCs w:val="15"/>
          <w:color w:val="auto"/>
        </w:rPr>
        <w:t xml:space="preserve">In December 2007, the FASB issued SFAS No. 160, </w:t>
      </w:r>
      <w:r>
        <w:rPr>
          <w:rFonts w:ascii="Arial" w:cs="Arial" w:eastAsia="Arial" w:hAnsi="Arial"/>
          <w:sz w:val="15"/>
          <w:szCs w:val="15"/>
          <w:i w:val="1"/>
          <w:iCs w:val="1"/>
          <w:color w:val="auto"/>
        </w:rPr>
        <w:t>Noncontrolling Interests in Consolidated Financial Statements – an Amendment of ARB No. 51</w:t>
      </w:r>
      <w:r>
        <w:rPr>
          <w:rFonts w:ascii="Arial" w:cs="Arial" w:eastAsia="Arial" w:hAnsi="Arial"/>
          <w:sz w:val="15"/>
          <w:szCs w:val="15"/>
          <w:color w:val="auto"/>
        </w:rPr>
        <w:t xml:space="preserve"> (“SFAS No. 160”)</w:t>
      </w:r>
      <w:r>
        <w:rPr>
          <w:rFonts w:ascii="Arial" w:cs="Arial" w:eastAsia="Arial" w:hAnsi="Arial"/>
          <w:sz w:val="15"/>
          <w:szCs w:val="15"/>
          <w:i w:val="1"/>
          <w:iCs w:val="1"/>
          <w:color w:val="auto"/>
        </w:rPr>
        <w:t>.</w:t>
      </w:r>
      <w:r>
        <w:rPr>
          <w:rFonts w:ascii="Arial" w:cs="Arial" w:eastAsia="Arial" w:hAnsi="Arial"/>
          <w:sz w:val="15"/>
          <w:szCs w:val="15"/>
          <w:color w:val="auto"/>
        </w:rPr>
        <w:t xml:space="preserve"> SFAS 160 clarifies that a noncontrolling interest in a subsidiary is an ownership interest in the consolidated entity that should be reported as equity in the consolidated financial statements, requires consolidated net income to be reported at amounts that include the amounts attributable to both the parent and the noncontrolling interest, establishes a single method of accounting for changes in a parent’s ownership interest in a subsidiary that do not result in deconsolidation, and requires that a parent recognize a gain or loss in net income when a subsidiary is deconsolidated. The provisions of SFAS No. 160 are effective for fiscal years beginning on or after December 15, 2008. The Company is currently evaluating the impact of the adoption of this statement on its financial statements.</w:t>
      </w:r>
    </w:p>
    <w:p>
      <w:pPr>
        <w:spacing w:after="0" w:line="15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141R”). SFAS No. 141R requires the acquiring entity in a business combination to record all assets acquired and liabilities assumed at their respective acquisition-date fair values, changes the recognition of assets acquired and liabilities assumed arising from contingencies, changes the recognition and measurement of contingent consideration, and requires the expensing of acquisition-related costs as incurred. SFAS No. 141R also requires additional disclosure of information surrounding a business combination, such that users of the entity's financial statements can fully understand the nature and financial impact of the business combination. SFAS No. 141R applies prospectively to business combinations for which the acquisition date is on or after the beginning of the first annual reporting period beginning on or after December 15, 2008, and it may not be applied before that date. The provisions of SFAS No. 141R will impact the Company’s financial statements to the extent that the Company is party to a business combination after the pronouncement has been adopted.</w:t>
      </w:r>
    </w:p>
    <w:p>
      <w:pPr>
        <w:spacing w:after="0" w:line="178" w:lineRule="exact"/>
        <w:rPr>
          <w:sz w:val="20"/>
          <w:szCs w:val="20"/>
          <w:color w:val="auto"/>
        </w:rPr>
      </w:pPr>
    </w:p>
    <w:p>
      <w:pPr>
        <w:ind w:right="80" w:firstLine="308"/>
        <w:spacing w:after="0" w:line="276" w:lineRule="auto"/>
        <w:rPr>
          <w:sz w:val="20"/>
          <w:szCs w:val="20"/>
          <w:color w:val="auto"/>
        </w:rPr>
      </w:pPr>
      <w:r>
        <w:rPr>
          <w:rFonts w:ascii="Arial" w:cs="Arial" w:eastAsia="Arial" w:hAnsi="Arial"/>
          <w:sz w:val="16"/>
          <w:szCs w:val="16"/>
          <w:color w:val="auto"/>
        </w:rPr>
        <w:t xml:space="preserve">In June 2007, the FASB issued EITF No. 07-3, </w:t>
      </w:r>
      <w:r>
        <w:rPr>
          <w:rFonts w:ascii="Arial" w:cs="Arial" w:eastAsia="Arial" w:hAnsi="Arial"/>
          <w:sz w:val="16"/>
          <w:szCs w:val="16"/>
          <w:i w:val="1"/>
          <w:iCs w:val="1"/>
          <w:color w:val="auto"/>
        </w:rPr>
        <w:t>Accounting for Nonrefundable Advance Payments for Goods or Services Received for Use in Future Research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Development Activities </w:t>
      </w:r>
      <w:r>
        <w:rPr>
          <w:rFonts w:ascii="Arial" w:cs="Arial" w:eastAsia="Arial" w:hAnsi="Arial"/>
          <w:sz w:val="16"/>
          <w:szCs w:val="16"/>
          <w:color w:val="auto"/>
        </w:rPr>
        <w:t>(“EITF No. 07-3”). EITF No. 07-3 states that nonrefundable advance payments for goods or services that will be used or rendered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activities should be deferred and capitalized. Such amounts should be recognized as an expense as the related goods are delivered or the related services are performed. The provisions of EITF No. 07-3 are effective for fiscal years beginning after December 15, 2007. The Company anticipates that the adoption of the provisions of EITF No. 07-3 will not have a material impact on its financial statements.</w:t>
      </w:r>
    </w:p>
    <w:p>
      <w:pPr>
        <w:spacing w:after="0" w:line="173" w:lineRule="exact"/>
        <w:rPr>
          <w:sz w:val="20"/>
          <w:szCs w:val="20"/>
          <w:color w:val="auto"/>
        </w:rPr>
      </w:pPr>
    </w:p>
    <w:p>
      <w:pPr>
        <w:jc w:val="both"/>
        <w:ind w:firstLine="308"/>
        <w:spacing w:after="0" w:line="276"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No. 159”). SFAS No. 159 permits entities to choose to measure many financial instruments and certain other items at fair value. The objective</w:t>
      </w:r>
      <w:r>
        <w:rPr>
          <w:rFonts w:ascii="Arial" w:cs="Arial" w:eastAsia="Arial" w:hAnsi="Arial"/>
          <w:sz w:val="16"/>
          <w:szCs w:val="16"/>
          <w:i w:val="1"/>
          <w:iCs w:val="1"/>
          <w:color w:val="auto"/>
        </w:rPr>
        <w:t xml:space="preserve"> </w:t>
      </w:r>
      <w:r>
        <w:rPr>
          <w:rFonts w:ascii="Arial" w:cs="Arial" w:eastAsia="Arial" w:hAnsi="Arial"/>
          <w:sz w:val="16"/>
          <w:szCs w:val="16"/>
          <w:color w:val="auto"/>
        </w:rPr>
        <w:t>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The Company anticipates that the adoption of this statement will not have a material impact on its financial statements.</w:t>
      </w:r>
    </w:p>
    <w:p>
      <w:pPr>
        <w:spacing w:after="0" w:line="173" w:lineRule="exact"/>
        <w:rPr>
          <w:sz w:val="20"/>
          <w:szCs w:val="20"/>
          <w:color w:val="auto"/>
        </w:rPr>
      </w:pPr>
    </w:p>
    <w:p>
      <w:pPr>
        <w:ind w:right="120" w:firstLine="308"/>
        <w:spacing w:after="0" w:line="299" w:lineRule="auto"/>
        <w:rPr>
          <w:sz w:val="20"/>
          <w:szCs w:val="20"/>
          <w:color w:val="auto"/>
        </w:rPr>
      </w:pPr>
      <w:r>
        <w:rPr>
          <w:rFonts w:ascii="Arial" w:cs="Arial" w:eastAsia="Arial" w:hAnsi="Arial"/>
          <w:sz w:val="15"/>
          <w:szCs w:val="15"/>
          <w:color w:val="auto"/>
        </w:rPr>
        <w:t xml:space="preserve">In September 2006, the FASB issued Statement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The Company anticipates that the adoption of this statement will not have a material impact on its financial statements.</w:t>
      </w:r>
    </w:p>
    <w:p>
      <w:pPr>
        <w:spacing w:after="0" w:line="152" w:lineRule="exact"/>
        <w:rPr>
          <w:sz w:val="20"/>
          <w:szCs w:val="20"/>
          <w:color w:val="auto"/>
        </w:rPr>
      </w:pPr>
    </w:p>
    <w:p>
      <w:pPr>
        <w:ind w:left="320" w:right="9920" w:hanging="317"/>
        <w:spacing w:after="0" w:line="614" w:lineRule="auto"/>
        <w:tabs>
          <w:tab w:leader="none" w:pos="628"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ViVacs GmbH</w:t>
      </w:r>
    </w:p>
    <w:p>
      <w:pPr>
        <w:spacing w:after="0" w:line="1" w:lineRule="exact"/>
        <w:rPr>
          <w:sz w:val="20"/>
          <w:szCs w:val="20"/>
          <w:color w:val="auto"/>
        </w:rPr>
      </w:pPr>
    </w:p>
    <w:p>
      <w:pPr>
        <w:ind w:right="40" w:firstLine="308"/>
        <w:spacing w:after="0" w:line="273" w:lineRule="auto"/>
        <w:rPr>
          <w:sz w:val="20"/>
          <w:szCs w:val="20"/>
          <w:color w:val="auto"/>
        </w:rPr>
      </w:pPr>
      <w:r>
        <w:rPr>
          <w:rFonts w:ascii="Arial" w:cs="Arial" w:eastAsia="Arial" w:hAnsi="Arial"/>
          <w:sz w:val="16"/>
          <w:szCs w:val="16"/>
          <w:color w:val="auto"/>
        </w:rPr>
        <w:t>On July 13, 2006, Emergent International, Inc., a wholly owned subsidiary of the Company, incorporated in Delaware (“EII”), completed the acquisition of ViVacs GmbH, a German limited liability company, to expand the Company’s commercial vaccine portfolio, pursuant to the terms and conditions of the Share Purchase and Assignment Agreement dated July 13, 2006 by and between EII and ViVacs. EII paid $150,000 in cash on the closing date of the agreement and agreed to pay $50,000 on each of the first and second anniversaries of the closing date. The acquisition agreement also provides for a potential variable earn-out purchase price of up to $220,000, based on future payments from third party licensees of the technology. As of December 31, 2007, the Company has not received any such payments from third party licensees. Because ViVacs was a development stage company and had not commenced its planned principal operations, the transaction was accounted for as an acquisition of assets rather than as a business combination and, therefore, goodwill was not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169545</wp:posOffset>
            </wp:positionV>
            <wp:extent cx="727900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8" w:name="page89"/>
    <w:bookmarkEnd w:id="88"/>
    <w:p>
      <w:pPr>
        <w:ind w:left="320"/>
        <w:spacing w:after="0"/>
        <w:rPr>
          <w:sz w:val="20"/>
          <w:szCs w:val="20"/>
          <w:color w:val="auto"/>
        </w:rPr>
      </w:pPr>
      <w:r>
        <w:rPr>
          <w:rFonts w:ascii="Arial" w:cs="Arial" w:eastAsia="Arial" w:hAnsi="Arial"/>
          <w:sz w:val="17"/>
          <w:szCs w:val="17"/>
          <w:color w:val="auto"/>
        </w:rPr>
        <w:t>Total purchase consideration consisted of:</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544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Cash (including future guaranteed cash payments of $100)</w:t>
            </w:r>
          </w:p>
        </w:tc>
        <w:tc>
          <w:tcPr>
            <w:tcW w:w="340" w:type="dxa"/>
            <w:vAlign w:val="bottom"/>
            <w:tcBorders>
              <w:top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250</w:t>
            </w:r>
          </w:p>
        </w:tc>
      </w:tr>
      <w:tr>
        <w:trPr>
          <w:trHeight w:val="154"/>
        </w:trPr>
        <w:tc>
          <w:tcPr>
            <w:tcW w:w="544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Direct acquisition costs</w:t>
            </w: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180</w:t>
            </w:r>
          </w:p>
        </w:tc>
      </w:tr>
      <w:tr>
        <w:trPr>
          <w:trHeight w:val="134"/>
        </w:trPr>
        <w:tc>
          <w:tcPr>
            <w:tcW w:w="544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34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430</w:t>
            </w: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520" w:firstLine="308"/>
        <w:spacing w:after="0" w:line="304" w:lineRule="auto"/>
        <w:rPr>
          <w:sz w:val="20"/>
          <w:szCs w:val="20"/>
          <w:color w:val="auto"/>
        </w:rPr>
      </w:pPr>
      <w:r>
        <w:rPr>
          <w:rFonts w:ascii="Arial" w:cs="Arial" w:eastAsia="Arial" w:hAnsi="Arial"/>
          <w:sz w:val="16"/>
          <w:szCs w:val="16"/>
          <w:color w:val="auto"/>
        </w:rPr>
        <w:t xml:space="preserve">The assets acquired were accounted for in accordance with the provisions of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No. 141”). All of the tangible and intangible assets acquired and liabilities assumed of ViVacs were recorded at their estimated fair market values on the acquisition date.</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purchase price was allocated as follows: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51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 assets</w:t>
            </w:r>
          </w:p>
        </w:tc>
        <w:tc>
          <w:tcPr>
            <w:tcW w:w="400" w:type="dxa"/>
            <w:vAlign w:val="bottom"/>
            <w:tcBorders>
              <w:top w:val="single" w:sz="8" w:color="auto"/>
            </w:tcBorders>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153</w:t>
            </w:r>
          </w:p>
        </w:tc>
      </w:tr>
      <w:tr>
        <w:trPr>
          <w:trHeight w:val="141"/>
        </w:trPr>
        <w:tc>
          <w:tcPr>
            <w:tcW w:w="5120" w:type="dxa"/>
            <w:vAlign w:val="bottom"/>
          </w:tcPr>
          <w:p>
            <w:pPr>
              <w:ind w:left="80"/>
              <w:spacing w:after="0" w:line="141" w:lineRule="exact"/>
              <w:rPr>
                <w:sz w:val="20"/>
                <w:szCs w:val="20"/>
                <w:color w:val="auto"/>
              </w:rPr>
            </w:pPr>
            <w:r>
              <w:rPr>
                <w:rFonts w:ascii="Arial" w:cs="Arial" w:eastAsia="Arial" w:hAnsi="Arial"/>
                <w:sz w:val="13"/>
                <w:szCs w:val="13"/>
                <w:color w:val="auto"/>
              </w:rPr>
              <w:t>Property and equipment</w:t>
            </w:r>
          </w:p>
        </w:tc>
        <w:tc>
          <w:tcPr>
            <w:tcW w:w="400" w:type="dxa"/>
            <w:vAlign w:val="bottom"/>
          </w:tcPr>
          <w:p>
            <w:pPr>
              <w:spacing w:after="0"/>
              <w:rPr>
                <w:sz w:val="12"/>
                <w:szCs w:val="12"/>
                <w:color w:val="auto"/>
              </w:rPr>
            </w:pPr>
          </w:p>
        </w:tc>
        <w:tc>
          <w:tcPr>
            <w:tcW w:w="720" w:type="dxa"/>
            <w:vAlign w:val="bottom"/>
          </w:tcPr>
          <w:p>
            <w:pPr>
              <w:jc w:val="right"/>
              <w:ind w:right="176"/>
              <w:spacing w:after="0" w:line="141" w:lineRule="exact"/>
              <w:rPr>
                <w:sz w:val="20"/>
                <w:szCs w:val="20"/>
                <w:color w:val="auto"/>
              </w:rPr>
            </w:pPr>
            <w:r>
              <w:rPr>
                <w:rFonts w:ascii="Arial" w:cs="Arial" w:eastAsia="Arial" w:hAnsi="Arial"/>
                <w:sz w:val="13"/>
                <w:szCs w:val="13"/>
                <w:color w:val="auto"/>
              </w:rPr>
              <w:t>97</w:t>
            </w:r>
          </w:p>
        </w:tc>
      </w:tr>
      <w:tr>
        <w:trPr>
          <w:trHeight w:val="154"/>
        </w:trPr>
        <w:tc>
          <w:tcPr>
            <w:tcW w:w="512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400" w:type="dxa"/>
            <w:vAlign w:val="bottom"/>
            <w:tcBorders>
              <w:bottom w:val="single" w:sz="8" w:color="auto"/>
            </w:tcBorders>
            <w:shd w:val="clear" w:color="auto" w:fill="CCFFCC"/>
          </w:tcPr>
          <w:p>
            <w:pPr>
              <w:spacing w:after="0"/>
              <w:rPr>
                <w:sz w:val="13"/>
                <w:szCs w:val="13"/>
                <w:color w:val="auto"/>
              </w:rPr>
            </w:pPr>
          </w:p>
        </w:tc>
        <w:tc>
          <w:tcPr>
            <w:tcW w:w="720" w:type="dxa"/>
            <w:vAlign w:val="bottom"/>
            <w:tcBorders>
              <w:bottom w:val="single" w:sz="8" w:color="auto"/>
            </w:tcBorders>
            <w:shd w:val="clear" w:color="auto" w:fill="CCFFCC"/>
          </w:tcPr>
          <w:p>
            <w:pPr>
              <w:jc w:val="right"/>
              <w:ind w:right="136"/>
              <w:spacing w:after="0"/>
              <w:rPr>
                <w:sz w:val="20"/>
                <w:szCs w:val="20"/>
                <w:color w:val="auto"/>
              </w:rPr>
            </w:pPr>
            <w:r>
              <w:rPr>
                <w:rFonts w:ascii="Arial" w:cs="Arial" w:eastAsia="Arial" w:hAnsi="Arial"/>
                <w:sz w:val="13"/>
                <w:szCs w:val="13"/>
                <w:color w:val="auto"/>
              </w:rPr>
              <w:t>(297)</w:t>
            </w:r>
          </w:p>
        </w:tc>
      </w:tr>
      <w:tr>
        <w:trPr>
          <w:trHeight w:val="134"/>
        </w:trPr>
        <w:tc>
          <w:tcPr>
            <w:tcW w:w="5120" w:type="dxa"/>
            <w:vAlign w:val="bottom"/>
          </w:tcPr>
          <w:p>
            <w:pPr>
              <w:ind w:left="80"/>
              <w:spacing w:after="0" w:line="134" w:lineRule="exact"/>
              <w:rPr>
                <w:sz w:val="20"/>
                <w:szCs w:val="20"/>
                <w:color w:val="auto"/>
              </w:rPr>
            </w:pPr>
            <w:r>
              <w:rPr>
                <w:rFonts w:ascii="Arial" w:cs="Arial" w:eastAsia="Arial" w:hAnsi="Arial"/>
                <w:sz w:val="13"/>
                <w:szCs w:val="13"/>
                <w:color w:val="auto"/>
              </w:rPr>
              <w:t>Net liabilities acquired</w:t>
            </w:r>
          </w:p>
        </w:tc>
        <w:tc>
          <w:tcPr>
            <w:tcW w:w="400" w:type="dxa"/>
            <w:vAlign w:val="bottom"/>
          </w:tcPr>
          <w:p>
            <w:pPr>
              <w:spacing w:after="0"/>
              <w:rPr>
                <w:sz w:val="11"/>
                <w:szCs w:val="11"/>
                <w:color w:val="auto"/>
              </w:rPr>
            </w:pPr>
          </w:p>
        </w:tc>
        <w:tc>
          <w:tcPr>
            <w:tcW w:w="720" w:type="dxa"/>
            <w:vAlign w:val="bottom"/>
          </w:tcPr>
          <w:p>
            <w:pPr>
              <w:jc w:val="right"/>
              <w:ind w:right="116"/>
              <w:spacing w:after="0" w:line="134" w:lineRule="exact"/>
              <w:rPr>
                <w:sz w:val="20"/>
                <w:szCs w:val="20"/>
                <w:color w:val="auto"/>
              </w:rPr>
            </w:pPr>
            <w:r>
              <w:rPr>
                <w:rFonts w:ascii="Arial" w:cs="Arial" w:eastAsia="Arial" w:hAnsi="Arial"/>
                <w:sz w:val="13"/>
                <w:szCs w:val="13"/>
                <w:color w:val="auto"/>
              </w:rPr>
              <w:t>(47)</w:t>
            </w:r>
          </w:p>
        </w:tc>
      </w:tr>
      <w:tr>
        <w:trPr>
          <w:trHeight w:val="192"/>
        </w:trPr>
        <w:tc>
          <w:tcPr>
            <w:tcW w:w="5120" w:type="dxa"/>
            <w:vAlign w:val="bottom"/>
            <w:shd w:val="clear" w:color="auto" w:fill="CCFFCC"/>
          </w:tcPr>
          <w:p>
            <w:pPr>
              <w:ind w:left="80"/>
              <w:spacing w:after="0"/>
              <w:rPr>
                <w:sz w:val="20"/>
                <w:szCs w:val="20"/>
                <w:color w:val="auto"/>
              </w:rPr>
            </w:pPr>
            <w:r>
              <w:rPr>
                <w:rFonts w:ascii="Arial" w:cs="Arial" w:eastAsia="Arial" w:hAnsi="Arial"/>
                <w:sz w:val="13"/>
                <w:szCs w:val="13"/>
                <w:color w:val="auto"/>
              </w:rPr>
              <w:t>In-process research and development</w:t>
            </w:r>
          </w:p>
        </w:tc>
        <w:tc>
          <w:tcPr>
            <w:tcW w:w="400" w:type="dxa"/>
            <w:vAlign w:val="bottom"/>
            <w:tcBorders>
              <w:bottom w:val="single" w:sz="8" w:color="auto"/>
            </w:tcBorders>
            <w:shd w:val="clear" w:color="auto" w:fill="CCFFCC"/>
          </w:tcPr>
          <w:p>
            <w:pPr>
              <w:spacing w:after="0"/>
              <w:rPr>
                <w:sz w:val="16"/>
                <w:szCs w:val="16"/>
                <w:color w:val="auto"/>
              </w:rPr>
            </w:pPr>
          </w:p>
        </w:tc>
        <w:tc>
          <w:tcPr>
            <w:tcW w:w="720" w:type="dxa"/>
            <w:vAlign w:val="bottom"/>
            <w:tcBorders>
              <w:bottom w:val="single" w:sz="8" w:color="auto"/>
            </w:tcBorders>
            <w:shd w:val="clear" w:color="auto" w:fill="CCFFCC"/>
          </w:tcPr>
          <w:p>
            <w:pPr>
              <w:jc w:val="right"/>
              <w:ind w:right="176"/>
              <w:spacing w:after="0"/>
              <w:rPr>
                <w:sz w:val="20"/>
                <w:szCs w:val="20"/>
                <w:color w:val="auto"/>
              </w:rPr>
            </w:pPr>
            <w:r>
              <w:rPr>
                <w:rFonts w:ascii="Arial" w:cs="Arial" w:eastAsia="Arial" w:hAnsi="Arial"/>
                <w:sz w:val="13"/>
                <w:szCs w:val="13"/>
                <w:color w:val="auto"/>
              </w:rPr>
              <w:t>477</w:t>
            </w:r>
          </w:p>
        </w:tc>
      </w:tr>
      <w:tr>
        <w:trPr>
          <w:trHeight w:val="134"/>
        </w:trPr>
        <w:tc>
          <w:tcPr>
            <w:tcW w:w="5120" w:type="dxa"/>
            <w:vAlign w:val="bottom"/>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40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430</w:t>
            </w: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00" w:firstLine="308"/>
        <w:spacing w:after="0" w:line="304" w:lineRule="auto"/>
        <w:rPr>
          <w:sz w:val="20"/>
          <w:szCs w:val="20"/>
          <w:color w:val="auto"/>
        </w:rPr>
      </w:pPr>
      <w:r>
        <w:rPr>
          <w:rFonts w:ascii="Arial" w:cs="Arial" w:eastAsia="Arial" w:hAnsi="Arial"/>
          <w:sz w:val="16"/>
          <w:szCs w:val="16"/>
          <w:color w:val="auto"/>
        </w:rPr>
        <w:t>In connection with the transaction, the Company recorded a charge of $477,000 for acquired research projects associated with product candidates in development for which, at the acquisition date, technological feasibility had not been established and, for accounting purposes, no alternative future use existed.</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Microscience Limited</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On June 23, 2005, Emergent Europe, Inc., a wholly owned subsidiary of the Company incorporated in Delaware (“EEI”), completed the acquisition of Microscience pursuant to the terms and conditions of the Share Exchange Agreement dated June 23, 2005 by and between EEI and Microscience Holdings PLC, a public limited liability company incorporated in England. At the closing date, the Company, through EEI, issued Microscience shareholders 3,636,801 shares of the Company’s Class A Common Stock in exchange for all of the outstanding stock of Microscience. Shares of Class A Common Stock of the Company were valued for financial statement purposes at $7.42 per share based on a determination of the estimated fair value by the Company’s board of directors. Because Microscience was a development stage company and had not commenced its planned principal operations, the transaction was accounted for as an acquisition of assets rather than as a business combination and, therefore, goodwill was not recorded.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purchase consideration consisted of:</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5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Fair value of common stock</w:t>
            </w:r>
          </w:p>
        </w:tc>
        <w:tc>
          <w:tcPr>
            <w:tcW w:w="760" w:type="dxa"/>
            <w:vAlign w:val="bottom"/>
            <w:tcBorders>
              <w:top w:val="single" w:sz="8" w:color="auto"/>
            </w:tcBorders>
            <w:shd w:val="clear" w:color="auto" w:fill="CCFFCC"/>
          </w:tcPr>
          <w:p>
            <w:pPr>
              <w:jc w:val="right"/>
              <w:ind w:right="476"/>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27,001</w:t>
            </w:r>
          </w:p>
        </w:tc>
      </w:tr>
      <w:tr>
        <w:trPr>
          <w:trHeight w:val="154"/>
        </w:trPr>
        <w:tc>
          <w:tcPr>
            <w:tcW w:w="45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Direct acquisition costs</w:t>
            </w: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1,194</w:t>
            </w:r>
          </w:p>
        </w:tc>
      </w:tr>
      <w:tr>
        <w:trPr>
          <w:trHeight w:val="134"/>
        </w:trPr>
        <w:tc>
          <w:tcPr>
            <w:tcW w:w="452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760" w:type="dxa"/>
            <w:vAlign w:val="bottom"/>
            <w:tcBorders>
              <w:bottom w:val="single" w:sz="8" w:color="auto"/>
            </w:tcBorders>
            <w:shd w:val="clear" w:color="auto" w:fill="CCFFCC"/>
          </w:tcPr>
          <w:p>
            <w:pPr>
              <w:jc w:val="right"/>
              <w:ind w:right="476"/>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28,195</w:t>
            </w:r>
          </w:p>
        </w:tc>
      </w:tr>
      <w:tr>
        <w:trPr>
          <w:trHeight w:val="20"/>
        </w:trPr>
        <w:tc>
          <w:tcPr>
            <w:tcW w:w="4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20" w:firstLine="308"/>
        <w:spacing w:after="0" w:line="304" w:lineRule="auto"/>
        <w:rPr>
          <w:sz w:val="20"/>
          <w:szCs w:val="20"/>
          <w:color w:val="auto"/>
        </w:rPr>
      </w:pPr>
      <w:r>
        <w:rPr>
          <w:rFonts w:ascii="Arial" w:cs="Arial" w:eastAsia="Arial" w:hAnsi="Arial"/>
          <w:sz w:val="16"/>
          <w:szCs w:val="16"/>
          <w:color w:val="auto"/>
        </w:rPr>
        <w:t>The assets acquired were accounted for in accordance with the provisions of SFAS No. 141. All of the tangible and intangible assets acquired and liabilities assumed of Microscience were recorded at their estimated fair market values on the acquisition date. The purchase price was allocated as follows: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04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 assets</w:t>
            </w:r>
          </w:p>
        </w:tc>
        <w:tc>
          <w:tcPr>
            <w:tcW w:w="1060" w:type="dxa"/>
            <w:vAlign w:val="bottom"/>
            <w:tcBorders>
              <w:top w:val="single" w:sz="8" w:color="auto"/>
            </w:tcBorders>
            <w:shd w:val="clear" w:color="auto" w:fill="CCFFCC"/>
          </w:tcPr>
          <w:p>
            <w:pPr>
              <w:jc w:val="right"/>
              <w:ind w:right="676"/>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1,441</w:t>
            </w:r>
          </w:p>
        </w:tc>
      </w:tr>
      <w:tr>
        <w:trPr>
          <w:trHeight w:val="141"/>
        </w:trPr>
        <w:tc>
          <w:tcPr>
            <w:tcW w:w="4040" w:type="dxa"/>
            <w:vAlign w:val="bottom"/>
          </w:tcPr>
          <w:p>
            <w:pPr>
              <w:ind w:left="80"/>
              <w:spacing w:after="0" w:line="141" w:lineRule="exact"/>
              <w:rPr>
                <w:sz w:val="20"/>
                <w:szCs w:val="20"/>
                <w:color w:val="auto"/>
              </w:rPr>
            </w:pPr>
            <w:r>
              <w:rPr>
                <w:rFonts w:ascii="Arial" w:cs="Arial" w:eastAsia="Arial" w:hAnsi="Arial"/>
                <w:sz w:val="13"/>
                <w:szCs w:val="13"/>
                <w:color w:val="auto"/>
              </w:rPr>
              <w:t>Property and equipment</w:t>
            </w:r>
          </w:p>
        </w:tc>
        <w:tc>
          <w:tcPr>
            <w:tcW w:w="1060" w:type="dxa"/>
            <w:vAlign w:val="bottom"/>
          </w:tcPr>
          <w:p>
            <w:pPr>
              <w:spacing w:after="0"/>
              <w:rPr>
                <w:sz w:val="12"/>
                <w:szCs w:val="12"/>
                <w:color w:val="auto"/>
              </w:rPr>
            </w:pPr>
          </w:p>
        </w:tc>
        <w:tc>
          <w:tcPr>
            <w:tcW w:w="11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863</w:t>
            </w:r>
          </w:p>
        </w:tc>
      </w:tr>
      <w:tr>
        <w:trPr>
          <w:trHeight w:val="154"/>
        </w:trPr>
        <w:tc>
          <w:tcPr>
            <w:tcW w:w="4040" w:type="dxa"/>
            <w:vAlign w:val="bottom"/>
            <w:shd w:val="clear" w:color="auto" w:fill="CCFFCC"/>
          </w:tcPr>
          <w:p>
            <w:pPr>
              <w:ind w:left="80"/>
              <w:spacing w:after="0"/>
              <w:rPr>
                <w:sz w:val="20"/>
                <w:szCs w:val="20"/>
                <w:color w:val="auto"/>
              </w:rPr>
            </w:pPr>
            <w:r>
              <w:rPr>
                <w:rFonts w:ascii="Arial" w:cs="Arial" w:eastAsia="Arial" w:hAnsi="Arial"/>
                <w:sz w:val="13"/>
                <w:szCs w:val="13"/>
                <w:color w:val="auto"/>
              </w:rPr>
              <w:t>Current liabilities</w:t>
            </w:r>
          </w:p>
        </w:tc>
        <w:tc>
          <w:tcPr>
            <w:tcW w:w="1060" w:type="dxa"/>
            <w:vAlign w:val="bottom"/>
            <w:tcBorders>
              <w:bottom w:val="single" w:sz="8" w:color="auto"/>
            </w:tcBorders>
            <w:shd w:val="clear" w:color="auto" w:fill="CCFFCC"/>
          </w:tcPr>
          <w:p>
            <w:pPr>
              <w:spacing w:after="0"/>
              <w:rPr>
                <w:sz w:val="13"/>
                <w:szCs w:val="13"/>
                <w:color w:val="auto"/>
              </w:rPr>
            </w:pPr>
          </w:p>
        </w:tc>
        <w:tc>
          <w:tcPr>
            <w:tcW w:w="11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(684)</w:t>
            </w:r>
          </w:p>
        </w:tc>
      </w:tr>
      <w:tr>
        <w:trPr>
          <w:trHeight w:val="134"/>
        </w:trPr>
        <w:tc>
          <w:tcPr>
            <w:tcW w:w="4040" w:type="dxa"/>
            <w:vAlign w:val="bottom"/>
          </w:tcPr>
          <w:p>
            <w:pPr>
              <w:ind w:left="80"/>
              <w:spacing w:after="0" w:line="134" w:lineRule="exact"/>
              <w:rPr>
                <w:sz w:val="20"/>
                <w:szCs w:val="20"/>
                <w:color w:val="auto"/>
              </w:rPr>
            </w:pPr>
            <w:r>
              <w:rPr>
                <w:rFonts w:ascii="Arial" w:cs="Arial" w:eastAsia="Arial" w:hAnsi="Arial"/>
                <w:sz w:val="13"/>
                <w:szCs w:val="13"/>
                <w:color w:val="auto"/>
              </w:rPr>
              <w:t>Net assets acquired</w:t>
            </w:r>
          </w:p>
        </w:tc>
        <w:tc>
          <w:tcPr>
            <w:tcW w:w="1060" w:type="dxa"/>
            <w:vAlign w:val="bottom"/>
          </w:tcPr>
          <w:p>
            <w:pPr>
              <w:spacing w:after="0"/>
              <w:rPr>
                <w:sz w:val="11"/>
                <w:szCs w:val="11"/>
                <w:color w:val="auto"/>
              </w:rPr>
            </w:pPr>
          </w:p>
        </w:tc>
        <w:tc>
          <w:tcPr>
            <w:tcW w:w="1180" w:type="dxa"/>
            <w:vAlign w:val="bottom"/>
          </w:tcPr>
          <w:p>
            <w:pPr>
              <w:jc w:val="right"/>
              <w:ind w:right="36"/>
              <w:spacing w:after="0" w:line="134" w:lineRule="exact"/>
              <w:rPr>
                <w:sz w:val="20"/>
                <w:szCs w:val="20"/>
                <w:color w:val="auto"/>
              </w:rPr>
            </w:pPr>
            <w:r>
              <w:rPr>
                <w:rFonts w:ascii="Arial" w:cs="Arial" w:eastAsia="Arial" w:hAnsi="Arial"/>
                <w:sz w:val="13"/>
                <w:szCs w:val="13"/>
                <w:color w:val="auto"/>
              </w:rPr>
              <w:t>1,620</w:t>
            </w:r>
          </w:p>
        </w:tc>
      </w:tr>
      <w:tr>
        <w:trPr>
          <w:trHeight w:val="154"/>
        </w:trPr>
        <w:tc>
          <w:tcPr>
            <w:tcW w:w="4040" w:type="dxa"/>
            <w:vAlign w:val="bottom"/>
            <w:shd w:val="clear" w:color="auto" w:fill="CCFFCC"/>
          </w:tcPr>
          <w:p>
            <w:pPr>
              <w:ind w:left="80"/>
              <w:spacing w:after="0"/>
              <w:rPr>
                <w:sz w:val="20"/>
                <w:szCs w:val="20"/>
                <w:color w:val="auto"/>
              </w:rPr>
            </w:pPr>
            <w:r>
              <w:rPr>
                <w:rFonts w:ascii="Arial" w:cs="Arial" w:eastAsia="Arial" w:hAnsi="Arial"/>
                <w:sz w:val="13"/>
                <w:szCs w:val="13"/>
                <w:color w:val="auto"/>
              </w:rPr>
              <w:t>In-process research and development</w:t>
            </w:r>
          </w:p>
        </w:tc>
        <w:tc>
          <w:tcPr>
            <w:tcW w:w="1060" w:type="dxa"/>
            <w:vAlign w:val="bottom"/>
            <w:tcBorders>
              <w:bottom w:val="single" w:sz="8" w:color="auto"/>
            </w:tcBorders>
            <w:shd w:val="clear" w:color="auto" w:fill="CCFFCC"/>
          </w:tcPr>
          <w:p>
            <w:pPr>
              <w:spacing w:after="0"/>
              <w:rPr>
                <w:sz w:val="13"/>
                <w:szCs w:val="13"/>
                <w:color w:val="auto"/>
              </w:rPr>
            </w:pPr>
          </w:p>
        </w:tc>
        <w:tc>
          <w:tcPr>
            <w:tcW w:w="11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26,575</w:t>
            </w:r>
          </w:p>
        </w:tc>
      </w:tr>
      <w:tr>
        <w:trPr>
          <w:trHeight w:val="134"/>
        </w:trPr>
        <w:tc>
          <w:tcPr>
            <w:tcW w:w="4040" w:type="dxa"/>
            <w:vAlign w:val="bottom"/>
          </w:tcPr>
          <w:p>
            <w:pPr>
              <w:ind w:left="80"/>
              <w:spacing w:after="0" w:line="134" w:lineRule="exact"/>
              <w:rPr>
                <w:sz w:val="20"/>
                <w:szCs w:val="20"/>
                <w:color w:val="auto"/>
              </w:rPr>
            </w:pPr>
            <w:r>
              <w:rPr>
                <w:rFonts w:ascii="Arial" w:cs="Arial" w:eastAsia="Arial" w:hAnsi="Arial"/>
                <w:sz w:val="13"/>
                <w:szCs w:val="13"/>
                <w:color w:val="auto"/>
              </w:rPr>
              <w:t>Total purchase consideration</w:t>
            </w:r>
          </w:p>
        </w:tc>
        <w:tc>
          <w:tcPr>
            <w:tcW w:w="1060" w:type="dxa"/>
            <w:vAlign w:val="bottom"/>
            <w:tcBorders>
              <w:bottom w:val="single" w:sz="8" w:color="auto"/>
            </w:tcBorders>
          </w:tcPr>
          <w:p>
            <w:pPr>
              <w:jc w:val="right"/>
              <w:ind w:right="676"/>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28,195</w:t>
            </w:r>
          </w:p>
        </w:tc>
      </w:tr>
      <w:tr>
        <w:trPr>
          <w:trHeight w:val="20"/>
        </w:trPr>
        <w:tc>
          <w:tcPr>
            <w:tcW w:w="4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0" w:firstLine="308"/>
        <w:spacing w:after="0" w:line="304" w:lineRule="auto"/>
        <w:rPr>
          <w:sz w:val="20"/>
          <w:szCs w:val="20"/>
          <w:color w:val="auto"/>
        </w:rPr>
      </w:pPr>
      <w:r>
        <w:rPr>
          <w:rFonts w:ascii="Arial" w:cs="Arial" w:eastAsia="Arial" w:hAnsi="Arial"/>
          <w:sz w:val="16"/>
          <w:szCs w:val="16"/>
          <w:color w:val="auto"/>
        </w:rPr>
        <w:t>In connection with the transaction, the Company recorded a charge of $26.6 million for acquired research projects associated with products in development for which, at the acquisition date, technological feasibility had not been established and, for accounting purposes, no alternative future use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2790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ind w:left="680" w:hanging="677"/>
        <w:spacing w:after="0"/>
        <w:tabs>
          <w:tab w:leader="none" w:pos="6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Accounts receivable consist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900" w:type="dxa"/>
            <w:vAlign w:val="bottom"/>
            <w:shd w:val="clear" w:color="auto" w:fill="CCFFCC"/>
          </w:tcPr>
          <w:p>
            <w:pPr>
              <w:ind w:left="20"/>
              <w:spacing w:after="0" w:line="134" w:lineRule="exact"/>
              <w:rPr>
                <w:sz w:val="20"/>
                <w:szCs w:val="20"/>
                <w:color w:val="auto"/>
              </w:rPr>
            </w:pPr>
            <w:r>
              <w:rPr>
                <w:rFonts w:ascii="Arial" w:cs="Arial" w:eastAsia="Arial" w:hAnsi="Arial"/>
                <w:sz w:val="13"/>
                <w:szCs w:val="13"/>
                <w:color w:val="auto"/>
              </w:rPr>
              <w:t>Billed</w:t>
            </w:r>
          </w:p>
        </w:tc>
        <w:tc>
          <w:tcPr>
            <w:tcW w:w="480" w:type="dxa"/>
            <w:vAlign w:val="bottom"/>
            <w:gridSpan w:val="2"/>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17,741</w:t>
            </w:r>
          </w:p>
        </w:tc>
        <w:tc>
          <w:tcPr>
            <w:tcW w:w="560" w:type="dxa"/>
            <w:vAlign w:val="bottom"/>
            <w:shd w:val="clear" w:color="auto" w:fill="CCFFCC"/>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43,305</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80" w:type="dxa"/>
            <w:vAlign w:val="bottom"/>
            <w:tcBorders>
              <w:bottom w:val="single" w:sz="8" w:color="CCFFCC"/>
            </w:tcBorders>
          </w:tcPr>
          <w:p>
            <w:pPr>
              <w:spacing w:after="0"/>
              <w:rPr>
                <w:sz w:val="13"/>
                <w:szCs w:val="13"/>
                <w:color w:val="auto"/>
              </w:rPr>
            </w:pPr>
          </w:p>
        </w:tc>
        <w:tc>
          <w:tcPr>
            <w:tcW w:w="290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Unbilled</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1,076</w:t>
            </w:r>
          </w:p>
        </w:tc>
        <w:tc>
          <w:tcPr>
            <w:tcW w:w="5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2900" w:type="dxa"/>
            <w:vAlign w:val="bottom"/>
            <w:tcBorders>
              <w:bottom w:val="single" w:sz="8" w:color="CCFFCC"/>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Total</w:t>
            </w:r>
          </w:p>
        </w:tc>
        <w:tc>
          <w:tcPr>
            <w:tcW w:w="480" w:type="dxa"/>
            <w:vAlign w:val="bottom"/>
            <w:tcBorders>
              <w:bottom w:val="single" w:sz="8" w:color="auto"/>
            </w:tcBorders>
            <w:gridSpan w:val="2"/>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18,817</w:t>
            </w:r>
          </w:p>
        </w:tc>
        <w:tc>
          <w:tcPr>
            <w:tcW w:w="560" w:type="dxa"/>
            <w:vAlign w:val="bottom"/>
            <w:tcBorders>
              <w:bottom w:val="single" w:sz="8" w:color="auto"/>
            </w:tcBorders>
            <w:shd w:val="clear" w:color="auto" w:fill="CCFFCC"/>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43,331</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w w:val="70"/>
              </w:rPr>
              <w:t>5.</w:t>
            </w:r>
          </w:p>
        </w:tc>
        <w:tc>
          <w:tcPr>
            <w:tcW w:w="290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Inventories</w:t>
            </w: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60" w:type="dxa"/>
            <w:vAlign w:val="bottom"/>
            <w:gridSpan w:val="2"/>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7"/>
                <w:szCs w:val="17"/>
                <w:color w:val="auto"/>
              </w:rPr>
              <w:t>Inventories consist of the following:</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6"/>
              <w:spacing w:after="0" w:line="134" w:lineRule="exact"/>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2006</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90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Raw materials and supplies</w:t>
            </w:r>
          </w:p>
        </w:tc>
        <w:tc>
          <w:tcPr>
            <w:tcW w:w="480" w:type="dxa"/>
            <w:vAlign w:val="bottom"/>
            <w:gridSpan w:val="2"/>
            <w:shd w:val="clear" w:color="auto" w:fill="CCFFCC"/>
          </w:tcPr>
          <w:p>
            <w:pPr>
              <w:jc w:val="right"/>
              <w:ind w:right="17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2,463</w:t>
            </w:r>
          </w:p>
        </w:tc>
        <w:tc>
          <w:tcPr>
            <w:tcW w:w="560" w:type="dxa"/>
            <w:vAlign w:val="bottom"/>
            <w:shd w:val="clear" w:color="auto" w:fill="CCFFCC"/>
          </w:tcPr>
          <w:p>
            <w:pPr>
              <w:jc w:val="right"/>
              <w:ind w:right="336"/>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tcPr>
          <w:p>
            <w:pPr>
              <w:ind w:left="20"/>
              <w:spacing w:after="0" w:line="141" w:lineRule="exact"/>
              <w:rPr>
                <w:sz w:val="20"/>
                <w:szCs w:val="20"/>
                <w:color w:val="auto"/>
              </w:rPr>
            </w:pPr>
            <w:r>
              <w:rPr>
                <w:rFonts w:ascii="Arial" w:cs="Arial" w:eastAsia="Arial" w:hAnsi="Arial"/>
                <w:sz w:val="13"/>
                <w:szCs w:val="13"/>
                <w:color w:val="auto"/>
              </w:rPr>
              <w:t>Work-in-process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11,483</w:t>
            </w:r>
          </w:p>
        </w:tc>
        <w:tc>
          <w:tcPr>
            <w:tcW w:w="560" w:type="dxa"/>
            <w:vAlign w:val="bottom"/>
          </w:tcPr>
          <w:p>
            <w:pPr>
              <w:spacing w:after="0"/>
              <w:rPr>
                <w:sz w:val="12"/>
                <w:szCs w:val="12"/>
                <w:color w:val="auto"/>
              </w:rPr>
            </w:pPr>
          </w:p>
        </w:tc>
        <w:tc>
          <w:tcPr>
            <w:tcW w:w="6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22,239</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2900" w:type="dxa"/>
            <w:vAlign w:val="bottom"/>
            <w:shd w:val="clear" w:color="auto" w:fill="CCFFCC"/>
          </w:tcPr>
          <w:p>
            <w:pPr>
              <w:ind w:left="20"/>
              <w:spacing w:after="0"/>
              <w:rPr>
                <w:sz w:val="20"/>
                <w:szCs w:val="20"/>
                <w:color w:val="auto"/>
              </w:rPr>
            </w:pPr>
            <w:r>
              <w:rPr>
                <w:rFonts w:ascii="Arial" w:cs="Arial" w:eastAsia="Arial" w:hAnsi="Arial"/>
                <w:sz w:val="13"/>
                <w:szCs w:val="13"/>
                <w:color w:val="auto"/>
              </w:rPr>
              <w:t>Finished goods</w:t>
            </w:r>
          </w:p>
        </w:tc>
        <w:tc>
          <w:tcPr>
            <w:tcW w:w="80" w:type="dxa"/>
            <w:vAlign w:val="bottom"/>
            <w:shd w:val="clear" w:color="auto" w:fill="CCFFCC"/>
          </w:tcPr>
          <w:p>
            <w:pPr>
              <w:spacing w:after="0"/>
              <w:rPr>
                <w:sz w:val="13"/>
                <w:szCs w:val="13"/>
                <w:color w:val="auto"/>
              </w:rPr>
            </w:pP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2,951</w:t>
            </w:r>
          </w:p>
        </w:tc>
        <w:tc>
          <w:tcPr>
            <w:tcW w:w="56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tcPr>
          <w:p>
            <w:pPr>
              <w:ind w:left="20"/>
              <w:spacing w:after="0" w:line="134" w:lineRule="exact"/>
              <w:rPr>
                <w:sz w:val="20"/>
                <w:szCs w:val="20"/>
                <w:color w:val="auto"/>
              </w:rPr>
            </w:pPr>
            <w:r>
              <w:rPr>
                <w:rFonts w:ascii="Arial" w:cs="Arial" w:eastAsia="Arial" w:hAnsi="Arial"/>
                <w:sz w:val="13"/>
                <w:szCs w:val="13"/>
                <w:color w:val="auto"/>
              </w:rPr>
              <w:t>Total inventories</w:t>
            </w:r>
          </w:p>
        </w:tc>
        <w:tc>
          <w:tcPr>
            <w:tcW w:w="80" w:type="dxa"/>
            <w:vAlign w:val="bottom"/>
          </w:tcPr>
          <w:p>
            <w:pPr>
              <w:spacing w:after="0"/>
              <w:rPr>
                <w:sz w:val="11"/>
                <w:szCs w:val="11"/>
                <w:color w:val="auto"/>
              </w:rPr>
            </w:pPr>
          </w:p>
        </w:tc>
        <w:tc>
          <w:tcPr>
            <w:tcW w:w="40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16,897</w:t>
            </w:r>
          </w:p>
        </w:tc>
        <w:tc>
          <w:tcPr>
            <w:tcW w:w="560" w:type="dxa"/>
            <w:vAlign w:val="bottom"/>
            <w:tcBorders>
              <w:bottom w:val="single" w:sz="8" w:color="auto"/>
            </w:tcBorders>
          </w:tcPr>
          <w:p>
            <w:pPr>
              <w:jc w:val="right"/>
              <w:ind w:right="336"/>
              <w:spacing w:after="0" w:line="13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24,721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680" w:hanging="677"/>
        <w:spacing w:after="0"/>
        <w:tabs>
          <w:tab w:leader="none" w:pos="6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consist of the following:</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3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3"/>
                <w:szCs w:val="13"/>
                <w:b w:val="1"/>
                <w:bCs w:val="1"/>
                <w:color w:val="auto"/>
                <w:w w:val="89"/>
              </w:rPr>
              <w:t>December 31,</w:t>
            </w:r>
          </w:p>
        </w:tc>
        <w:tc>
          <w:tcPr>
            <w:tcW w:w="660" w:type="dxa"/>
            <w:vAlign w:val="bottom"/>
            <w:tcBorders>
              <w:bottom w:val="single" w:sz="8" w:color="auto"/>
            </w:tcBorders>
          </w:tcPr>
          <w:p>
            <w:pPr>
              <w:spacing w:after="0"/>
              <w:rPr>
                <w:sz w:val="13"/>
                <w:szCs w:val="13"/>
                <w:color w:val="auto"/>
              </w:rPr>
            </w:pPr>
          </w:p>
        </w:tc>
      </w:tr>
      <w:tr>
        <w:trPr>
          <w:trHeight w:val="198"/>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2007</w:t>
            </w: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w w:val="96"/>
              </w:rPr>
              <w:t>2006</w:t>
            </w:r>
          </w:p>
        </w:tc>
      </w:tr>
      <w:tr>
        <w:trPr>
          <w:trHeight w:val="198"/>
        </w:trPr>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41"/>
        </w:trPr>
        <w:tc>
          <w:tcPr>
            <w:tcW w:w="308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Land and improvements</w:t>
            </w:r>
          </w:p>
        </w:tc>
        <w:tc>
          <w:tcPr>
            <w:tcW w:w="40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4,974</w:t>
            </w:r>
          </w:p>
        </w:tc>
        <w:tc>
          <w:tcPr>
            <w:tcW w:w="560" w:type="dxa"/>
            <w:vAlign w:val="bottom"/>
            <w:shd w:val="clear" w:color="auto" w:fill="CCFFCC"/>
          </w:tcPr>
          <w:p>
            <w:pPr>
              <w:jc w:val="center"/>
              <w:ind w:right="236"/>
              <w:spacing w:after="0" w:line="141"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5,173</w:t>
            </w:r>
          </w:p>
        </w:tc>
      </w:tr>
      <w:tr>
        <w:trPr>
          <w:trHeight w:val="141"/>
        </w:trPr>
        <w:tc>
          <w:tcPr>
            <w:tcW w:w="3080" w:type="dxa"/>
            <w:vAlign w:val="bottom"/>
          </w:tcPr>
          <w:p>
            <w:pPr>
              <w:ind w:left="100"/>
              <w:spacing w:after="0" w:line="141" w:lineRule="exact"/>
              <w:rPr>
                <w:sz w:val="20"/>
                <w:szCs w:val="20"/>
                <w:color w:val="auto"/>
              </w:rPr>
            </w:pPr>
            <w:r>
              <w:rPr>
                <w:rFonts w:ascii="Arial" w:cs="Arial" w:eastAsia="Arial" w:hAnsi="Arial"/>
                <w:sz w:val="13"/>
                <w:szCs w:val="13"/>
                <w:color w:val="auto"/>
              </w:rPr>
              <w:t>Buildings and leasehold improvements</w:t>
            </w:r>
          </w:p>
        </w:tc>
        <w:tc>
          <w:tcPr>
            <w:tcW w:w="400" w:type="dxa"/>
            <w:vAlign w:val="bottom"/>
          </w:tcPr>
          <w:p>
            <w:pPr>
              <w:spacing w:after="0"/>
              <w:rPr>
                <w:sz w:val="12"/>
                <w:szCs w:val="12"/>
                <w:color w:val="auto"/>
              </w:rPr>
            </w:pPr>
          </w:p>
        </w:tc>
        <w:tc>
          <w:tcPr>
            <w:tcW w:w="8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26,410</w:t>
            </w:r>
          </w:p>
        </w:tc>
        <w:tc>
          <w:tcPr>
            <w:tcW w:w="56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25,074</w:t>
            </w:r>
          </w:p>
        </w:tc>
      </w:tr>
      <w:tr>
        <w:trPr>
          <w:trHeight w:val="141"/>
        </w:trPr>
        <w:tc>
          <w:tcPr>
            <w:tcW w:w="308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Furniture and equipment</w:t>
            </w:r>
          </w:p>
        </w:tc>
        <w:tc>
          <w:tcPr>
            <w:tcW w:w="40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19,626</w:t>
            </w:r>
          </w:p>
        </w:tc>
        <w:tc>
          <w:tcPr>
            <w:tcW w:w="560" w:type="dxa"/>
            <w:vAlign w:val="bottom"/>
            <w:shd w:val="clear" w:color="auto" w:fill="CCFFCC"/>
          </w:tcPr>
          <w:p>
            <w:pPr>
              <w:spacing w:after="0"/>
              <w:rPr>
                <w:sz w:val="12"/>
                <w:szCs w:val="12"/>
                <w:color w:val="auto"/>
              </w:rPr>
            </w:pPr>
          </w:p>
        </w:tc>
        <w:tc>
          <w:tcPr>
            <w:tcW w:w="66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15,963</w:t>
            </w:r>
          </w:p>
        </w:tc>
      </w:tr>
      <w:tr>
        <w:trPr>
          <w:trHeight w:val="141"/>
        </w:trPr>
        <w:tc>
          <w:tcPr>
            <w:tcW w:w="3080" w:type="dxa"/>
            <w:vAlign w:val="bottom"/>
          </w:tcPr>
          <w:p>
            <w:pPr>
              <w:ind w:left="100"/>
              <w:spacing w:after="0" w:line="141" w:lineRule="exact"/>
              <w:rPr>
                <w:sz w:val="20"/>
                <w:szCs w:val="20"/>
                <w:color w:val="auto"/>
              </w:rPr>
            </w:pPr>
            <w:r>
              <w:rPr>
                <w:rFonts w:ascii="Arial" w:cs="Arial" w:eastAsia="Arial" w:hAnsi="Arial"/>
                <w:sz w:val="13"/>
                <w:szCs w:val="13"/>
                <w:color w:val="auto"/>
              </w:rPr>
              <w:t>Software</w:t>
            </w:r>
          </w:p>
        </w:tc>
        <w:tc>
          <w:tcPr>
            <w:tcW w:w="400" w:type="dxa"/>
            <w:vAlign w:val="bottom"/>
          </w:tcPr>
          <w:p>
            <w:pPr>
              <w:spacing w:after="0"/>
              <w:rPr>
                <w:sz w:val="12"/>
                <w:szCs w:val="12"/>
                <w:color w:val="auto"/>
              </w:rPr>
            </w:pPr>
          </w:p>
        </w:tc>
        <w:tc>
          <w:tcPr>
            <w:tcW w:w="8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5,866</w:t>
            </w:r>
          </w:p>
        </w:tc>
        <w:tc>
          <w:tcPr>
            <w:tcW w:w="56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3,937</w:t>
            </w:r>
          </w:p>
        </w:tc>
      </w:tr>
      <w:tr>
        <w:trPr>
          <w:trHeight w:val="154"/>
        </w:trPr>
        <w:tc>
          <w:tcPr>
            <w:tcW w:w="30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Construction-in-progress</w:t>
            </w: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71,129</w:t>
            </w:r>
          </w:p>
        </w:tc>
        <w:tc>
          <w:tcPr>
            <w:tcW w:w="560" w:type="dxa"/>
            <w:vAlign w:val="bottom"/>
            <w:tcBorders>
              <w:bottom w:val="single" w:sz="8" w:color="auto"/>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41,563</w:t>
            </w:r>
          </w:p>
        </w:tc>
      </w:tr>
      <w:tr>
        <w:trPr>
          <w:trHeight w:val="134"/>
        </w:trPr>
        <w:tc>
          <w:tcPr>
            <w:tcW w:w="3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ind w:right="36"/>
              <w:spacing w:after="0" w:line="134" w:lineRule="exact"/>
              <w:rPr>
                <w:sz w:val="20"/>
                <w:szCs w:val="20"/>
                <w:color w:val="auto"/>
              </w:rPr>
            </w:pPr>
            <w:r>
              <w:rPr>
                <w:rFonts w:ascii="Arial" w:cs="Arial" w:eastAsia="Arial" w:hAnsi="Arial"/>
                <w:sz w:val="13"/>
                <w:szCs w:val="13"/>
                <w:color w:val="auto"/>
              </w:rPr>
              <w:t>128,005</w:t>
            </w:r>
          </w:p>
        </w:tc>
        <w:tc>
          <w:tcPr>
            <w:tcW w:w="560" w:type="dxa"/>
            <w:vAlign w:val="bottom"/>
          </w:tcPr>
          <w:p>
            <w:pPr>
              <w:spacing w:after="0"/>
              <w:rPr>
                <w:sz w:val="11"/>
                <w:szCs w:val="11"/>
                <w:color w:val="auto"/>
              </w:rPr>
            </w:pPr>
          </w:p>
        </w:tc>
        <w:tc>
          <w:tcPr>
            <w:tcW w:w="660" w:type="dxa"/>
            <w:vAlign w:val="bottom"/>
          </w:tcPr>
          <w:p>
            <w:pPr>
              <w:jc w:val="right"/>
              <w:ind w:right="16"/>
              <w:spacing w:after="0" w:line="134" w:lineRule="exact"/>
              <w:rPr>
                <w:sz w:val="20"/>
                <w:szCs w:val="20"/>
                <w:color w:val="auto"/>
              </w:rPr>
            </w:pPr>
            <w:r>
              <w:rPr>
                <w:rFonts w:ascii="Arial" w:cs="Arial" w:eastAsia="Arial" w:hAnsi="Arial"/>
                <w:sz w:val="13"/>
                <w:szCs w:val="13"/>
                <w:color w:val="auto"/>
              </w:rPr>
              <w:t>91,710</w:t>
            </w:r>
          </w:p>
        </w:tc>
      </w:tr>
      <w:tr>
        <w:trPr>
          <w:trHeight w:val="154"/>
        </w:trPr>
        <w:tc>
          <w:tcPr>
            <w:tcW w:w="3080" w:type="dxa"/>
            <w:vAlign w:val="bottom"/>
            <w:shd w:val="clear" w:color="auto" w:fill="CCFFCC"/>
          </w:tcPr>
          <w:p>
            <w:pPr>
              <w:ind w:left="100"/>
              <w:spacing w:after="0"/>
              <w:rPr>
                <w:sz w:val="20"/>
                <w:szCs w:val="20"/>
                <w:color w:val="auto"/>
              </w:rPr>
            </w:pPr>
            <w:r>
              <w:rPr>
                <w:rFonts w:ascii="Arial" w:cs="Arial" w:eastAsia="Arial" w:hAnsi="Arial"/>
                <w:sz w:val="13"/>
                <w:szCs w:val="13"/>
                <w:color w:val="auto"/>
              </w:rPr>
              <w:t>Less: Accumulated depreciation and amortization</w:t>
            </w:r>
          </w:p>
        </w:tc>
        <w:tc>
          <w:tcPr>
            <w:tcW w:w="400" w:type="dxa"/>
            <w:vAlign w:val="bottom"/>
            <w:tcBorders>
              <w:bottom w:val="single" w:sz="8" w:color="auto"/>
            </w:tcBorders>
            <w:shd w:val="clear" w:color="auto" w:fill="CCFFCC"/>
          </w:tcPr>
          <w:p>
            <w:pPr>
              <w:spacing w:after="0"/>
              <w:rPr>
                <w:sz w:val="13"/>
                <w:szCs w:val="13"/>
                <w:color w:val="auto"/>
              </w:rPr>
            </w:pPr>
          </w:p>
        </w:tc>
        <w:tc>
          <w:tcPr>
            <w:tcW w:w="8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(17,787)</w:t>
            </w:r>
          </w:p>
        </w:tc>
        <w:tc>
          <w:tcPr>
            <w:tcW w:w="560" w:type="dxa"/>
            <w:vAlign w:val="bottom"/>
            <w:tcBorders>
              <w:bottom w:val="single" w:sz="8" w:color="auto"/>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(13,536)</w:t>
            </w:r>
          </w:p>
        </w:tc>
      </w:tr>
      <w:tr>
        <w:trPr>
          <w:trHeight w:val="134"/>
        </w:trPr>
        <w:tc>
          <w:tcPr>
            <w:tcW w:w="3080" w:type="dxa"/>
            <w:vAlign w:val="bottom"/>
          </w:tcPr>
          <w:p>
            <w:pPr>
              <w:ind w:left="100"/>
              <w:spacing w:after="0" w:line="134" w:lineRule="exact"/>
              <w:rPr>
                <w:sz w:val="20"/>
                <w:szCs w:val="20"/>
                <w:color w:val="auto"/>
              </w:rPr>
            </w:pPr>
            <w:r>
              <w:rPr>
                <w:rFonts w:ascii="Arial" w:cs="Arial" w:eastAsia="Arial" w:hAnsi="Arial"/>
                <w:sz w:val="13"/>
                <w:szCs w:val="13"/>
                <w:color w:val="auto"/>
              </w:rPr>
              <w:t>Total Property, plant and equipment, net</w:t>
            </w:r>
          </w:p>
        </w:tc>
        <w:tc>
          <w:tcPr>
            <w:tcW w:w="4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110,218</w:t>
            </w:r>
          </w:p>
        </w:tc>
        <w:tc>
          <w:tcPr>
            <w:tcW w:w="560" w:type="dxa"/>
            <w:vAlign w:val="bottom"/>
            <w:tcBorders>
              <w:bottom w:val="single" w:sz="8" w:color="auto"/>
            </w:tcBorders>
          </w:tcPr>
          <w:p>
            <w:pPr>
              <w:jc w:val="center"/>
              <w:ind w:right="236"/>
              <w:spacing w:after="0" w:line="134"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78,174</w:t>
            </w:r>
          </w:p>
        </w:tc>
      </w:tr>
      <w:tr>
        <w:trPr>
          <w:trHeight w:val="20"/>
        </w:trPr>
        <w:tc>
          <w:tcPr>
            <w:tcW w:w="3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120" w:firstLine="308"/>
        <w:spacing w:after="0" w:line="313" w:lineRule="auto"/>
        <w:rPr>
          <w:sz w:val="20"/>
          <w:szCs w:val="20"/>
          <w:color w:val="auto"/>
        </w:rPr>
      </w:pPr>
      <w:r>
        <w:rPr>
          <w:rFonts w:ascii="Arial" w:cs="Arial" w:eastAsia="Arial" w:hAnsi="Arial"/>
          <w:sz w:val="15"/>
          <w:szCs w:val="15"/>
          <w:color w:val="auto"/>
        </w:rPr>
        <w:t>Depreciation and amortization expense was $4.8 million, $4.7 million and $3.5 million for the years ended December 31, 2007, 2006 and 2005, respectively. For the years ended December 31, 2007, 2006 and 2005, depreciation and amortization expense included approximately $1.0 million, $1.3 million and $1.3 million, respectively, related to the amortization of internal-use software. As of December 31, 2007 and 2006, unamortized software cost was $0 and $1.2 million, respectively.</w:t>
      </w:r>
    </w:p>
    <w:p>
      <w:pPr>
        <w:spacing w:after="0" w:line="142"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Accrued expenses and other current liabilities</w:t>
      </w:r>
    </w:p>
    <w:p>
      <w:pPr>
        <w:spacing w:after="0" w:line="218"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28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3"/>
                <w:szCs w:val="13"/>
                <w:color w:val="auto"/>
              </w:rPr>
            </w:pPr>
          </w:p>
        </w:tc>
        <w:tc>
          <w:tcPr>
            <w:tcW w:w="5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2007</w:t>
            </w: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6"/>
              <w:spacing w:after="0" w:line="134" w:lineRule="exact"/>
              <w:rPr>
                <w:sz w:val="20"/>
                <w:szCs w:val="20"/>
                <w:color w:val="auto"/>
              </w:rPr>
            </w:pPr>
            <w:r>
              <w:rPr>
                <w:rFonts w:ascii="Arial" w:cs="Arial" w:eastAsia="Arial" w:hAnsi="Arial"/>
                <w:sz w:val="13"/>
                <w:szCs w:val="13"/>
                <w:b w:val="1"/>
                <w:bCs w:val="1"/>
                <w:color w:val="auto"/>
              </w:rPr>
              <w:t>2006</w:t>
            </w: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Contract costs</w:t>
            </w:r>
          </w:p>
        </w:tc>
        <w:tc>
          <w:tcPr>
            <w:tcW w:w="56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136"/>
              <w:spacing w:after="0" w:line="141" w:lineRule="exact"/>
              <w:rPr>
                <w:sz w:val="20"/>
                <w:szCs w:val="20"/>
                <w:color w:val="auto"/>
              </w:rPr>
            </w:pPr>
            <w:r>
              <w:rPr>
                <w:rFonts w:ascii="Arial" w:cs="Arial" w:eastAsia="Arial" w:hAnsi="Arial"/>
                <w:sz w:val="13"/>
                <w:szCs w:val="13"/>
                <w:color w:val="auto"/>
              </w:rPr>
              <w:t>1,962</w:t>
            </w:r>
          </w:p>
        </w:tc>
        <w:tc>
          <w:tcPr>
            <w:tcW w:w="580" w:type="dxa"/>
            <w:vAlign w:val="bottom"/>
            <w:shd w:val="clear" w:color="auto" w:fill="CCFFCC"/>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1,218</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tcPr>
          <w:p>
            <w:pPr>
              <w:ind w:left="100"/>
              <w:spacing w:after="0" w:line="141" w:lineRule="exact"/>
              <w:rPr>
                <w:sz w:val="20"/>
                <w:szCs w:val="20"/>
                <w:color w:val="auto"/>
              </w:rPr>
            </w:pPr>
            <w:r>
              <w:rPr>
                <w:rFonts w:ascii="Arial" w:cs="Arial" w:eastAsia="Arial" w:hAnsi="Arial"/>
                <w:sz w:val="13"/>
                <w:szCs w:val="13"/>
                <w:color w:val="auto"/>
              </w:rPr>
              <w:t>Professional fees</w:t>
            </w:r>
          </w:p>
        </w:tc>
        <w:tc>
          <w:tcPr>
            <w:tcW w:w="560" w:type="dxa"/>
            <w:vAlign w:val="bottom"/>
          </w:tcPr>
          <w:p>
            <w:pPr>
              <w:spacing w:after="0"/>
              <w:rPr>
                <w:sz w:val="12"/>
                <w:szCs w:val="12"/>
                <w:color w:val="auto"/>
              </w:rPr>
            </w:pPr>
          </w:p>
        </w:tc>
        <w:tc>
          <w:tcPr>
            <w:tcW w:w="80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723</w:t>
            </w:r>
          </w:p>
        </w:tc>
        <w:tc>
          <w:tcPr>
            <w:tcW w:w="58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1,115</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28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Interest payable</w:t>
            </w:r>
          </w:p>
        </w:tc>
        <w:tc>
          <w:tcPr>
            <w:tcW w:w="56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136"/>
              <w:spacing w:after="0" w:line="141" w:lineRule="exact"/>
              <w:rPr>
                <w:sz w:val="20"/>
                <w:szCs w:val="20"/>
                <w:color w:val="auto"/>
              </w:rPr>
            </w:pPr>
            <w:r>
              <w:rPr>
                <w:rFonts w:ascii="Arial" w:cs="Arial" w:eastAsia="Arial" w:hAnsi="Arial"/>
                <w:sz w:val="13"/>
                <w:szCs w:val="13"/>
                <w:color w:val="auto"/>
              </w:rPr>
              <w:t>259</w:t>
            </w:r>
          </w:p>
        </w:tc>
        <w:tc>
          <w:tcPr>
            <w:tcW w:w="58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222</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2800" w:type="dxa"/>
            <w:vAlign w:val="bottom"/>
            <w:tcBorders>
              <w:bottom w:val="single" w:sz="8" w:color="CCFFCC"/>
            </w:tcBorders>
          </w:tcPr>
          <w:p>
            <w:pPr>
              <w:ind w:left="100"/>
              <w:spacing w:after="0"/>
              <w:rPr>
                <w:sz w:val="20"/>
                <w:szCs w:val="20"/>
                <w:color w:val="auto"/>
              </w:rPr>
            </w:pPr>
            <w:r>
              <w:rPr>
                <w:rFonts w:ascii="Arial" w:cs="Arial" w:eastAsia="Arial" w:hAnsi="Arial"/>
                <w:sz w:val="13"/>
                <w:szCs w:val="13"/>
                <w:color w:val="auto"/>
              </w:rPr>
              <w:t>Property taxes and other</w:t>
            </w: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1,112</w:t>
            </w: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715</w:t>
            </w:r>
          </w:p>
        </w:tc>
        <w:tc>
          <w:tcPr>
            <w:tcW w:w="5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800" w:type="dxa"/>
            <w:vAlign w:val="bottom"/>
            <w:tcBorders>
              <w:bottom w:val="single" w:sz="8" w:color="CCFFCC"/>
            </w:tcBorders>
            <w:shd w:val="clear" w:color="auto" w:fill="CCFFCC"/>
          </w:tcPr>
          <w:p>
            <w:pPr>
              <w:ind w:left="100"/>
              <w:spacing w:after="0" w:line="134" w:lineRule="exact"/>
              <w:rPr>
                <w:sz w:val="20"/>
                <w:szCs w:val="20"/>
                <w:color w:val="auto"/>
              </w:rPr>
            </w:pPr>
            <w:r>
              <w:rPr>
                <w:rFonts w:ascii="Arial" w:cs="Arial" w:eastAsia="Arial" w:hAnsi="Arial"/>
                <w:sz w:val="13"/>
                <w:szCs w:val="13"/>
                <w:color w:val="auto"/>
              </w:rPr>
              <w:t>Total</w:t>
            </w:r>
          </w:p>
        </w:tc>
        <w:tc>
          <w:tcPr>
            <w:tcW w:w="56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4,056</w:t>
            </w:r>
          </w:p>
        </w:tc>
        <w:tc>
          <w:tcPr>
            <w:tcW w:w="580" w:type="dxa"/>
            <w:vAlign w:val="bottom"/>
            <w:tcBorders>
              <w:bottom w:val="single" w:sz="8" w:color="auto"/>
            </w:tcBorders>
            <w:shd w:val="clear" w:color="auto" w:fill="CCFFCC"/>
          </w:tcPr>
          <w:p>
            <w:pPr>
              <w:jc w:val="right"/>
              <w:ind w:right="23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3,270</w:t>
            </w:r>
          </w:p>
        </w:tc>
        <w:tc>
          <w:tcPr>
            <w:tcW w:w="5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0" w:name="page91"/>
    <w:bookmarkEnd w:id="90"/>
    <w:p>
      <w:pPr>
        <w:spacing w:after="0"/>
        <w:tabs>
          <w:tab w:leader="none" w:pos="300" w:val="left"/>
        </w:tabs>
        <w:rPr>
          <w:sz w:val="20"/>
          <w:szCs w:val="20"/>
          <w:color w:val="auto"/>
        </w:rPr>
      </w:pPr>
      <w:r>
        <w:rPr>
          <w:rFonts w:ascii="Arial" w:cs="Arial" w:eastAsia="Arial" w:hAnsi="Arial"/>
          <w:sz w:val="17"/>
          <w:szCs w:val="17"/>
          <w:color w:val="auto"/>
        </w:rPr>
        <w:t>8.</w:t>
      </w:r>
      <w:r>
        <w:rPr>
          <w:sz w:val="20"/>
          <w:szCs w:val="20"/>
          <w:color w:val="auto"/>
        </w:rPr>
        <w:tab/>
      </w:r>
      <w:r>
        <w:rPr>
          <w:rFonts w:ascii="Arial" w:cs="Arial" w:eastAsia="Arial" w:hAnsi="Arial"/>
          <w:sz w:val="17"/>
          <w:szCs w:val="17"/>
          <w:b w:val="1"/>
          <w:bCs w:val="1"/>
          <w:color w:val="auto"/>
        </w:rPr>
        <w:t>Long-term debt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long term-debt are as follows:</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48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3"/>
                <w:szCs w:val="13"/>
                <w:b w:val="1"/>
                <w:bCs w:val="1"/>
                <w:color w:val="auto"/>
                <w:w w:val="89"/>
              </w:rPr>
              <w:t>December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2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rPr>
              <w:t>2007</w:t>
            </w: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36"/>
              <w:spacing w:after="0" w:line="134" w:lineRule="exact"/>
              <w:rPr>
                <w:sz w:val="20"/>
                <w:szCs w:val="20"/>
                <w:color w:val="auto"/>
              </w:rPr>
            </w:pPr>
            <w:r>
              <w:rPr>
                <w:rFonts w:ascii="Arial" w:cs="Arial" w:eastAsia="Arial" w:hAnsi="Arial"/>
                <w:sz w:val="13"/>
                <w:szCs w:val="13"/>
                <w:b w:val="1"/>
                <w:bCs w:val="1"/>
                <w:color w:val="auto"/>
                <w:w w:val="89"/>
              </w:rPr>
              <w:t>2006</w:t>
            </w:r>
          </w:p>
        </w:tc>
        <w:tc>
          <w:tcPr>
            <w:tcW w:w="0" w:type="dxa"/>
            <w:vAlign w:val="bottom"/>
          </w:tcPr>
          <w:p>
            <w:pPr>
              <w:spacing w:after="0"/>
              <w:rPr>
                <w:sz w:val="1"/>
                <w:szCs w:val="1"/>
                <w:color w:val="auto"/>
              </w:rPr>
            </w:pPr>
          </w:p>
        </w:tc>
      </w:tr>
      <w:tr>
        <w:trPr>
          <w:trHeight w:val="134"/>
        </w:trPr>
        <w:tc>
          <w:tcPr>
            <w:tcW w:w="48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Term Loan dated June 2007; Libor plus 2.75%, due June 2012</w:t>
            </w:r>
          </w:p>
        </w:tc>
        <w:tc>
          <w:tcPr>
            <w:tcW w:w="340" w:type="dxa"/>
            <w:vAlign w:val="bottom"/>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28,750</w:t>
            </w:r>
          </w:p>
        </w:tc>
        <w:tc>
          <w:tcPr>
            <w:tcW w:w="520" w:type="dxa"/>
            <w:vAlign w:val="bottom"/>
            <w:shd w:val="clear" w:color="auto" w:fill="CCFFCC"/>
          </w:tcPr>
          <w:p>
            <w:pPr>
              <w:jc w:val="center"/>
              <w:ind w:right="216"/>
              <w:spacing w:after="0" w:line="134" w:lineRule="exact"/>
              <w:rPr>
                <w:sz w:val="20"/>
                <w:szCs w:val="20"/>
                <w:color w:val="auto"/>
              </w:rPr>
            </w:pPr>
            <w:r>
              <w:rPr>
                <w:rFonts w:ascii="Arial" w:cs="Arial" w:eastAsia="Arial" w:hAnsi="Arial"/>
                <w:sz w:val="13"/>
                <w:szCs w:val="13"/>
                <w:color w:val="auto"/>
              </w:rPr>
              <w:t>$</w:t>
            </w:r>
          </w:p>
        </w:tc>
        <w:tc>
          <w:tcPr>
            <w:tcW w:w="5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August 2006; Libor plus 3.75%, due August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Revolving credit loan; Libor plus 3.75%</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April 2006; Libor plus 3.0%, due April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8,167</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8,383</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Forgivable Loan dated October 2004; 3.0%, due March 2013</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2,500</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41"/>
        </w:trPr>
        <w:tc>
          <w:tcPr>
            <w:tcW w:w="4820" w:type="dxa"/>
            <w:vAlign w:val="bottom"/>
          </w:tcPr>
          <w:p>
            <w:pPr>
              <w:ind w:left="80"/>
              <w:spacing w:after="0" w:line="141" w:lineRule="exact"/>
              <w:rPr>
                <w:sz w:val="20"/>
                <w:szCs w:val="20"/>
                <w:color w:val="auto"/>
              </w:rPr>
            </w:pPr>
            <w:r>
              <w:rPr>
                <w:rFonts w:ascii="Arial" w:cs="Arial" w:eastAsia="Arial" w:hAnsi="Arial"/>
                <w:sz w:val="13"/>
                <w:szCs w:val="13"/>
                <w:color w:val="auto"/>
              </w:rPr>
              <w:t>Term Loan dated October 2004; 6.625%, due October 2011</w:t>
            </w:r>
          </w:p>
        </w:tc>
        <w:tc>
          <w:tcPr>
            <w:tcW w:w="34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6,671</w:t>
            </w:r>
          </w:p>
        </w:tc>
        <w:tc>
          <w:tcPr>
            <w:tcW w:w="520" w:type="dxa"/>
            <w:vAlign w:val="bottom"/>
          </w:tcPr>
          <w:p>
            <w:pPr>
              <w:spacing w:after="0"/>
              <w:rPr>
                <w:sz w:val="12"/>
                <w:szCs w:val="12"/>
                <w:color w:val="auto"/>
              </w:rPr>
            </w:pPr>
          </w:p>
        </w:tc>
        <w:tc>
          <w:tcPr>
            <w:tcW w:w="58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6,955</w:t>
            </w:r>
          </w:p>
        </w:tc>
        <w:tc>
          <w:tcPr>
            <w:tcW w:w="0" w:type="dxa"/>
            <w:vAlign w:val="bottom"/>
          </w:tcPr>
          <w:p>
            <w:pPr>
              <w:spacing w:after="0"/>
              <w:rPr>
                <w:sz w:val="1"/>
                <w:szCs w:val="1"/>
                <w:color w:val="auto"/>
              </w:rPr>
            </w:pPr>
          </w:p>
        </w:tc>
      </w:tr>
      <w:tr>
        <w:trPr>
          <w:trHeight w:val="141"/>
        </w:trPr>
        <w:tc>
          <w:tcPr>
            <w:tcW w:w="48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ERP Term Loan; Prime less 0.375%, due September 2007</w:t>
            </w:r>
          </w:p>
        </w:tc>
        <w:tc>
          <w:tcPr>
            <w:tcW w:w="34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FFCC"/>
          </w:tcPr>
          <w:p>
            <w:pPr>
              <w:spacing w:after="0"/>
              <w:rPr>
                <w:sz w:val="12"/>
                <w:szCs w:val="12"/>
                <w:color w:val="auto"/>
              </w:rPr>
            </w:pPr>
          </w:p>
        </w:tc>
        <w:tc>
          <w:tcPr>
            <w:tcW w:w="58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960</w:t>
            </w:r>
          </w:p>
        </w:tc>
        <w:tc>
          <w:tcPr>
            <w:tcW w:w="0" w:type="dxa"/>
            <w:vAlign w:val="bottom"/>
          </w:tcPr>
          <w:p>
            <w:pPr>
              <w:spacing w:after="0"/>
              <w:rPr>
                <w:sz w:val="1"/>
                <w:szCs w:val="1"/>
                <w:color w:val="auto"/>
              </w:rPr>
            </w:pPr>
          </w:p>
        </w:tc>
      </w:tr>
      <w:tr>
        <w:trPr>
          <w:trHeight w:val="154"/>
        </w:trPr>
        <w:tc>
          <w:tcPr>
            <w:tcW w:w="48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w:t>
            </w: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4"/>
        </w:trPr>
        <w:tc>
          <w:tcPr>
            <w:tcW w:w="482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Total long-term indebtedness</w:t>
            </w:r>
          </w:p>
        </w:tc>
        <w:tc>
          <w:tcPr>
            <w:tcW w:w="340" w:type="dxa"/>
            <w:vAlign w:val="bottom"/>
            <w:shd w:val="clear" w:color="auto" w:fill="CCFFCC"/>
          </w:tcPr>
          <w:p>
            <w:pPr>
              <w:spacing w:after="0"/>
              <w:rPr>
                <w:sz w:val="11"/>
                <w:szCs w:val="11"/>
                <w:color w:val="auto"/>
              </w:rPr>
            </w:pP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46,102</w:t>
            </w:r>
          </w:p>
        </w:tc>
        <w:tc>
          <w:tcPr>
            <w:tcW w:w="520" w:type="dxa"/>
            <w:vAlign w:val="bottom"/>
            <w:shd w:val="clear" w:color="auto" w:fill="CCFFCC"/>
          </w:tcPr>
          <w:p>
            <w:pPr>
              <w:spacing w:after="0"/>
              <w:rPr>
                <w:sz w:val="11"/>
                <w:szCs w:val="11"/>
                <w:color w:val="auto"/>
              </w:rPr>
            </w:pPr>
          </w:p>
        </w:tc>
        <w:tc>
          <w:tcPr>
            <w:tcW w:w="58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33,824</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Less current portion of long-term indebtedness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(3,514)</w:t>
            </w:r>
          </w:p>
        </w:tc>
        <w:tc>
          <w:tcPr>
            <w:tcW w:w="5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(2,456)</w:t>
            </w:r>
          </w:p>
        </w:tc>
        <w:tc>
          <w:tcPr>
            <w:tcW w:w="0" w:type="dxa"/>
            <w:vAlign w:val="bottom"/>
          </w:tcPr>
          <w:p>
            <w:pPr>
              <w:spacing w:after="0"/>
              <w:rPr>
                <w:sz w:val="1"/>
                <w:szCs w:val="1"/>
                <w:color w:val="auto"/>
              </w:rPr>
            </w:pPr>
          </w:p>
        </w:tc>
      </w:tr>
      <w:tr>
        <w:trPr>
          <w:trHeight w:val="119"/>
        </w:trPr>
        <w:tc>
          <w:tcPr>
            <w:tcW w:w="4820" w:type="dxa"/>
            <w:vAlign w:val="bottom"/>
            <w:tcBorders>
              <w:bottom w:val="single" w:sz="8" w:color="CCFFCC"/>
            </w:tcBorders>
            <w:shd w:val="clear" w:color="auto" w:fill="CCFFCC"/>
          </w:tcPr>
          <w:p>
            <w:pPr>
              <w:ind w:left="80"/>
              <w:spacing w:after="0" w:line="119" w:lineRule="exact"/>
              <w:rPr>
                <w:sz w:val="20"/>
                <w:szCs w:val="20"/>
                <w:color w:val="auto"/>
              </w:rPr>
            </w:pPr>
            <w:r>
              <w:rPr>
                <w:rFonts w:ascii="Arial" w:cs="Arial" w:eastAsia="Arial" w:hAnsi="Arial"/>
                <w:sz w:val="13"/>
                <w:szCs w:val="13"/>
                <w:color w:val="auto"/>
              </w:rPr>
              <w:t>Noncurrent portion of long-term indebtedness</w:t>
            </w:r>
          </w:p>
        </w:tc>
        <w:tc>
          <w:tcPr>
            <w:tcW w:w="340" w:type="dxa"/>
            <w:vAlign w:val="bottom"/>
            <w:tcBorders>
              <w:bottom w:val="single" w:sz="8" w:color="auto"/>
            </w:tcBorders>
            <w:shd w:val="clear" w:color="auto" w:fill="CCFFCC"/>
          </w:tcPr>
          <w:p>
            <w:pPr>
              <w:jc w:val="right"/>
              <w:ind w:right="11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42,588</w:t>
            </w:r>
          </w:p>
        </w:tc>
        <w:tc>
          <w:tcPr>
            <w:tcW w:w="520" w:type="dxa"/>
            <w:vAlign w:val="bottom"/>
            <w:tcBorders>
              <w:bottom w:val="single" w:sz="8" w:color="auto"/>
            </w:tcBorders>
            <w:shd w:val="clear" w:color="auto" w:fill="CCFFCC"/>
          </w:tcPr>
          <w:p>
            <w:pPr>
              <w:jc w:val="center"/>
              <w:ind w:right="216"/>
              <w:spacing w:after="0" w:line="119"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31,368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20" w:firstLine="308"/>
        <w:spacing w:after="0" w:line="294" w:lineRule="auto"/>
        <w:rPr>
          <w:sz w:val="20"/>
          <w:szCs w:val="20"/>
          <w:color w:val="auto"/>
        </w:rPr>
      </w:pPr>
      <w:r>
        <w:rPr>
          <w:rFonts w:ascii="Arial" w:cs="Arial" w:eastAsia="Arial" w:hAnsi="Arial"/>
          <w:sz w:val="15"/>
          <w:szCs w:val="15"/>
          <w:color w:val="auto"/>
        </w:rPr>
        <w:t>In June 2007, the Company entered into a loan agreement with HSBC Realty Credit Corporation (USA) ("HSBC"), under which HSBC provided the Company with a term loan of $30 million. This loan replaced a prior loan arrangement with HSBC under which HSBC agreed to loan the Company $15 million, consisting of a $10 million term loan and a $5 million revolving line of credit. Under the new loan agreement, the Company is required to maintain a minimum balance of $5 million in a deposit account pledged to HSBC and to make monthly payments in the amount of $250,000 in principal plus accrued interest beginning in August 2007, with a residual principal payment due upon maturity in June 2012. Payment of the loan is secured by substantially all of the assets of Emergent BioDefense Operations, other than accounts receivable under BioThrax supply contracts with the DoD and HHS that are pledged as collateral to secure the $15 million revolving line of credit with Fifth Third Bank. Interest on the loan accrues at an annual rate of LIBOR plus 2.75% (7.73% as of December 31, 2007).</w:t>
      </w:r>
    </w:p>
    <w:p>
      <w:pPr>
        <w:spacing w:after="0" w:line="16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Under this term loan, the Company is required to maintain a book leverage ratio of less than 1.25. This ratio is calculated by dividing total liabilities, excluding deferred revenues specific to contracts with the U.S. government, by total net worth. In addition, the Company is required to maintain a debt coverage ratio of not less than 1.25 to 1.00. This ratio is calculated by dividing earnings before interest, taxes, depreciation and amortization for the most recent four quarters by the sum of current obligations under capital leases and principal obligations and interest expenses for borrowed money, in each case due and payable for the following four quarters. The Company is in compliance with these covenants as of December 31, 2007.</w:t>
      </w:r>
    </w:p>
    <w:p>
      <w:pPr>
        <w:spacing w:after="0" w:line="184"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In August 2006, the Company entered into a term loan for $10 million and a revolving credit loan that provided for borrowings up to $5 million. Under the term loan, the Company was required to make monthly principal payments beginning in April 2007 and a residual principal payment of approximately $5.6 million upon maturity in August 2011. Interest was payable monthly and accrued at an annual rate equal to LIBOR plus 3.75%. Under the revolving credit loan, the Company was not required to repay outstanding principal until October 2007. In October 2007, the outstanding principal under the revolving credit loan was to convert to a term loan with required monthly principal payments through maturity in August 2011. Interest was payable monthly and accrued at an annual rate equal to LIBOR plus 3.75%. Both the term loan and the revolving credit loan were replaced by the $30 million term loan discussed above.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April 2006, the Company completed the acquisition of a 145,000 square foot facility in Frederick, Maryland for $9.8 million. This facility was previously under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lease which contained an option to purchase the facility. The Company paid $1.3 million in cash and financed the remaining balance with a bank loan in the amount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$8.5 million. This loan requires monthly principal and interest payments from May 2006 through April 2011 of $72,000 with a balloon payment for the remaining unpaid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principal and interest due in April 2011. The interest rate is a floating rate based on the three month LIBOR plus 3.0% (7.98% as of December 31, 2007). The loan is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collateralized by the facility. The loan requires the Company to comply with certain non-financial covenants. The Company is in compliance with these covenants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189865</wp:posOffset>
            </wp:positionV>
            <wp:extent cx="72790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1" w:name="page92"/>
    <w:bookmarkEnd w:id="91"/>
    <w:p>
      <w:pPr>
        <w:ind w:right="40" w:firstLine="308"/>
        <w:spacing w:after="0" w:line="290" w:lineRule="auto"/>
        <w:rPr>
          <w:sz w:val="20"/>
          <w:szCs w:val="20"/>
          <w:color w:val="auto"/>
        </w:rPr>
      </w:pPr>
      <w:r>
        <w:rPr>
          <w:rFonts w:ascii="Arial" w:cs="Arial" w:eastAsia="Arial" w:hAnsi="Arial"/>
          <w:sz w:val="15"/>
          <w:szCs w:val="15"/>
          <w:color w:val="auto"/>
        </w:rPr>
        <w:t>In October 2004, the Company entered into a Secured Conditional Loan with the Maryland Economic Development Assistance Fund for $2.5 million. The proceeds of the loan were used to reimburse the Company for eligible costs it incurred to purchase a building in Frederick, Maryland. The loan is secured by a $1.3 million letter of credit and a security interest in the building. The Company is required to pay an annual fee of 1.0% to maintain the letter of credit. The borrowing bears interest at 3.0% per annum, and the term of the loan ends March 31, 2013. The principal and related accrued interest may be forgiven if specified employment levels are achieved and maintained through December 2012, at least $42.9 million in project costs are expended prior to December 2009, and the Company occupies the building through December 2012. For the loan to be forgiven, the Company must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$9,000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69" w:lineRule="exact"/>
        <w:rPr>
          <w:sz w:val="20"/>
          <w:szCs w:val="20"/>
          <w:color w:val="auto"/>
        </w:rPr>
      </w:pPr>
    </w:p>
    <w:p>
      <w:pPr>
        <w:ind w:firstLine="308"/>
        <w:spacing w:after="0" w:line="293" w:lineRule="auto"/>
        <w:rPr>
          <w:sz w:val="20"/>
          <w:szCs w:val="20"/>
          <w:color w:val="auto"/>
        </w:rPr>
      </w:pPr>
      <w:r>
        <w:rPr>
          <w:rFonts w:ascii="Arial" w:cs="Arial" w:eastAsia="Arial" w:hAnsi="Arial"/>
          <w:sz w:val="15"/>
          <w:szCs w:val="15"/>
          <w:color w:val="auto"/>
        </w:rPr>
        <w:t>In connection with the 2004 purchase of the building in Frederick, Maryland discussed above, the Company entered into a loan agreement for $7 million with a bank to finance the remaining portion of the purchase price. The borrowing accrued interest at 6.625% per annum through October 2006. The Company was required to make interest only payments through that date. Beginning in November 2006, the Company began to make monthly payments of $62,000, based upon a 15 year amortization schedule. In November 2009, the monthly payments will be adjusted based upon a 12 year amortization schedule. Beginning in November 2009, the loan will bear interest at a fixed rate equal to 3.2% over the yield on actively traded U.S. Government securities issues adjusted to a constant maturity of two years, rounded up to the nearest one-eighth of one percent (1/8 of 1%). All unpaid principal and interest is due in full in October 2011. The Company is required to maintain certain financial and non-financial covenants including a minimum tangible net worth of not less than $5.0 million and a debt coverage ratio of not less than 1.1 to 1. The Company is in compliance with these covenants as of December 31, 2007. This loan is guaranteed by all of the subsidiaries of the Company.</w:t>
      </w:r>
    </w:p>
    <w:p>
      <w:pPr>
        <w:spacing w:after="0" w:line="162" w:lineRule="exact"/>
        <w:rPr>
          <w:sz w:val="20"/>
          <w:szCs w:val="20"/>
          <w:color w:val="auto"/>
        </w:rPr>
      </w:pPr>
    </w:p>
    <w:p>
      <w:pPr>
        <w:ind w:right="180" w:firstLine="308"/>
        <w:spacing w:after="0" w:line="272" w:lineRule="auto"/>
        <w:rPr>
          <w:sz w:val="20"/>
          <w:szCs w:val="20"/>
          <w:color w:val="auto"/>
        </w:rPr>
      </w:pPr>
      <w:r>
        <w:rPr>
          <w:rFonts w:ascii="Arial" w:cs="Arial" w:eastAsia="Arial" w:hAnsi="Arial"/>
          <w:sz w:val="17"/>
          <w:szCs w:val="17"/>
          <w:color w:val="auto"/>
        </w:rPr>
        <w:t>During 2004, the Company implemented an Enterprise Resource Planning (ERP) system. The Company financed $2.3 million of the costs through the issuance of a term loan. The loan bore interest at prime less 0.375%, and was fully repaid in September 2007.</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Scheduled principal repayments and maturities on long-term debt as of December 31, 2007 are as follows: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4820" w:type="dxa"/>
            <w:vAlign w:val="bottom"/>
            <w:tcBorders>
              <w:top w:val="single" w:sz="8" w:color="auto"/>
            </w:tcBorders>
            <w:shd w:val="clear" w:color="auto" w:fill="CCFFCC"/>
          </w:tcPr>
          <w:p>
            <w:pPr>
              <w:jc w:val="right"/>
              <w:ind w:right="4416"/>
              <w:spacing w:after="0" w:line="134" w:lineRule="exact"/>
              <w:rPr>
                <w:sz w:val="20"/>
                <w:szCs w:val="20"/>
                <w:color w:val="auto"/>
              </w:rPr>
            </w:pPr>
            <w:r>
              <w:rPr>
                <w:rFonts w:ascii="Arial" w:cs="Arial" w:eastAsia="Arial" w:hAnsi="Arial"/>
                <w:sz w:val="13"/>
                <w:szCs w:val="13"/>
                <w:color w:val="auto"/>
              </w:rPr>
              <w:t>2008</w:t>
            </w:r>
          </w:p>
        </w:tc>
        <w:tc>
          <w:tcPr>
            <w:tcW w:w="600" w:type="dxa"/>
            <w:vAlign w:val="bottom"/>
            <w:tcBorders>
              <w:top w:val="single" w:sz="8" w:color="auto"/>
            </w:tcBorders>
            <w:shd w:val="clear" w:color="auto" w:fill="CCFFCC"/>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3,514</w:t>
            </w:r>
          </w:p>
        </w:tc>
      </w:tr>
      <w:tr>
        <w:trPr>
          <w:trHeight w:val="141"/>
        </w:trPr>
        <w:tc>
          <w:tcPr>
            <w:tcW w:w="4820" w:type="dxa"/>
            <w:vAlign w:val="bottom"/>
          </w:tcPr>
          <w:p>
            <w:pPr>
              <w:jc w:val="right"/>
              <w:ind w:right="4416"/>
              <w:spacing w:after="0" w:line="141" w:lineRule="exact"/>
              <w:rPr>
                <w:sz w:val="20"/>
                <w:szCs w:val="20"/>
                <w:color w:val="auto"/>
              </w:rPr>
            </w:pPr>
            <w:r>
              <w:rPr>
                <w:rFonts w:ascii="Arial" w:cs="Arial" w:eastAsia="Arial" w:hAnsi="Arial"/>
                <w:sz w:val="13"/>
                <w:szCs w:val="13"/>
                <w:color w:val="auto"/>
              </w:rPr>
              <w:t>2009</w:t>
            </w:r>
          </w:p>
        </w:tc>
        <w:tc>
          <w:tcPr>
            <w:tcW w:w="60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6,049</w:t>
            </w:r>
          </w:p>
        </w:tc>
      </w:tr>
      <w:tr>
        <w:trPr>
          <w:trHeight w:val="141"/>
        </w:trPr>
        <w:tc>
          <w:tcPr>
            <w:tcW w:w="4820" w:type="dxa"/>
            <w:vAlign w:val="bottom"/>
            <w:shd w:val="clear" w:color="auto" w:fill="CCFFCC"/>
          </w:tcPr>
          <w:p>
            <w:pPr>
              <w:jc w:val="right"/>
              <w:ind w:right="4416"/>
              <w:spacing w:after="0" w:line="141" w:lineRule="exact"/>
              <w:rPr>
                <w:sz w:val="20"/>
                <w:szCs w:val="20"/>
                <w:color w:val="auto"/>
              </w:rPr>
            </w:pPr>
            <w:r>
              <w:rPr>
                <w:rFonts w:ascii="Arial" w:cs="Arial" w:eastAsia="Arial" w:hAnsi="Arial"/>
                <w:sz w:val="13"/>
                <w:szCs w:val="13"/>
                <w:color w:val="auto"/>
              </w:rPr>
              <w:t>2010</w:t>
            </w:r>
          </w:p>
        </w:tc>
        <w:tc>
          <w:tcPr>
            <w:tcW w:w="6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3,585</w:t>
            </w:r>
          </w:p>
        </w:tc>
      </w:tr>
      <w:tr>
        <w:trPr>
          <w:trHeight w:val="141"/>
        </w:trPr>
        <w:tc>
          <w:tcPr>
            <w:tcW w:w="4820" w:type="dxa"/>
            <w:vAlign w:val="bottom"/>
          </w:tcPr>
          <w:p>
            <w:pPr>
              <w:jc w:val="right"/>
              <w:ind w:right="4416"/>
              <w:spacing w:after="0" w:line="141" w:lineRule="exact"/>
              <w:rPr>
                <w:sz w:val="20"/>
                <w:szCs w:val="20"/>
                <w:color w:val="auto"/>
              </w:rPr>
            </w:pPr>
            <w:r>
              <w:rPr>
                <w:rFonts w:ascii="Arial" w:cs="Arial" w:eastAsia="Arial" w:hAnsi="Arial"/>
                <w:sz w:val="13"/>
                <w:szCs w:val="13"/>
                <w:color w:val="auto"/>
              </w:rPr>
              <w:t>2011</w:t>
            </w:r>
          </w:p>
        </w:tc>
        <w:tc>
          <w:tcPr>
            <w:tcW w:w="600" w:type="dxa"/>
            <w:vAlign w:val="bottom"/>
          </w:tcPr>
          <w:p>
            <w:pPr>
              <w:spacing w:after="0"/>
              <w:rPr>
                <w:sz w:val="12"/>
                <w:szCs w:val="12"/>
                <w:color w:val="auto"/>
              </w:rPr>
            </w:pPr>
          </w:p>
        </w:tc>
        <w:tc>
          <w:tcPr>
            <w:tcW w:w="8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16,203</w:t>
            </w:r>
          </w:p>
        </w:tc>
      </w:tr>
      <w:tr>
        <w:trPr>
          <w:trHeight w:val="154"/>
        </w:trPr>
        <w:tc>
          <w:tcPr>
            <w:tcW w:w="4820" w:type="dxa"/>
            <w:vAlign w:val="bottom"/>
            <w:shd w:val="clear" w:color="auto" w:fill="CCFFCC"/>
          </w:tcPr>
          <w:p>
            <w:pPr>
              <w:jc w:val="right"/>
              <w:ind w:right="4416"/>
              <w:spacing w:after="0"/>
              <w:rPr>
                <w:sz w:val="20"/>
                <w:szCs w:val="20"/>
                <w:color w:val="auto"/>
              </w:rPr>
            </w:pPr>
            <w:r>
              <w:rPr>
                <w:rFonts w:ascii="Arial" w:cs="Arial" w:eastAsia="Arial" w:hAnsi="Arial"/>
                <w:sz w:val="13"/>
                <w:szCs w:val="13"/>
                <w:color w:val="auto"/>
              </w:rPr>
              <w:t>2012</w:t>
            </w:r>
          </w:p>
        </w:tc>
        <w:tc>
          <w:tcPr>
            <w:tcW w:w="600" w:type="dxa"/>
            <w:vAlign w:val="bottom"/>
            <w:tcBorders>
              <w:bottom w:val="single" w:sz="8" w:color="auto"/>
            </w:tcBorders>
            <w:shd w:val="clear" w:color="auto" w:fill="CCFFCC"/>
          </w:tcPr>
          <w:p>
            <w:pPr>
              <w:spacing w:after="0"/>
              <w:rPr>
                <w:sz w:val="13"/>
                <w:szCs w:val="13"/>
                <w:color w:val="auto"/>
              </w:rPr>
            </w:pPr>
          </w:p>
        </w:tc>
        <w:tc>
          <w:tcPr>
            <w:tcW w:w="82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16,751</w:t>
            </w:r>
          </w:p>
        </w:tc>
      </w:tr>
      <w:tr>
        <w:trPr>
          <w:trHeight w:val="134"/>
        </w:trPr>
        <w:tc>
          <w:tcPr>
            <w:tcW w:w="4820" w:type="dxa"/>
            <w:vAlign w:val="bottom"/>
          </w:tcPr>
          <w:p>
            <w:pPr>
              <w:spacing w:after="0"/>
              <w:rPr>
                <w:sz w:val="11"/>
                <w:szCs w:val="11"/>
                <w:color w:val="auto"/>
              </w:rPr>
            </w:pPr>
          </w:p>
        </w:tc>
        <w:tc>
          <w:tcPr>
            <w:tcW w:w="60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46,102</w:t>
            </w:r>
          </w:p>
        </w:tc>
      </w:tr>
      <w:tr>
        <w:trPr>
          <w:trHeight w:val="20"/>
        </w:trPr>
        <w:tc>
          <w:tcPr>
            <w:tcW w:w="4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80" w:hanging="677"/>
        <w:spacing w:after="0"/>
        <w:tabs>
          <w:tab w:leader="none" w:pos="6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Line of credit</w:t>
      </w:r>
    </w:p>
    <w:p>
      <w:pPr>
        <w:spacing w:after="0" w:line="219" w:lineRule="exact"/>
        <w:rPr>
          <w:sz w:val="20"/>
          <w:szCs w:val="20"/>
          <w:color w:val="auto"/>
        </w:rPr>
      </w:pPr>
    </w:p>
    <w:p>
      <w:pPr>
        <w:ind w:right="180" w:firstLine="308"/>
        <w:spacing w:after="0" w:line="296" w:lineRule="auto"/>
        <w:rPr>
          <w:sz w:val="20"/>
          <w:szCs w:val="20"/>
          <w:color w:val="auto"/>
        </w:rPr>
      </w:pPr>
      <w:r>
        <w:rPr>
          <w:rFonts w:ascii="Arial" w:cs="Arial" w:eastAsia="Arial" w:hAnsi="Arial"/>
          <w:sz w:val="15"/>
          <w:szCs w:val="15"/>
          <w:color w:val="auto"/>
        </w:rPr>
        <w:t>In June 2007, the Company entered into a loan agreement with Fifth Third Bank, whereby Fifth Third Bank agreed to extend to the Company a revolving line of credit up to $15 million. Collateral for this line of credit consists of accounts receivable under supply contracts with the DoD and HHS. The Company can borrow under this line of credit through May 2008, at which time the agreement expires. The line of credit is secured by accounts receivable under the Company’s DOD and HHS contracts and bears interest at the prime rate less 0.375% (7.68% as of December 31, 2007). The Company is subject to certain covenants, including maintenance of specified equity levels on a quarterly basis, and is currently in compliance with those covenants. At December 31, 2007 and 2006, $11.8 million and $8.9 million, respectively, were outstanding under the line of credit. These amounts were repaid in January 2008 and 2007,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72790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ind w:left="320" w:right="9280" w:hanging="317"/>
        <w:spacing w:after="0" w:line="506" w:lineRule="auto"/>
        <w:tabs>
          <w:tab w:leader="none" w:pos="692"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Preferred stock</w:t>
      </w:r>
    </w:p>
    <w:p>
      <w:pPr>
        <w:ind w:left="60" w:right="60" w:firstLine="308"/>
        <w:spacing w:after="0" w:line="262" w:lineRule="auto"/>
        <w:rPr>
          <w:sz w:val="20"/>
          <w:szCs w:val="20"/>
          <w:color w:val="auto"/>
        </w:rPr>
      </w:pPr>
      <w:r>
        <w:rPr>
          <w:rFonts w:ascii="Arial" w:cs="Arial" w:eastAsia="Arial" w:hAnsi="Arial"/>
          <w:sz w:val="17"/>
          <w:szCs w:val="17"/>
          <w:color w:val="auto"/>
        </w:rPr>
        <w:t>The Company is authorized to issue up to 15,000,000 shares of preferred stock, $0.001 par value per share (“Preferred Stock”). Any preferred stock issued may have dividend rates, voting rights, conversion privileges, redemption characteristics, and sinking fund requirements as approved by the Company’s board of directors. As of December 31, 2007 and 2006, no preferred stock has been issued.</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Common stock</w:t>
      </w:r>
    </w:p>
    <w:p>
      <w:pPr>
        <w:spacing w:after="0" w:line="219" w:lineRule="exact"/>
        <w:rPr>
          <w:sz w:val="20"/>
          <w:szCs w:val="20"/>
          <w:color w:val="auto"/>
        </w:rPr>
      </w:pPr>
    </w:p>
    <w:p>
      <w:pPr>
        <w:ind w:left="60" w:right="140" w:firstLine="308"/>
        <w:spacing w:after="0" w:line="262" w:lineRule="auto"/>
        <w:rPr>
          <w:sz w:val="20"/>
          <w:szCs w:val="20"/>
          <w:color w:val="auto"/>
        </w:rPr>
      </w:pPr>
      <w:r>
        <w:rPr>
          <w:rFonts w:ascii="Arial" w:cs="Arial" w:eastAsia="Arial" w:hAnsi="Arial"/>
          <w:sz w:val="17"/>
          <w:szCs w:val="17"/>
          <w:color w:val="auto"/>
        </w:rPr>
        <w:t>The Company currently has one class of $0.001 par value per share common stock (“Common Stock”) authorized and outstanding. The Company is authorized to issue up to 100,000,000 shares of the Common Stock. Holders of Common Stock are entitled to one vote for each share of Common Stock held on all matters as may be provided by law.</w:t>
      </w:r>
    </w:p>
    <w:p>
      <w:pPr>
        <w:spacing w:after="0" w:line="180" w:lineRule="exact"/>
        <w:rPr>
          <w:sz w:val="20"/>
          <w:szCs w:val="20"/>
          <w:color w:val="auto"/>
        </w:rPr>
      </w:pPr>
    </w:p>
    <w:p>
      <w:pPr>
        <w:jc w:val="both"/>
        <w:ind w:left="60" w:right="60" w:firstLine="308"/>
        <w:spacing w:after="0" w:line="279" w:lineRule="auto"/>
        <w:rPr>
          <w:sz w:val="20"/>
          <w:szCs w:val="20"/>
          <w:color w:val="auto"/>
        </w:rPr>
      </w:pPr>
      <w:r>
        <w:rPr>
          <w:rFonts w:ascii="Arial" w:cs="Arial" w:eastAsia="Arial" w:hAnsi="Arial"/>
          <w:sz w:val="16"/>
          <w:szCs w:val="16"/>
          <w:color w:val="auto"/>
        </w:rPr>
        <w:t>On November 14, 2006, the Company completed its initial public offering (“IPO”), which resulted in the issuance of 5,000,000 shares of common stock at a price of $12.50 per share for gross proceeds of $62.5 million. Issuance costs related to the offering were $8.3 million, resulting in net proceeds from the offering of $54.2 million. In conjunction with the completion of the IPO, all outstanding shares of Class A and Class B common stock were converted into 22,420,421 shares of Common Stock at a conversion rate of one share of common stock for one share of Class A and Class B common stock.</w:t>
      </w:r>
    </w:p>
    <w:p>
      <w:pPr>
        <w:spacing w:after="0" w:line="170" w:lineRule="exact"/>
        <w:rPr>
          <w:sz w:val="20"/>
          <w:szCs w:val="20"/>
          <w:color w:val="auto"/>
        </w:rPr>
      </w:pPr>
    </w:p>
    <w:p>
      <w:pPr>
        <w:ind w:left="60" w:right="20" w:firstLine="308"/>
        <w:spacing w:after="0" w:line="258" w:lineRule="auto"/>
        <w:rPr>
          <w:sz w:val="20"/>
          <w:szCs w:val="20"/>
          <w:color w:val="auto"/>
        </w:rPr>
      </w:pPr>
      <w:r>
        <w:rPr>
          <w:rFonts w:ascii="Arial" w:cs="Arial" w:eastAsia="Arial" w:hAnsi="Arial"/>
          <w:sz w:val="17"/>
          <w:szCs w:val="17"/>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reclassified the Class A Common Stock as $0.001 par value per share Common Stock, increased the number of authorized shares of Common Stock to 100,000,000 shares and adjusted the par value of the Preferred Stock from $0.01 par value per share to $0.001 par value per share.</w:t>
      </w:r>
    </w:p>
    <w:p>
      <w:pPr>
        <w:spacing w:after="0" w:line="185" w:lineRule="exact"/>
        <w:rPr>
          <w:sz w:val="20"/>
          <w:szCs w:val="20"/>
          <w:color w:val="auto"/>
        </w:rPr>
      </w:pPr>
    </w:p>
    <w:p>
      <w:pPr>
        <w:ind w:left="60" w:firstLine="308"/>
        <w:spacing w:after="0" w:line="273" w:lineRule="auto"/>
        <w:rPr>
          <w:sz w:val="20"/>
          <w:szCs w:val="20"/>
          <w:color w:val="auto"/>
        </w:rPr>
      </w:pPr>
      <w:r>
        <w:rPr>
          <w:rFonts w:ascii="Arial" w:cs="Arial" w:eastAsia="Arial" w:hAnsi="Arial"/>
          <w:sz w:val="16"/>
          <w:szCs w:val="16"/>
          <w:color w:val="auto"/>
        </w:rPr>
        <w:t>The amendment became effective on October 27, 2006. On September 20, 2006, the Company’s board of directors also authorized the pricing committee of the board of directors to effect a stock split of both the Common Stock, in the form of a dividend of shares of Common Stock, and the Class B Common Stock, in the form of a dividend of shares of Class B Common Stock. The pricing committee subsequently declared a 2.8771-for-one stock split of the Common Stock and the Class B Common Stock effective as of October 27,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and the stock split. The consolidated financial statements do not reflect the reclassification of the Class A Common Stock as Common Stock, other than the related adjustment to par value and the increase in the number of authorized shares.</w:t>
      </w:r>
    </w:p>
    <w:p>
      <w:pPr>
        <w:spacing w:after="0" w:line="176" w:lineRule="exact"/>
        <w:rPr>
          <w:sz w:val="20"/>
          <w:szCs w:val="20"/>
          <w:color w:val="auto"/>
        </w:rPr>
      </w:pPr>
    </w:p>
    <w:p>
      <w:pPr>
        <w:ind w:left="60" w:right="120" w:firstLine="308"/>
        <w:spacing w:after="0" w:line="273" w:lineRule="auto"/>
        <w:rPr>
          <w:sz w:val="20"/>
          <w:szCs w:val="20"/>
          <w:color w:val="auto"/>
        </w:rPr>
      </w:pPr>
      <w:r>
        <w:rPr>
          <w:rFonts w:ascii="Arial" w:cs="Arial" w:eastAsia="Arial" w:hAnsi="Arial"/>
          <w:sz w:val="16"/>
          <w:szCs w:val="16"/>
          <w:color w:val="auto"/>
        </w:rPr>
        <w:t>Holders of Common Stock are entitled to receive dividends as and when declared by the Company’s board of directors. On June 15, 2005, the Company’s board of directors declared a special cash dividend to the holders of outstanding shares of Class A Common Stock and Class B Common Stock in an aggregate amount of $5.4 million. The Company’s board of directors declared this special dividend in order to distribute the net proceeds of a payment received as a result of the settlement of litigation initiated in 2002 by the Company against Elan Pharmaceuticals, Inc., Athena Neurosciences, Inc. and Solstice Neurosciences, Inc. in an effort to clarify intellectual property rights, including the recovery of royalties and other costs and fees, to which the Company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 options</w:t>
      </w:r>
    </w:p>
    <w:p>
      <w:pPr>
        <w:spacing w:after="0" w:line="219" w:lineRule="exact"/>
        <w:rPr>
          <w:sz w:val="20"/>
          <w:szCs w:val="20"/>
          <w:color w:val="auto"/>
        </w:rPr>
      </w:pPr>
    </w:p>
    <w:p>
      <w:pPr>
        <w:ind w:right="60" w:firstLine="308"/>
        <w:spacing w:after="0" w:line="341" w:lineRule="auto"/>
        <w:rPr>
          <w:sz w:val="20"/>
          <w:szCs w:val="20"/>
          <w:color w:val="auto"/>
        </w:rPr>
      </w:pPr>
      <w:r>
        <w:rPr>
          <w:rFonts w:ascii="Arial" w:cs="Arial" w:eastAsia="Arial" w:hAnsi="Arial"/>
          <w:sz w:val="15"/>
          <w:szCs w:val="15"/>
          <w:color w:val="auto"/>
        </w:rPr>
        <w:t>As of December 31, 2007, the Company has two stock-based employee compensation plans, the 2006 Plan and the 2004 Plan (together, the “Emergent Plans”), under which the Company has granted options to purchase shares of Common Stock. The Emergent Plans have both incentive and non-qualified stock option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72790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93" w:name="page94"/>
    <w:bookmarkEnd w:id="93"/>
    <w:p>
      <w:pPr>
        <w:ind w:right="20" w:firstLine="308"/>
        <w:spacing w:after="0" w:line="290" w:lineRule="auto"/>
        <w:rPr>
          <w:sz w:val="20"/>
          <w:szCs w:val="20"/>
          <w:color w:val="auto"/>
        </w:rPr>
      </w:pPr>
      <w:r>
        <w:rPr>
          <w:rFonts w:ascii="Arial" w:cs="Arial" w:eastAsia="Arial" w:hAnsi="Arial"/>
          <w:sz w:val="15"/>
          <w:szCs w:val="15"/>
          <w:color w:val="auto"/>
        </w:rPr>
        <w:t>The 2006 Plan, established in connection with the Company’s initial public offering in November 2006, initially authorized the issuance of up to 1,089,461 shares of Common Stock. In addition, the 2006 Plan contains an “evergreen provision” that allows for increases in the number of shares authorized for issuance under the 2006 Plan in the first and third quarter of each year from 2007 through 2009. Each semi-annual increase in the number of shares will be equal to the lowest of: (1) a specified number of shares stipulated in the 2006 Plan; (2) a specified percentage of the aggregate number of shares outstanding; and (3) an amount determined by the Company’s Board of Directors. The maximum specified number of shares per semi-annual increase ranges from 428,700 to 937,900. The maximum specified percentage of outstanding shares for each semi-annual increase ranges from 1.5% to 3.0%. Accordingly, an aggregate of 1,949,362 shares of Common Stock are authorized for issuance under the 2006 Plan as of December 31, 2007. The Company has granted options to purchase a total of 1,380,111 shares of Common Stock under the 2006 Plan as of December 31, 2007. The maximum number of options that may be granted per year under the 2006 Plan to a single participant is 287,700. The exercise price of each incentive option must be not less than 100% of the fair market value of the shares on the date of grant. Options granted under the 2006 Plan have a vesting period of no more than 5 years and a contractual life of no more than 10 years. The terms and conditions of stock options (including price, vesting schedule, term and number of shares) under the Emergent Plans are determined by the Company’s compensation committee, which administers the Emergent Plans. Following the closing of the Company’s initial public offering, the Company no longer granted options pursuant to the 2004 Plan.</w:t>
      </w:r>
    </w:p>
    <w:p>
      <w:pPr>
        <w:spacing w:after="0" w:line="166" w:lineRule="exact"/>
        <w:rPr>
          <w:sz w:val="20"/>
          <w:szCs w:val="20"/>
          <w:color w:val="auto"/>
        </w:rPr>
      </w:pPr>
    </w:p>
    <w:p>
      <w:pPr>
        <w:ind w:right="80" w:firstLine="308"/>
        <w:spacing w:after="0" w:line="272" w:lineRule="auto"/>
        <w:rPr>
          <w:sz w:val="20"/>
          <w:szCs w:val="20"/>
          <w:color w:val="auto"/>
        </w:rPr>
      </w:pPr>
      <w:r>
        <w:rPr>
          <w:rFonts w:ascii="Arial" w:cs="Arial" w:eastAsia="Arial" w:hAnsi="Arial"/>
          <w:sz w:val="17"/>
          <w:szCs w:val="17"/>
          <w:color w:val="auto"/>
        </w:rPr>
        <w:t>Each option granted under the Emergent Plans becomes exercisable as specified in the relevant option agreement, and no option can be exercised after ten years from the date of grant. The following is a summary of stock option plan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18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2006</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Plan</w:t>
            </w:r>
          </w:p>
        </w:tc>
        <w:tc>
          <w:tcPr>
            <w:tcW w:w="7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2004 Plan</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center"/>
              <w:ind w:right="36"/>
              <w:spacing w:after="0" w:line="121" w:lineRule="exact"/>
              <w:rPr>
                <w:sz w:val="20"/>
                <w:szCs w:val="20"/>
                <w:color w:val="auto"/>
              </w:rPr>
            </w:pPr>
            <w:r>
              <w:rPr>
                <w:rFonts w:ascii="Arial" w:cs="Arial" w:eastAsia="Arial" w:hAnsi="Arial"/>
                <w:sz w:val="13"/>
                <w:szCs w:val="13"/>
                <w:b w:val="1"/>
                <w:bCs w:val="1"/>
                <w:color w:val="auto"/>
                <w:w w:val="89"/>
              </w:rPr>
              <w:t>Weighted-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5"/>
              </w:rPr>
              <w:t>Average</w:t>
            </w: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85"/>
              </w:rPr>
              <w:t>Average</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080" w:type="dxa"/>
            <w:vAlign w:val="bottom"/>
          </w:tcPr>
          <w:p>
            <w:pPr>
              <w:jc w:val="right"/>
              <w:ind w:right="256"/>
              <w:spacing w:after="0" w:line="141"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2"/>
                <w:szCs w:val="12"/>
                <w:color w:val="auto"/>
              </w:rPr>
            </w:pPr>
          </w:p>
        </w:tc>
        <w:tc>
          <w:tcPr>
            <w:tcW w:w="94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5"/>
              </w:rPr>
              <w:t>Exercise</w:t>
            </w:r>
          </w:p>
        </w:tc>
        <w:tc>
          <w:tcPr>
            <w:tcW w:w="110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2"/>
                <w:szCs w:val="12"/>
                <w:color w:val="auto"/>
              </w:rPr>
            </w:pPr>
          </w:p>
        </w:tc>
        <w:tc>
          <w:tcPr>
            <w:tcW w:w="9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5"/>
              </w:rPr>
              <w:t>Exercise</w:t>
            </w:r>
          </w:p>
        </w:tc>
        <w:tc>
          <w:tcPr>
            <w:tcW w:w="1100" w:type="dxa"/>
            <w:vAlign w:val="bottom"/>
          </w:tcPr>
          <w:p>
            <w:pPr>
              <w:jc w:val="right"/>
              <w:ind w:right="216"/>
              <w:spacing w:after="0" w:line="141"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4"/>
        </w:trPr>
        <w:tc>
          <w:tcPr>
            <w:tcW w:w="2180" w:type="dxa"/>
            <w:vAlign w:val="bottom"/>
          </w:tcPr>
          <w:p>
            <w:pPr>
              <w:spacing w:after="0"/>
              <w:rPr>
                <w:sz w:val="13"/>
                <w:szCs w:val="13"/>
                <w:color w:val="auto"/>
              </w:rPr>
            </w:pPr>
          </w:p>
        </w:tc>
        <w:tc>
          <w:tcPr>
            <w:tcW w:w="1080" w:type="dxa"/>
            <w:vAlign w:val="bottom"/>
          </w:tcPr>
          <w:p>
            <w:pPr>
              <w:jc w:val="right"/>
              <w:ind w:right="376"/>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Price</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100" w:type="dxa"/>
            <w:vAlign w:val="bottom"/>
          </w:tcPr>
          <w:p>
            <w:pPr>
              <w:jc w:val="right"/>
              <w:ind w:right="76"/>
              <w:spacing w:after="0"/>
              <w:rPr>
                <w:sz w:val="20"/>
                <w:szCs w:val="20"/>
                <w:color w:val="auto"/>
              </w:rPr>
            </w:pPr>
            <w:r>
              <w:rPr>
                <w:rFonts w:ascii="Arial" w:cs="Arial" w:eastAsia="Arial" w:hAnsi="Arial"/>
                <w:sz w:val="13"/>
                <w:szCs w:val="13"/>
                <w:b w:val="1"/>
                <w:bCs w:val="1"/>
                <w:color w:val="auto"/>
              </w:rPr>
              <w:t>Intrinsic Value</w:t>
            </w:r>
          </w:p>
        </w:tc>
        <w:tc>
          <w:tcPr>
            <w:tcW w:w="0" w:type="dxa"/>
            <w:vAlign w:val="bottom"/>
          </w:tcPr>
          <w:p>
            <w:pPr>
              <w:spacing w:after="0"/>
              <w:rPr>
                <w:sz w:val="1"/>
                <w:szCs w:val="1"/>
                <w:color w:val="auto"/>
              </w:rPr>
            </w:pPr>
          </w:p>
        </w:tc>
      </w:tr>
      <w:tr>
        <w:trPr>
          <w:trHeight w:val="154"/>
        </w:trPr>
        <w:tc>
          <w:tcPr>
            <w:tcW w:w="2180" w:type="dxa"/>
            <w:vAlign w:val="bottom"/>
            <w:tcBorders>
              <w:bottom w:val="single" w:sz="8" w:color="CCFFCC"/>
            </w:tcBorders>
            <w:shd w:val="clear" w:color="auto" w:fill="CCFFCC"/>
          </w:tcPr>
          <w:p>
            <w:pPr>
              <w:ind w:left="100"/>
              <w:spacing w:after="0"/>
              <w:rPr>
                <w:sz w:val="20"/>
                <w:szCs w:val="20"/>
                <w:color w:val="auto"/>
              </w:rPr>
            </w:pPr>
            <w:r>
              <w:rPr>
                <w:rFonts w:ascii="Arial" w:cs="Arial" w:eastAsia="Arial" w:hAnsi="Arial"/>
                <w:sz w:val="13"/>
                <w:szCs w:val="13"/>
                <w:color w:val="auto"/>
              </w:rPr>
              <w:t>Outstanding at December 31, 2006</w:t>
            </w:r>
          </w:p>
        </w:tc>
        <w:tc>
          <w:tcPr>
            <w:tcW w:w="1080" w:type="dxa"/>
            <w:vAlign w:val="bottom"/>
            <w:tcBorders>
              <w:bottom w:val="single" w:sz="8" w:color="auto"/>
            </w:tcBorders>
            <w:shd w:val="clear" w:color="auto" w:fill="CCFFCC"/>
          </w:tcPr>
          <w:p>
            <w:pPr>
              <w:jc w:val="right"/>
              <w:ind w:right="196"/>
              <w:spacing w:after="0"/>
              <w:rPr>
                <w:sz w:val="20"/>
                <w:szCs w:val="20"/>
                <w:color w:val="auto"/>
              </w:rPr>
            </w:pPr>
            <w:r>
              <w:rPr>
                <w:rFonts w:ascii="Arial" w:cs="Arial" w:eastAsia="Arial" w:hAnsi="Arial"/>
                <w:sz w:val="13"/>
                <w:szCs w:val="13"/>
                <w:color w:val="auto"/>
              </w:rPr>
              <w:t>1,030,500</w:t>
            </w:r>
          </w:p>
        </w:tc>
        <w:tc>
          <w:tcPr>
            <w:tcW w:w="3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10.13</w:t>
            </w:r>
          </w:p>
        </w:tc>
        <w:tc>
          <w:tcPr>
            <w:tcW w:w="20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2,936,389</w:t>
            </w:r>
          </w:p>
        </w:tc>
        <w:tc>
          <w:tcPr>
            <w:tcW w:w="42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2.53</w:t>
            </w:r>
          </w:p>
        </w:tc>
        <w:tc>
          <w:tcPr>
            <w:tcW w:w="220" w:type="dxa"/>
            <w:vAlign w:val="bottom"/>
            <w:tcBorders>
              <w:bottom w:val="single" w:sz="8" w:color="CCFFCC"/>
            </w:tcBorders>
            <w:shd w:val="clear" w:color="auto" w:fill="CCFFCC"/>
          </w:tcPr>
          <w:p>
            <w:pPr>
              <w:spacing w:after="0"/>
              <w:rPr>
                <w:sz w:val="13"/>
                <w:szCs w:val="13"/>
                <w:color w:val="auto"/>
              </w:rPr>
            </w:pPr>
          </w:p>
        </w:tc>
        <w:tc>
          <w:tcPr>
            <w:tcW w:w="11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26,375,147</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00"/>
              <w:spacing w:after="0"/>
              <w:rPr>
                <w:sz w:val="20"/>
                <w:szCs w:val="20"/>
                <w:color w:val="auto"/>
              </w:rPr>
            </w:pPr>
            <w:r>
              <w:rPr>
                <w:rFonts w:ascii="Arial" w:cs="Arial" w:eastAsia="Arial" w:hAnsi="Arial"/>
                <w:sz w:val="13"/>
                <w:szCs w:val="13"/>
                <w:color w:val="auto"/>
              </w:rPr>
              <w:t>Exercisable at December 31, 2006</w:t>
            </w: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80" w:type="dxa"/>
            <w:vAlign w:val="bottom"/>
            <w:tcBorders>
              <w:bottom w:val="single" w:sz="8" w:color="CCFFCC"/>
            </w:tcBorders>
            <w:vMerge w:val="continue"/>
          </w:tcPr>
          <w:p>
            <w:pPr>
              <w:spacing w:after="0"/>
              <w:rPr>
                <w:sz w:val="13"/>
                <w:szCs w:val="13"/>
                <w:color w:val="auto"/>
              </w:rPr>
            </w:pPr>
          </w:p>
        </w:tc>
        <w:tc>
          <w:tcPr>
            <w:tcW w:w="1080" w:type="dxa"/>
            <w:vAlign w:val="bottom"/>
            <w:tcBorders>
              <w:bottom w:val="single" w:sz="8" w:color="auto"/>
            </w:tcBorders>
          </w:tcPr>
          <w:p>
            <w:pPr>
              <w:jc w:val="right"/>
              <w:ind w:right="196"/>
              <w:spacing w:after="0" w:line="119"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96"/>
              <w:spacing w:after="0" w:line="119" w:lineRule="exact"/>
              <w:rPr>
                <w:sz w:val="20"/>
                <w:szCs w:val="20"/>
                <w:color w:val="auto"/>
              </w:rPr>
            </w:pPr>
            <w:r>
              <w:rPr>
                <w:rFonts w:ascii="Arial" w:cs="Arial" w:eastAsia="Arial" w:hAnsi="Arial"/>
                <w:sz w:val="13"/>
                <w:szCs w:val="13"/>
                <w:color w:val="auto"/>
              </w:rPr>
              <w:t>2,395,693</w:t>
            </w:r>
          </w:p>
        </w:tc>
        <w:tc>
          <w:tcPr>
            <w:tcW w:w="420" w:type="dxa"/>
            <w:vAlign w:val="bottom"/>
            <w:tcBorders>
              <w:bottom w:val="single" w:sz="8" w:color="auto"/>
            </w:tcBorders>
          </w:tcPr>
          <w:p>
            <w:pPr>
              <w:jc w:val="right"/>
              <w:ind w:right="15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1.43</w:t>
            </w:r>
          </w:p>
        </w:tc>
        <w:tc>
          <w:tcPr>
            <w:tcW w:w="22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23,310,093</w:t>
            </w:r>
          </w:p>
        </w:tc>
        <w:tc>
          <w:tcPr>
            <w:tcW w:w="0" w:type="dxa"/>
            <w:vAlign w:val="bottom"/>
          </w:tcPr>
          <w:p>
            <w:pPr>
              <w:spacing w:after="0"/>
              <w:rPr>
                <w:sz w:val="1"/>
                <w:szCs w:val="1"/>
                <w:color w:val="auto"/>
              </w:rPr>
            </w:pPr>
          </w:p>
        </w:tc>
      </w:tr>
      <w:tr>
        <w:trPr>
          <w:trHeight w:val="119"/>
        </w:trPr>
        <w:tc>
          <w:tcPr>
            <w:tcW w:w="2180" w:type="dxa"/>
            <w:vAlign w:val="bottom"/>
            <w:shd w:val="clear" w:color="auto" w:fill="CCFFCC"/>
          </w:tcPr>
          <w:p>
            <w:pPr>
              <w:ind w:left="240"/>
              <w:spacing w:after="0" w:line="119" w:lineRule="exact"/>
              <w:rPr>
                <w:sz w:val="20"/>
                <w:szCs w:val="20"/>
                <w:color w:val="auto"/>
              </w:rPr>
            </w:pPr>
            <w:r>
              <w:rPr>
                <w:rFonts w:ascii="Arial" w:cs="Arial" w:eastAsia="Arial" w:hAnsi="Arial"/>
                <w:sz w:val="13"/>
                <w:szCs w:val="13"/>
                <w:color w:val="auto"/>
              </w:rPr>
              <w:t>Granted</w:t>
            </w:r>
          </w:p>
        </w:tc>
        <w:tc>
          <w:tcPr>
            <w:tcW w:w="1080" w:type="dxa"/>
            <w:vAlign w:val="bottom"/>
            <w:shd w:val="clear" w:color="auto" w:fill="CCFFCC"/>
          </w:tcPr>
          <w:p>
            <w:pPr>
              <w:jc w:val="right"/>
              <w:ind w:right="196"/>
              <w:spacing w:after="0" w:line="119" w:lineRule="exact"/>
              <w:rPr>
                <w:sz w:val="20"/>
                <w:szCs w:val="20"/>
                <w:color w:val="auto"/>
              </w:rPr>
            </w:pPr>
            <w:r>
              <w:rPr>
                <w:rFonts w:ascii="Arial" w:cs="Arial" w:eastAsia="Arial" w:hAnsi="Arial"/>
                <w:sz w:val="13"/>
                <w:szCs w:val="13"/>
                <w:color w:val="auto"/>
              </w:rPr>
              <w:t>620,811</w:t>
            </w:r>
          </w:p>
        </w:tc>
        <w:tc>
          <w:tcPr>
            <w:tcW w:w="320" w:type="dxa"/>
            <w:vAlign w:val="bottom"/>
            <w:shd w:val="clear" w:color="auto" w:fill="CCFFCC"/>
          </w:tcPr>
          <w:p>
            <w:pPr>
              <w:spacing w:after="0"/>
              <w:rPr>
                <w:sz w:val="10"/>
                <w:szCs w:val="10"/>
                <w:color w:val="auto"/>
              </w:rPr>
            </w:pPr>
          </w:p>
        </w:tc>
        <w:tc>
          <w:tcPr>
            <w:tcW w:w="740" w:type="dxa"/>
            <w:vAlign w:val="bottom"/>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9.44</w:t>
            </w:r>
          </w:p>
        </w:tc>
        <w:tc>
          <w:tcPr>
            <w:tcW w:w="200" w:type="dxa"/>
            <w:vAlign w:val="bottom"/>
            <w:shd w:val="clear" w:color="auto" w:fill="CCFFCC"/>
          </w:tcPr>
          <w:p>
            <w:pPr>
              <w:spacing w:after="0"/>
              <w:rPr>
                <w:sz w:val="10"/>
                <w:szCs w:val="10"/>
                <w:color w:val="auto"/>
              </w:rPr>
            </w:pPr>
          </w:p>
        </w:tc>
        <w:tc>
          <w:tcPr>
            <w:tcW w:w="1100" w:type="dxa"/>
            <w:vAlign w:val="bottom"/>
            <w:shd w:val="clear" w:color="auto" w:fill="CCFFCC"/>
          </w:tcPr>
          <w:p>
            <w:pPr>
              <w:jc w:val="right"/>
              <w:ind w:right="96"/>
              <w:spacing w:after="0" w:line="119" w:lineRule="exact"/>
              <w:rPr>
                <w:sz w:val="20"/>
                <w:szCs w:val="20"/>
                <w:color w:val="auto"/>
              </w:rPr>
            </w:pPr>
            <w:r>
              <w:rPr>
                <w:rFonts w:ascii="Arial" w:cs="Arial" w:eastAsia="Arial" w:hAnsi="Arial"/>
                <w:sz w:val="13"/>
                <w:szCs w:val="13"/>
                <w:color w:val="auto"/>
              </w:rPr>
              <w:t>-</w:t>
            </w:r>
          </w:p>
        </w:tc>
        <w:tc>
          <w:tcPr>
            <w:tcW w:w="420" w:type="dxa"/>
            <w:vAlign w:val="bottom"/>
            <w:shd w:val="clear" w:color="auto" w:fill="CCFFCC"/>
          </w:tcPr>
          <w:p>
            <w:pPr>
              <w:spacing w:after="0"/>
              <w:rPr>
                <w:sz w:val="10"/>
                <w:szCs w:val="10"/>
                <w:color w:val="auto"/>
              </w:rPr>
            </w:pPr>
          </w:p>
        </w:tc>
        <w:tc>
          <w:tcPr>
            <w:tcW w:w="760" w:type="dxa"/>
            <w:vAlign w:val="bottom"/>
            <w:shd w:val="clear" w:color="auto" w:fill="CCFFCC"/>
          </w:tcPr>
          <w:p>
            <w:pPr>
              <w:jc w:val="right"/>
              <w:ind w:right="36"/>
              <w:spacing w:after="0" w:line="119"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0"/>
                <w:szCs w:val="10"/>
                <w:color w:val="auto"/>
              </w:rPr>
            </w:pPr>
          </w:p>
        </w:tc>
        <w:tc>
          <w:tcPr>
            <w:tcW w:w="1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180" w:type="dxa"/>
            <w:vAlign w:val="bottom"/>
          </w:tcPr>
          <w:p>
            <w:pPr>
              <w:ind w:left="240"/>
              <w:spacing w:after="0" w:line="141" w:lineRule="exact"/>
              <w:rPr>
                <w:sz w:val="20"/>
                <w:szCs w:val="20"/>
                <w:color w:val="auto"/>
              </w:rPr>
            </w:pPr>
            <w:r>
              <w:rPr>
                <w:rFonts w:ascii="Arial" w:cs="Arial" w:eastAsia="Arial" w:hAnsi="Arial"/>
                <w:sz w:val="13"/>
                <w:szCs w:val="13"/>
                <w:color w:val="auto"/>
              </w:rPr>
              <w:t>Exercised</w:t>
            </w:r>
          </w:p>
        </w:tc>
        <w:tc>
          <w:tcPr>
            <w:tcW w:w="1080" w:type="dxa"/>
            <w:vAlign w:val="bottom"/>
          </w:tcPr>
          <w:p>
            <w:pPr>
              <w:jc w:val="right"/>
              <w:ind w:right="196"/>
              <w:spacing w:after="0" w:line="141"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7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00" w:type="dxa"/>
            <w:vAlign w:val="bottom"/>
          </w:tcPr>
          <w:p>
            <w:pPr>
              <w:jc w:val="right"/>
              <w:ind w:right="96"/>
              <w:spacing w:after="0" w:line="141" w:lineRule="exact"/>
              <w:rPr>
                <w:sz w:val="20"/>
                <w:szCs w:val="20"/>
                <w:color w:val="auto"/>
              </w:rPr>
            </w:pPr>
            <w:r>
              <w:rPr>
                <w:rFonts w:ascii="Arial" w:cs="Arial" w:eastAsia="Arial" w:hAnsi="Arial"/>
                <w:sz w:val="13"/>
                <w:szCs w:val="13"/>
                <w:color w:val="auto"/>
              </w:rPr>
              <w:t>(2,153,988)</w:t>
            </w:r>
          </w:p>
        </w:tc>
        <w:tc>
          <w:tcPr>
            <w:tcW w:w="420" w:type="dxa"/>
            <w:vAlign w:val="bottom"/>
          </w:tcPr>
          <w:p>
            <w:pPr>
              <w:spacing w:after="0"/>
              <w:rPr>
                <w:sz w:val="12"/>
                <w:szCs w:val="12"/>
                <w:color w:val="auto"/>
              </w:rPr>
            </w:pPr>
          </w:p>
        </w:tc>
        <w:tc>
          <w:tcPr>
            <w:tcW w:w="7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1.15</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Forfeited</w:t>
            </w:r>
          </w:p>
        </w:tc>
        <w:tc>
          <w:tcPr>
            <w:tcW w:w="1080" w:type="dxa"/>
            <w:vAlign w:val="bottom"/>
            <w:shd w:val="clear" w:color="auto" w:fill="CCFFCC"/>
          </w:tcPr>
          <w:p>
            <w:pPr>
              <w:jc w:val="right"/>
              <w:ind w:right="196"/>
              <w:spacing w:after="0" w:line="141" w:lineRule="exact"/>
              <w:rPr>
                <w:sz w:val="20"/>
                <w:szCs w:val="20"/>
                <w:color w:val="auto"/>
              </w:rPr>
            </w:pPr>
            <w:r>
              <w:rPr>
                <w:rFonts w:ascii="Arial" w:cs="Arial" w:eastAsia="Arial" w:hAnsi="Arial"/>
                <w:sz w:val="13"/>
                <w:szCs w:val="13"/>
                <w:color w:val="auto"/>
              </w:rPr>
              <w:t>(271,200)</w:t>
            </w:r>
          </w:p>
        </w:tc>
        <w:tc>
          <w:tcPr>
            <w:tcW w:w="32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10.41</w:t>
            </w:r>
          </w:p>
        </w:tc>
        <w:tc>
          <w:tcPr>
            <w:tcW w:w="20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96"/>
              <w:spacing w:after="0" w:line="141" w:lineRule="exact"/>
              <w:rPr>
                <w:sz w:val="20"/>
                <w:szCs w:val="20"/>
                <w:color w:val="auto"/>
              </w:rPr>
            </w:pPr>
            <w:r>
              <w:rPr>
                <w:rFonts w:ascii="Arial" w:cs="Arial" w:eastAsia="Arial" w:hAnsi="Arial"/>
                <w:sz w:val="13"/>
                <w:szCs w:val="13"/>
                <w:color w:val="auto"/>
              </w:rPr>
              <w:t>(110,668)</w:t>
            </w:r>
          </w:p>
        </w:tc>
        <w:tc>
          <w:tcPr>
            <w:tcW w:w="420" w:type="dxa"/>
            <w:vAlign w:val="bottom"/>
            <w:shd w:val="clear" w:color="auto" w:fill="CCFFCC"/>
          </w:tcPr>
          <w:p>
            <w:pPr>
              <w:spacing w:after="0"/>
              <w:rPr>
                <w:sz w:val="12"/>
                <w:szCs w:val="12"/>
                <w:color w:val="auto"/>
              </w:rPr>
            </w:pPr>
          </w:p>
        </w:tc>
        <w:tc>
          <w:tcPr>
            <w:tcW w:w="76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8.31</w:t>
            </w:r>
          </w:p>
        </w:tc>
        <w:tc>
          <w:tcPr>
            <w:tcW w:w="22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80" w:type="dxa"/>
            <w:vAlign w:val="bottom"/>
            <w:tcBorders>
              <w:bottom w:val="single" w:sz="8" w:color="CCFFCC"/>
            </w:tcBorders>
          </w:tcPr>
          <w:p>
            <w:pPr>
              <w:ind w:left="240"/>
              <w:spacing w:after="0"/>
              <w:rPr>
                <w:sz w:val="20"/>
                <w:szCs w:val="20"/>
                <w:color w:val="auto"/>
              </w:rPr>
            </w:pPr>
            <w:r>
              <w:rPr>
                <w:rFonts w:ascii="Arial" w:cs="Arial" w:eastAsia="Arial" w:hAnsi="Arial"/>
                <w:sz w:val="13"/>
                <w:szCs w:val="13"/>
                <w:color w:val="auto"/>
              </w:rPr>
              <w:t>Cancelled</w:t>
            </w: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(5,214)</w:t>
            </w: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1.49</w:t>
            </w:r>
          </w:p>
        </w:tc>
        <w:tc>
          <w:tcPr>
            <w:tcW w:w="220" w:type="dxa"/>
            <w:vAlign w:val="bottom"/>
            <w:tcBorders>
              <w:bottom w:val="single" w:sz="8" w:color="CCFFC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80" w:type="dxa"/>
            <w:vAlign w:val="bottom"/>
            <w:tcBorders>
              <w:bottom w:val="single" w:sz="8" w:color="CCFFCC"/>
            </w:tcBorders>
            <w:shd w:val="clear" w:color="auto" w:fill="CCFFCC"/>
          </w:tcPr>
          <w:p>
            <w:pPr>
              <w:ind w:left="100"/>
              <w:spacing w:after="0" w:line="134" w:lineRule="exact"/>
              <w:rPr>
                <w:sz w:val="20"/>
                <w:szCs w:val="20"/>
                <w:color w:val="auto"/>
              </w:rPr>
            </w:pPr>
            <w:r>
              <w:rPr>
                <w:rFonts w:ascii="Arial" w:cs="Arial" w:eastAsia="Arial" w:hAnsi="Arial"/>
                <w:sz w:val="13"/>
                <w:szCs w:val="13"/>
                <w:color w:val="auto"/>
              </w:rPr>
              <w:t>Outstanding at December 31, 2007</w:t>
            </w:r>
          </w:p>
        </w:tc>
        <w:tc>
          <w:tcPr>
            <w:tcW w:w="1080" w:type="dxa"/>
            <w:vAlign w:val="bottom"/>
            <w:tcBorders>
              <w:bottom w:val="single" w:sz="8" w:color="auto"/>
            </w:tcBorders>
            <w:shd w:val="clear" w:color="auto" w:fill="CCFFCC"/>
          </w:tcPr>
          <w:p>
            <w:pPr>
              <w:jc w:val="right"/>
              <w:ind w:right="196"/>
              <w:spacing w:after="0" w:line="134" w:lineRule="exact"/>
              <w:rPr>
                <w:sz w:val="20"/>
                <w:szCs w:val="20"/>
                <w:color w:val="auto"/>
              </w:rPr>
            </w:pPr>
            <w:r>
              <w:rPr>
                <w:rFonts w:ascii="Arial" w:cs="Arial" w:eastAsia="Arial" w:hAnsi="Arial"/>
                <w:sz w:val="13"/>
                <w:szCs w:val="13"/>
                <w:color w:val="auto"/>
              </w:rPr>
              <w:t>1,380,111</w:t>
            </w:r>
          </w:p>
        </w:tc>
        <w:tc>
          <w:tcPr>
            <w:tcW w:w="320" w:type="dxa"/>
            <w:vAlign w:val="bottom"/>
            <w:tcBorders>
              <w:bottom w:val="single" w:sz="8" w:color="auto"/>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9.77</w:t>
            </w:r>
          </w:p>
        </w:tc>
        <w:tc>
          <w:tcPr>
            <w:tcW w:w="20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ind w:right="96"/>
              <w:spacing w:after="0" w:line="134" w:lineRule="exact"/>
              <w:rPr>
                <w:sz w:val="20"/>
                <w:szCs w:val="20"/>
                <w:color w:val="auto"/>
              </w:rPr>
            </w:pPr>
            <w:r>
              <w:rPr>
                <w:rFonts w:ascii="Arial" w:cs="Arial" w:eastAsia="Arial" w:hAnsi="Arial"/>
                <w:sz w:val="13"/>
                <w:szCs w:val="13"/>
                <w:color w:val="auto"/>
              </w:rPr>
              <w:t>666,519</w:t>
            </w:r>
          </w:p>
        </w:tc>
        <w:tc>
          <w:tcPr>
            <w:tcW w:w="42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6.04</w:t>
            </w:r>
          </w:p>
        </w:tc>
        <w:tc>
          <w:tcPr>
            <w:tcW w:w="220" w:type="dxa"/>
            <w:vAlign w:val="bottom"/>
            <w:tcBorders>
              <w:bottom w:val="single" w:sz="8" w:color="CCFFCC"/>
            </w:tcBorders>
            <w:shd w:val="clear" w:color="auto" w:fill="CCFFCC"/>
          </w:tcPr>
          <w:p>
            <w:pPr>
              <w:spacing w:after="0"/>
              <w:rPr>
                <w:sz w:val="11"/>
                <w:szCs w:val="11"/>
                <w:color w:val="auto"/>
              </w:rPr>
            </w:pPr>
          </w:p>
        </w:tc>
        <w:tc>
          <w:tcPr>
            <w:tcW w:w="11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743,995</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100"/>
              <w:spacing w:after="0"/>
              <w:rPr>
                <w:sz w:val="20"/>
                <w:szCs w:val="20"/>
                <w:color w:val="auto"/>
              </w:rPr>
            </w:pPr>
            <w:r>
              <w:rPr>
                <w:rFonts w:ascii="Arial" w:cs="Arial" w:eastAsia="Arial" w:hAnsi="Arial"/>
                <w:sz w:val="13"/>
                <w:szCs w:val="13"/>
                <w:color w:val="auto"/>
              </w:rPr>
              <w:t>Exercisable at December 31, 2007</w:t>
            </w: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180" w:type="dxa"/>
            <w:vAlign w:val="bottom"/>
            <w:vMerge w:val="continue"/>
          </w:tcPr>
          <w:p>
            <w:pPr>
              <w:spacing w:after="0"/>
              <w:rPr>
                <w:sz w:val="10"/>
                <w:szCs w:val="10"/>
                <w:color w:val="auto"/>
              </w:rPr>
            </w:pPr>
          </w:p>
        </w:tc>
        <w:tc>
          <w:tcPr>
            <w:tcW w:w="1080" w:type="dxa"/>
            <w:vAlign w:val="bottom"/>
            <w:tcBorders>
              <w:bottom w:val="single" w:sz="8" w:color="auto"/>
            </w:tcBorders>
          </w:tcPr>
          <w:p>
            <w:pPr>
              <w:jc w:val="right"/>
              <w:ind w:right="196"/>
              <w:spacing w:after="0" w:line="119" w:lineRule="exact"/>
              <w:rPr>
                <w:sz w:val="20"/>
                <w:szCs w:val="20"/>
                <w:color w:val="auto"/>
              </w:rPr>
            </w:pPr>
            <w:r>
              <w:rPr>
                <w:rFonts w:ascii="Arial" w:cs="Arial" w:eastAsia="Arial" w:hAnsi="Arial"/>
                <w:sz w:val="13"/>
                <w:szCs w:val="13"/>
                <w:color w:val="auto"/>
              </w:rPr>
              <w:t>289,900</w:t>
            </w:r>
          </w:p>
        </w:tc>
        <w:tc>
          <w:tcPr>
            <w:tcW w:w="320" w:type="dxa"/>
            <w:vAlign w:val="bottom"/>
            <w:tcBorders>
              <w:bottom w:val="single" w:sz="8" w:color="auto"/>
            </w:tcBorders>
          </w:tcPr>
          <w:p>
            <w:pPr>
              <w:ind w:left="20"/>
              <w:spacing w:after="0" w:line="11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10.27</w:t>
            </w:r>
          </w:p>
        </w:tc>
        <w:tc>
          <w:tcPr>
            <w:tcW w:w="200" w:type="dxa"/>
            <w:vAlign w:val="bottom"/>
          </w:tcPr>
          <w:p>
            <w:pPr>
              <w:spacing w:after="0"/>
              <w:rPr>
                <w:sz w:val="10"/>
                <w:szCs w:val="10"/>
                <w:color w:val="auto"/>
              </w:rPr>
            </w:pPr>
          </w:p>
        </w:tc>
        <w:tc>
          <w:tcPr>
            <w:tcW w:w="1100" w:type="dxa"/>
            <w:vAlign w:val="bottom"/>
            <w:tcBorders>
              <w:bottom w:val="single" w:sz="8" w:color="auto"/>
            </w:tcBorders>
          </w:tcPr>
          <w:p>
            <w:pPr>
              <w:jc w:val="right"/>
              <w:ind w:right="96"/>
              <w:spacing w:after="0" w:line="119" w:lineRule="exact"/>
              <w:rPr>
                <w:sz w:val="20"/>
                <w:szCs w:val="20"/>
                <w:color w:val="auto"/>
              </w:rPr>
            </w:pPr>
            <w:r>
              <w:rPr>
                <w:rFonts w:ascii="Arial" w:cs="Arial" w:eastAsia="Arial" w:hAnsi="Arial"/>
                <w:sz w:val="13"/>
                <w:szCs w:val="13"/>
                <w:color w:val="auto"/>
              </w:rPr>
              <w:t>507,802</w:t>
            </w:r>
          </w:p>
        </w:tc>
        <w:tc>
          <w:tcPr>
            <w:tcW w:w="420" w:type="dxa"/>
            <w:vAlign w:val="bottom"/>
            <w:tcBorders>
              <w:bottom w:val="single" w:sz="8" w:color="auto"/>
            </w:tcBorders>
          </w:tcPr>
          <w:p>
            <w:pPr>
              <w:jc w:val="right"/>
              <w:ind w:right="156"/>
              <w:spacing w:after="0" w:line="119"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4.94</w:t>
            </w:r>
          </w:p>
        </w:tc>
        <w:tc>
          <w:tcPr>
            <w:tcW w:w="220" w:type="dxa"/>
            <w:vAlign w:val="bottom"/>
          </w:tcPr>
          <w:p>
            <w:pPr>
              <w:spacing w:after="0"/>
              <w:rPr>
                <w:sz w:val="10"/>
                <w:szCs w:val="10"/>
                <w:color w:val="auto"/>
              </w:rPr>
            </w:pPr>
          </w:p>
        </w:tc>
        <w:tc>
          <w:tcPr>
            <w:tcW w:w="1100" w:type="dxa"/>
            <w:vAlign w:val="bottom"/>
            <w:tcBorders>
              <w:bottom w:val="single" w:sz="8" w:color="auto"/>
            </w:tcBorders>
          </w:tcPr>
          <w:p>
            <w:pPr>
              <w:jc w:val="right"/>
              <w:ind w:right="36"/>
              <w:spacing w:after="0" w:line="119" w:lineRule="exact"/>
              <w:rPr>
                <w:sz w:val="20"/>
                <w:szCs w:val="20"/>
                <w:color w:val="auto"/>
              </w:rPr>
            </w:pPr>
            <w:r>
              <w:rPr>
                <w:rFonts w:ascii="Arial" w:cs="Arial" w:eastAsia="Arial" w:hAnsi="Arial"/>
                <w:sz w:val="13"/>
                <w:szCs w:val="13"/>
                <w:color w:val="auto"/>
              </w:rPr>
              <w:t>682,439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540" w:firstLine="308"/>
        <w:spacing w:after="0" w:line="304" w:lineRule="auto"/>
        <w:rPr>
          <w:sz w:val="20"/>
          <w:szCs w:val="20"/>
          <w:color w:val="auto"/>
        </w:rPr>
      </w:pPr>
      <w:r>
        <w:rPr>
          <w:rFonts w:ascii="Arial" w:cs="Arial" w:eastAsia="Arial" w:hAnsi="Arial"/>
          <w:sz w:val="16"/>
          <w:szCs w:val="16"/>
          <w:color w:val="auto"/>
        </w:rPr>
        <w:t>The weighted average remaining contractual term of options outstanding as of December 31, 2007 and 2006 was 5.5 and 3.2 years, respectively. The weighted average remaining contractual term of options exercisable as of December 31, 2007 and 2006 was 4.6 and 1.1 years, respectively.</w:t>
      </w:r>
    </w:p>
    <w:p>
      <w:pPr>
        <w:spacing w:after="0" w:line="149" w:lineRule="exact"/>
        <w:rPr>
          <w:sz w:val="20"/>
          <w:szCs w:val="20"/>
          <w:color w:val="auto"/>
        </w:rPr>
      </w:pPr>
    </w:p>
    <w:p>
      <w:pPr>
        <w:jc w:val="both"/>
        <w:ind w:right="160" w:firstLine="308"/>
        <w:spacing w:after="0" w:line="262" w:lineRule="auto"/>
        <w:rPr>
          <w:sz w:val="20"/>
          <w:szCs w:val="20"/>
          <w:color w:val="auto"/>
        </w:rPr>
      </w:pPr>
      <w:r>
        <w:rPr>
          <w:rFonts w:ascii="Arial" w:cs="Arial" w:eastAsia="Arial" w:hAnsi="Arial"/>
          <w:sz w:val="17"/>
          <w:szCs w:val="17"/>
          <w:color w:val="auto"/>
        </w:rPr>
        <w:t>The weighted average grant date fair value of options granted during the years ended December 31, 2007, 2006 and 2005 was $3.58, $3.94 and $1.37, respectively. The total intrinsic value of options exercised during the years ended December 31, 2007, 2006 and 2005 was $20.5 million, $2.3 million and $563,000, respectively. The total fair value of shares vested during 2007 was $1.9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Stock-based compensation expense was recorded in the following financial statement line items: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center"/>
              <w:ind w:left="296"/>
              <w:spacing w:after="0"/>
              <w:rPr>
                <w:sz w:val="20"/>
                <w:szCs w:val="20"/>
                <w:color w:val="auto"/>
              </w:rPr>
            </w:pPr>
            <w:r>
              <w:rPr>
                <w:rFonts w:ascii="Arial" w:cs="Arial" w:eastAsia="Arial" w:hAnsi="Arial"/>
                <w:sz w:val="13"/>
                <w:szCs w:val="13"/>
                <w:b w:val="1"/>
                <w:bCs w:val="1"/>
                <w:color w:val="auto"/>
                <w:w w:val="86"/>
              </w:rPr>
              <w:t>Years Ended</w:t>
            </w:r>
          </w:p>
        </w:tc>
        <w:tc>
          <w:tcPr>
            <w:tcW w:w="760" w:type="dxa"/>
            <w:vAlign w:val="bottom"/>
          </w:tcPr>
          <w:p>
            <w:pPr>
              <w:spacing w:after="0"/>
              <w:rPr>
                <w:sz w:val="14"/>
                <w:szCs w:val="14"/>
                <w:color w:val="auto"/>
              </w:rPr>
            </w:pPr>
          </w:p>
        </w:tc>
        <w:tc>
          <w:tcPr>
            <w:tcW w:w="6180" w:type="dxa"/>
            <w:vAlign w:val="bottom"/>
          </w:tcPr>
          <w:p>
            <w:pPr>
              <w:spacing w:after="0"/>
              <w:rPr>
                <w:sz w:val="14"/>
                <w:szCs w:val="14"/>
                <w:color w:val="auto"/>
              </w:rPr>
            </w:pPr>
          </w:p>
        </w:tc>
      </w:tr>
      <w:tr>
        <w:trPr>
          <w:trHeight w:val="193"/>
        </w:trPr>
        <w:tc>
          <w:tcPr>
            <w:tcW w:w="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3"/>
                <w:szCs w:val="13"/>
                <w:b w:val="1"/>
                <w:bCs w:val="1"/>
                <w:color w:val="auto"/>
                <w:w w:val="89"/>
              </w:rPr>
              <w:t>December 31,</w:t>
            </w:r>
          </w:p>
        </w:tc>
        <w:tc>
          <w:tcPr>
            <w:tcW w:w="760" w:type="dxa"/>
            <w:vAlign w:val="bottom"/>
            <w:tcBorders>
              <w:bottom w:val="single" w:sz="8" w:color="auto"/>
            </w:tcBorders>
          </w:tcPr>
          <w:p>
            <w:pPr>
              <w:spacing w:after="0"/>
              <w:rPr>
                <w:sz w:val="16"/>
                <w:szCs w:val="16"/>
                <w:color w:val="auto"/>
              </w:rPr>
            </w:pPr>
          </w:p>
        </w:tc>
        <w:tc>
          <w:tcPr>
            <w:tcW w:w="6180" w:type="dxa"/>
            <w:vAlign w:val="bottom"/>
          </w:tcPr>
          <w:p>
            <w:pPr>
              <w:spacing w:after="0"/>
              <w:rPr>
                <w:sz w:val="16"/>
                <w:szCs w:val="16"/>
                <w:color w:val="auto"/>
              </w:rPr>
            </w:pPr>
          </w:p>
        </w:tc>
      </w:tr>
      <w:tr>
        <w:trPr>
          <w:trHeight w:val="211"/>
        </w:trPr>
        <w:tc>
          <w:tcPr>
            <w:tcW w:w="80" w:type="dxa"/>
            <w:vAlign w:val="bottom"/>
          </w:tcPr>
          <w:p>
            <w:pPr>
              <w:spacing w:after="0"/>
              <w:rPr>
                <w:sz w:val="18"/>
                <w:szCs w:val="18"/>
                <w:color w:val="auto"/>
              </w:rPr>
            </w:pPr>
          </w:p>
        </w:tc>
        <w:tc>
          <w:tcPr>
            <w:tcW w:w="25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2006</w:t>
            </w:r>
          </w:p>
        </w:tc>
        <w:tc>
          <w:tcPr>
            <w:tcW w:w="6180" w:type="dxa"/>
            <w:vAlign w:val="bottom"/>
          </w:tcPr>
          <w:p>
            <w:pPr>
              <w:spacing w:after="0"/>
              <w:rPr>
                <w:sz w:val="18"/>
                <w:szCs w:val="18"/>
                <w:color w:val="auto"/>
              </w:rPr>
            </w:pPr>
          </w:p>
        </w:tc>
      </w:tr>
      <w:tr>
        <w:trPr>
          <w:trHeight w:val="134"/>
        </w:trPr>
        <w:tc>
          <w:tcPr>
            <w:tcW w:w="80" w:type="dxa"/>
            <w:vAlign w:val="bottom"/>
          </w:tcPr>
          <w:p>
            <w:pPr>
              <w:spacing w:after="0"/>
              <w:rPr>
                <w:sz w:val="11"/>
                <w:szCs w:val="11"/>
                <w:color w:val="auto"/>
              </w:rPr>
            </w:pPr>
          </w:p>
        </w:tc>
        <w:tc>
          <w:tcPr>
            <w:tcW w:w="2560" w:type="dxa"/>
            <w:vAlign w:val="bottom"/>
            <w:shd w:val="clear" w:color="auto" w:fill="CCFFCC"/>
          </w:tcPr>
          <w:p>
            <w:pPr>
              <w:ind w:left="100"/>
              <w:spacing w:after="0" w:line="134" w:lineRule="exact"/>
              <w:rPr>
                <w:sz w:val="20"/>
                <w:szCs w:val="20"/>
                <w:color w:val="auto"/>
              </w:rPr>
            </w:pPr>
            <w:r>
              <w:rPr>
                <w:rFonts w:ascii="Arial" w:cs="Arial" w:eastAsia="Arial" w:hAnsi="Arial"/>
                <w:sz w:val="13"/>
                <w:szCs w:val="13"/>
                <w:color w:val="auto"/>
              </w:rPr>
              <w:t>Cost of sales</w:t>
            </w:r>
          </w:p>
        </w:tc>
        <w:tc>
          <w:tcPr>
            <w:tcW w:w="40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82</w:t>
            </w:r>
          </w:p>
        </w:tc>
        <w:tc>
          <w:tcPr>
            <w:tcW w:w="540" w:type="dxa"/>
            <w:vAlign w:val="bottom"/>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3</w:t>
            </w:r>
          </w:p>
        </w:tc>
        <w:tc>
          <w:tcPr>
            <w:tcW w:w="6180" w:type="dxa"/>
            <w:vAlign w:val="bottom"/>
          </w:tcPr>
          <w:p>
            <w:pPr>
              <w:spacing w:after="0"/>
              <w:rPr>
                <w:sz w:val="11"/>
                <w:szCs w:val="11"/>
                <w:color w:val="auto"/>
              </w:rPr>
            </w:pPr>
          </w:p>
        </w:tc>
      </w:tr>
      <w:tr>
        <w:trPr>
          <w:trHeight w:val="192"/>
        </w:trPr>
        <w:tc>
          <w:tcPr>
            <w:tcW w:w="80" w:type="dxa"/>
            <w:vAlign w:val="bottom"/>
          </w:tcPr>
          <w:p>
            <w:pPr>
              <w:spacing w:after="0"/>
              <w:rPr>
                <w:sz w:val="16"/>
                <w:szCs w:val="16"/>
                <w:color w:val="auto"/>
              </w:rPr>
            </w:pPr>
          </w:p>
        </w:tc>
        <w:tc>
          <w:tcPr>
            <w:tcW w:w="2560" w:type="dxa"/>
            <w:vAlign w:val="bottom"/>
          </w:tcPr>
          <w:p>
            <w:pPr>
              <w:ind w:left="100"/>
              <w:spacing w:after="0"/>
              <w:rPr>
                <w:sz w:val="20"/>
                <w:szCs w:val="20"/>
                <w:color w:val="auto"/>
              </w:rPr>
            </w:pPr>
            <w:r>
              <w:rPr>
                <w:rFonts w:ascii="Arial" w:cs="Arial" w:eastAsia="Arial" w:hAnsi="Arial"/>
                <w:sz w:val="13"/>
                <w:szCs w:val="13"/>
                <w:color w:val="auto"/>
              </w:rPr>
              <w:t>Research and development</w:t>
            </w:r>
          </w:p>
        </w:tc>
        <w:tc>
          <w:tcPr>
            <w:tcW w:w="40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color w:val="auto"/>
              </w:rPr>
              <w:t>377</w:t>
            </w:r>
          </w:p>
        </w:tc>
        <w:tc>
          <w:tcPr>
            <w:tcW w:w="540" w:type="dxa"/>
            <w:vAlign w:val="bottom"/>
          </w:tcPr>
          <w:p>
            <w:pPr>
              <w:spacing w:after="0"/>
              <w:rPr>
                <w:sz w:val="16"/>
                <w:szCs w:val="16"/>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97</w:t>
            </w:r>
          </w:p>
        </w:tc>
        <w:tc>
          <w:tcPr>
            <w:tcW w:w="61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2560" w:type="dxa"/>
            <w:vAlign w:val="bottom"/>
            <w:shd w:val="clear" w:color="auto" w:fill="CCFFCC"/>
          </w:tcPr>
          <w:p>
            <w:pPr>
              <w:ind w:left="100"/>
              <w:spacing w:after="0"/>
              <w:rPr>
                <w:sz w:val="20"/>
                <w:szCs w:val="20"/>
                <w:color w:val="auto"/>
              </w:rPr>
            </w:pPr>
            <w:r>
              <w:rPr>
                <w:rFonts w:ascii="Arial" w:cs="Arial" w:eastAsia="Arial" w:hAnsi="Arial"/>
                <w:sz w:val="13"/>
                <w:szCs w:val="13"/>
                <w:color w:val="auto"/>
              </w:rPr>
              <w:t>General and administrative</w:t>
            </w:r>
          </w:p>
        </w:tc>
        <w:tc>
          <w:tcPr>
            <w:tcW w:w="400" w:type="dxa"/>
            <w:vAlign w:val="bottom"/>
            <w:tcBorders>
              <w:bottom w:val="single" w:sz="8" w:color="auto"/>
            </w:tcBorders>
            <w:shd w:val="clear" w:color="auto" w:fill="CCFFCC"/>
          </w:tcPr>
          <w:p>
            <w:pPr>
              <w:spacing w:after="0"/>
              <w:rPr>
                <w:sz w:val="16"/>
                <w:szCs w:val="16"/>
                <w:color w:val="auto"/>
              </w:rPr>
            </w:pPr>
          </w:p>
        </w:tc>
        <w:tc>
          <w:tcPr>
            <w:tcW w:w="9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2,082</w:t>
            </w:r>
          </w:p>
        </w:tc>
        <w:tc>
          <w:tcPr>
            <w:tcW w:w="540" w:type="dxa"/>
            <w:vAlign w:val="bottom"/>
            <w:tcBorders>
              <w:bottom w:val="single" w:sz="8" w:color="auto"/>
            </w:tcBorders>
            <w:shd w:val="clear" w:color="auto" w:fill="CCFFCC"/>
          </w:tcPr>
          <w:p>
            <w:pPr>
              <w:spacing w:after="0"/>
              <w:rPr>
                <w:sz w:val="16"/>
                <w:szCs w:val="16"/>
                <w:color w:val="auto"/>
              </w:rPr>
            </w:pPr>
          </w:p>
        </w:tc>
        <w:tc>
          <w:tcPr>
            <w:tcW w:w="76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623</w:t>
            </w:r>
          </w:p>
        </w:tc>
        <w:tc>
          <w:tcPr>
            <w:tcW w:w="6180" w:type="dxa"/>
            <w:vAlign w:val="bottom"/>
          </w:tcPr>
          <w:p>
            <w:pPr>
              <w:spacing w:after="0"/>
              <w:rPr>
                <w:sz w:val="16"/>
                <w:szCs w:val="16"/>
                <w:color w:val="auto"/>
              </w:rPr>
            </w:pPr>
          </w:p>
        </w:tc>
      </w:tr>
      <w:tr>
        <w:trPr>
          <w:trHeight w:val="134"/>
        </w:trPr>
        <w:tc>
          <w:tcPr>
            <w:tcW w:w="80" w:type="dxa"/>
            <w:vAlign w:val="bottom"/>
          </w:tcPr>
          <w:p>
            <w:pPr>
              <w:spacing w:after="0"/>
              <w:rPr>
                <w:sz w:val="11"/>
                <w:szCs w:val="11"/>
                <w:color w:val="auto"/>
              </w:rPr>
            </w:pPr>
          </w:p>
        </w:tc>
        <w:tc>
          <w:tcPr>
            <w:tcW w:w="2560" w:type="dxa"/>
            <w:vAlign w:val="bottom"/>
          </w:tcPr>
          <w:p>
            <w:pPr>
              <w:ind w:left="100"/>
              <w:spacing w:after="0" w:line="134" w:lineRule="exact"/>
              <w:rPr>
                <w:sz w:val="20"/>
                <w:szCs w:val="20"/>
                <w:color w:val="auto"/>
              </w:rPr>
            </w:pPr>
            <w:r>
              <w:rPr>
                <w:rFonts w:ascii="Arial" w:cs="Arial" w:eastAsia="Arial" w:hAnsi="Arial"/>
                <w:sz w:val="13"/>
                <w:szCs w:val="13"/>
                <w:color w:val="auto"/>
              </w:rPr>
              <w:t>Total stock-based compensation expense</w:t>
            </w:r>
          </w:p>
        </w:tc>
        <w:tc>
          <w:tcPr>
            <w:tcW w:w="40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2,541</w:t>
            </w:r>
          </w:p>
        </w:tc>
        <w:tc>
          <w:tcPr>
            <w:tcW w:w="540" w:type="dxa"/>
            <w:vAlign w:val="bottom"/>
            <w:tcBorders>
              <w:bottom w:val="single" w:sz="8" w:color="auto"/>
            </w:tcBorders>
          </w:tcPr>
          <w:p>
            <w:pPr>
              <w:jc w:val="right"/>
              <w:ind w:right="27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723</w:t>
            </w:r>
          </w:p>
        </w:tc>
        <w:tc>
          <w:tcPr>
            <w:tcW w:w="618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702"/>
        </w:trPr>
        <w:tc>
          <w:tcPr>
            <w:tcW w:w="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7234555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left="320"/>
        <w:spacing w:after="0"/>
        <w:rPr>
          <w:sz w:val="20"/>
          <w:szCs w:val="20"/>
          <w:color w:val="auto"/>
        </w:rPr>
      </w:pPr>
      <w:r>
        <w:rPr>
          <w:rFonts w:ascii="Arial" w:cs="Arial" w:eastAsia="Arial" w:hAnsi="Arial"/>
          <w:sz w:val="17"/>
          <w:szCs w:val="17"/>
          <w:color w:val="auto"/>
        </w:rPr>
        <w:t>A summary of the status of the Company’s nonvested stock options at December 31, 2007 is presented below:</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2006 Plan</w:t>
            </w: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2004 Plan</w:t>
            </w:r>
          </w:p>
        </w:tc>
        <w:tc>
          <w:tcPr>
            <w:tcW w:w="840" w:type="dxa"/>
            <w:vAlign w:val="bottom"/>
            <w:tcBorders>
              <w:bottom w:val="single" w:sz="8" w:color="auto"/>
            </w:tcBorders>
          </w:tcPr>
          <w:p>
            <w:pPr>
              <w:spacing w:after="0"/>
              <w:rPr>
                <w:sz w:val="13"/>
                <w:szCs w:val="13"/>
                <w:color w:val="auto"/>
              </w:rPr>
            </w:pPr>
          </w:p>
        </w:tc>
      </w:tr>
      <w:tr>
        <w:trPr>
          <w:trHeight w:val="121"/>
        </w:trPr>
        <w:tc>
          <w:tcPr>
            <w:tcW w:w="2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jc w:val="center"/>
              <w:ind w:right="16"/>
              <w:spacing w:after="0" w:line="121" w:lineRule="exact"/>
              <w:rPr>
                <w:sz w:val="20"/>
                <w:szCs w:val="20"/>
                <w:color w:val="auto"/>
              </w:rPr>
            </w:pPr>
            <w:r>
              <w:rPr>
                <w:rFonts w:ascii="Arial" w:cs="Arial" w:eastAsia="Arial" w:hAnsi="Arial"/>
                <w:sz w:val="13"/>
                <w:szCs w:val="13"/>
                <w:b w:val="1"/>
                <w:bCs w:val="1"/>
                <w:color w:val="auto"/>
                <w:w w:val="88"/>
              </w:rPr>
              <w:t>Weighted</w:t>
            </w: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center"/>
              <w:ind w:right="16"/>
              <w:spacing w:after="0" w:line="121" w:lineRule="exact"/>
              <w:rPr>
                <w:sz w:val="20"/>
                <w:szCs w:val="20"/>
                <w:color w:val="auto"/>
              </w:rPr>
            </w:pPr>
            <w:r>
              <w:rPr>
                <w:rFonts w:ascii="Arial" w:cs="Arial" w:eastAsia="Arial" w:hAnsi="Arial"/>
                <w:sz w:val="13"/>
                <w:szCs w:val="13"/>
                <w:b w:val="1"/>
                <w:bCs w:val="1"/>
                <w:color w:val="auto"/>
                <w:w w:val="88"/>
              </w:rPr>
              <w:t>Weighted</w:t>
            </w:r>
          </w:p>
        </w:tc>
      </w:tr>
      <w:tr>
        <w:trPr>
          <w:trHeight w:val="141"/>
        </w:trPr>
        <w:tc>
          <w:tcPr>
            <w:tcW w:w="2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center"/>
              <w:ind w:right="16"/>
              <w:spacing w:after="0" w:line="141" w:lineRule="exact"/>
              <w:rPr>
                <w:sz w:val="20"/>
                <w:szCs w:val="20"/>
                <w:color w:val="auto"/>
              </w:rPr>
            </w:pPr>
            <w:r>
              <w:rPr>
                <w:rFonts w:ascii="Arial" w:cs="Arial" w:eastAsia="Arial" w:hAnsi="Arial"/>
                <w:sz w:val="13"/>
                <w:szCs w:val="13"/>
                <w:b w:val="1"/>
                <w:bCs w:val="1"/>
                <w:color w:val="auto"/>
                <w:w w:val="89"/>
              </w:rPr>
              <w:t>Average Grant</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89"/>
              </w:rPr>
              <w:t>Average</w:t>
            </w:r>
          </w:p>
        </w:tc>
      </w:tr>
      <w:tr>
        <w:trPr>
          <w:trHeight w:val="141"/>
        </w:trPr>
        <w:tc>
          <w:tcPr>
            <w:tcW w:w="2500" w:type="dxa"/>
            <w:vAlign w:val="bottom"/>
          </w:tcPr>
          <w:p>
            <w:pPr>
              <w:spacing w:after="0"/>
              <w:rPr>
                <w:sz w:val="12"/>
                <w:szCs w:val="12"/>
                <w:color w:val="auto"/>
              </w:rPr>
            </w:pPr>
          </w:p>
        </w:tc>
        <w:tc>
          <w:tcPr>
            <w:tcW w:w="900" w:type="dxa"/>
            <w:vAlign w:val="bottom"/>
          </w:tcPr>
          <w:p>
            <w:pPr>
              <w:jc w:val="right"/>
              <w:ind w:right="56"/>
              <w:spacing w:after="0" w:line="141" w:lineRule="exact"/>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2"/>
                <w:szCs w:val="12"/>
                <w:color w:val="auto"/>
              </w:rPr>
            </w:pPr>
          </w:p>
        </w:tc>
        <w:tc>
          <w:tcPr>
            <w:tcW w:w="920" w:type="dxa"/>
            <w:vAlign w:val="bottom"/>
          </w:tcPr>
          <w:p>
            <w:pPr>
              <w:jc w:val="center"/>
              <w:ind w:right="16"/>
              <w:spacing w:after="0" w:line="141" w:lineRule="exact"/>
              <w:rPr>
                <w:sz w:val="20"/>
                <w:szCs w:val="20"/>
                <w:color w:val="auto"/>
              </w:rPr>
            </w:pPr>
            <w:r>
              <w:rPr>
                <w:rFonts w:ascii="Arial" w:cs="Arial" w:eastAsia="Arial" w:hAnsi="Arial"/>
                <w:sz w:val="13"/>
                <w:szCs w:val="13"/>
                <w:b w:val="1"/>
                <w:bCs w:val="1"/>
                <w:color w:val="auto"/>
                <w:w w:val="93"/>
              </w:rPr>
              <w:t>Date Fair</w:t>
            </w:r>
          </w:p>
        </w:tc>
        <w:tc>
          <w:tcPr>
            <w:tcW w:w="220" w:type="dxa"/>
            <w:vAlign w:val="bottom"/>
          </w:tcPr>
          <w:p>
            <w:pPr>
              <w:spacing w:after="0"/>
              <w:rPr>
                <w:sz w:val="12"/>
                <w:szCs w:val="12"/>
                <w:color w:val="auto"/>
              </w:rPr>
            </w:pPr>
          </w:p>
        </w:tc>
        <w:tc>
          <w:tcPr>
            <w:tcW w:w="1060" w:type="dxa"/>
            <w:vAlign w:val="bottom"/>
          </w:tcPr>
          <w:p>
            <w:pPr>
              <w:jc w:val="right"/>
              <w:ind w:right="176"/>
              <w:spacing w:after="0" w:line="141" w:lineRule="exact"/>
              <w:rPr>
                <w:sz w:val="20"/>
                <w:szCs w:val="20"/>
                <w:color w:val="auto"/>
              </w:rPr>
            </w:pPr>
            <w:r>
              <w:rPr>
                <w:rFonts w:ascii="Arial" w:cs="Arial" w:eastAsia="Arial" w:hAnsi="Arial"/>
                <w:sz w:val="13"/>
                <w:szCs w:val="13"/>
                <w:b w:val="1"/>
                <w:bCs w:val="1"/>
                <w:color w:val="auto"/>
              </w:rPr>
              <w:t>Number of</w:t>
            </w:r>
          </w:p>
        </w:tc>
        <w:tc>
          <w:tcPr>
            <w:tcW w:w="440" w:type="dxa"/>
            <w:vAlign w:val="bottom"/>
          </w:tcPr>
          <w:p>
            <w:pPr>
              <w:spacing w:after="0"/>
              <w:rPr>
                <w:sz w:val="12"/>
                <w:szCs w:val="12"/>
                <w:color w:val="auto"/>
              </w:rPr>
            </w:pPr>
          </w:p>
        </w:tc>
        <w:tc>
          <w:tcPr>
            <w:tcW w:w="840" w:type="dxa"/>
            <w:vAlign w:val="bottom"/>
          </w:tcPr>
          <w:p>
            <w:pPr>
              <w:jc w:val="center"/>
              <w:ind w:right="36"/>
              <w:spacing w:after="0" w:line="141" w:lineRule="exact"/>
              <w:rPr>
                <w:sz w:val="20"/>
                <w:szCs w:val="20"/>
                <w:color w:val="auto"/>
              </w:rPr>
            </w:pPr>
            <w:r>
              <w:rPr>
                <w:rFonts w:ascii="Arial" w:cs="Arial" w:eastAsia="Arial" w:hAnsi="Arial"/>
                <w:sz w:val="13"/>
                <w:szCs w:val="13"/>
                <w:b w:val="1"/>
                <w:bCs w:val="1"/>
                <w:color w:val="auto"/>
                <w:w w:val="93"/>
              </w:rPr>
              <w:t>Grant Date</w:t>
            </w:r>
          </w:p>
        </w:tc>
      </w:tr>
      <w:tr>
        <w:trPr>
          <w:trHeight w:val="154"/>
        </w:trPr>
        <w:tc>
          <w:tcPr>
            <w:tcW w:w="250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13"/>
                <w:szCs w:val="13"/>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3"/>
              </w:rPr>
              <w:t>Fair Value</w:t>
            </w:r>
          </w:p>
        </w:tc>
      </w:tr>
      <w:tr>
        <w:trPr>
          <w:trHeight w:val="134"/>
        </w:trPr>
        <w:tc>
          <w:tcPr>
            <w:tcW w:w="250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Nonvested at December 31, 2006</w:t>
            </w:r>
          </w:p>
        </w:tc>
        <w:tc>
          <w:tcPr>
            <w:tcW w:w="90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1,030,500</w:t>
            </w:r>
          </w:p>
        </w:tc>
        <w:tc>
          <w:tcPr>
            <w:tcW w:w="600" w:type="dxa"/>
            <w:vAlign w:val="bottom"/>
            <w:shd w:val="clear" w:color="auto" w:fill="CCFFCC"/>
          </w:tcPr>
          <w:p>
            <w:pPr>
              <w:jc w:val="center"/>
              <w:spacing w:after="0" w:line="134"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FFCC"/>
          </w:tcPr>
          <w:p>
            <w:pPr>
              <w:jc w:val="right"/>
              <w:ind w:right="16"/>
              <w:spacing w:after="0" w:line="134" w:lineRule="exact"/>
              <w:rPr>
                <w:sz w:val="20"/>
                <w:szCs w:val="20"/>
                <w:color w:val="auto"/>
              </w:rPr>
            </w:pPr>
            <w:r>
              <w:rPr>
                <w:rFonts w:ascii="Arial" w:cs="Arial" w:eastAsia="Arial" w:hAnsi="Arial"/>
                <w:sz w:val="13"/>
                <w:szCs w:val="13"/>
                <w:color w:val="auto"/>
              </w:rPr>
              <w:t>3.09</w:t>
            </w:r>
          </w:p>
        </w:tc>
        <w:tc>
          <w:tcPr>
            <w:tcW w:w="220" w:type="dxa"/>
            <w:vAlign w:val="bottom"/>
          </w:tcPr>
          <w:p>
            <w:pPr>
              <w:spacing w:after="0"/>
              <w:rPr>
                <w:sz w:val="11"/>
                <w:szCs w:val="11"/>
                <w:color w:val="auto"/>
              </w:rPr>
            </w:pPr>
          </w:p>
        </w:tc>
        <w:tc>
          <w:tcPr>
            <w:tcW w:w="1060" w:type="dxa"/>
            <w:vAlign w:val="bottom"/>
            <w:shd w:val="clear" w:color="auto" w:fill="CCFFCC"/>
          </w:tcPr>
          <w:p>
            <w:pPr>
              <w:jc w:val="right"/>
              <w:ind w:right="56"/>
              <w:spacing w:after="0" w:line="134" w:lineRule="exact"/>
              <w:rPr>
                <w:sz w:val="20"/>
                <w:szCs w:val="20"/>
                <w:color w:val="auto"/>
              </w:rPr>
            </w:pPr>
            <w:r>
              <w:rPr>
                <w:rFonts w:ascii="Arial" w:cs="Arial" w:eastAsia="Arial" w:hAnsi="Arial"/>
                <w:sz w:val="13"/>
                <w:szCs w:val="13"/>
                <w:color w:val="auto"/>
              </w:rPr>
              <w:t>537,532</w:t>
            </w:r>
          </w:p>
        </w:tc>
        <w:tc>
          <w:tcPr>
            <w:tcW w:w="440" w:type="dxa"/>
            <w:vAlign w:val="bottom"/>
            <w:shd w:val="clear" w:color="auto" w:fill="CCFFCC"/>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4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5.30</w:t>
            </w:r>
          </w:p>
        </w:tc>
      </w:tr>
      <w:tr>
        <w:trPr>
          <w:trHeight w:val="141"/>
        </w:trPr>
        <w:tc>
          <w:tcPr>
            <w:tcW w:w="2500" w:type="dxa"/>
            <w:vAlign w:val="bottom"/>
          </w:tcPr>
          <w:p>
            <w:pPr>
              <w:ind w:left="220"/>
              <w:spacing w:after="0" w:line="141" w:lineRule="exact"/>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620,811</w:t>
            </w:r>
          </w:p>
        </w:tc>
        <w:tc>
          <w:tcPr>
            <w:tcW w:w="600" w:type="dxa"/>
            <w:vAlign w:val="bottom"/>
          </w:tcPr>
          <w:p>
            <w:pPr>
              <w:spacing w:after="0"/>
              <w:rPr>
                <w:sz w:val="12"/>
                <w:szCs w:val="12"/>
                <w:color w:val="auto"/>
              </w:rPr>
            </w:pPr>
          </w:p>
        </w:tc>
        <w:tc>
          <w:tcPr>
            <w:tcW w:w="9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3.58</w:t>
            </w:r>
          </w:p>
        </w:tc>
        <w:tc>
          <w:tcPr>
            <w:tcW w:w="220" w:type="dxa"/>
            <w:vAlign w:val="bottom"/>
          </w:tcPr>
          <w:p>
            <w:pPr>
              <w:spacing w:after="0"/>
              <w:rPr>
                <w:sz w:val="12"/>
                <w:szCs w:val="12"/>
                <w:color w:val="auto"/>
              </w:rPr>
            </w:pPr>
          </w:p>
        </w:tc>
        <w:tc>
          <w:tcPr>
            <w:tcW w:w="106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r>
      <w:tr>
        <w:trPr>
          <w:trHeight w:val="141"/>
        </w:trPr>
        <w:tc>
          <w:tcPr>
            <w:tcW w:w="2500" w:type="dxa"/>
            <w:vAlign w:val="bottom"/>
            <w:shd w:val="clear" w:color="auto" w:fill="CCFFCC"/>
          </w:tcPr>
          <w:p>
            <w:pPr>
              <w:ind w:left="220"/>
              <w:spacing w:after="0" w:line="141" w:lineRule="exact"/>
              <w:rPr>
                <w:sz w:val="20"/>
                <w:szCs w:val="20"/>
                <w:color w:val="auto"/>
              </w:rPr>
            </w:pPr>
            <w:r>
              <w:rPr>
                <w:rFonts w:ascii="Arial" w:cs="Arial" w:eastAsia="Arial" w:hAnsi="Arial"/>
                <w:sz w:val="13"/>
                <w:szCs w:val="13"/>
                <w:color w:val="auto"/>
              </w:rPr>
              <w:t>Exercised</w:t>
            </w:r>
          </w:p>
        </w:tc>
        <w:tc>
          <w:tcPr>
            <w:tcW w:w="90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CCFFCC"/>
          </w:tcPr>
          <w:p>
            <w:pPr>
              <w:spacing w:after="0"/>
              <w:rPr>
                <w:sz w:val="12"/>
                <w:szCs w:val="12"/>
                <w:color w:val="auto"/>
              </w:rPr>
            </w:pPr>
          </w:p>
        </w:tc>
        <w:tc>
          <w:tcPr>
            <w:tcW w:w="920" w:type="dxa"/>
            <w:vAlign w:val="bottom"/>
            <w:shd w:val="clear" w:color="auto" w:fill="CCFFCC"/>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60" w:type="dxa"/>
            <w:vAlign w:val="bottom"/>
            <w:shd w:val="clear" w:color="auto" w:fill="CCFFCC"/>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440" w:type="dxa"/>
            <w:vAlign w:val="bottom"/>
            <w:shd w:val="clear" w:color="auto" w:fill="CCFFCC"/>
          </w:tcPr>
          <w:p>
            <w:pPr>
              <w:spacing w:after="0"/>
              <w:rPr>
                <w:sz w:val="12"/>
                <w:szCs w:val="12"/>
                <w:color w:val="auto"/>
              </w:rPr>
            </w:pPr>
          </w:p>
        </w:tc>
        <w:tc>
          <w:tcPr>
            <w:tcW w:w="8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w:t>
            </w:r>
          </w:p>
        </w:tc>
      </w:tr>
      <w:tr>
        <w:trPr>
          <w:trHeight w:val="141"/>
        </w:trPr>
        <w:tc>
          <w:tcPr>
            <w:tcW w:w="2500" w:type="dxa"/>
            <w:vAlign w:val="bottom"/>
          </w:tcPr>
          <w:p>
            <w:pPr>
              <w:ind w:left="220"/>
              <w:spacing w:after="0" w:line="141" w:lineRule="exact"/>
              <w:rPr>
                <w:sz w:val="20"/>
                <w:szCs w:val="20"/>
                <w:color w:val="auto"/>
              </w:rPr>
            </w:pPr>
            <w:r>
              <w:rPr>
                <w:rFonts w:ascii="Arial" w:cs="Arial" w:eastAsia="Arial" w:hAnsi="Arial"/>
                <w:sz w:val="13"/>
                <w:szCs w:val="13"/>
                <w:color w:val="auto"/>
              </w:rPr>
              <w:t>Vested</w:t>
            </w: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(289,900)</w:t>
            </w:r>
          </w:p>
        </w:tc>
        <w:tc>
          <w:tcPr>
            <w:tcW w:w="600" w:type="dxa"/>
            <w:vAlign w:val="bottom"/>
          </w:tcPr>
          <w:p>
            <w:pPr>
              <w:spacing w:after="0"/>
              <w:rPr>
                <w:sz w:val="12"/>
                <w:szCs w:val="12"/>
                <w:color w:val="auto"/>
              </w:rPr>
            </w:pPr>
          </w:p>
        </w:tc>
        <w:tc>
          <w:tcPr>
            <w:tcW w:w="920" w:type="dxa"/>
            <w:vAlign w:val="bottom"/>
          </w:tcPr>
          <w:p>
            <w:pPr>
              <w:jc w:val="right"/>
              <w:ind w:right="16"/>
              <w:spacing w:after="0" w:line="141" w:lineRule="exact"/>
              <w:rPr>
                <w:sz w:val="20"/>
                <w:szCs w:val="20"/>
                <w:color w:val="auto"/>
              </w:rPr>
            </w:pPr>
            <w:r>
              <w:rPr>
                <w:rFonts w:ascii="Arial" w:cs="Arial" w:eastAsia="Arial" w:hAnsi="Arial"/>
                <w:sz w:val="13"/>
                <w:szCs w:val="13"/>
                <w:color w:val="auto"/>
              </w:rPr>
              <w:t>3.91</w:t>
            </w:r>
          </w:p>
        </w:tc>
        <w:tc>
          <w:tcPr>
            <w:tcW w:w="220" w:type="dxa"/>
            <w:vAlign w:val="bottom"/>
          </w:tcPr>
          <w:p>
            <w:pPr>
              <w:spacing w:after="0"/>
              <w:rPr>
                <w:sz w:val="12"/>
                <w:szCs w:val="12"/>
                <w:color w:val="auto"/>
              </w:rPr>
            </w:pPr>
          </w:p>
        </w:tc>
        <w:tc>
          <w:tcPr>
            <w:tcW w:w="1060" w:type="dxa"/>
            <w:vAlign w:val="bottom"/>
          </w:tcPr>
          <w:p>
            <w:pPr>
              <w:jc w:val="right"/>
              <w:ind w:right="56"/>
              <w:spacing w:after="0" w:line="141" w:lineRule="exact"/>
              <w:rPr>
                <w:sz w:val="20"/>
                <w:szCs w:val="20"/>
                <w:color w:val="auto"/>
              </w:rPr>
            </w:pPr>
            <w:r>
              <w:rPr>
                <w:rFonts w:ascii="Arial" w:cs="Arial" w:eastAsia="Arial" w:hAnsi="Arial"/>
                <w:sz w:val="13"/>
                <w:szCs w:val="13"/>
                <w:color w:val="auto"/>
              </w:rPr>
              <w:t>(278,598)</w:t>
            </w:r>
          </w:p>
        </w:tc>
        <w:tc>
          <w:tcPr>
            <w:tcW w:w="440" w:type="dxa"/>
            <w:vAlign w:val="bottom"/>
          </w:tcPr>
          <w:p>
            <w:pPr>
              <w:spacing w:after="0"/>
              <w:rPr>
                <w:sz w:val="12"/>
                <w:szCs w:val="12"/>
                <w:color w:val="auto"/>
              </w:rPr>
            </w:pPr>
          </w:p>
        </w:tc>
        <w:tc>
          <w:tcPr>
            <w:tcW w:w="8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2.84</w:t>
            </w:r>
          </w:p>
        </w:tc>
      </w:tr>
      <w:tr>
        <w:trPr>
          <w:trHeight w:val="154"/>
        </w:trPr>
        <w:tc>
          <w:tcPr>
            <w:tcW w:w="2500" w:type="dxa"/>
            <w:vAlign w:val="bottom"/>
            <w:shd w:val="clear" w:color="auto" w:fill="CCFFCC"/>
          </w:tcPr>
          <w:p>
            <w:pPr>
              <w:ind w:left="220"/>
              <w:spacing w:after="0"/>
              <w:rPr>
                <w:sz w:val="20"/>
                <w:szCs w:val="20"/>
                <w:color w:val="auto"/>
              </w:rPr>
            </w:pPr>
            <w:r>
              <w:rPr>
                <w:rFonts w:ascii="Arial" w:cs="Arial" w:eastAsia="Arial" w:hAnsi="Arial"/>
                <w:sz w:val="13"/>
                <w:szCs w:val="13"/>
                <w:color w:val="auto"/>
              </w:rPr>
              <w:t>Forfeited</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(271,200)</w:t>
            </w:r>
          </w:p>
        </w:tc>
        <w:tc>
          <w:tcPr>
            <w:tcW w:w="600" w:type="dxa"/>
            <w:vAlign w:val="bottom"/>
            <w:tcBorders>
              <w:bottom w:val="single" w:sz="8" w:color="auto"/>
            </w:tcBorders>
            <w:shd w:val="clear" w:color="auto" w:fill="CCFFCC"/>
          </w:tcPr>
          <w:p>
            <w:pPr>
              <w:spacing w:after="0"/>
              <w:rPr>
                <w:sz w:val="13"/>
                <w:szCs w:val="13"/>
                <w:color w:val="auto"/>
              </w:rPr>
            </w:pPr>
          </w:p>
        </w:tc>
        <w:tc>
          <w:tcPr>
            <w:tcW w:w="9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3.85</w:t>
            </w:r>
          </w:p>
        </w:tc>
        <w:tc>
          <w:tcPr>
            <w:tcW w:w="220" w:type="dxa"/>
            <w:vAlign w:val="bottom"/>
          </w:tcPr>
          <w:p>
            <w:pPr>
              <w:spacing w:after="0"/>
              <w:rPr>
                <w:sz w:val="13"/>
                <w:szCs w:val="13"/>
                <w:color w:val="auto"/>
              </w:rPr>
            </w:pPr>
          </w:p>
        </w:tc>
        <w:tc>
          <w:tcPr>
            <w:tcW w:w="106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(100,217)</w:t>
            </w:r>
          </w:p>
        </w:tc>
        <w:tc>
          <w:tcPr>
            <w:tcW w:w="440" w:type="dxa"/>
            <w:vAlign w:val="bottom"/>
            <w:tcBorders>
              <w:bottom w:val="single" w:sz="8" w:color="auto"/>
            </w:tcBorders>
            <w:shd w:val="clear" w:color="auto" w:fill="CCFFCC"/>
          </w:tcPr>
          <w:p>
            <w:pPr>
              <w:spacing w:after="0"/>
              <w:rPr>
                <w:sz w:val="13"/>
                <w:szCs w:val="13"/>
                <w:color w:val="auto"/>
              </w:rPr>
            </w:pPr>
          </w:p>
        </w:tc>
        <w:tc>
          <w:tcPr>
            <w:tcW w:w="84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3.00</w:t>
            </w:r>
          </w:p>
        </w:tc>
      </w:tr>
      <w:tr>
        <w:trPr>
          <w:trHeight w:val="134"/>
        </w:trPr>
        <w:tc>
          <w:tcPr>
            <w:tcW w:w="2500" w:type="dxa"/>
            <w:vAlign w:val="bottom"/>
          </w:tcPr>
          <w:p>
            <w:pPr>
              <w:ind w:left="80"/>
              <w:spacing w:after="0" w:line="134" w:lineRule="exact"/>
              <w:rPr>
                <w:sz w:val="20"/>
                <w:szCs w:val="20"/>
                <w:color w:val="auto"/>
              </w:rPr>
            </w:pPr>
            <w:r>
              <w:rPr>
                <w:rFonts w:ascii="Arial" w:cs="Arial" w:eastAsia="Arial" w:hAnsi="Arial"/>
                <w:sz w:val="13"/>
                <w:szCs w:val="13"/>
                <w:color w:val="auto"/>
              </w:rPr>
              <w:t>Nonvested at December 31, 2007</w:t>
            </w: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1,090,211</w:t>
            </w:r>
          </w:p>
        </w:tc>
        <w:tc>
          <w:tcPr>
            <w:tcW w:w="60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6"/>
              <w:spacing w:after="0" w:line="134" w:lineRule="exact"/>
              <w:rPr>
                <w:sz w:val="20"/>
                <w:szCs w:val="20"/>
                <w:color w:val="auto"/>
              </w:rPr>
            </w:pPr>
            <w:r>
              <w:rPr>
                <w:rFonts w:ascii="Arial" w:cs="Arial" w:eastAsia="Arial" w:hAnsi="Arial"/>
                <w:sz w:val="13"/>
                <w:szCs w:val="13"/>
                <w:color w:val="auto"/>
              </w:rPr>
              <w:t>3.66</w:t>
            </w:r>
          </w:p>
        </w:tc>
        <w:tc>
          <w:tcPr>
            <w:tcW w:w="220" w:type="dxa"/>
            <w:vAlign w:val="bottom"/>
          </w:tcPr>
          <w:p>
            <w:pPr>
              <w:spacing w:after="0"/>
              <w:rPr>
                <w:sz w:val="11"/>
                <w:szCs w:val="11"/>
                <w:color w:val="auto"/>
              </w:rPr>
            </w:pPr>
          </w:p>
        </w:tc>
        <w:tc>
          <w:tcPr>
            <w:tcW w:w="106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158,717</w:t>
            </w:r>
          </w:p>
        </w:tc>
        <w:tc>
          <w:tcPr>
            <w:tcW w:w="44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3.53</w:t>
            </w:r>
          </w:p>
        </w:tc>
      </w:tr>
      <w:tr>
        <w:trPr>
          <w:trHeight w:val="20"/>
        </w:trPr>
        <w:tc>
          <w:tcPr>
            <w:tcW w:w="2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During the years ended December 31, 2007 and 2006, the Company received tax benefits from stock options exercised of approximately $6.0 million and $789,000, respectively.</w:t>
      </w:r>
    </w:p>
    <w:p>
      <w:pPr>
        <w:spacing w:after="0" w:line="168" w:lineRule="exact"/>
        <w:rPr>
          <w:sz w:val="20"/>
          <w:szCs w:val="20"/>
          <w:color w:val="auto"/>
        </w:rPr>
      </w:pPr>
    </w:p>
    <w:p>
      <w:pPr>
        <w:ind w:left="680" w:hanging="677"/>
        <w:spacing w:after="0"/>
        <w:tabs>
          <w:tab w:leader="none" w:pos="68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components of the provision for income taxes attributable to operations consist of the following:</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25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w w:val="96"/>
              </w:rPr>
              <w:t>Year Ended December 31,</w:t>
            </w:r>
          </w:p>
        </w:tc>
        <w:tc>
          <w:tcPr>
            <w:tcW w:w="800" w:type="dxa"/>
            <w:vAlign w:val="bottom"/>
            <w:tcBorders>
              <w:bottom w:val="single" w:sz="8" w:color="auto"/>
            </w:tcBorders>
          </w:tcPr>
          <w:p>
            <w:pPr>
              <w:spacing w:after="0"/>
              <w:rPr>
                <w:sz w:val="13"/>
                <w:szCs w:val="13"/>
                <w:color w:val="auto"/>
              </w:rPr>
            </w:pPr>
          </w:p>
        </w:tc>
      </w:tr>
      <w:tr>
        <w:trPr>
          <w:trHeight w:val="198"/>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2006</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2005</w:t>
            </w:r>
          </w:p>
        </w:tc>
      </w:tr>
      <w:tr>
        <w:trPr>
          <w:trHeight w:val="134"/>
        </w:trPr>
        <w:tc>
          <w:tcPr>
            <w:tcW w:w="256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Current</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r>
      <w:tr>
        <w:trPr>
          <w:trHeight w:val="141"/>
        </w:trPr>
        <w:tc>
          <w:tcPr>
            <w:tcW w:w="2560" w:type="dxa"/>
            <w:vAlign w:val="bottom"/>
          </w:tcPr>
          <w:p>
            <w:pPr>
              <w:ind w:left="220"/>
              <w:spacing w:after="0" w:line="141" w:lineRule="exact"/>
              <w:rPr>
                <w:sz w:val="20"/>
                <w:szCs w:val="20"/>
                <w:color w:val="auto"/>
              </w:rPr>
            </w:pPr>
            <w:r>
              <w:rPr>
                <w:rFonts w:ascii="Arial" w:cs="Arial" w:eastAsia="Arial" w:hAnsi="Arial"/>
                <w:sz w:val="13"/>
                <w:szCs w:val="13"/>
                <w:color w:val="auto"/>
              </w:rPr>
              <w:t>Federal</w:t>
            </w:r>
          </w:p>
        </w:tc>
        <w:tc>
          <w:tcPr>
            <w:tcW w:w="48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11,189</w:t>
            </w:r>
          </w:p>
        </w:tc>
        <w:tc>
          <w:tcPr>
            <w:tcW w:w="50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14,212</w:t>
            </w:r>
          </w:p>
        </w:tc>
        <w:tc>
          <w:tcPr>
            <w:tcW w:w="48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16,093</w:t>
            </w:r>
          </w:p>
        </w:tc>
      </w:tr>
      <w:tr>
        <w:trPr>
          <w:trHeight w:val="154"/>
        </w:trPr>
        <w:tc>
          <w:tcPr>
            <w:tcW w:w="25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State</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ind w:right="116"/>
              <w:spacing w:after="0"/>
              <w:rPr>
                <w:sz w:val="20"/>
                <w:szCs w:val="20"/>
                <w:color w:val="auto"/>
              </w:rPr>
            </w:pPr>
            <w:r>
              <w:rPr>
                <w:rFonts w:ascii="Arial" w:cs="Arial" w:eastAsia="Arial" w:hAnsi="Arial"/>
                <w:sz w:val="13"/>
                <w:szCs w:val="13"/>
                <w:color w:val="auto"/>
              </w:rPr>
              <w:t>2,275</w:t>
            </w:r>
          </w:p>
        </w:tc>
        <w:tc>
          <w:tcPr>
            <w:tcW w:w="50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812</w:t>
            </w:r>
          </w:p>
        </w:tc>
        <w:tc>
          <w:tcPr>
            <w:tcW w:w="48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56"/>
              <w:spacing w:after="0"/>
              <w:rPr>
                <w:sz w:val="20"/>
                <w:szCs w:val="20"/>
                <w:color w:val="auto"/>
              </w:rPr>
            </w:pPr>
            <w:r>
              <w:rPr>
                <w:rFonts w:ascii="Arial" w:cs="Arial" w:eastAsia="Arial" w:hAnsi="Arial"/>
                <w:sz w:val="13"/>
                <w:szCs w:val="13"/>
                <w:color w:val="auto"/>
              </w:rPr>
              <w:t>200</w:t>
            </w:r>
          </w:p>
        </w:tc>
      </w:tr>
      <w:tr>
        <w:trPr>
          <w:trHeight w:val="134"/>
        </w:trPr>
        <w:tc>
          <w:tcPr>
            <w:tcW w:w="256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Total Current</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6"/>
              <w:spacing w:after="0" w:line="134" w:lineRule="exact"/>
              <w:rPr>
                <w:sz w:val="20"/>
                <w:szCs w:val="20"/>
                <w:color w:val="auto"/>
              </w:rPr>
            </w:pPr>
            <w:r>
              <w:rPr>
                <w:rFonts w:ascii="Arial" w:cs="Arial" w:eastAsia="Arial" w:hAnsi="Arial"/>
                <w:sz w:val="13"/>
                <w:szCs w:val="13"/>
                <w:color w:val="auto"/>
              </w:rPr>
              <w:t>13,464</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15,024</w:t>
            </w: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16,293</w:t>
            </w:r>
          </w:p>
        </w:tc>
      </w:tr>
      <w:tr>
        <w:trPr>
          <w:trHeight w:val="134"/>
        </w:trPr>
        <w:tc>
          <w:tcPr>
            <w:tcW w:w="256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Deferred</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r>
      <w:tr>
        <w:trPr>
          <w:trHeight w:val="141"/>
        </w:trPr>
        <w:tc>
          <w:tcPr>
            <w:tcW w:w="2560" w:type="dxa"/>
            <w:vAlign w:val="bottom"/>
          </w:tcPr>
          <w:p>
            <w:pPr>
              <w:ind w:left="220"/>
              <w:spacing w:after="0" w:line="141" w:lineRule="exact"/>
              <w:rPr>
                <w:sz w:val="20"/>
                <w:szCs w:val="20"/>
                <w:color w:val="auto"/>
              </w:rPr>
            </w:pPr>
            <w:r>
              <w:rPr>
                <w:rFonts w:ascii="Arial" w:cs="Arial" w:eastAsia="Arial" w:hAnsi="Arial"/>
                <w:sz w:val="13"/>
                <w:szCs w:val="13"/>
                <w:color w:val="auto"/>
              </w:rPr>
              <w:t>Federal</w:t>
            </w:r>
          </w:p>
        </w:tc>
        <w:tc>
          <w:tcPr>
            <w:tcW w:w="480" w:type="dxa"/>
            <w:vAlign w:val="bottom"/>
          </w:tcPr>
          <w:p>
            <w:pPr>
              <w:spacing w:after="0"/>
              <w:rPr>
                <w:sz w:val="12"/>
                <w:szCs w:val="12"/>
                <w:color w:val="auto"/>
              </w:rPr>
            </w:pPr>
          </w:p>
        </w:tc>
        <w:tc>
          <w:tcPr>
            <w:tcW w:w="760" w:type="dxa"/>
            <w:vAlign w:val="bottom"/>
          </w:tcPr>
          <w:p>
            <w:pPr>
              <w:jc w:val="right"/>
              <w:ind w:right="116"/>
              <w:spacing w:after="0" w:line="141" w:lineRule="exact"/>
              <w:rPr>
                <w:sz w:val="20"/>
                <w:szCs w:val="20"/>
                <w:color w:val="auto"/>
              </w:rPr>
            </w:pPr>
            <w:r>
              <w:rPr>
                <w:rFonts w:ascii="Arial" w:cs="Arial" w:eastAsia="Arial" w:hAnsi="Arial"/>
                <w:sz w:val="13"/>
                <w:szCs w:val="13"/>
                <w:color w:val="auto"/>
              </w:rPr>
              <w:t>2,832</w:t>
            </w:r>
          </w:p>
        </w:tc>
        <w:tc>
          <w:tcPr>
            <w:tcW w:w="500" w:type="dxa"/>
            <w:vAlign w:val="bottom"/>
          </w:tcPr>
          <w:p>
            <w:pPr>
              <w:spacing w:after="0"/>
              <w:rPr>
                <w:sz w:val="12"/>
                <w:szCs w:val="12"/>
                <w:color w:val="auto"/>
              </w:rPr>
            </w:pPr>
          </w:p>
        </w:tc>
        <w:tc>
          <w:tcPr>
            <w:tcW w:w="80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100</w:t>
            </w:r>
          </w:p>
        </w:tc>
        <w:tc>
          <w:tcPr>
            <w:tcW w:w="480" w:type="dxa"/>
            <w:vAlign w:val="bottom"/>
          </w:tcPr>
          <w:p>
            <w:pPr>
              <w:spacing w:after="0"/>
              <w:rPr>
                <w:sz w:val="12"/>
                <w:szCs w:val="12"/>
                <w:color w:val="auto"/>
              </w:rPr>
            </w:pPr>
          </w:p>
        </w:tc>
        <w:tc>
          <w:tcPr>
            <w:tcW w:w="800" w:type="dxa"/>
            <w:vAlign w:val="bottom"/>
          </w:tcPr>
          <w:p>
            <w:pPr>
              <w:jc w:val="right"/>
              <w:ind w:right="96"/>
              <w:spacing w:after="0" w:line="141" w:lineRule="exact"/>
              <w:rPr>
                <w:sz w:val="20"/>
                <w:szCs w:val="20"/>
                <w:color w:val="auto"/>
              </w:rPr>
            </w:pPr>
            <w:r>
              <w:rPr>
                <w:rFonts w:ascii="Arial" w:cs="Arial" w:eastAsia="Arial" w:hAnsi="Arial"/>
                <w:sz w:val="13"/>
                <w:szCs w:val="13"/>
                <w:color w:val="auto"/>
              </w:rPr>
              <w:t>(9,769)</w:t>
            </w:r>
          </w:p>
        </w:tc>
      </w:tr>
      <w:tr>
        <w:trPr>
          <w:trHeight w:val="154"/>
        </w:trPr>
        <w:tc>
          <w:tcPr>
            <w:tcW w:w="2560" w:type="dxa"/>
            <w:vAlign w:val="bottom"/>
            <w:shd w:val="clear" w:color="auto" w:fill="CCFFCC"/>
          </w:tcPr>
          <w:p>
            <w:pPr>
              <w:ind w:left="220"/>
              <w:spacing w:after="0"/>
              <w:rPr>
                <w:sz w:val="20"/>
                <w:szCs w:val="20"/>
                <w:color w:val="auto"/>
              </w:rPr>
            </w:pPr>
            <w:r>
              <w:rPr>
                <w:rFonts w:ascii="Arial" w:cs="Arial" w:eastAsia="Arial" w:hAnsi="Arial"/>
                <w:sz w:val="13"/>
                <w:szCs w:val="13"/>
                <w:color w:val="auto"/>
              </w:rPr>
              <w:t>State</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(3,245)</w:t>
            </w:r>
          </w:p>
        </w:tc>
        <w:tc>
          <w:tcPr>
            <w:tcW w:w="50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136"/>
              <w:spacing w:after="0"/>
              <w:rPr>
                <w:sz w:val="20"/>
                <w:szCs w:val="20"/>
                <w:color w:val="auto"/>
              </w:rPr>
            </w:pPr>
            <w:r>
              <w:rPr>
                <w:rFonts w:ascii="Arial" w:cs="Arial" w:eastAsia="Arial" w:hAnsi="Arial"/>
                <w:sz w:val="13"/>
                <w:szCs w:val="13"/>
                <w:color w:val="auto"/>
              </w:rPr>
              <w:t>98</w:t>
            </w:r>
          </w:p>
        </w:tc>
        <w:tc>
          <w:tcPr>
            <w:tcW w:w="48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96"/>
              <w:spacing w:after="0"/>
              <w:rPr>
                <w:sz w:val="20"/>
                <w:szCs w:val="20"/>
                <w:color w:val="auto"/>
              </w:rPr>
            </w:pPr>
            <w:r>
              <w:rPr>
                <w:rFonts w:ascii="Arial" w:cs="Arial" w:eastAsia="Arial" w:hAnsi="Arial"/>
                <w:sz w:val="13"/>
                <w:szCs w:val="13"/>
                <w:color w:val="auto"/>
              </w:rPr>
              <w:t>(1,199)</w:t>
            </w:r>
          </w:p>
        </w:tc>
      </w:tr>
      <w:tr>
        <w:trPr>
          <w:trHeight w:val="134"/>
        </w:trPr>
        <w:tc>
          <w:tcPr>
            <w:tcW w:w="256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Total Deferred</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6"/>
              <w:spacing w:after="0" w:line="134" w:lineRule="exact"/>
              <w:rPr>
                <w:sz w:val="20"/>
                <w:szCs w:val="20"/>
                <w:color w:val="auto"/>
              </w:rPr>
            </w:pPr>
            <w:r>
              <w:rPr>
                <w:rFonts w:ascii="Arial" w:cs="Arial" w:eastAsia="Arial" w:hAnsi="Arial"/>
                <w:sz w:val="13"/>
                <w:szCs w:val="13"/>
                <w:color w:val="auto"/>
              </w:rPr>
              <w:t>(413)</w:t>
            </w: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198</w:t>
            </w:r>
          </w:p>
        </w:tc>
        <w:tc>
          <w:tcPr>
            <w:tcW w:w="4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96"/>
              <w:spacing w:after="0" w:line="134" w:lineRule="exact"/>
              <w:rPr>
                <w:sz w:val="20"/>
                <w:szCs w:val="20"/>
                <w:color w:val="auto"/>
              </w:rPr>
            </w:pPr>
            <w:r>
              <w:rPr>
                <w:rFonts w:ascii="Arial" w:cs="Arial" w:eastAsia="Arial" w:hAnsi="Arial"/>
                <w:sz w:val="13"/>
                <w:szCs w:val="13"/>
                <w:color w:val="auto"/>
              </w:rPr>
              <w:t>(10,968)</w:t>
            </w:r>
          </w:p>
        </w:tc>
      </w:tr>
      <w:tr>
        <w:trPr>
          <w:trHeight w:val="134"/>
        </w:trPr>
        <w:tc>
          <w:tcPr>
            <w:tcW w:w="256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Provision for Income Taxes</w:t>
            </w:r>
          </w:p>
        </w:tc>
        <w:tc>
          <w:tcPr>
            <w:tcW w:w="48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ind w:right="116"/>
              <w:spacing w:after="0" w:line="134" w:lineRule="exact"/>
              <w:rPr>
                <w:sz w:val="20"/>
                <w:szCs w:val="20"/>
                <w:color w:val="auto"/>
              </w:rPr>
            </w:pPr>
            <w:r>
              <w:rPr>
                <w:rFonts w:ascii="Arial" w:cs="Arial" w:eastAsia="Arial" w:hAnsi="Arial"/>
                <w:sz w:val="13"/>
                <w:szCs w:val="13"/>
                <w:color w:val="auto"/>
              </w:rPr>
              <w:t>13,051</w:t>
            </w:r>
          </w:p>
        </w:tc>
        <w:tc>
          <w:tcPr>
            <w:tcW w:w="50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15,222</w:t>
            </w:r>
          </w:p>
        </w:tc>
        <w:tc>
          <w:tcPr>
            <w:tcW w:w="480" w:type="dxa"/>
            <w:vAlign w:val="bottom"/>
            <w:tcBorders>
              <w:bottom w:val="single" w:sz="8" w:color="auto"/>
            </w:tcBorders>
            <w:shd w:val="clear" w:color="auto" w:fill="CCFFCC"/>
          </w:tcPr>
          <w:p>
            <w:pPr>
              <w:jc w:val="right"/>
              <w:ind w:right="13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5,325</w:t>
            </w:r>
          </w:p>
        </w:tc>
      </w:tr>
      <w:tr>
        <w:trPr>
          <w:trHeight w:val="20"/>
        </w:trPr>
        <w:tc>
          <w:tcPr>
            <w:tcW w:w="2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net deferred tax asset consists of the following:</w:t>
      </w: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154"/>
        </w:trPr>
        <w:tc>
          <w:tcPr>
            <w:tcW w:w="36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7"/>
              </w:rPr>
              <w:t>December 31,</w:t>
            </w:r>
          </w:p>
        </w:tc>
        <w:tc>
          <w:tcPr>
            <w:tcW w:w="800" w:type="dxa"/>
            <w:vAlign w:val="bottom"/>
            <w:tcBorders>
              <w:bottom w:val="single" w:sz="8" w:color="auto"/>
            </w:tcBorders>
          </w:tcPr>
          <w:p>
            <w:pPr>
              <w:spacing w:after="0"/>
              <w:rPr>
                <w:sz w:val="13"/>
                <w:szCs w:val="13"/>
                <w:color w:val="auto"/>
              </w:rPr>
            </w:pPr>
          </w:p>
        </w:tc>
      </w:tr>
      <w:tr>
        <w:trPr>
          <w:trHeight w:val="198"/>
        </w:trPr>
        <w:tc>
          <w:tcPr>
            <w:tcW w:w="3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2007</w:t>
            </w:r>
          </w:p>
        </w:tc>
        <w:tc>
          <w:tcPr>
            <w:tcW w:w="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2006</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Net operating loss carryforward</w:t>
            </w:r>
          </w:p>
        </w:tc>
        <w:tc>
          <w:tcPr>
            <w:tcW w:w="48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6,361</w:t>
            </w:r>
          </w:p>
        </w:tc>
        <w:tc>
          <w:tcPr>
            <w:tcW w:w="840" w:type="dxa"/>
            <w:vAlign w:val="bottom"/>
            <w:shd w:val="clear" w:color="auto" w:fill="CCFFCC"/>
          </w:tcPr>
          <w:p>
            <w:pPr>
              <w:jc w:val="center"/>
              <w:ind w:right="16"/>
              <w:spacing w:after="0" w:line="134" w:lineRule="exact"/>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4,160</w:t>
            </w:r>
          </w:p>
        </w:tc>
      </w:tr>
      <w:tr>
        <w:trPr>
          <w:trHeight w:val="141"/>
        </w:trPr>
        <w:tc>
          <w:tcPr>
            <w:tcW w:w="3640" w:type="dxa"/>
            <w:vAlign w:val="bottom"/>
          </w:tcPr>
          <w:p>
            <w:pPr>
              <w:ind w:left="80"/>
              <w:spacing w:after="0" w:line="141" w:lineRule="exact"/>
              <w:rPr>
                <w:sz w:val="20"/>
                <w:szCs w:val="20"/>
                <w:color w:val="auto"/>
              </w:rPr>
            </w:pPr>
            <w:r>
              <w:rPr>
                <w:rFonts w:ascii="Arial" w:cs="Arial" w:eastAsia="Arial" w:hAnsi="Arial"/>
                <w:sz w:val="13"/>
                <w:szCs w:val="13"/>
                <w:color w:val="auto"/>
              </w:rPr>
              <w:t>Research and development credit carryforward</w:t>
            </w:r>
          </w:p>
        </w:tc>
        <w:tc>
          <w:tcPr>
            <w:tcW w:w="4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511</w:t>
            </w:r>
          </w:p>
        </w:tc>
        <w:tc>
          <w:tcPr>
            <w:tcW w:w="840" w:type="dxa"/>
            <w:vAlign w:val="bottom"/>
          </w:tcPr>
          <w:p>
            <w:pPr>
              <w:spacing w:after="0"/>
              <w:rPr>
                <w:sz w:val="12"/>
                <w:szCs w:val="12"/>
                <w:color w:val="auto"/>
              </w:rPr>
            </w:pP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549</w:t>
            </w:r>
          </w:p>
        </w:tc>
      </w:tr>
      <w:tr>
        <w:trPr>
          <w:trHeight w:val="141"/>
        </w:trPr>
        <w:tc>
          <w:tcPr>
            <w:tcW w:w="364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Stock compensation</w:t>
            </w:r>
          </w:p>
        </w:tc>
        <w:tc>
          <w:tcPr>
            <w:tcW w:w="4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523</w:t>
            </w:r>
          </w:p>
        </w:tc>
        <w:tc>
          <w:tcPr>
            <w:tcW w:w="84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1,452</w:t>
            </w:r>
          </w:p>
        </w:tc>
      </w:tr>
      <w:tr>
        <w:trPr>
          <w:trHeight w:val="141"/>
        </w:trPr>
        <w:tc>
          <w:tcPr>
            <w:tcW w:w="3640" w:type="dxa"/>
            <w:vAlign w:val="bottom"/>
          </w:tcPr>
          <w:p>
            <w:pPr>
              <w:ind w:left="80"/>
              <w:spacing w:after="0" w:line="141" w:lineRule="exact"/>
              <w:rPr>
                <w:sz w:val="20"/>
                <w:szCs w:val="20"/>
                <w:color w:val="auto"/>
              </w:rPr>
            </w:pPr>
            <w:r>
              <w:rPr>
                <w:rFonts w:ascii="Arial" w:cs="Arial" w:eastAsia="Arial" w:hAnsi="Arial"/>
                <w:sz w:val="13"/>
                <w:szCs w:val="13"/>
                <w:color w:val="auto"/>
              </w:rPr>
              <w:t>Foreign deferrals</w:t>
            </w:r>
          </w:p>
        </w:tc>
        <w:tc>
          <w:tcPr>
            <w:tcW w:w="4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39,044</w:t>
            </w:r>
          </w:p>
        </w:tc>
        <w:tc>
          <w:tcPr>
            <w:tcW w:w="840" w:type="dxa"/>
            <w:vAlign w:val="bottom"/>
          </w:tcPr>
          <w:p>
            <w:pPr>
              <w:spacing w:after="0"/>
              <w:rPr>
                <w:sz w:val="12"/>
                <w:szCs w:val="12"/>
                <w:color w:val="auto"/>
              </w:rPr>
            </w:pPr>
          </w:p>
        </w:tc>
        <w:tc>
          <w:tcPr>
            <w:tcW w:w="8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32,534</w:t>
            </w:r>
          </w:p>
        </w:tc>
      </w:tr>
      <w:tr>
        <w:trPr>
          <w:trHeight w:val="154"/>
        </w:trPr>
        <w:tc>
          <w:tcPr>
            <w:tcW w:w="3640" w:type="dxa"/>
            <w:vAlign w:val="bottom"/>
            <w:shd w:val="clear" w:color="auto" w:fill="CCFFCC"/>
          </w:tcPr>
          <w:p>
            <w:pPr>
              <w:ind w:left="8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shd w:val="clear" w:color="auto" w:fill="CCFFCC"/>
          </w:tcPr>
          <w:p>
            <w:pPr>
              <w:spacing w:after="0"/>
              <w:rPr>
                <w:sz w:val="13"/>
                <w:szCs w:val="13"/>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1,508</w:t>
            </w:r>
          </w:p>
        </w:tc>
        <w:tc>
          <w:tcPr>
            <w:tcW w:w="840" w:type="dxa"/>
            <w:vAlign w:val="bottom"/>
            <w:tcBorders>
              <w:bottom w:val="single" w:sz="8" w:color="auto"/>
            </w:tcBorders>
            <w:shd w:val="clear" w:color="auto" w:fill="CCFFCC"/>
          </w:tcPr>
          <w:p>
            <w:pPr>
              <w:spacing w:after="0"/>
              <w:rPr>
                <w:sz w:val="13"/>
                <w:szCs w:val="13"/>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1,681</w:t>
            </w:r>
          </w:p>
        </w:tc>
      </w:tr>
      <w:tr>
        <w:trPr>
          <w:trHeight w:val="134"/>
        </w:trPr>
        <w:tc>
          <w:tcPr>
            <w:tcW w:w="364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Deferred tax asset</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47,947</w:t>
            </w: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40,376</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Fixed assets</w:t>
            </w:r>
          </w:p>
        </w:tc>
        <w:tc>
          <w:tcPr>
            <w:tcW w:w="480" w:type="dxa"/>
            <w:vAlign w:val="bottom"/>
            <w:shd w:val="clear" w:color="auto" w:fill="CCFFCC"/>
          </w:tcPr>
          <w:p>
            <w:pPr>
              <w:spacing w:after="0"/>
              <w:rPr>
                <w:sz w:val="11"/>
                <w:szCs w:val="11"/>
                <w:color w:val="auto"/>
              </w:rPr>
            </w:pPr>
          </w:p>
        </w:tc>
        <w:tc>
          <w:tcPr>
            <w:tcW w:w="76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(756)</w:t>
            </w:r>
          </w:p>
        </w:tc>
        <w:tc>
          <w:tcPr>
            <w:tcW w:w="840" w:type="dxa"/>
            <w:vAlign w:val="bottom"/>
            <w:shd w:val="clear" w:color="auto" w:fill="CCFFCC"/>
          </w:tcPr>
          <w:p>
            <w:pPr>
              <w:spacing w:after="0"/>
              <w:rPr>
                <w:sz w:val="11"/>
                <w:szCs w:val="11"/>
                <w:color w:val="auto"/>
              </w:rPr>
            </w:pPr>
          </w:p>
        </w:tc>
        <w:tc>
          <w:tcPr>
            <w:tcW w:w="800" w:type="dxa"/>
            <w:vAlign w:val="bottom"/>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(888)</w:t>
            </w:r>
          </w:p>
        </w:tc>
      </w:tr>
      <w:tr>
        <w:trPr>
          <w:trHeight w:val="154"/>
        </w:trPr>
        <w:tc>
          <w:tcPr>
            <w:tcW w:w="364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Other</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(1,303)</w:t>
            </w:r>
          </w:p>
        </w:tc>
        <w:tc>
          <w:tcPr>
            <w:tcW w:w="8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(433)</w:t>
            </w:r>
          </w:p>
        </w:tc>
      </w:tr>
      <w:tr>
        <w:trPr>
          <w:trHeight w:val="134"/>
        </w:trPr>
        <w:tc>
          <w:tcPr>
            <w:tcW w:w="3640" w:type="dxa"/>
            <w:vAlign w:val="bottom"/>
            <w:shd w:val="clear" w:color="auto" w:fill="CCFFCC"/>
          </w:tcPr>
          <w:p>
            <w:pPr>
              <w:ind w:left="80"/>
              <w:spacing w:after="0" w:line="134" w:lineRule="exact"/>
              <w:rPr>
                <w:sz w:val="20"/>
                <w:szCs w:val="20"/>
                <w:color w:val="auto"/>
              </w:rPr>
            </w:pPr>
            <w:r>
              <w:rPr>
                <w:rFonts w:ascii="Arial" w:cs="Arial" w:eastAsia="Arial" w:hAnsi="Arial"/>
                <w:sz w:val="13"/>
                <w:szCs w:val="13"/>
                <w:color w:val="auto"/>
              </w:rPr>
              <w:t>Deferred tax liability</w:t>
            </w:r>
          </w:p>
        </w:tc>
        <w:tc>
          <w:tcPr>
            <w:tcW w:w="480" w:type="dxa"/>
            <w:vAlign w:val="bottom"/>
            <w:tcBorders>
              <w:bottom w:val="single" w:sz="8" w:color="auto"/>
            </w:tcBorders>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(2,059)</w:t>
            </w:r>
          </w:p>
        </w:tc>
        <w:tc>
          <w:tcPr>
            <w:tcW w:w="840" w:type="dxa"/>
            <w:vAlign w:val="bottom"/>
            <w:tcBorders>
              <w:bottom w:val="single" w:sz="8" w:color="auto"/>
            </w:tcBorders>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(1,321)</w:t>
            </w:r>
          </w:p>
        </w:tc>
      </w:tr>
      <w:tr>
        <w:trPr>
          <w:trHeight w:val="134"/>
        </w:trPr>
        <w:tc>
          <w:tcPr>
            <w:tcW w:w="3640" w:type="dxa"/>
            <w:vAlign w:val="bottom"/>
            <w:tcBorders>
              <w:bottom w:val="single" w:sz="8" w:color="CCFFCC"/>
            </w:tcBorders>
          </w:tcPr>
          <w:p>
            <w:pPr>
              <w:ind w:left="80"/>
              <w:spacing w:after="0" w:line="134" w:lineRule="exact"/>
              <w:rPr>
                <w:sz w:val="20"/>
                <w:szCs w:val="20"/>
                <w:color w:val="auto"/>
              </w:rPr>
            </w:pPr>
            <w:r>
              <w:rPr>
                <w:rFonts w:ascii="Arial" w:cs="Arial" w:eastAsia="Arial" w:hAnsi="Arial"/>
                <w:sz w:val="13"/>
                <w:szCs w:val="13"/>
                <w:color w:val="auto"/>
              </w:rPr>
              <w:t>Valuation allowance</w:t>
            </w:r>
          </w:p>
        </w:tc>
        <w:tc>
          <w:tcPr>
            <w:tcW w:w="4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(33,702)</w:t>
            </w:r>
          </w:p>
        </w:tc>
        <w:tc>
          <w:tcPr>
            <w:tcW w:w="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
              <w:spacing w:after="0" w:line="134" w:lineRule="exact"/>
              <w:rPr>
                <w:sz w:val="20"/>
                <w:szCs w:val="20"/>
                <w:color w:val="auto"/>
              </w:rPr>
            </w:pPr>
            <w:r>
              <w:rPr>
                <w:rFonts w:ascii="Arial" w:cs="Arial" w:eastAsia="Arial" w:hAnsi="Arial"/>
                <w:sz w:val="13"/>
                <w:szCs w:val="13"/>
                <w:color w:val="auto"/>
              </w:rPr>
              <w:t>(27,283)</w:t>
            </w:r>
          </w:p>
        </w:tc>
      </w:tr>
      <w:tr>
        <w:trPr>
          <w:trHeight w:val="134"/>
        </w:trPr>
        <w:tc>
          <w:tcPr>
            <w:tcW w:w="364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Net deferred tax asset</w:t>
            </w:r>
          </w:p>
        </w:tc>
        <w:tc>
          <w:tcPr>
            <w:tcW w:w="480" w:type="dxa"/>
            <w:vAlign w:val="bottom"/>
            <w:tcBorders>
              <w:bottom w:val="single" w:sz="8" w:color="auto"/>
            </w:tcBorders>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12,186</w:t>
            </w:r>
          </w:p>
        </w:tc>
        <w:tc>
          <w:tcPr>
            <w:tcW w:w="840" w:type="dxa"/>
            <w:vAlign w:val="bottom"/>
            <w:tcBorders>
              <w:bottom w:val="single" w:sz="8" w:color="auto"/>
            </w:tcBorders>
            <w:shd w:val="clear" w:color="auto" w:fill="CCFFCC"/>
          </w:tcPr>
          <w:p>
            <w:pPr>
              <w:jc w:val="center"/>
              <w:ind w:right="16"/>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11,772</w:t>
            </w:r>
          </w:p>
        </w:tc>
      </w:tr>
      <w:tr>
        <w:trPr>
          <w:trHeight w:val="20"/>
        </w:trPr>
        <w:tc>
          <w:tcPr>
            <w:tcW w:w="3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Net operating loss carryforwards consist of approximately $118 million for state jurisdictions and $100 million for foreign jurisdictions. The state net operating loss carryforwards will begin to expire in 2018. The foreign net operating loss carryforwards will have an indefinite life unless the foreign entities have a change in the nature or conduct of the business in the three years following a change in ownership. The use of the Company’s net operating loss carryforwards may be restricted due to changes in Company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ind w:right="140" w:firstLine="308"/>
        <w:spacing w:after="0" w:line="272" w:lineRule="auto"/>
        <w:rPr>
          <w:sz w:val="20"/>
          <w:szCs w:val="20"/>
          <w:color w:val="auto"/>
        </w:rPr>
      </w:pPr>
      <w:r>
        <w:rPr>
          <w:rFonts w:ascii="Arial" w:cs="Arial" w:eastAsia="Arial" w:hAnsi="Arial"/>
          <w:sz w:val="17"/>
          <w:szCs w:val="17"/>
          <w:color w:val="auto"/>
        </w:rPr>
        <w:t>The provision for income taxes differs from the amount of taxes determined by applying the U.S. federal statutory rate to loss before provision for income taxes as a result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r>
      <w:tr>
        <w:trPr>
          <w:trHeight w:val="198"/>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2007</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2006</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2005</w:t>
            </w:r>
          </w:p>
        </w:tc>
      </w:tr>
      <w:tr>
        <w:trPr>
          <w:trHeight w:val="134"/>
        </w:trPr>
        <w:tc>
          <w:tcPr>
            <w:tcW w:w="2620" w:type="dxa"/>
            <w:vAlign w:val="bottom"/>
            <w:shd w:val="clear" w:color="auto" w:fill="CCFFCC"/>
          </w:tcPr>
          <w:p>
            <w:pPr>
              <w:ind w:left="20"/>
              <w:spacing w:after="0" w:line="134" w:lineRule="exact"/>
              <w:rPr>
                <w:sz w:val="20"/>
                <w:szCs w:val="20"/>
                <w:color w:val="auto"/>
              </w:rPr>
            </w:pPr>
            <w:r>
              <w:rPr>
                <w:rFonts w:ascii="Arial" w:cs="Arial" w:eastAsia="Arial" w:hAnsi="Arial"/>
                <w:sz w:val="13"/>
                <w:szCs w:val="13"/>
                <w:color w:val="auto"/>
              </w:rPr>
              <w:t>US</w:t>
            </w:r>
          </w:p>
        </w:tc>
        <w:tc>
          <w:tcPr>
            <w:tcW w:w="32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62,016</w:t>
            </w:r>
          </w:p>
        </w:tc>
        <w:tc>
          <w:tcPr>
            <w:tcW w:w="320" w:type="dxa"/>
            <w:vAlign w:val="bottom"/>
            <w:shd w:val="clear" w:color="auto" w:fill="CCFFCC"/>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56,698</w:t>
            </w:r>
          </w:p>
        </w:tc>
        <w:tc>
          <w:tcPr>
            <w:tcW w:w="400" w:type="dxa"/>
            <w:vAlign w:val="bottom"/>
            <w:shd w:val="clear" w:color="auto" w:fill="CCFFCC"/>
          </w:tcPr>
          <w:p>
            <w:pPr>
              <w:jc w:val="right"/>
              <w:ind w:right="256"/>
              <w:spacing w:after="0" w:line="134"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FFCC"/>
          </w:tcPr>
          <w:p>
            <w:pPr>
              <w:jc w:val="right"/>
              <w:spacing w:after="0" w:line="134" w:lineRule="exact"/>
              <w:rPr>
                <w:sz w:val="20"/>
                <w:szCs w:val="20"/>
                <w:color w:val="auto"/>
              </w:rPr>
            </w:pPr>
            <w:r>
              <w:rPr>
                <w:rFonts w:ascii="Arial" w:cs="Arial" w:eastAsia="Arial" w:hAnsi="Arial"/>
                <w:sz w:val="13"/>
                <w:szCs w:val="13"/>
                <w:color w:val="auto"/>
              </w:rPr>
              <w:t>54,259</w:t>
            </w:r>
          </w:p>
        </w:tc>
      </w:tr>
      <w:tr>
        <w:trPr>
          <w:trHeight w:val="154"/>
        </w:trPr>
        <w:tc>
          <w:tcPr>
            <w:tcW w:w="262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International</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(26,029)</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(18,683)</w:t>
            </w: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(33,150)</w:t>
            </w:r>
          </w:p>
        </w:tc>
      </w:tr>
      <w:tr>
        <w:trPr>
          <w:trHeight w:val="134"/>
        </w:trPr>
        <w:tc>
          <w:tcPr>
            <w:tcW w:w="2620" w:type="dxa"/>
            <w:vAlign w:val="bottom"/>
            <w:tcBorders>
              <w:bottom w:val="single" w:sz="8" w:color="CCFFCC"/>
            </w:tcBorders>
            <w:shd w:val="clear" w:color="auto" w:fill="CCFFCC"/>
          </w:tcPr>
          <w:p>
            <w:pPr>
              <w:ind w:left="20"/>
              <w:spacing w:after="0" w:line="134" w:lineRule="exact"/>
              <w:rPr>
                <w:sz w:val="20"/>
                <w:szCs w:val="20"/>
                <w:color w:val="auto"/>
              </w:rPr>
            </w:pPr>
            <w:r>
              <w:rPr>
                <w:rFonts w:ascii="Arial" w:cs="Arial" w:eastAsia="Arial" w:hAnsi="Arial"/>
                <w:sz w:val="13"/>
                <w:szCs w:val="13"/>
                <w:color w:val="auto"/>
              </w:rPr>
              <w:t>Earnings before taxes on income</w:t>
            </w:r>
          </w:p>
        </w:tc>
        <w:tc>
          <w:tcPr>
            <w:tcW w:w="320" w:type="dxa"/>
            <w:vAlign w:val="bottom"/>
            <w:tcBorders>
              <w:bottom w:val="single" w:sz="8" w:color="auto"/>
            </w:tcBorders>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35,987</w:t>
            </w:r>
          </w:p>
        </w:tc>
        <w:tc>
          <w:tcPr>
            <w:tcW w:w="320" w:type="dxa"/>
            <w:vAlign w:val="bottom"/>
            <w:tcBorders>
              <w:bottom w:val="single" w:sz="8" w:color="auto"/>
            </w:tcBorders>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38,015</w:t>
            </w:r>
          </w:p>
        </w:tc>
        <w:tc>
          <w:tcPr>
            <w:tcW w:w="400" w:type="dxa"/>
            <w:vAlign w:val="bottom"/>
            <w:tcBorders>
              <w:bottom w:val="single" w:sz="8" w:color="auto"/>
            </w:tcBorders>
            <w:shd w:val="clear" w:color="auto" w:fill="CCFFCC"/>
          </w:tcPr>
          <w:p>
            <w:pPr>
              <w:spacing w:after="0"/>
              <w:rPr>
                <w:sz w:val="11"/>
                <w:szCs w:val="11"/>
                <w:color w:val="auto"/>
              </w:rPr>
            </w:pPr>
          </w:p>
        </w:tc>
        <w:tc>
          <w:tcPr>
            <w:tcW w:w="680" w:type="dxa"/>
            <w:vAlign w:val="bottom"/>
            <w:tcBorders>
              <w:bottom w:val="single" w:sz="8" w:color="auto"/>
            </w:tcBorders>
            <w:shd w:val="clear" w:color="auto" w:fill="CCFFCC"/>
          </w:tcPr>
          <w:p>
            <w:pPr>
              <w:jc w:val="right"/>
              <w:spacing w:after="0" w:line="134" w:lineRule="exact"/>
              <w:rPr>
                <w:sz w:val="20"/>
                <w:szCs w:val="20"/>
                <w:color w:val="auto"/>
              </w:rPr>
            </w:pPr>
            <w:r>
              <w:rPr>
                <w:rFonts w:ascii="Arial" w:cs="Arial" w:eastAsia="Arial" w:hAnsi="Arial"/>
                <w:sz w:val="13"/>
                <w:szCs w:val="13"/>
                <w:color w:val="auto"/>
              </w:rPr>
              <w:t>21,109</w:t>
            </w: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9"/>
        </w:trPr>
        <w:tc>
          <w:tcPr>
            <w:tcW w:w="2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Federal tax at statutory rates</w:t>
            </w:r>
          </w:p>
        </w:tc>
        <w:tc>
          <w:tcPr>
            <w:tcW w:w="32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12,595</w:t>
            </w:r>
          </w:p>
        </w:tc>
        <w:tc>
          <w:tcPr>
            <w:tcW w:w="320" w:type="dxa"/>
            <w:vAlign w:val="bottom"/>
            <w:shd w:val="clear" w:color="auto" w:fill="CCFFCC"/>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13,305</w:t>
            </w:r>
          </w:p>
        </w:tc>
        <w:tc>
          <w:tcPr>
            <w:tcW w:w="400" w:type="dxa"/>
            <w:vAlign w:val="bottom"/>
            <w:shd w:val="clear" w:color="auto" w:fill="CCFFCC"/>
          </w:tcPr>
          <w:p>
            <w:pPr>
              <w:jc w:val="right"/>
              <w:ind w:right="256"/>
              <w:spacing w:after="0" w:line="141"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7,388</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State taxes, net of federal benefit</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701</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(395)</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(2,329)</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Impact of foreign operations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(7,106)</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(6,050)</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(17,982)</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Change in valuation allowance</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6,419</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6,605</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18,995</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Effect of change in rates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493</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Effect of foreign rates</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154</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752</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264</w:t>
            </w:r>
          </w:p>
        </w:tc>
      </w:tr>
      <w:tr>
        <w:trPr>
          <w:trHeight w:val="141"/>
        </w:trPr>
        <w:tc>
          <w:tcPr>
            <w:tcW w:w="2620" w:type="dxa"/>
            <w:vAlign w:val="bottom"/>
            <w:shd w:val="clear" w:color="auto" w:fill="CCFFCC"/>
          </w:tcPr>
          <w:p>
            <w:pPr>
              <w:ind w:left="20"/>
              <w:spacing w:after="0" w:line="141" w:lineRule="exact"/>
              <w:rPr>
                <w:sz w:val="20"/>
                <w:szCs w:val="20"/>
                <w:color w:val="auto"/>
              </w:rPr>
            </w:pPr>
            <w:r>
              <w:rPr>
                <w:rFonts w:ascii="Arial" w:cs="Arial" w:eastAsia="Arial" w:hAnsi="Arial"/>
                <w:sz w:val="13"/>
                <w:szCs w:val="13"/>
                <w:color w:val="auto"/>
              </w:rPr>
              <w:t>Tax credits</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(880)</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(759)</w:t>
            </w:r>
          </w:p>
        </w:tc>
        <w:tc>
          <w:tcPr>
            <w:tcW w:w="4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1" w:lineRule="exact"/>
              <w:rPr>
                <w:sz w:val="20"/>
                <w:szCs w:val="20"/>
                <w:color w:val="auto"/>
              </w:rPr>
            </w:pPr>
            <w:r>
              <w:rPr>
                <w:rFonts w:ascii="Arial" w:cs="Arial" w:eastAsia="Arial" w:hAnsi="Arial"/>
                <w:sz w:val="13"/>
                <w:szCs w:val="13"/>
                <w:color w:val="auto"/>
              </w:rPr>
              <w:t>(474)</w:t>
            </w:r>
          </w:p>
        </w:tc>
      </w:tr>
      <w:tr>
        <w:trPr>
          <w:trHeight w:val="141"/>
        </w:trPr>
        <w:tc>
          <w:tcPr>
            <w:tcW w:w="2620" w:type="dxa"/>
            <w:vAlign w:val="bottom"/>
          </w:tcPr>
          <w:p>
            <w:pPr>
              <w:ind w:left="20"/>
              <w:spacing w:after="0" w:line="141" w:lineRule="exact"/>
              <w:rPr>
                <w:sz w:val="20"/>
                <w:szCs w:val="20"/>
                <w:color w:val="auto"/>
              </w:rPr>
            </w:pPr>
            <w:r>
              <w:rPr>
                <w:rFonts w:ascii="Arial" w:cs="Arial" w:eastAsia="Arial" w:hAnsi="Arial"/>
                <w:sz w:val="13"/>
                <w:szCs w:val="13"/>
                <w:color w:val="auto"/>
              </w:rPr>
              <w:t>Other differences</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(617)</w:t>
            </w:r>
          </w:p>
        </w:tc>
        <w:tc>
          <w:tcPr>
            <w:tcW w:w="3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1,044</w:t>
            </w:r>
          </w:p>
        </w:tc>
        <w:tc>
          <w:tcPr>
            <w:tcW w:w="40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(212)</w:t>
            </w:r>
          </w:p>
        </w:tc>
      </w:tr>
      <w:tr>
        <w:trPr>
          <w:trHeight w:val="154"/>
        </w:trPr>
        <w:tc>
          <w:tcPr>
            <w:tcW w:w="2620" w:type="dxa"/>
            <w:vAlign w:val="bottom"/>
            <w:shd w:val="clear" w:color="auto" w:fill="CCFFCC"/>
          </w:tcPr>
          <w:p>
            <w:pPr>
              <w:ind w:left="20"/>
              <w:spacing w:after="0"/>
              <w:rPr>
                <w:sz w:val="20"/>
                <w:szCs w:val="20"/>
                <w:color w:val="auto"/>
              </w:rPr>
            </w:pPr>
            <w:r>
              <w:rPr>
                <w:rFonts w:ascii="Arial" w:cs="Arial" w:eastAsia="Arial" w:hAnsi="Arial"/>
                <w:sz w:val="13"/>
                <w:szCs w:val="13"/>
                <w:color w:val="auto"/>
              </w:rPr>
              <w:t>Permanent differences</w:t>
            </w:r>
          </w:p>
        </w:tc>
        <w:tc>
          <w:tcPr>
            <w:tcW w:w="320" w:type="dxa"/>
            <w:vAlign w:val="bottom"/>
            <w:tcBorders>
              <w:bottom w:val="single" w:sz="8" w:color="auto"/>
            </w:tcBorders>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1,292</w:t>
            </w:r>
          </w:p>
        </w:tc>
        <w:tc>
          <w:tcPr>
            <w:tcW w:w="320" w:type="dxa"/>
            <w:vAlign w:val="bottom"/>
            <w:tcBorders>
              <w:bottom w:val="single" w:sz="8" w:color="auto"/>
            </w:tcBorders>
            <w:shd w:val="clear" w:color="auto" w:fill="CCFFCC"/>
          </w:tcPr>
          <w:p>
            <w:pPr>
              <w:spacing w:after="0"/>
              <w:rPr>
                <w:sz w:val="13"/>
                <w:szCs w:val="13"/>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720</w:t>
            </w:r>
          </w:p>
        </w:tc>
        <w:tc>
          <w:tcPr>
            <w:tcW w:w="400" w:type="dxa"/>
            <w:vAlign w:val="bottom"/>
            <w:tcBorders>
              <w:bottom w:val="single" w:sz="8" w:color="auto"/>
            </w:tcBorders>
            <w:shd w:val="clear" w:color="auto" w:fill="CCFFCC"/>
          </w:tcPr>
          <w:p>
            <w:pPr>
              <w:spacing w:after="0"/>
              <w:rPr>
                <w:sz w:val="13"/>
                <w:szCs w:val="1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(325)</w:t>
            </w:r>
          </w:p>
        </w:tc>
      </w:tr>
      <w:tr>
        <w:trPr>
          <w:trHeight w:val="134"/>
        </w:trPr>
        <w:tc>
          <w:tcPr>
            <w:tcW w:w="2620" w:type="dxa"/>
            <w:vAlign w:val="bottom"/>
          </w:tcPr>
          <w:p>
            <w:pPr>
              <w:ind w:left="20"/>
              <w:spacing w:after="0" w:line="134" w:lineRule="exact"/>
              <w:rPr>
                <w:sz w:val="20"/>
                <w:szCs w:val="20"/>
                <w:color w:val="auto"/>
              </w:rPr>
            </w:pPr>
            <w:r>
              <w:rPr>
                <w:rFonts w:ascii="Arial" w:cs="Arial" w:eastAsia="Arial" w:hAnsi="Arial"/>
                <w:sz w:val="13"/>
                <w:szCs w:val="13"/>
                <w:color w:val="auto"/>
              </w:rPr>
              <w:t>Provision for income taxes</w:t>
            </w:r>
          </w:p>
        </w:tc>
        <w:tc>
          <w:tcPr>
            <w:tcW w:w="32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13,051</w:t>
            </w:r>
          </w:p>
        </w:tc>
        <w:tc>
          <w:tcPr>
            <w:tcW w:w="320" w:type="dxa"/>
            <w:vAlign w:val="bottom"/>
            <w:tcBorders>
              <w:bottom w:val="single" w:sz="8" w:color="auto"/>
            </w:tcBorders>
          </w:tcPr>
          <w:p>
            <w:pPr>
              <w:jc w:val="right"/>
              <w:ind w:right="156"/>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15,222</w:t>
            </w:r>
          </w:p>
        </w:tc>
        <w:tc>
          <w:tcPr>
            <w:tcW w:w="400" w:type="dxa"/>
            <w:vAlign w:val="bottom"/>
            <w:tcBorders>
              <w:bottom w:val="single" w:sz="8" w:color="auto"/>
            </w:tcBorders>
          </w:tcPr>
          <w:p>
            <w:pPr>
              <w:jc w:val="right"/>
              <w:ind w:right="256"/>
              <w:spacing w:after="0" w:line="134"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5,325</w:t>
            </w:r>
          </w:p>
        </w:tc>
      </w:tr>
      <w:tr>
        <w:trPr>
          <w:trHeight w:val="20"/>
        </w:trPr>
        <w:tc>
          <w:tcPr>
            <w:tcW w:w="2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40" w:firstLine="345"/>
        <w:spacing w:after="0" w:line="304" w:lineRule="auto"/>
        <w:rPr>
          <w:sz w:val="20"/>
          <w:szCs w:val="20"/>
          <w:color w:val="auto"/>
        </w:rPr>
      </w:pPr>
      <w:r>
        <w:rPr>
          <w:rFonts w:ascii="Arial" w:cs="Arial" w:eastAsia="Arial" w:hAnsi="Arial"/>
          <w:sz w:val="16"/>
          <w:szCs w:val="16"/>
          <w:color w:val="auto"/>
        </w:rPr>
        <w:t>The effective annual tax rate for the years ended December 31, 2007, 2006 and 2005 was 36%, 40% and 25%, respectively. The decrease in the effective rate from 2006 to 2007 was due primarily to a reduction in state valuation allowances related to the expected utilization of net operating losses.</w:t>
      </w:r>
    </w:p>
    <w:p>
      <w:pPr>
        <w:spacing w:after="0" w:line="149"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 xml:space="preserve">In September 2006, the FASB issued FASB Interpretation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FIN 48 prescribes a recognition threshold and measurement attribute for the financial statement recognition and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 tax position taken or expected to be taken in a tax return. FIN 48 requires that the Company recognize in its financial statements the impact of a tax position if that position is more likely than not to be sustained on audit based on the technical merits of the position. FIN 48 also provides guidance on derecognition, classification, interest and penalties, accounting in interim periods and disclosure.</w:t>
      </w:r>
    </w:p>
    <w:p>
      <w:pPr>
        <w:spacing w:after="0" w:line="184"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color w:val="auto"/>
        </w:rPr>
        <w:t>The Company adopted the provisions of FIN 48 on January 1, 2007. As a result of the implementation of FIN 48, the Company recognized, as a cumulative effect of change in accounting principle, a $607,000 increase in tax-related liabilities for unrecognized tax benefits and a $607,000 reduction to beginning retained earnings. The Company recognizes interest in interest expense and recognizes potential penalties related to unrecognized tax benefits in selling, general and administrative expense. The Company accrued approximately $27,000 for the payment of interest and penalties as of December 31, 2007. Of the total unrecognized tax benefits recorded at December 31, 2007, $33,000 is classified as a current liability and $244,000 is classified as a non-current liability on the balance sheet. As of December 31, 2007, $33,000 of unrecognized tax benefits will reverse within the next twelve months.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the total amounts of gross unrecognized tax benefits is as follows: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2540</wp:posOffset>
            </wp:positionV>
            <wp:extent cx="2930525" cy="97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30525" cy="977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Gross unrecognized tax benefits at January 1, 2007</w:t>
      </w:r>
    </w:p>
    <w:p>
      <w:pPr>
        <w:ind w:left="180"/>
        <w:spacing w:after="0" w:line="233" w:lineRule="auto"/>
        <w:rPr>
          <w:sz w:val="20"/>
          <w:szCs w:val="20"/>
          <w:color w:val="auto"/>
        </w:rPr>
      </w:pPr>
      <w:r>
        <w:rPr>
          <w:rFonts w:ascii="Arial" w:cs="Arial" w:eastAsia="Arial" w:hAnsi="Arial"/>
          <w:sz w:val="13"/>
          <w:szCs w:val="13"/>
          <w:color w:val="auto"/>
        </w:rPr>
        <w:t>Increases for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0</wp:posOffset>
            </wp:positionV>
            <wp:extent cx="2930525" cy="895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30525" cy="89535"/>
                    </a:xfrm>
                    <a:prstGeom prst="rect">
                      <a:avLst/>
                    </a:prstGeom>
                    <a:noFill/>
                  </pic:spPr>
                </pic:pic>
              </a:graphicData>
            </a:graphic>
          </wp:anchor>
        </w:drawing>
      </w:r>
    </w:p>
    <w:p>
      <w:pPr>
        <w:ind w:left="180"/>
        <w:spacing w:after="0" w:line="227" w:lineRule="auto"/>
        <w:rPr>
          <w:sz w:val="20"/>
          <w:szCs w:val="20"/>
          <w:color w:val="auto"/>
        </w:rPr>
      </w:pPr>
      <w:r>
        <w:rPr>
          <w:rFonts w:ascii="Arial" w:cs="Arial" w:eastAsia="Arial" w:hAnsi="Arial"/>
          <w:sz w:val="13"/>
          <w:szCs w:val="13"/>
          <w:color w:val="auto"/>
        </w:rPr>
        <w:t>Decreases for tax positions for prior years</w:t>
      </w:r>
    </w:p>
    <w:p>
      <w:pPr>
        <w:ind w:left="180"/>
        <w:spacing w:after="0"/>
        <w:rPr>
          <w:sz w:val="20"/>
          <w:szCs w:val="20"/>
          <w:color w:val="auto"/>
        </w:rPr>
      </w:pPr>
      <w:r>
        <w:rPr>
          <w:rFonts w:ascii="Arial" w:cs="Arial" w:eastAsia="Arial" w:hAnsi="Arial"/>
          <w:sz w:val="13"/>
          <w:szCs w:val="13"/>
          <w:color w:val="auto"/>
        </w:rPr>
        <w:t>Increases for tax positions for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-5715</wp:posOffset>
            </wp:positionV>
            <wp:extent cx="2930525" cy="977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30525" cy="977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auto"/>
        </w:rPr>
        <w:t>Settlements</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Lapse of statue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2930525" cy="1060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30525" cy="1060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1"/>
          <w:szCs w:val="11"/>
          <w:color w:val="auto"/>
        </w:rPr>
        <w:t>Gross unrecognized tax benefits at December 31, 2007</w:t>
      </w:r>
    </w:p>
    <w:p>
      <w:pPr>
        <w:spacing w:after="0" w:line="20" w:lineRule="exact"/>
        <w:rPr>
          <w:sz w:val="20"/>
          <w:szCs w:val="20"/>
          <w:color w:val="auto"/>
        </w:rPr>
      </w:pPr>
      <w:r>
        <w:rPr>
          <w:sz w:val="20"/>
          <w:szCs w:val="20"/>
          <w:color w:val="auto"/>
        </w:rPr>
        <w:br w:type="column"/>
      </w:r>
    </w:p>
    <w:p>
      <w:pPr>
        <w:ind w:left="528" w:hanging="528"/>
        <w:spacing w:after="0"/>
        <w:tabs>
          <w:tab w:leader="none" w:pos="528" w:val="left"/>
        </w:tabs>
        <w:numPr>
          <w:ilvl w:val="0"/>
          <w:numId w:val="31"/>
        </w:numPr>
        <w:rPr>
          <w:rFonts w:ascii="Arial" w:cs="Arial" w:eastAsia="Arial" w:hAnsi="Arial"/>
          <w:sz w:val="13"/>
          <w:szCs w:val="13"/>
          <w:color w:val="auto"/>
        </w:rPr>
      </w:pPr>
      <w:r>
        <w:rPr>
          <w:rFonts w:ascii="Arial" w:cs="Arial" w:eastAsia="Arial" w:hAnsi="Arial"/>
          <w:sz w:val="13"/>
          <w:szCs w:val="13"/>
          <w:color w:val="auto"/>
        </w:rPr>
        <w:t>607</w:t>
      </w:r>
    </w:p>
    <w:p>
      <w:pPr>
        <w:ind w:left="528"/>
        <w:spacing w:after="0" w:line="226" w:lineRule="auto"/>
        <w:rPr>
          <w:rFonts w:ascii="Arial" w:cs="Arial" w:eastAsia="Arial" w:hAnsi="Arial"/>
          <w:sz w:val="13"/>
          <w:szCs w:val="13"/>
          <w:color w:val="auto"/>
        </w:rPr>
      </w:pPr>
      <w:r>
        <w:rPr>
          <w:rFonts w:ascii="Arial" w:cs="Arial" w:eastAsia="Arial" w:hAnsi="Arial"/>
          <w:sz w:val="13"/>
          <w:szCs w:val="13"/>
          <w:color w:val="auto"/>
        </w:rPr>
        <w:t>262</w:t>
      </w:r>
    </w:p>
    <w:p>
      <w:pPr>
        <w:ind w:left="568"/>
        <w:spacing w:after="0"/>
        <w:rPr>
          <w:rFonts w:ascii="Arial" w:cs="Arial" w:eastAsia="Arial" w:hAnsi="Arial"/>
          <w:sz w:val="13"/>
          <w:szCs w:val="13"/>
          <w:color w:val="auto"/>
        </w:rPr>
      </w:pPr>
      <w:r>
        <w:rPr>
          <w:rFonts w:ascii="Arial" w:cs="Arial" w:eastAsia="Arial" w:hAnsi="Arial"/>
          <w:sz w:val="12"/>
          <w:szCs w:val="12"/>
          <w:color w:val="auto"/>
        </w:rPr>
        <w:t>(65)</w:t>
      </w:r>
    </w:p>
    <w:p>
      <w:pPr>
        <w:spacing w:after="0" w:line="3" w:lineRule="exact"/>
        <w:rPr>
          <w:rFonts w:ascii="Arial" w:cs="Arial" w:eastAsia="Arial" w:hAnsi="Arial"/>
          <w:sz w:val="13"/>
          <w:szCs w:val="13"/>
          <w:color w:val="auto"/>
        </w:rPr>
      </w:pPr>
    </w:p>
    <w:p>
      <w:pPr>
        <w:ind w:left="528"/>
        <w:spacing w:after="0"/>
        <w:rPr>
          <w:rFonts w:ascii="Arial" w:cs="Arial" w:eastAsia="Arial" w:hAnsi="Arial"/>
          <w:sz w:val="13"/>
          <w:szCs w:val="13"/>
          <w:color w:val="auto"/>
        </w:rPr>
      </w:pPr>
      <w:r>
        <w:rPr>
          <w:rFonts w:ascii="Arial" w:cs="Arial" w:eastAsia="Arial" w:hAnsi="Arial"/>
          <w:sz w:val="13"/>
          <w:szCs w:val="13"/>
          <w:color w:val="auto"/>
        </w:rPr>
        <w:t>100</w:t>
      </w:r>
    </w:p>
    <w:p>
      <w:pPr>
        <w:spacing w:after="0" w:line="3" w:lineRule="exact"/>
        <w:rPr>
          <w:sz w:val="20"/>
          <w:szCs w:val="20"/>
          <w:color w:val="auto"/>
        </w:rPr>
      </w:pPr>
    </w:p>
    <w:p>
      <w:pPr>
        <w:ind w:left="488"/>
        <w:spacing w:after="0"/>
        <w:rPr>
          <w:sz w:val="20"/>
          <w:szCs w:val="20"/>
          <w:color w:val="auto"/>
        </w:rPr>
      </w:pPr>
      <w:r>
        <w:rPr>
          <w:rFonts w:ascii="Arial" w:cs="Arial" w:eastAsia="Arial" w:hAnsi="Arial"/>
          <w:sz w:val="12"/>
          <w:szCs w:val="12"/>
          <w:color w:val="auto"/>
        </w:rPr>
        <w:t>(201)</w:t>
      </w:r>
    </w:p>
    <w:p>
      <w:pPr>
        <w:spacing w:after="0" w:line="16" w:lineRule="exact"/>
        <w:rPr>
          <w:sz w:val="20"/>
          <w:szCs w:val="20"/>
          <w:color w:val="auto"/>
        </w:rPr>
      </w:pPr>
    </w:p>
    <w:p>
      <w:pPr>
        <w:ind w:left="488"/>
        <w:spacing w:after="0"/>
        <w:rPr>
          <w:sz w:val="20"/>
          <w:szCs w:val="20"/>
          <w:color w:val="auto"/>
        </w:rPr>
      </w:pPr>
      <w:r>
        <w:rPr>
          <w:rFonts w:ascii="Arial" w:cs="Arial" w:eastAsia="Arial" w:hAnsi="Arial"/>
          <w:sz w:val="12"/>
          <w:szCs w:val="12"/>
          <w:color w:val="auto"/>
        </w:rPr>
        <w:t>(426)</w:t>
      </w:r>
    </w:p>
    <w:p>
      <w:pPr>
        <w:spacing w:after="0" w:line="16" w:lineRule="exact"/>
        <w:rPr>
          <w:sz w:val="20"/>
          <w:szCs w:val="20"/>
          <w:color w:val="auto"/>
        </w:rPr>
      </w:pPr>
    </w:p>
    <w:p>
      <w:pPr>
        <w:ind w:left="528" w:hanging="528"/>
        <w:spacing w:after="0"/>
        <w:tabs>
          <w:tab w:leader="none" w:pos="528" w:val="left"/>
        </w:tabs>
        <w:numPr>
          <w:ilvl w:val="0"/>
          <w:numId w:val="32"/>
        </w:numPr>
        <w:rPr>
          <w:rFonts w:ascii="Arial" w:cs="Arial" w:eastAsia="Arial" w:hAnsi="Arial"/>
          <w:sz w:val="13"/>
          <w:szCs w:val="13"/>
          <w:color w:val="auto"/>
        </w:rPr>
      </w:pPr>
      <w:r>
        <w:rPr>
          <w:rFonts w:ascii="Arial" w:cs="Arial" w:eastAsia="Arial" w:hAnsi="Arial"/>
          <w:sz w:val="13"/>
          <w:szCs w:val="13"/>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11430</wp:posOffset>
            </wp:positionV>
            <wp:extent cx="7816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000" w:space="712"/>
            <w:col w:w="7708"/>
          </w:cols>
          <w:pgMar w:left="240" w:top="131" w:right="23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Substantially all of these reserves would impact the effective tax rate if released into income.</w:t>
      </w:r>
    </w:p>
    <w:p>
      <w:pPr>
        <w:spacing w:after="0" w:line="215"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The Company’s federal and state income tax returns for the tax years 2006-2004 remain open to examination. The Company’s tax returns in the United Kingdom remain open to examination for the tax years 2006-2001, and tax returns in Germany remain open indefinitely. A federal income tax audit of the Company's tax return for the 2004 tax year was completed in March 2007. As a result of this audit, the Company paid an assessment of $722,000, including $96,000 of interest. The Company is the subject of an ongoing federal income tax audit for the tax year ended December 31, 2005. The financial statement impact of the audit has been estimated at approximately $451,000, including $56,000 of interest. This amount has been accrued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6" w:name="page97"/>
    <w:bookmarkEnd w:id="96"/>
    <w:p>
      <w:pPr>
        <w:ind w:left="680" w:hanging="677"/>
        <w:spacing w:after="0"/>
        <w:tabs>
          <w:tab w:leader="none" w:pos="6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401(k) savings plan</w:t>
      </w:r>
    </w:p>
    <w:p>
      <w:pPr>
        <w:spacing w:after="0" w:line="219"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The Company has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2007, 2006 and 2005, the Company made matching contributions of approximately $682,000, $573,000 and $520,000, respectively.</w:t>
      </w:r>
    </w:p>
    <w:p>
      <w:pPr>
        <w:spacing w:after="0" w:line="181" w:lineRule="exact"/>
        <w:rPr>
          <w:sz w:val="20"/>
          <w:szCs w:val="20"/>
          <w:color w:val="auto"/>
        </w:rPr>
      </w:pPr>
    </w:p>
    <w:p>
      <w:pPr>
        <w:ind w:left="320" w:right="8180" w:hanging="317"/>
        <w:spacing w:after="0" w:line="506" w:lineRule="auto"/>
        <w:tabs>
          <w:tab w:leader="none" w:pos="69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settlement gains Leases</w:t>
      </w:r>
    </w:p>
    <w:p>
      <w:pPr>
        <w:ind w:right="100" w:firstLine="308"/>
        <w:spacing w:after="0" w:line="275" w:lineRule="auto"/>
        <w:rPr>
          <w:sz w:val="20"/>
          <w:szCs w:val="20"/>
          <w:color w:val="auto"/>
        </w:rPr>
      </w:pPr>
      <w:r>
        <w:rPr>
          <w:rFonts w:ascii="Arial" w:cs="Arial" w:eastAsia="Arial" w:hAnsi="Arial"/>
          <w:sz w:val="16"/>
          <w:szCs w:val="16"/>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in November 2008. The Company leases office and laboratory space in Wokingham, England under two coterminous non-cancelable operating leases that expire in November 2016. The Company leases office space in Rockville, Maryland under a non-cancelable operating lease that contains a 3% annual escalation clause over the ten year term of the lease, which expires in December 2016 and the Company has a five year renewal option at the end of the initial term. For the years ended December 31, 2007, 2006 and 2005, total rent expense was $3.4 million, $2.4 million and $2.5 million,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operating lease obligations as of December 31, 2007 are as follows: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(in thousands)</w:t>
      </w:r>
    </w:p>
    <w:p>
      <w:pPr>
        <w:spacing w:after="0" w:line="4"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3220" w:type="dxa"/>
            <w:vAlign w:val="bottom"/>
            <w:tcBorders>
              <w:top w:val="single" w:sz="8" w:color="auto"/>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2008</w:t>
            </w:r>
          </w:p>
        </w:tc>
        <w:tc>
          <w:tcPr>
            <w:tcW w:w="1320" w:type="dxa"/>
            <w:vAlign w:val="bottom"/>
            <w:tcBorders>
              <w:top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$ 2,048</w:t>
            </w:r>
          </w:p>
        </w:tc>
      </w:tr>
      <w:tr>
        <w:trPr>
          <w:trHeight w:val="141"/>
        </w:trPr>
        <w:tc>
          <w:tcPr>
            <w:tcW w:w="3220" w:type="dxa"/>
            <w:vAlign w:val="bottom"/>
          </w:tcPr>
          <w:p>
            <w:pPr>
              <w:ind w:left="80"/>
              <w:spacing w:after="0" w:line="141" w:lineRule="exact"/>
              <w:rPr>
                <w:sz w:val="20"/>
                <w:szCs w:val="20"/>
                <w:color w:val="auto"/>
              </w:rPr>
            </w:pPr>
            <w:r>
              <w:rPr>
                <w:rFonts w:ascii="Arial" w:cs="Arial" w:eastAsia="Arial" w:hAnsi="Arial"/>
                <w:sz w:val="13"/>
                <w:szCs w:val="13"/>
                <w:color w:val="auto"/>
              </w:rPr>
              <w:t>2009</w:t>
            </w:r>
          </w:p>
        </w:tc>
        <w:tc>
          <w:tcPr>
            <w:tcW w:w="13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1,436</w:t>
            </w:r>
          </w:p>
        </w:tc>
      </w:tr>
      <w:tr>
        <w:trPr>
          <w:trHeight w:val="141"/>
        </w:trPr>
        <w:tc>
          <w:tcPr>
            <w:tcW w:w="32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2010</w:t>
            </w:r>
          </w:p>
        </w:tc>
        <w:tc>
          <w:tcPr>
            <w:tcW w:w="13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1,453</w:t>
            </w:r>
          </w:p>
        </w:tc>
      </w:tr>
      <w:tr>
        <w:trPr>
          <w:trHeight w:val="141"/>
        </w:trPr>
        <w:tc>
          <w:tcPr>
            <w:tcW w:w="3220" w:type="dxa"/>
            <w:vAlign w:val="bottom"/>
          </w:tcPr>
          <w:p>
            <w:pPr>
              <w:ind w:left="80"/>
              <w:spacing w:after="0" w:line="141" w:lineRule="exact"/>
              <w:rPr>
                <w:sz w:val="20"/>
                <w:szCs w:val="20"/>
                <w:color w:val="auto"/>
              </w:rPr>
            </w:pPr>
            <w:r>
              <w:rPr>
                <w:rFonts w:ascii="Arial" w:cs="Arial" w:eastAsia="Arial" w:hAnsi="Arial"/>
                <w:sz w:val="13"/>
                <w:szCs w:val="13"/>
                <w:color w:val="auto"/>
              </w:rPr>
              <w:t>2011</w:t>
            </w:r>
          </w:p>
        </w:tc>
        <w:tc>
          <w:tcPr>
            <w:tcW w:w="132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1,471</w:t>
            </w:r>
          </w:p>
        </w:tc>
      </w:tr>
      <w:tr>
        <w:trPr>
          <w:trHeight w:val="141"/>
        </w:trPr>
        <w:tc>
          <w:tcPr>
            <w:tcW w:w="3220" w:type="dxa"/>
            <w:vAlign w:val="bottom"/>
            <w:shd w:val="clear" w:color="auto" w:fill="CCFFCC"/>
          </w:tcPr>
          <w:p>
            <w:pPr>
              <w:ind w:left="80"/>
              <w:spacing w:after="0" w:line="141" w:lineRule="exact"/>
              <w:rPr>
                <w:sz w:val="20"/>
                <w:szCs w:val="20"/>
                <w:color w:val="auto"/>
              </w:rPr>
            </w:pPr>
            <w:r>
              <w:rPr>
                <w:rFonts w:ascii="Arial" w:cs="Arial" w:eastAsia="Arial" w:hAnsi="Arial"/>
                <w:sz w:val="13"/>
                <w:szCs w:val="13"/>
                <w:color w:val="auto"/>
              </w:rPr>
              <w:t>2012</w:t>
            </w:r>
          </w:p>
        </w:tc>
        <w:tc>
          <w:tcPr>
            <w:tcW w:w="132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1,489</w:t>
            </w:r>
          </w:p>
        </w:tc>
      </w:tr>
      <w:tr>
        <w:trPr>
          <w:trHeight w:val="154"/>
        </w:trPr>
        <w:tc>
          <w:tcPr>
            <w:tcW w:w="3220" w:type="dxa"/>
            <w:vAlign w:val="bottom"/>
            <w:tcBorders>
              <w:bottom w:val="single" w:sz="8" w:color="CCFFCC"/>
            </w:tcBorders>
          </w:tcPr>
          <w:p>
            <w:pPr>
              <w:ind w:left="80"/>
              <w:spacing w:after="0"/>
              <w:rPr>
                <w:sz w:val="20"/>
                <w:szCs w:val="20"/>
                <w:color w:val="auto"/>
              </w:rPr>
            </w:pPr>
            <w:r>
              <w:rPr>
                <w:rFonts w:ascii="Arial" w:cs="Arial" w:eastAsia="Arial" w:hAnsi="Arial"/>
                <w:sz w:val="13"/>
                <w:szCs w:val="13"/>
                <w:color w:val="auto"/>
              </w:rPr>
              <w:t>2013 and beyond</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6,086</w:t>
            </w:r>
          </w:p>
        </w:tc>
      </w:tr>
      <w:tr>
        <w:trPr>
          <w:trHeight w:val="134"/>
        </w:trPr>
        <w:tc>
          <w:tcPr>
            <w:tcW w:w="3220" w:type="dxa"/>
            <w:vAlign w:val="bottom"/>
            <w:tcBorders>
              <w:bottom w:val="single" w:sz="8" w:color="CCFFCC"/>
            </w:tcBorders>
            <w:shd w:val="clear" w:color="auto" w:fill="CCFFCC"/>
          </w:tcPr>
          <w:p>
            <w:pPr>
              <w:ind w:left="80"/>
              <w:spacing w:after="0" w:line="134" w:lineRule="exact"/>
              <w:rPr>
                <w:sz w:val="20"/>
                <w:szCs w:val="20"/>
                <w:color w:val="auto"/>
              </w:rPr>
            </w:pPr>
            <w:r>
              <w:rPr>
                <w:rFonts w:ascii="Arial" w:cs="Arial" w:eastAsia="Arial" w:hAnsi="Arial"/>
                <w:sz w:val="13"/>
                <w:szCs w:val="13"/>
                <w:color w:val="auto"/>
              </w:rPr>
              <w:t>Total minimum lease payments</w:t>
            </w:r>
          </w:p>
        </w:tc>
        <w:tc>
          <w:tcPr>
            <w:tcW w:w="1320" w:type="dxa"/>
            <w:vAlign w:val="bottom"/>
            <w:tcBorders>
              <w:bottom w:val="single" w:sz="8" w:color="auto"/>
            </w:tcBorders>
            <w:shd w:val="clear" w:color="auto" w:fill="CCFFCC"/>
          </w:tcPr>
          <w:p>
            <w:pPr>
              <w:jc w:val="right"/>
              <w:ind w:right="36"/>
              <w:spacing w:after="0" w:line="134" w:lineRule="exact"/>
              <w:rPr>
                <w:sz w:val="20"/>
                <w:szCs w:val="20"/>
                <w:color w:val="auto"/>
              </w:rPr>
            </w:pPr>
            <w:r>
              <w:rPr>
                <w:rFonts w:ascii="Arial" w:cs="Arial" w:eastAsia="Arial" w:hAnsi="Arial"/>
                <w:sz w:val="13"/>
                <w:szCs w:val="13"/>
                <w:color w:val="auto"/>
              </w:rPr>
              <w:t>$ 13,983</w:t>
            </w:r>
          </w:p>
        </w:tc>
      </w:tr>
      <w:tr>
        <w:trPr>
          <w:trHeight w:val="20"/>
        </w:trPr>
        <w:tc>
          <w:tcPr>
            <w:tcW w:w="3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Litigation</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In June 2002, the Company initiated a lawsuit against Élan Pharmaceuticals and related entities in an effort to clarify intellectual property rights, including the recovery of royalties and other costs and fees, to which the Company believed it was entitled under a series of agreements and to clarify intellectual property rights associated with those agreements. The Company sought damages, injunctive relief and declaratory relief. On June 27, 2005, the Company obtained a settlement pursuant to which Élan and related entities agreed to pay the Company $10.0 million.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 million to all Company stockholders of record as of June 15, 2005.</w:t>
      </w:r>
    </w:p>
    <w:p>
      <w:pPr>
        <w:spacing w:after="0" w:line="176"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 For claims filed against the Company for use of BioThrax by the DoD, the Company expects to rely on contractual indemnification provisions with the DoD and statutory protections to limit our potential liability resulting from the pending lawsuits.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party transactions</w:t>
      </w:r>
    </w:p>
    <w:p>
      <w:pPr>
        <w:spacing w:after="0" w:line="219" w:lineRule="exact"/>
        <w:rPr>
          <w:sz w:val="20"/>
          <w:szCs w:val="20"/>
          <w:color w:val="auto"/>
        </w:rPr>
      </w:pPr>
    </w:p>
    <w:p>
      <w:pPr>
        <w:ind w:right="260" w:firstLine="308"/>
        <w:spacing w:after="0" w:line="258" w:lineRule="auto"/>
        <w:rPr>
          <w:sz w:val="20"/>
          <w:szCs w:val="20"/>
          <w:color w:val="auto"/>
        </w:rPr>
      </w:pPr>
      <w:r>
        <w:rPr>
          <w:rFonts w:ascii="Arial" w:cs="Arial" w:eastAsia="Arial" w:hAnsi="Arial"/>
          <w:sz w:val="17"/>
          <w:szCs w:val="17"/>
          <w:color w:val="auto"/>
        </w:rPr>
        <w:t>The Company has engaged Wilmer Cutler Pickering Hale and Dorr LLP ("WilmerHale") to provide certain legal services to the Company. The Company's Senior Vice President Legal Affairs and General Counsel is married to a partner at WilmerHale, who has not participated in providing legal services to the Company. The Company has incurred fees for legal services rendered by WilmerHale of approximately $1.0 million for the year ended December 31, 2007. Of this amount, approximately $131,000 was in accounts payable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175260</wp:posOffset>
            </wp:positionV>
            <wp:extent cx="727900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60"/>
          </w:cols>
          <w:pgMar w:left="240" w:top="268" w:right="299" w:bottom="1440" w:gutter="0" w:footer="0" w:header="0"/>
        </w:sectPr>
      </w:pPr>
    </w:p>
    <w:bookmarkStart w:id="97" w:name="page98"/>
    <w:bookmarkEnd w:id="97"/>
    <w:p>
      <w:pPr>
        <w:ind w:right="120" w:firstLine="308"/>
        <w:spacing w:after="0" w:line="273" w:lineRule="auto"/>
        <w:rPr>
          <w:sz w:val="20"/>
          <w:szCs w:val="20"/>
          <w:color w:val="auto"/>
        </w:rPr>
      </w:pPr>
      <w:r>
        <w:rPr>
          <w:rFonts w:ascii="Arial" w:cs="Arial" w:eastAsia="Arial" w:hAnsi="Arial"/>
          <w:sz w:val="16"/>
          <w:szCs w:val="16"/>
          <w:color w:val="auto"/>
        </w:rPr>
        <w:t>The Company has entered into marketing and sales contracts with entities controlled by family members of the Chief Executive Officer to market and sell BioThrax in certain international territories if certain conditions are met. A consulting arrangement with the Chief Executive Officer’s sister required a payment of 4% of net sales, not to exceed $2.00 per dose, under the agreement. This arrangement terminated in 2006. A marketing arrangement with an entity affiliated with the family of Chief Executive Officer required a payment of 40% of gross sales in countries in the Middle East and North Africa, except Israel. This arrangement terminated in 2007. A similar marketing arrangement with the same entity was entered into in 2008 that requires a payment of 17.5% of net sales and reimbursement of certain expenses, for certain countries in the Middle East and North Africa, excluding countries to which export is prohibited by the U.S. government. No royalty payments under these agreements have been triggered for the years ended December 31, 2007, 2006 and 2005.</w:t>
      </w:r>
    </w:p>
    <w:p>
      <w:pPr>
        <w:spacing w:after="0" w:line="176" w:lineRule="exact"/>
        <w:rPr>
          <w:sz w:val="20"/>
          <w:szCs w:val="20"/>
          <w:color w:val="auto"/>
        </w:rPr>
      </w:pPr>
    </w:p>
    <w:p>
      <w:pPr>
        <w:ind w:right="20" w:firstLine="308"/>
        <w:spacing w:after="0" w:line="273" w:lineRule="auto"/>
        <w:rPr>
          <w:sz w:val="20"/>
          <w:szCs w:val="20"/>
          <w:color w:val="auto"/>
        </w:rPr>
      </w:pPr>
      <w:r>
        <w:rPr>
          <w:rFonts w:ascii="Arial" w:cs="Arial" w:eastAsia="Arial" w:hAnsi="Arial"/>
          <w:sz w:val="16"/>
          <w:szCs w:val="16"/>
          <w:color w:val="auto"/>
        </w:rPr>
        <w:t>The Company has entered into consulting, lease and transportation arrangements with various persons or entities affiliated with the Chief Executive Officer and two members of the board of directors. At December 31, 2007 and 2006, there was $18,000 and $17,000, respectively, in accounts payable for these services. For the years ended December 31, 2007, 2006 and 2005, the Company paid approximately $200,000, $387,000 and, $625,000, respectively, to various persons or entities affiliated with two members of our board of directors. For the years ended December 31, 2007, 2006 and 2005, the Company paid approximately $33,000, $33,000 and $169,000, respectively, to entitles owned by or affiliated with the Chief Executive Officer. The Company currently has an agreement with a director to perform corporate strategic issues consultation and directed project support to the marketing and communications group and an agreement with a company owned by the Chief Executive Officer to provide transportation and logistical support.</w:t>
      </w:r>
    </w:p>
    <w:p>
      <w:pPr>
        <w:spacing w:after="0" w:line="176" w:lineRule="exact"/>
        <w:rPr>
          <w:sz w:val="20"/>
          <w:szCs w:val="20"/>
          <w:color w:val="auto"/>
        </w:rPr>
      </w:pPr>
    </w:p>
    <w:p>
      <w:pPr>
        <w:ind w:right="80" w:firstLine="308"/>
        <w:spacing w:after="0" w:line="313" w:lineRule="auto"/>
        <w:rPr>
          <w:sz w:val="20"/>
          <w:szCs w:val="20"/>
          <w:color w:val="auto"/>
        </w:rPr>
      </w:pPr>
      <w:r>
        <w:rPr>
          <w:rFonts w:ascii="Arial" w:cs="Arial" w:eastAsia="Arial" w:hAnsi="Arial"/>
          <w:sz w:val="15"/>
          <w:szCs w:val="15"/>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2006 and 2005, the Company paid approximately $13,000 and $34,000, respectively, for transportation on an as needed basis for business purposes. In May 2006, this arrangement was terminated.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219"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The Company reports financial information for two business segments: biodefense and commercial. In the biodefense business, the Company develops, manufactures and commercializes products for use against biological agents that are potential weapons of bioterrorism. Revenues in this segment relate to the Company’s FDA-approved product, BioThrax. In the commercial business, the Company develops products for use against infectious diseases that have resulted in significant unmet or underserved medical needs. Revenues in this segment consist predominantly of milestone payments and development and grant revenues received under collaboration and grant arrangements. The “All Other” segment relates to the general operating costs of the Company and includes costs of the centralized services departments, which are not allocated to the other segments, as well as spending on product candidates or activities that are not classified as biodefense or commercial. The assets in this segment consist of cash and fixed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3"/>
                <w:szCs w:val="13"/>
                <w:b w:val="1"/>
                <w:bCs w:val="1"/>
                <w:color w:val="auto"/>
              </w:rPr>
              <w:t>Reportable Segments</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98"/>
        </w:trPr>
        <w:tc>
          <w:tcPr>
            <w:tcW w:w="23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Biodefense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Commercial</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All Other</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r>
      <w:tr>
        <w:trPr>
          <w:trHeight w:val="198"/>
        </w:trPr>
        <w:tc>
          <w:tcPr>
            <w:tcW w:w="23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Year Ended December 31, 2007</w:t>
            </w:r>
          </w:p>
        </w:tc>
        <w:tc>
          <w:tcPr>
            <w:tcW w:w="3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External revenue</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179,738</w:t>
            </w: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3,177</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182,915</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Intersegment revenue (expense)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24,744</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26,159</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3,055</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53,958</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revenue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2,809</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2,809</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(71)</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3,445</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947</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425</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4,817</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76,397</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(38,213)</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(15,248)</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22,936</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Assets</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133,692</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21,672</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118,144</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273,508</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Expenditures for long-lived assets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38,880</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1,991</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43,969</w:t>
            </w:r>
          </w:p>
        </w:tc>
      </w:tr>
      <w:tr>
        <w:trPr>
          <w:trHeight w:val="218"/>
        </w:trPr>
        <w:tc>
          <w:tcPr>
            <w:tcW w:w="2320" w:type="dxa"/>
            <w:vAlign w:val="bottom"/>
            <w:shd w:val="clear" w:color="auto" w:fill="CCFFCC"/>
          </w:tcPr>
          <w:p>
            <w:pPr>
              <w:ind w:left="100"/>
              <w:spacing w:after="0"/>
              <w:rPr>
                <w:sz w:val="20"/>
                <w:szCs w:val="20"/>
                <w:color w:val="auto"/>
              </w:rPr>
            </w:pPr>
            <w:r>
              <w:rPr>
                <w:rFonts w:ascii="Arial" w:cs="Arial" w:eastAsia="Arial" w:hAnsi="Arial"/>
                <w:sz w:val="13"/>
                <w:szCs w:val="13"/>
                <w:b w:val="1"/>
                <w:bCs w:val="1"/>
                <w:color w:val="auto"/>
              </w:rPr>
              <w:t>Year Ended December 31, 2006</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External revenue</w:t>
            </w:r>
          </w:p>
        </w:tc>
        <w:tc>
          <w:tcPr>
            <w:tcW w:w="3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147,707</w:t>
            </w:r>
          </w:p>
        </w:tc>
        <w:tc>
          <w:tcPr>
            <w:tcW w:w="34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5,025</w:t>
            </w:r>
          </w:p>
        </w:tc>
        <w:tc>
          <w:tcPr>
            <w:tcW w:w="32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8"/>
                <w:szCs w:val="18"/>
                <w:color w:val="auto"/>
              </w:rPr>
            </w:pPr>
          </w:p>
        </w:tc>
        <w:tc>
          <w:tcPr>
            <w:tcW w:w="34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152,732</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Intersegment revenue (expense)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Research and development</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22,219</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22,425</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857</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45,501</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Interest revenue</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846</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846</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(1,152)</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(1,152)</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Depreciation and amortization</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3,586</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830</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299</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4,715</w:t>
            </w:r>
          </w:p>
        </w:tc>
      </w:tr>
      <w:tr>
        <w:trPr>
          <w:trHeight w:val="218"/>
        </w:trPr>
        <w:tc>
          <w:tcPr>
            <w:tcW w:w="2320" w:type="dxa"/>
            <w:vAlign w:val="bottom"/>
          </w:tcPr>
          <w:p>
            <w:pPr>
              <w:ind w:left="240"/>
              <w:spacing w:after="0"/>
              <w:rPr>
                <w:sz w:val="20"/>
                <w:szCs w:val="20"/>
                <w:color w:val="auto"/>
              </w:rPr>
            </w:pPr>
            <w:r>
              <w:rPr>
                <w:rFonts w:ascii="Arial" w:cs="Arial" w:eastAsia="Arial" w:hAnsi="Arial"/>
                <w:sz w:val="13"/>
                <w:szCs w:val="13"/>
                <w:color w:val="auto"/>
              </w:rPr>
              <w:t>Net income (loss)</w:t>
            </w:r>
          </w:p>
        </w:tc>
        <w:tc>
          <w:tcPr>
            <w:tcW w:w="3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55,074</w:t>
            </w:r>
          </w:p>
        </w:tc>
        <w:tc>
          <w:tcPr>
            <w:tcW w:w="34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(24,538)</w:t>
            </w:r>
          </w:p>
        </w:tc>
        <w:tc>
          <w:tcPr>
            <w:tcW w:w="3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(7,743)</w:t>
            </w:r>
          </w:p>
        </w:tc>
        <w:tc>
          <w:tcPr>
            <w:tcW w:w="34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22,793</w:t>
            </w:r>
          </w:p>
        </w:tc>
      </w:tr>
      <w:tr>
        <w:trPr>
          <w:trHeight w:val="218"/>
        </w:trPr>
        <w:tc>
          <w:tcPr>
            <w:tcW w:w="2320" w:type="dxa"/>
            <w:vAlign w:val="bottom"/>
            <w:shd w:val="clear" w:color="auto" w:fill="CCFFCC"/>
          </w:tcPr>
          <w:p>
            <w:pPr>
              <w:ind w:left="240"/>
              <w:spacing w:after="0"/>
              <w:rPr>
                <w:sz w:val="20"/>
                <w:szCs w:val="20"/>
                <w:color w:val="auto"/>
              </w:rPr>
            </w:pPr>
            <w:r>
              <w:rPr>
                <w:rFonts w:ascii="Arial" w:cs="Arial" w:eastAsia="Arial" w:hAnsi="Arial"/>
                <w:sz w:val="13"/>
                <w:szCs w:val="13"/>
                <w:color w:val="auto"/>
              </w:rPr>
              <w:t>Assets</w:t>
            </w:r>
          </w:p>
        </w:tc>
        <w:tc>
          <w:tcPr>
            <w:tcW w:w="30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125,562</w:t>
            </w: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13,732</w:t>
            </w:r>
          </w:p>
        </w:tc>
        <w:tc>
          <w:tcPr>
            <w:tcW w:w="32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3"/>
                <w:szCs w:val="13"/>
                <w:color w:val="auto"/>
              </w:rPr>
              <w:t>98,961</w:t>
            </w: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238,255</w:t>
            </w:r>
          </w:p>
        </w:tc>
      </w:tr>
      <w:tr>
        <w:trPr>
          <w:trHeight w:val="230"/>
        </w:trPr>
        <w:tc>
          <w:tcPr>
            <w:tcW w:w="2320" w:type="dxa"/>
            <w:vAlign w:val="bottom"/>
          </w:tcPr>
          <w:p>
            <w:pPr>
              <w:ind w:left="240"/>
              <w:spacing w:after="0"/>
              <w:rPr>
                <w:sz w:val="20"/>
                <w:szCs w:val="20"/>
                <w:color w:val="auto"/>
              </w:rPr>
            </w:pPr>
            <w:r>
              <w:rPr>
                <w:rFonts w:ascii="Arial" w:cs="Arial" w:eastAsia="Arial" w:hAnsi="Arial"/>
                <w:sz w:val="13"/>
                <w:szCs w:val="13"/>
                <w:color w:val="auto"/>
              </w:rPr>
              <w:t>Expenditures for long-lived assets</w:t>
            </w:r>
          </w:p>
        </w:tc>
        <w:tc>
          <w:tcPr>
            <w:tcW w:w="30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29,273</w:t>
            </w:r>
          </w:p>
        </w:tc>
        <w:tc>
          <w:tcPr>
            <w:tcW w:w="3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3"/>
                <w:szCs w:val="13"/>
                <w:color w:val="auto"/>
              </w:rPr>
              <w:t>1,455</w:t>
            </w:r>
          </w:p>
        </w:tc>
        <w:tc>
          <w:tcPr>
            <w:tcW w:w="32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10,500</w:t>
            </w:r>
          </w:p>
        </w:tc>
        <w:tc>
          <w:tcPr>
            <w:tcW w:w="340" w:type="dxa"/>
            <w:vAlign w:val="bottom"/>
          </w:tcPr>
          <w:p>
            <w:pPr>
              <w:spacing w:after="0"/>
              <w:rPr>
                <w:sz w:val="20"/>
                <w:szCs w:val="20"/>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41,228</w:t>
            </w:r>
          </w:p>
        </w:tc>
      </w:tr>
    </w:tbl>
    <w:p>
      <w:pPr>
        <w:spacing w:after="0" w:line="210" w:lineRule="exact"/>
        <w:rPr>
          <w:sz w:val="20"/>
          <w:szCs w:val="20"/>
          <w:color w:val="auto"/>
        </w:rPr>
      </w:pPr>
    </w:p>
    <w:p>
      <w:pPr>
        <w:ind w:right="560" w:firstLine="308"/>
        <w:spacing w:after="0" w:line="272" w:lineRule="auto"/>
        <w:rPr>
          <w:sz w:val="20"/>
          <w:szCs w:val="20"/>
          <w:color w:val="auto"/>
        </w:rPr>
      </w:pPr>
      <w:r>
        <w:rPr>
          <w:rFonts w:ascii="Arial" w:cs="Arial" w:eastAsia="Arial" w:hAnsi="Arial"/>
          <w:sz w:val="17"/>
          <w:szCs w:val="17"/>
          <w:color w:val="auto"/>
        </w:rPr>
        <w:t>The accounting policies of the segments are the same as those described in Note 2 — Summary of significant accounting policies. There are no inter-segment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36830</wp:posOffset>
            </wp:positionV>
            <wp:extent cx="72790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8" w:name="page99"/>
    <w:bookmarkEnd w:id="98"/>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Quarterly financial data (unaudited)</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Quarterly financial information for the years ended December 31, 2007 and 2006 is presented in the following tables: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26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3"/>
                <w:szCs w:val="13"/>
                <w:b w:val="1"/>
                <w:bCs w:val="1"/>
                <w:color w:val="auto"/>
              </w:rPr>
              <w:t>March 31,</w:t>
            </w: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96"/>
              <w:spacing w:after="0" w:line="134" w:lineRule="exact"/>
              <w:rPr>
                <w:sz w:val="20"/>
                <w:szCs w:val="20"/>
                <w:color w:val="auto"/>
              </w:rPr>
            </w:pPr>
            <w:r>
              <w:rPr>
                <w:rFonts w:ascii="Arial" w:cs="Arial" w:eastAsia="Arial" w:hAnsi="Arial"/>
                <w:sz w:val="13"/>
                <w:szCs w:val="13"/>
                <w:b w:val="1"/>
                <w:bCs w:val="1"/>
                <w:color w:val="auto"/>
              </w:rPr>
              <w:t>June 30,</w:t>
            </w: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w w:val="98"/>
              </w:rPr>
              <w:t>September 30,</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76"/>
              <w:spacing w:after="0" w:line="134"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Fiscal year 2007</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Revenue</w:t>
            </w:r>
          </w:p>
        </w:tc>
        <w:tc>
          <w:tcPr>
            <w:tcW w:w="3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26,448</w:t>
            </w:r>
          </w:p>
        </w:tc>
        <w:tc>
          <w:tcPr>
            <w:tcW w:w="38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23,186</w:t>
            </w:r>
          </w:p>
        </w:tc>
        <w:tc>
          <w:tcPr>
            <w:tcW w:w="2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43,644</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89,637</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Income (loss) from operations</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(5,831)</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(8,657)</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4,422</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43,159</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(2,690)</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(4,961)</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2,845</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27,742</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Net income (loss) per share, basic</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(0.17)</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0.93</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 per share, diluted</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(0.17)</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0.10</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0.93</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100"/>
              <w:spacing w:after="0" w:line="141" w:lineRule="exact"/>
              <w:rPr>
                <w:sz w:val="20"/>
                <w:szCs w:val="20"/>
                <w:color w:val="auto"/>
              </w:rPr>
            </w:pPr>
            <w:r>
              <w:rPr>
                <w:rFonts w:ascii="Arial" w:cs="Arial" w:eastAsia="Arial" w:hAnsi="Arial"/>
                <w:sz w:val="13"/>
                <w:szCs w:val="13"/>
                <w:color w:val="auto"/>
              </w:rPr>
              <w:t>Fiscal year 2006</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Revenue</w:t>
            </w:r>
          </w:p>
        </w:tc>
        <w:tc>
          <w:tcPr>
            <w:tcW w:w="360" w:type="dxa"/>
            <w:vAlign w:val="bottom"/>
          </w:tcPr>
          <w:p>
            <w:pPr>
              <w:jc w:val="right"/>
              <w:ind w:right="1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12,223</w:t>
            </w:r>
          </w:p>
        </w:tc>
        <w:tc>
          <w:tcPr>
            <w:tcW w:w="380" w:type="dxa"/>
            <w:vAlign w:val="bottom"/>
          </w:tcPr>
          <w:p>
            <w:pPr>
              <w:jc w:val="right"/>
              <w:ind w:right="15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11,446</w:t>
            </w:r>
          </w:p>
        </w:tc>
        <w:tc>
          <w:tcPr>
            <w:tcW w:w="2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42,174</w:t>
            </w:r>
          </w:p>
        </w:tc>
        <w:tc>
          <w:tcPr>
            <w:tcW w:w="280" w:type="dxa"/>
            <w:vAlign w:val="bottom"/>
          </w:tcPr>
          <w:p>
            <w:pPr>
              <w:jc w:val="right"/>
              <w:ind w:right="56"/>
              <w:spacing w:after="0" w:line="141"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86,889</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Income (loss) from operations</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(9,398)</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(6,194)</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9,720</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43,900</w:t>
            </w:r>
          </w:p>
        </w:tc>
        <w:tc>
          <w:tcPr>
            <w:tcW w:w="0" w:type="dxa"/>
            <w:vAlign w:val="bottom"/>
          </w:tcPr>
          <w:p>
            <w:pPr>
              <w:spacing w:after="0"/>
              <w:rPr>
                <w:sz w:val="1"/>
                <w:szCs w:val="1"/>
                <w:color w:val="auto"/>
              </w:rPr>
            </w:pPr>
          </w:p>
        </w:tc>
      </w:tr>
      <w:tr>
        <w:trPr>
          <w:trHeight w:val="141"/>
        </w:trPr>
        <w:tc>
          <w:tcPr>
            <w:tcW w:w="2600" w:type="dxa"/>
            <w:vAlign w:val="bottom"/>
          </w:tcPr>
          <w:p>
            <w:pPr>
              <w:ind w:left="240"/>
              <w:spacing w:after="0" w:line="141" w:lineRule="exact"/>
              <w:rPr>
                <w:sz w:val="20"/>
                <w:szCs w:val="20"/>
                <w:color w:val="auto"/>
              </w:rPr>
            </w:pPr>
            <w:r>
              <w:rPr>
                <w:rFonts w:ascii="Arial" w:cs="Arial" w:eastAsia="Arial" w:hAnsi="Arial"/>
                <w:sz w:val="13"/>
                <w:szCs w:val="13"/>
                <w:color w:val="auto"/>
              </w:rPr>
              <w:t>Net income (loss)</w:t>
            </w:r>
          </w:p>
        </w:tc>
        <w:tc>
          <w:tcPr>
            <w:tcW w:w="3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(4,636)</w:t>
            </w:r>
          </w:p>
        </w:tc>
        <w:tc>
          <w:tcPr>
            <w:tcW w:w="38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(3,054)</w:t>
            </w:r>
          </w:p>
        </w:tc>
        <w:tc>
          <w:tcPr>
            <w:tcW w:w="260" w:type="dxa"/>
            <w:vAlign w:val="bottom"/>
          </w:tcPr>
          <w:p>
            <w:pPr>
              <w:spacing w:after="0"/>
              <w:rPr>
                <w:sz w:val="12"/>
                <w:szCs w:val="12"/>
                <w:color w:val="auto"/>
              </w:rPr>
            </w:pPr>
          </w:p>
        </w:tc>
        <w:tc>
          <w:tcPr>
            <w:tcW w:w="1040" w:type="dxa"/>
            <w:vAlign w:val="bottom"/>
          </w:tcPr>
          <w:p>
            <w:pPr>
              <w:jc w:val="right"/>
              <w:ind w:right="36"/>
              <w:spacing w:after="0" w:line="141" w:lineRule="exact"/>
              <w:rPr>
                <w:sz w:val="20"/>
                <w:szCs w:val="20"/>
                <w:color w:val="auto"/>
              </w:rPr>
            </w:pPr>
            <w:r>
              <w:rPr>
                <w:rFonts w:ascii="Arial" w:cs="Arial" w:eastAsia="Arial" w:hAnsi="Arial"/>
                <w:sz w:val="13"/>
                <w:szCs w:val="13"/>
                <w:color w:val="auto"/>
              </w:rPr>
              <w:t>4,354</w:t>
            </w:r>
          </w:p>
        </w:tc>
        <w:tc>
          <w:tcPr>
            <w:tcW w:w="28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26,129</w:t>
            </w:r>
          </w:p>
        </w:tc>
        <w:tc>
          <w:tcPr>
            <w:tcW w:w="0" w:type="dxa"/>
            <w:vAlign w:val="bottom"/>
          </w:tcPr>
          <w:p>
            <w:pPr>
              <w:spacing w:after="0"/>
              <w:rPr>
                <w:sz w:val="1"/>
                <w:szCs w:val="1"/>
                <w:color w:val="auto"/>
              </w:rPr>
            </w:pPr>
          </w:p>
        </w:tc>
      </w:tr>
      <w:tr>
        <w:trPr>
          <w:trHeight w:val="141"/>
        </w:trPr>
        <w:tc>
          <w:tcPr>
            <w:tcW w:w="2600" w:type="dxa"/>
            <w:vAlign w:val="bottom"/>
            <w:shd w:val="clear" w:color="auto" w:fill="CCFFCC"/>
          </w:tcPr>
          <w:p>
            <w:pPr>
              <w:ind w:left="240"/>
              <w:spacing w:after="0" w:line="141" w:lineRule="exact"/>
              <w:rPr>
                <w:sz w:val="20"/>
                <w:szCs w:val="20"/>
                <w:color w:val="auto"/>
              </w:rPr>
            </w:pPr>
            <w:r>
              <w:rPr>
                <w:rFonts w:ascii="Arial" w:cs="Arial" w:eastAsia="Arial" w:hAnsi="Arial"/>
                <w:sz w:val="13"/>
                <w:szCs w:val="13"/>
                <w:color w:val="auto"/>
              </w:rPr>
              <w:t>Net income (loss) per share, basic</w:t>
            </w:r>
          </w:p>
        </w:tc>
        <w:tc>
          <w:tcPr>
            <w:tcW w:w="3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(0.21)</w:t>
            </w:r>
          </w:p>
        </w:tc>
        <w:tc>
          <w:tcPr>
            <w:tcW w:w="38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(0.14)</w:t>
            </w:r>
          </w:p>
        </w:tc>
        <w:tc>
          <w:tcPr>
            <w:tcW w:w="260" w:type="dxa"/>
            <w:vAlign w:val="bottom"/>
            <w:shd w:val="clear" w:color="auto" w:fill="CCFFCC"/>
          </w:tcPr>
          <w:p>
            <w:pPr>
              <w:spacing w:after="0"/>
              <w:rPr>
                <w:sz w:val="12"/>
                <w:szCs w:val="12"/>
                <w:color w:val="auto"/>
              </w:rPr>
            </w:pPr>
          </w:p>
        </w:tc>
        <w:tc>
          <w:tcPr>
            <w:tcW w:w="104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0.19</w:t>
            </w:r>
          </w:p>
        </w:tc>
        <w:tc>
          <w:tcPr>
            <w:tcW w:w="28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36"/>
              <w:spacing w:after="0" w:line="141"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1"/>
        </w:trPr>
        <w:tc>
          <w:tcPr>
            <w:tcW w:w="2600" w:type="dxa"/>
            <w:vAlign w:val="bottom"/>
            <w:tcBorders>
              <w:bottom w:val="single" w:sz="8" w:color="auto"/>
            </w:tcBorders>
          </w:tcPr>
          <w:p>
            <w:pPr>
              <w:ind w:left="240"/>
              <w:spacing w:after="0" w:line="141" w:lineRule="exact"/>
              <w:rPr>
                <w:sz w:val="20"/>
                <w:szCs w:val="20"/>
                <w:color w:val="auto"/>
              </w:rPr>
            </w:pPr>
            <w:r>
              <w:rPr>
                <w:rFonts w:ascii="Arial" w:cs="Arial" w:eastAsia="Arial" w:hAnsi="Arial"/>
                <w:sz w:val="13"/>
                <w:szCs w:val="13"/>
                <w:color w:val="auto"/>
              </w:rPr>
              <w:t>Net income (loss) per share, diluted</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(0.21)</w:t>
            </w:r>
          </w:p>
        </w:tc>
        <w:tc>
          <w:tcPr>
            <w:tcW w:w="3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(0.14)</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0.18</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6"/>
              <w:spacing w:after="0" w:line="141" w:lineRule="exact"/>
              <w:rPr>
                <w:sz w:val="20"/>
                <w:szCs w:val="20"/>
                <w:color w:val="auto"/>
              </w:rPr>
            </w:pPr>
            <w:r>
              <w:rPr>
                <w:rFonts w:ascii="Arial" w:cs="Arial" w:eastAsia="Arial" w:hAnsi="Arial"/>
                <w:sz w:val="13"/>
                <w:szCs w:val="13"/>
                <w:color w:val="auto"/>
              </w:rPr>
              <w:t>0.99</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Evaluation of Disclosure Controls and Procedures</w:t>
      </w:r>
    </w:p>
    <w:p>
      <w:pPr>
        <w:spacing w:after="0" w:line="215"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of December 31, 2007.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2007,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Management’s Report on Internal Control Over Financial Reporting</w:t>
      </w:r>
    </w:p>
    <w:p>
      <w:pPr>
        <w:spacing w:after="0" w:line="215"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2007. In making this assessment, our management used the criteria set forth by the Committee of Sponsoring Organizations of the Treadway Commission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Based on this assessment, our management concluded that, as of December 31, 2007, our internal control over financial reporting is effective based on those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w:t>
      </w:r>
    </w:p>
    <w:p>
      <w:pPr>
        <w:spacing w:after="0" w:line="187" w:lineRule="exact"/>
        <w:rPr>
          <w:sz w:val="20"/>
          <w:szCs w:val="20"/>
          <w:color w:val="auto"/>
        </w:rPr>
      </w:pPr>
    </w:p>
    <w:p>
      <w:pPr>
        <w:ind w:firstLine="308"/>
        <w:spacing w:after="0" w:line="341" w:lineRule="auto"/>
        <w:rPr>
          <w:sz w:val="20"/>
          <w:szCs w:val="20"/>
          <w:color w:val="auto"/>
        </w:rPr>
      </w:pPr>
      <w:r>
        <w:rPr>
          <w:rFonts w:ascii="Arial" w:cs="Arial" w:eastAsia="Arial" w:hAnsi="Arial"/>
          <w:sz w:val="15"/>
          <w:szCs w:val="15"/>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2007, a copy of which is included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15" w:lineRule="exact"/>
        <w:rPr>
          <w:sz w:val="20"/>
          <w:szCs w:val="20"/>
          <w:color w:val="auto"/>
        </w:rPr>
      </w:pPr>
    </w:p>
    <w:p>
      <w:pPr>
        <w:ind w:right="320" w:firstLine="308"/>
        <w:spacing w:after="0" w:line="304"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December 31, 2007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152400</wp:posOffset>
            </wp:positionV>
            <wp:extent cx="72790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 of Emergent BioSolutions Inc. and Subsidiaries</w:t>
      </w:r>
    </w:p>
    <w:p>
      <w:pPr>
        <w:spacing w:after="0" w:line="215"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We have audited Emergent BioSolutions Inc. and Subsidiaries’ internal control over financial reporting as of December 31, 2007, based on criteria established in Internal Control—Integrated Framework issued by the Committee of Sponsoring Organizations of the Treadway Commission (the COSO criteria). Emergent BioSolutions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right="140" w:firstLine="308"/>
        <w:spacing w:after="0" w:line="27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120" w:firstLine="308"/>
        <w:spacing w:after="0" w:line="27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360" w:firstLine="308"/>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40" w:firstLine="308"/>
        <w:spacing w:after="0" w:line="272" w:lineRule="auto"/>
        <w:rPr>
          <w:sz w:val="20"/>
          <w:szCs w:val="20"/>
          <w:color w:val="auto"/>
        </w:rPr>
      </w:pPr>
      <w:r>
        <w:rPr>
          <w:rFonts w:ascii="Arial" w:cs="Arial" w:eastAsia="Arial" w:hAnsi="Arial"/>
          <w:sz w:val="17"/>
          <w:szCs w:val="17"/>
          <w:color w:val="auto"/>
        </w:rPr>
        <w:t>In our opinion, Emergent BioSolutions Inc. and Subsidiaries maintained, in all material respects, effective internal control over financial reporting as of December 31, 2007, based on the COSO criteria</w:t>
      </w:r>
      <w:r>
        <w:rPr>
          <w:rFonts w:ascii="Arial" w:cs="Arial" w:eastAsia="Arial" w:hAnsi="Arial"/>
          <w:sz w:val="17"/>
          <w:szCs w:val="17"/>
          <w:b w:val="1"/>
          <w:bCs w:val="1"/>
          <w:color w:val="auto"/>
        </w:rPr>
        <w:t>.</w:t>
      </w:r>
    </w:p>
    <w:p>
      <w:pPr>
        <w:spacing w:after="0" w:line="17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Emergent BioSolutions Inc. and Subsidiaries as of December 31, 2007 and 2006, and the related consolidated statements of operations, stockholders’ equity, and cash flows for each of the three years in the period ended December 31, 2007 of Emergent BioSolutions Inc. and Subsidiares and our report dated March 6, 2008 expressed an unqualified opinion thereon.</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450215</wp:posOffset>
            </wp:positionV>
            <wp:extent cx="72790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0" w:name="page101"/>
    <w:bookmarkEnd w:id="100"/>
    <w:p>
      <w:pPr>
        <w:spacing w:after="0"/>
        <w:tabs>
          <w:tab w:leader="none" w:pos="10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Marketing Agreement</w:t>
      </w:r>
    </w:p>
    <w:p>
      <w:pPr>
        <w:spacing w:after="0" w:line="219" w:lineRule="exact"/>
        <w:rPr>
          <w:sz w:val="20"/>
          <w:szCs w:val="20"/>
          <w:color w:val="auto"/>
        </w:rPr>
      </w:pPr>
    </w:p>
    <w:p>
      <w:pPr>
        <w:ind w:right="180" w:firstLine="308"/>
        <w:spacing w:after="0" w:line="279" w:lineRule="auto"/>
        <w:rPr>
          <w:sz w:val="20"/>
          <w:szCs w:val="20"/>
          <w:color w:val="auto"/>
        </w:rPr>
      </w:pPr>
      <w:r>
        <w:rPr>
          <w:rFonts w:ascii="Arial" w:cs="Arial" w:eastAsia="Arial" w:hAnsi="Arial"/>
          <w:sz w:val="16"/>
          <w:szCs w:val="16"/>
          <w:color w:val="auto"/>
        </w:rPr>
        <w:t>On March 6, 2008, we entered into an amended and restated marketing agreement (the “Marketing Agreement”) with Intergen N.V.("Intergen"). The Marketing Agreement amends and restates a prior amended and restated marketing agreement (the “Prior Agreement”). The Marketing Agreement is effective as of November 5, 2007, the date the Prior Agreement expired in accordance with its terms. Yasmine Gibellini, the chairperson and a major shareholder of Intergen is the sister of Fuad El-Hibri, our chief executive officer and chairman of our board of director. Ms. Gibellini is also an owner of Biologika L.L.C.</w:t>
      </w:r>
    </w:p>
    <w:p>
      <w:pPr>
        <w:spacing w:after="0" w:line="170"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Under the Marketing Agreement, we appointed Intergen as our marketing representative for the sale and promotion of BioThrax, anthrax immune globulin, recombinant botulinum vaccine and botulinum immune globulin in a territory comprised of specified countries in the Middle East and North Africa, excluding countries to which export is prohibited by the U.S. government. The appointment is exclusive until November 5, 2008. If the Marketing Agreement is extended beyond November 5, 2008, the appointment will become non-exclusive. We agreed to pay Intergen a fee equal to 17.5% of net sales of the marketed products pursuant to customer contracts in these countries. The fee is only payable pursuant to customer contracts entered into after the exclusivity period if Intergen introduces the customer to us and engages in meaningful activity that leads to the purchase transaction. Under the Marketing Agreement, we agreed to reimburse Intergen for out-of-pocket expenses attributable to a particular purchase contract up to a specified percentage of net sales under that contract.</w:t>
      </w:r>
    </w:p>
    <w:p>
      <w:pPr>
        <w:spacing w:after="0" w:line="176"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The term of the Marketing Agreement is scheduled to expire on November 5, 2008. The Marketing Agreement provides for an extension of an additional three years until November 5, 2011 if on or prior to November 5, 2008 we enter into customer contracts for the sale of marketed products in the territory with a committed dollar amount of at least $15.0 million. This automatic extension also applies if Intergen procures a written firm order for the purchase of a marketed product from a customer in the territory prior to November 5, 2008 and such order results in the execution on or before May 5, 2009 of a customer contract for the sale of the marketed product in the territory with a committed dollar amount of a least $15.0 million.</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40" w:firstLine="308"/>
        <w:spacing w:after="0" w:line="303" w:lineRule="auto"/>
        <w:rPr>
          <w:sz w:val="20"/>
          <w:szCs w:val="20"/>
          <w:color w:val="auto"/>
        </w:rPr>
      </w:pPr>
      <w:r>
        <w:rPr>
          <w:rFonts w:ascii="Arial" w:cs="Arial" w:eastAsia="Arial" w:hAnsi="Arial"/>
          <w:sz w:val="15"/>
          <w:szCs w:val="15"/>
          <w:color w:val="auto"/>
        </w:rPr>
        <w:t>On March 3, 2008, the Compensation Committee awarded cash bonuses to the following executives in the following amounts: Fuad El-Hibri, $307,857; Daniel J. Abdun-Nabi, $179,570; R. Don Elsey, $91,313; Denise Esposito, $66,582; Kyle W. Keese, $67,066; Robert Kramer, $150,842. Also on March 3, 2008, the Compensation Committee approved the following base salaries and target bonus percentages for the following executives, all effective as of January 1, 2008: Fuad El-Hibri, $538,750 and 50%; Daniel J. Abdun-Nabi, $391,388 and 45%; R. Don Elsey, $296,400 and 40%; Denise Esposito, $270,400 and 35%; Kyle W. Keese, $275,600 and 35%.</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Executive Resignation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March 7, 2008, Shahzad Malik notified the Board of Directors that he would be resigning from the Board of Directors effective March 12, 2007.</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15"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19" w:lineRule="exact"/>
        <w:rPr>
          <w:sz w:val="20"/>
          <w:szCs w:val="20"/>
          <w:color w:val="auto"/>
        </w:rPr>
      </w:pPr>
    </w:p>
    <w:p>
      <w:pPr>
        <w:ind w:right="120" w:firstLine="308"/>
        <w:spacing w:after="0" w:line="262" w:lineRule="auto"/>
        <w:rPr>
          <w:sz w:val="20"/>
          <w:szCs w:val="20"/>
          <w:color w:val="auto"/>
        </w:rPr>
      </w:pPr>
      <w:r>
        <w:rPr>
          <w:rFonts w:ascii="Arial" w:cs="Arial" w:eastAsia="Arial" w:hAnsi="Arial"/>
          <w:sz w:val="17"/>
          <w:szCs w:val="17"/>
          <w:color w:val="auto"/>
        </w:rPr>
        <w:t>Information regarding our directors may be found under the caption "Election of Directors'' in the Proxy Statement for our 2008 Annual Meeting of Stockholders. Information regarding our executive officers may be found under the caption “Executive Officers of the Registrant'' in the Proxy Statement for our 2008 Annual Meeting of Stockholders. Such information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Section 16(a) of the Exchange Act</w:t>
      </w:r>
    </w:p>
    <w:p>
      <w:pPr>
        <w:spacing w:after="0" w:line="219" w:lineRule="exact"/>
        <w:rPr>
          <w:sz w:val="20"/>
          <w:szCs w:val="20"/>
          <w:color w:val="auto"/>
        </w:rPr>
      </w:pPr>
    </w:p>
    <w:p>
      <w:pPr>
        <w:ind w:right="40" w:firstLine="308"/>
        <w:spacing w:after="0" w:line="262" w:lineRule="auto"/>
        <w:rPr>
          <w:sz w:val="20"/>
          <w:szCs w:val="20"/>
          <w:color w:val="auto"/>
        </w:rPr>
      </w:pPr>
      <w:r>
        <w:rPr>
          <w:rFonts w:ascii="Arial" w:cs="Arial" w:eastAsia="Arial" w:hAnsi="Arial"/>
          <w:sz w:val="17"/>
          <w:szCs w:val="17"/>
          <w:color w:val="auto"/>
        </w:rPr>
        <w:t>Information regarding compliance with Section 16(a) of the Exchange Act by our directors, officers and beneficial owners of more than 10% of our common stock may be found under the caption "Stock Ownership Information—Section 16(a) Beneficial Ownership Reporting Compliance'' in the Proxy Statement for our 2008 Annual Meeting of Stockholders. Such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Code of Ethics</w:t>
      </w:r>
    </w:p>
    <w:p>
      <w:pPr>
        <w:spacing w:after="0" w:line="219" w:lineRule="exact"/>
        <w:rPr>
          <w:sz w:val="20"/>
          <w:szCs w:val="20"/>
          <w:color w:val="auto"/>
        </w:rPr>
      </w:pPr>
    </w:p>
    <w:p>
      <w:pPr>
        <w:ind w:right="60" w:firstLine="308"/>
        <w:spacing w:after="0" w:line="303" w:lineRule="auto"/>
        <w:rPr>
          <w:sz w:val="20"/>
          <w:szCs w:val="20"/>
          <w:color w:val="auto"/>
        </w:rPr>
      </w:pPr>
      <w:r>
        <w:rPr>
          <w:rFonts w:ascii="Arial" w:cs="Arial" w:eastAsia="Arial" w:hAnsi="Arial"/>
          <w:sz w:val="15"/>
          <w:szCs w:val="15"/>
          <w:color w:val="auto"/>
        </w:rPr>
        <w:t>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www.emergentbiosolutions.com. We intend to post on our website all disclosures that are required by applicable law, the rules of the Securities and Exchange Commission or the New York Stock Exchange concerning any amendment to, or waiver from, our code of business conduct and ethics.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Nominees</w:t>
      </w:r>
    </w:p>
    <w:p>
      <w:pPr>
        <w:spacing w:after="0" w:line="219" w:lineRule="exact"/>
        <w:rPr>
          <w:sz w:val="20"/>
          <w:szCs w:val="20"/>
          <w:color w:val="auto"/>
        </w:rPr>
      </w:pPr>
    </w:p>
    <w:p>
      <w:pPr>
        <w:ind w:firstLine="308"/>
        <w:spacing w:after="0" w:line="304" w:lineRule="auto"/>
        <w:rPr>
          <w:sz w:val="20"/>
          <w:szCs w:val="20"/>
          <w:color w:val="auto"/>
        </w:rPr>
      </w:pPr>
      <w:r>
        <w:rPr>
          <w:rFonts w:ascii="Arial" w:cs="Arial" w:eastAsia="Arial" w:hAnsi="Arial"/>
          <w:sz w:val="16"/>
          <w:szCs w:val="16"/>
          <w:color w:val="auto"/>
        </w:rPr>
        <w:t>Information regarding procedures for recommending nominees to the board of directors may be found under the caption “Corporate Governance—Director Nomination Process” in the Proxy Statement for our 2008 Annual Meeting of Stockholders. Such information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19" w:lineRule="exact"/>
        <w:rPr>
          <w:sz w:val="20"/>
          <w:szCs w:val="20"/>
          <w:color w:val="auto"/>
        </w:rPr>
      </w:pPr>
    </w:p>
    <w:p>
      <w:pPr>
        <w:ind w:right="200" w:firstLine="308"/>
        <w:spacing w:after="0" w:line="313" w:lineRule="auto"/>
        <w:rPr>
          <w:sz w:val="20"/>
          <w:szCs w:val="20"/>
          <w:color w:val="auto"/>
        </w:rPr>
      </w:pPr>
      <w:r>
        <w:rPr>
          <w:rFonts w:ascii="Arial" w:cs="Arial" w:eastAsia="Arial" w:hAnsi="Arial"/>
          <w:sz w:val="15"/>
          <w:szCs w:val="15"/>
          <w:color w:val="auto"/>
        </w:rPr>
        <w:t>We have separately designated a standing Audit Committee established in accordance with Section 3(a)(58)(A) of the Exchange Act. Additional information regarding the Audit Committee may be found under the captions “Corporate Governance—Board Committees—Audit Committee” and “Corporate Governance—Audit Committee Report” in the Proxy Statement for our 2008 Annual Meeting of Stockholders. Such information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Financial Expert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board of directors has determined that each of Zsolt Harsanyi, Ph.D. and Shahzad Malik, M.D. is an “audit committee financial expert'” as defined by Item 407(d)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(5) of Regulation S-K of the Exchange Act and is “independent” under the rules of the New York Stock Exchange.</w:t>
      </w:r>
    </w:p>
    <w:p>
      <w:pPr>
        <w:spacing w:after="0" w:line="20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ind w:right="40" w:firstLine="308"/>
        <w:spacing w:after="0" w:line="275" w:lineRule="auto"/>
        <w:rPr>
          <w:sz w:val="20"/>
          <w:szCs w:val="20"/>
          <w:color w:val="auto"/>
        </w:rPr>
      </w:pPr>
      <w:r>
        <w:rPr>
          <w:rFonts w:ascii="Arial" w:cs="Arial" w:eastAsia="Arial" w:hAnsi="Arial"/>
          <w:sz w:val="16"/>
          <w:szCs w:val="16"/>
          <w:color w:val="auto"/>
        </w:rPr>
        <w:t>Information with respect to this item may be found under the caption “Information About Executive and Director Compensation” in the Proxy Statement for our 2008 Annual Meeting of Stockholders. Such information is incorporated herein by reference. The Compensation Committee Report contained in the Proxy Statement for our 2008 Annual Meeting of Stockholders shall be deemed furnished in this annual report on Form 10-K and shall not be deemed “soliciting material” or “filed” with the Securities and Exchange Commission or otherwise subject to the liabilities of Section 18 of the Exchange Act, nor shall it be deemed incorporated by reference into any filing under the Securities Act or the Exchange Act, except to the extent that we specifically request that such information be treated as soliciting material or specifically incorporate such information by reference into a document filed under the Securities Act or the Exchange Act.</w:t>
      </w:r>
    </w:p>
    <w:p>
      <w:pPr>
        <w:spacing w:after="0" w:line="16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19" w:lineRule="exact"/>
        <w:rPr>
          <w:sz w:val="20"/>
          <w:szCs w:val="20"/>
          <w:color w:val="auto"/>
        </w:rPr>
      </w:pPr>
    </w:p>
    <w:p>
      <w:pPr>
        <w:ind w:right="20" w:firstLine="308"/>
        <w:spacing w:after="0" w:line="262" w:lineRule="auto"/>
        <w:rPr>
          <w:sz w:val="20"/>
          <w:szCs w:val="20"/>
          <w:color w:val="auto"/>
        </w:rPr>
      </w:pPr>
      <w:r>
        <w:rPr>
          <w:rFonts w:ascii="Arial" w:cs="Arial" w:eastAsia="Arial" w:hAnsi="Arial"/>
          <w:sz w:val="17"/>
          <w:szCs w:val="17"/>
          <w:color w:val="auto"/>
        </w:rPr>
        <w:t>Information with respect to this item may be found under the captions “Stock Ownership Information” and “Information About Executive and Director Compensation —Securities Authorized for Issuance Under Equity Compensation Plans” in the Proxy Statement for our 2008 Annual Meeting of Stockholders. Such information is incorporated herein by reference.</w:t>
      </w:r>
    </w:p>
    <w:p>
      <w:pPr>
        <w:spacing w:after="0" w:line="176"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19" w:lineRule="exact"/>
        <w:rPr>
          <w:sz w:val="20"/>
          <w:szCs w:val="20"/>
          <w:color w:val="auto"/>
        </w:rPr>
      </w:pPr>
    </w:p>
    <w:p>
      <w:pPr>
        <w:jc w:val="both"/>
        <w:ind w:firstLine="308"/>
        <w:spacing w:after="0" w:line="341" w:lineRule="auto"/>
        <w:rPr>
          <w:sz w:val="20"/>
          <w:szCs w:val="20"/>
          <w:color w:val="auto"/>
        </w:rPr>
      </w:pPr>
      <w:r>
        <w:rPr>
          <w:rFonts w:ascii="Arial" w:cs="Arial" w:eastAsia="Arial" w:hAnsi="Arial"/>
          <w:sz w:val="15"/>
          <w:szCs w:val="15"/>
          <w:color w:val="auto"/>
        </w:rPr>
        <w:t>Information with respect to this item may be found under the captions “Corporate Governance—Transactions with Related Persons” and “Corporate Governance— Board Determination of Independence” in the Proxy Statement for our 2008 Annual Meeting of Stockholders. Such information is incorporated herein by reference.</w:t>
      </w:r>
    </w:p>
    <w:p>
      <w:pPr>
        <w:spacing w:after="0" w:line="121"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19"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7"/>
          <w:szCs w:val="17"/>
          <w:color w:val="auto"/>
        </w:rPr>
        <w:t>Information with respect to this item may be found under the captions “Corporate Governance—Registered Public Accounting Firm's Fees” and “Corporate Governance—Pre-Approval Policy and Procedures” in the Proxy Statement for our 2008 Annual Meeting of Stockholders. Such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2" w:name="page103"/>
    <w:bookmarkEnd w:id="102"/>
    <w:p>
      <w:pPr>
        <w:ind w:left="5380"/>
        <w:spacing w:after="0"/>
        <w:rPr>
          <w:sz w:val="20"/>
          <w:szCs w:val="20"/>
          <w:color w:val="auto"/>
        </w:rPr>
      </w:pPr>
      <w:r>
        <w:rPr>
          <w:rFonts w:ascii="Arial" w:cs="Arial" w:eastAsia="Arial" w:hAnsi="Arial"/>
          <w:sz w:val="17"/>
          <w:szCs w:val="17"/>
          <w:b w:val="1"/>
          <w:bCs w:val="1"/>
          <w:color w:val="auto"/>
        </w:rPr>
        <w:t>PART IV</w:t>
      </w:r>
    </w:p>
    <w:p>
      <w:pPr>
        <w:spacing w:after="0" w:line="215"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financial statements and supplementary data are filed as a part of this annual report on Form 10-K.</w:t>
      </w: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Balance Sheets at December 31, 2007 and 2006</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Statements of Operations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Statements of Cash Flows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Consolidated Statement of Changes in Stockholders’ Equity for the years ended December 31, 2007, 2006 and 2005</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financial statement schedules are omitted because they are not applicable or the required information is included in the financial statements or notes thereto.</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19" w:lineRule="exact"/>
        <w:rPr>
          <w:sz w:val="20"/>
          <w:szCs w:val="20"/>
          <w:color w:val="auto"/>
        </w:rPr>
      </w:pPr>
    </w:p>
    <w:p>
      <w:pPr>
        <w:ind w:right="140" w:firstLine="308"/>
        <w:spacing w:after="0" w:line="272" w:lineRule="auto"/>
        <w:rPr>
          <w:sz w:val="20"/>
          <w:szCs w:val="20"/>
          <w:color w:val="auto"/>
        </w:rPr>
      </w:pPr>
      <w:r>
        <w:rPr>
          <w:rFonts w:ascii="Arial" w:cs="Arial" w:eastAsia="Arial" w:hAnsi="Arial"/>
          <w:sz w:val="17"/>
          <w:szCs w:val="17"/>
          <w:color w:val="auto"/>
        </w:rPr>
        <w:t>Those exhibits required to be filed by Item 601 of Regulation S-K are listed in the Exhibit Index immediately preceding the exhibits hereto and such listing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7900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0960"/>
          </w:cols>
          <w:pgMar w:left="240" w:top="127" w:right="699" w:bottom="1440" w:gutter="0" w:footer="0" w:header="0"/>
        </w:sectPr>
      </w:pPr>
    </w:p>
    <w:bookmarkStart w:id="103" w:name="page104"/>
    <w:bookmarkEnd w:id="103"/>
    <w:p>
      <w:pPr>
        <w:jc w:val="center"/>
        <w:ind w:right="-79"/>
        <w:spacing w:after="0"/>
        <w:rPr>
          <w:sz w:val="20"/>
          <w:szCs w:val="20"/>
          <w:color w:val="auto"/>
        </w:rPr>
      </w:pPr>
      <w:r>
        <w:rPr>
          <w:rFonts w:ascii="Arial" w:cs="Arial" w:eastAsia="Arial" w:hAnsi="Arial"/>
          <w:sz w:val="17"/>
          <w:szCs w:val="17"/>
          <w:b w:val="1"/>
          <w:bCs w:val="1"/>
          <w:color w:val="auto"/>
        </w:rPr>
        <w:t>SIGNATURES</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EMERGENT BIOSOLUTIONS INC.</w:t>
      </w:r>
    </w:p>
    <w:p>
      <w:pPr>
        <w:spacing w:after="0" w:line="21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/s/Fuad El-Hibri</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Fuad El-Hibri</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Chief Executive Officer and</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Chairman of the Board of Directors</w:t>
      </w:r>
    </w:p>
    <w:p>
      <w:pPr>
        <w:spacing w:after="0" w:line="10"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Date: March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27900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04" w:name="page105"/>
    <w:bookmarkEnd w:id="104"/>
    <w:tbl>
      <w:tblPr>
        <w:tblLayout w:type="fixed"/>
        <w:tblInd w:w="7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gridSpan w:val="2"/>
          </w:tcPr>
          <w:p>
            <w:pPr>
              <w:ind w:left="1820"/>
              <w:spacing w:after="0"/>
              <w:rPr>
                <w:sz w:val="20"/>
                <w:szCs w:val="20"/>
                <w:color w:val="auto"/>
              </w:rPr>
            </w:pPr>
            <w:r>
              <w:rPr>
                <w:rFonts w:ascii="Arial" w:cs="Arial" w:eastAsia="Arial" w:hAnsi="Arial"/>
                <w:sz w:val="17"/>
                <w:szCs w:val="17"/>
                <w:b w:val="1"/>
                <w:bCs w:val="1"/>
                <w:color w:val="auto"/>
              </w:rPr>
              <w:t>EXHIBIT INDEX</w:t>
            </w:r>
          </w:p>
        </w:tc>
      </w:tr>
      <w:tr>
        <w:trPr>
          <w:trHeight w:val="399"/>
        </w:trPr>
        <w:tc>
          <w:tcPr>
            <w:tcW w:w="1120" w:type="dxa"/>
            <w:vAlign w:val="bottom"/>
          </w:tcPr>
          <w:p>
            <w:pPr>
              <w:jc w:val="right"/>
              <w:ind w:right="217"/>
              <w:spacing w:after="0"/>
              <w:rPr>
                <w:sz w:val="20"/>
                <w:szCs w:val="20"/>
                <w:color w:val="auto"/>
              </w:rPr>
            </w:pPr>
            <w:r>
              <w:rPr>
                <w:rFonts w:ascii="Arial" w:cs="Arial" w:eastAsia="Arial" w:hAnsi="Arial"/>
                <w:sz w:val="17"/>
                <w:szCs w:val="17"/>
                <w:b w:val="1"/>
                <w:bCs w:val="1"/>
                <w:color w:val="auto"/>
              </w:rPr>
              <w:t>Exhibit</w:t>
            </w:r>
          </w:p>
        </w:tc>
        <w:tc>
          <w:tcPr>
            <w:tcW w:w="1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120" w:type="dxa"/>
            <w:vAlign w:val="bottom"/>
          </w:tcPr>
          <w:p>
            <w:pPr>
              <w:jc w:val="right"/>
              <w:ind w:right="177"/>
              <w:spacing w:after="0"/>
              <w:rPr>
                <w:sz w:val="20"/>
                <w:szCs w:val="20"/>
                <w:color w:val="auto"/>
              </w:rPr>
            </w:pPr>
            <w:r>
              <w:rPr>
                <w:rFonts w:ascii="Arial" w:cs="Arial" w:eastAsia="Arial" w:hAnsi="Arial"/>
                <w:sz w:val="17"/>
                <w:szCs w:val="17"/>
                <w:b w:val="1"/>
                <w:bCs w:val="1"/>
                <w:color w:val="auto"/>
              </w:rPr>
              <w:t>Number</w:t>
            </w:r>
          </w:p>
        </w:tc>
        <w:tc>
          <w:tcPr>
            <w:tcW w:w="140" w:type="dxa"/>
            <w:vAlign w:val="bottom"/>
          </w:tcPr>
          <w:p>
            <w:pPr>
              <w:spacing w:after="0"/>
              <w:rPr>
                <w:sz w:val="18"/>
                <w:szCs w:val="18"/>
                <w:color w:val="auto"/>
              </w:rPr>
            </w:pPr>
          </w:p>
        </w:tc>
        <w:tc>
          <w:tcPr>
            <w:tcW w:w="6240" w:type="dxa"/>
            <w:vAlign w:val="bottom"/>
            <w:gridSpan w:val="2"/>
          </w:tcPr>
          <w:p>
            <w:pPr>
              <w:ind w:left="2680"/>
              <w:spacing w:after="0"/>
              <w:rPr>
                <w:sz w:val="20"/>
                <w:szCs w:val="20"/>
                <w:color w:val="auto"/>
              </w:rPr>
            </w:pPr>
            <w:r>
              <w:rPr>
                <w:rFonts w:ascii="Arial" w:cs="Arial" w:eastAsia="Arial" w:hAnsi="Arial"/>
                <w:sz w:val="17"/>
                <w:szCs w:val="17"/>
                <w:b w:val="1"/>
                <w:bCs w:val="1"/>
                <w:color w:val="auto"/>
              </w:rPr>
              <w:t>Description</w:t>
            </w:r>
          </w:p>
        </w:tc>
      </w:tr>
      <w:tr>
        <w:trPr>
          <w:trHeight w:val="27"/>
        </w:trPr>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1120" w:type="dxa"/>
            <w:vAlign w:val="bottom"/>
          </w:tcPr>
          <w:p>
            <w:pPr>
              <w:jc w:val="right"/>
              <w:ind w:right="557"/>
              <w:spacing w:after="0" w:line="189" w:lineRule="exact"/>
              <w:rPr>
                <w:sz w:val="20"/>
                <w:szCs w:val="20"/>
                <w:color w:val="auto"/>
              </w:rPr>
            </w:pPr>
            <w:r>
              <w:rPr>
                <w:rFonts w:ascii="Arial" w:cs="Arial" w:eastAsia="Arial" w:hAnsi="Arial"/>
                <w:sz w:val="17"/>
                <w:szCs w:val="17"/>
                <w:color w:val="auto"/>
              </w:rPr>
              <w:t>3.1</w:t>
            </w:r>
          </w:p>
        </w:tc>
        <w:tc>
          <w:tcPr>
            <w:tcW w:w="140" w:type="dxa"/>
            <w:vAlign w:val="bottom"/>
          </w:tcPr>
          <w:p>
            <w:pPr>
              <w:spacing w:after="0"/>
              <w:rPr>
                <w:sz w:val="16"/>
                <w:szCs w:val="16"/>
                <w:color w:val="auto"/>
              </w:rPr>
            </w:pPr>
          </w:p>
        </w:tc>
        <w:tc>
          <w:tcPr>
            <w:tcW w:w="6200" w:type="dxa"/>
            <w:vAlign w:val="bottom"/>
          </w:tcPr>
          <w:p>
            <w:pPr>
              <w:spacing w:after="0" w:line="189" w:lineRule="exact"/>
              <w:rPr>
                <w:sz w:val="20"/>
                <w:szCs w:val="20"/>
                <w:color w:val="auto"/>
              </w:rPr>
            </w:pPr>
            <w:r>
              <w:rPr>
                <w:rFonts w:ascii="Arial" w:cs="Arial" w:eastAsia="Arial" w:hAnsi="Arial"/>
                <w:sz w:val="17"/>
                <w:szCs w:val="17"/>
                <w:color w:val="auto"/>
                <w:w w:val="90"/>
              </w:rPr>
              <w:t>Restated Certificate of Incorporation of the Registrant (Incorporated by reference to Exhibit</w:t>
            </w:r>
          </w:p>
        </w:tc>
        <w:tc>
          <w:tcPr>
            <w:tcW w:w="40" w:type="dxa"/>
            <w:vAlign w:val="bottom"/>
          </w:tcPr>
          <w:p>
            <w:pPr>
              <w:spacing w:after="0"/>
              <w:rPr>
                <w:sz w:val="16"/>
                <w:szCs w:val="16"/>
                <w:color w:val="auto"/>
              </w:rPr>
            </w:pP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3.1 to Amendment No. 5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October 30, 2006))</w:t>
            </w:r>
          </w:p>
        </w:tc>
      </w:tr>
      <w:tr>
        <w:trPr>
          <w:trHeight w:val="205"/>
        </w:trPr>
        <w:tc>
          <w:tcPr>
            <w:tcW w:w="1120" w:type="dxa"/>
            <w:vAlign w:val="bottom"/>
          </w:tcPr>
          <w:p>
            <w:pPr>
              <w:jc w:val="right"/>
              <w:ind w:right="397"/>
              <w:spacing w:after="0"/>
              <w:rPr>
                <w:sz w:val="20"/>
                <w:szCs w:val="20"/>
                <w:color w:val="auto"/>
              </w:rPr>
            </w:pPr>
            <w:r>
              <w:rPr>
                <w:rFonts w:ascii="Arial" w:cs="Arial" w:eastAsia="Arial" w:hAnsi="Arial"/>
                <w:sz w:val="17"/>
                <w:szCs w:val="17"/>
                <w:color w:val="auto"/>
              </w:rPr>
              <w:t>3.2##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Amended and Restated By-laws of the Registrant, as amended</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Specimen Certificate Evidencing Shares of Common Stock (Incorporated by reference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Exhibit 4.1 to Amendment No. 3 to the Registrant’s Registration Statement on Form S-1</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(File No. 333-136622) filed on October 20,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Registration  Rights  Agreement,  dated  June  23,  2005,  between  the  Registrant  and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Microscience Investments Limited, formerly Microscience Holdings plc (Incorporated by</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reference to Exhibit 4.2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Registration Rights Agreement, dated September 22, 2006, among the Registrant and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89"/>
              </w:rPr>
              <w:t>entities listed on Schedule 1 thereto (Incorporated by reference to Exhibit 4.3 to Amendment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No. 1 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September 25,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Rights Agreement, dated November 14, 2006, between the Registrant and American Stock</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Transfer &amp; Trust Company (Incorporated by reference to Exhibit 4.4 to Amendment No. 5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the Registrant’s Registration Statement on Form S-1 (File No. 333-136622) filed on October</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30, 2006)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4.5</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Assignment and Assumption Agreement by and between the Registrant, Microscience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Investments Limited and the Investors named therin, dated March 8, 2007, relating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Registration  Rights  Agreement,  dated  June  23,  2005,  between  the  Registrant  and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Microscience  Investments  Limited  (Incorporated  by  reference  to  Exhibit  4.5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Registrant’s Annual Report on Form 10-K for the year ended December 31, 2006 (File No.</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001-33137))</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Voting and Right of First Refusal Agreement, dated October 21, 2005, between the William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8"/>
              </w:rPr>
              <w:t>J. Crowe, Jr. Revocable Living Trust and Fuad El-Hibri (Incorporated by reference to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Exhibit 9.1 to the Registrant’s Registration Statement on Form S-1 (File No. 333-136622)</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Voting Agreement, dated June 30, 2004, between BioPharm, L.L.C. and Michigan Biologic</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5"/>
              </w:rPr>
              <w:t>Products, Inc. (Incorporated by reference to Exhibit 9.2 to the Registrant’s Registration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Voting Agreement, dated June 30, 2004, between BioPharm, L.L.C. and Biologika, L.L.C.</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(Incorporated by reference to Exhibit 9.3 to the Registrant’s Registration Statement on Form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S-1 (File No. 333-136622) filed on August 14, 2006)</w:t>
            </w: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9.4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4"/>
              </w:rPr>
              <w:t>Voting Agreement, dated June 30, 2004, by and among the stockholders named therein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(Incorporated by reference to Exhibit 9.4 to the Registrant’s Registration Statement on Form</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S-1 (File No. 333-136622) filed on August 14,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10.1*</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89"/>
              </w:rPr>
              <w:t>Employee Stock Option Plan, as amended and restated (Incorporated by reference to Exhibit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10.1 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August 14,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10.2*</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Form of Director Stock Option Agreement (Incorporated by reference to Exhibit 10.2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Registrant’s Registration Statement on Form S-1 (File No. 333-136622) filed on August 14,</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10.3*</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2"/>
              </w:rPr>
              <w:t>2006 Stock Incentive Plan (Incorporated by reference to Exhibit 10.3 to Amendment No. 5</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to the Registrant’s Registration Statement on Form S-1 (File No. 333-136622) filed 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October 30,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10.4*</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Form of Incentive Stock Option Agreement under 2006 Stock Incentive Plan (Incorporated</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by reference to Exhibit 10.4 to Amendment No. 5 to the Registrant’s Registration Statement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on Form S-1 (File No. 333-136622) filed on October 30,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10.5*</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Form of Nonstatutory Stock Option Agreement under 2006 Stock Incentive Plan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(Incorporated by reference to Exhibit 10.5 to Amendment No. 5 to the Registrant’s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6"/>
              </w:rPr>
              <w:t>Registration Statement on Form S-1 (File No. 333-136622) filed on October 30, 2006)</w:t>
            </w:r>
          </w:p>
        </w:tc>
      </w:tr>
      <w:tr>
        <w:trPr>
          <w:trHeight w:val="244"/>
        </w:trPr>
        <w:tc>
          <w:tcPr>
            <w:tcW w:w="1120" w:type="dxa"/>
            <w:vAlign w:val="bottom"/>
          </w:tcPr>
          <w:p>
            <w:pPr>
              <w:ind w:left="200"/>
              <w:spacing w:after="0" w:line="244" w:lineRule="exact"/>
              <w:rPr>
                <w:sz w:val="20"/>
                <w:szCs w:val="20"/>
                <w:color w:val="auto"/>
              </w:rPr>
            </w:pPr>
            <w:r>
              <w:rPr>
                <w:rFonts w:ascii="Arial" w:cs="Arial" w:eastAsia="Arial" w:hAnsi="Arial"/>
                <w:sz w:val="17"/>
                <w:szCs w:val="17"/>
                <w:color w:val="auto"/>
              </w:rPr>
              <w:t>10.6</w:t>
            </w:r>
            <w:r>
              <w:rPr>
                <w:rFonts w:ascii="Arial" w:cs="Arial" w:eastAsia="Arial" w:hAnsi="Arial"/>
                <w:sz w:val="27"/>
                <w:szCs w:val="27"/>
                <w:color w:val="auto"/>
                <w:vertAlign w:val="superscript"/>
              </w:rPr>
              <w:t>##</w:t>
            </w:r>
            <w:r>
              <w:rPr>
                <w:rFonts w:ascii="Arial" w:cs="Arial" w:eastAsia="Arial" w:hAnsi="Arial"/>
                <w:sz w:val="17"/>
                <w:szCs w:val="17"/>
                <w:color w:val="auto"/>
              </w:rPr>
              <w:t>*</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Director Compensation Program</w:t>
            </w:r>
          </w:p>
        </w:tc>
      </w:tr>
      <w:tr>
        <w:trPr>
          <w:trHeight w:val="205"/>
        </w:trPr>
        <w:tc>
          <w:tcPr>
            <w:tcW w:w="1120" w:type="dxa"/>
            <w:vAlign w:val="bottom"/>
          </w:tcPr>
          <w:p>
            <w:pPr>
              <w:ind w:left="200"/>
              <w:spacing w:after="0"/>
              <w:rPr>
                <w:sz w:val="20"/>
                <w:szCs w:val="20"/>
                <w:color w:val="auto"/>
              </w:rPr>
            </w:pPr>
            <w:r>
              <w:rPr>
                <w:rFonts w:ascii="Arial" w:cs="Arial" w:eastAsia="Arial" w:hAnsi="Arial"/>
                <w:sz w:val="17"/>
                <w:szCs w:val="17"/>
                <w:color w:val="auto"/>
              </w:rPr>
              <w:t>10.7† *</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Severance Plan and Termination Protection Program (Incorporated by reference to Exhibit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10.6 to Amendment No. 3 to the Registrant’s Registration Statement on Form S-1 (File No.</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333-136622) filed on October 20, 2006)</w:t>
            </w:r>
          </w:p>
        </w:tc>
      </w:tr>
      <w:tr>
        <w:trPr>
          <w:trHeight w:val="205"/>
        </w:trPr>
        <w:tc>
          <w:tcPr>
            <w:tcW w:w="1120" w:type="dxa"/>
            <w:vAlign w:val="bottom"/>
          </w:tcPr>
          <w:p>
            <w:pPr>
              <w:jc w:val="right"/>
              <w:ind w:right="457"/>
              <w:spacing w:after="0"/>
              <w:rPr>
                <w:sz w:val="20"/>
                <w:szCs w:val="20"/>
                <w:color w:val="auto"/>
              </w:rPr>
            </w:pPr>
            <w:r>
              <w:rPr>
                <w:rFonts w:ascii="Arial" w:cs="Arial" w:eastAsia="Arial" w:hAnsi="Arial"/>
                <w:sz w:val="17"/>
                <w:szCs w:val="17"/>
                <w:color w:val="auto"/>
              </w:rPr>
              <w:t>10.8*</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Election of Fuad El-Hibri to Participate in the Severance Plan and Termination Protection</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Program (Incorporated by reference to Exhibit 10.35 to Amendment No. 1 to the</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1120" w:type="dxa"/>
            <w:vAlign w:val="bottom"/>
          </w:tcPr>
          <w:p>
            <w:pPr>
              <w:spacing w:after="0"/>
              <w:rPr>
                <w:sz w:val="17"/>
                <w:szCs w:val="17"/>
                <w:color w:val="auto"/>
              </w:rPr>
            </w:pPr>
          </w:p>
        </w:tc>
        <w:tc>
          <w:tcPr>
            <w:tcW w:w="6340" w:type="dxa"/>
            <w:vAlign w:val="bottom"/>
            <w:gridSpan w:val="2"/>
          </w:tcPr>
          <w:p>
            <w:pPr>
              <w:ind w:left="140"/>
              <w:spacing w:after="0"/>
              <w:rPr>
                <w:sz w:val="20"/>
                <w:szCs w:val="20"/>
                <w:color w:val="auto"/>
              </w:rPr>
            </w:pPr>
            <w:r>
              <w:rPr>
                <w:rFonts w:ascii="Arial" w:cs="Arial" w:eastAsia="Arial" w:hAnsi="Arial"/>
                <w:sz w:val="17"/>
                <w:szCs w:val="17"/>
                <w:color w:val="auto"/>
              </w:rPr>
              <w:t>25, 2006)</w:t>
            </w:r>
          </w:p>
        </w:tc>
        <w:tc>
          <w:tcPr>
            <w:tcW w:w="40" w:type="dxa"/>
            <w:vAlign w:val="bottom"/>
          </w:tcPr>
          <w:p>
            <w:pPr>
              <w:spacing w:after="0"/>
              <w:rPr>
                <w:sz w:val="17"/>
                <w:szCs w:val="17"/>
                <w:color w:val="auto"/>
              </w:rPr>
            </w:pPr>
          </w:p>
        </w:tc>
      </w:tr>
      <w:tr>
        <w:trPr>
          <w:trHeight w:val="205"/>
        </w:trPr>
        <w:tc>
          <w:tcPr>
            <w:tcW w:w="1120" w:type="dxa"/>
            <w:vAlign w:val="bottom"/>
          </w:tcPr>
          <w:p>
            <w:pPr>
              <w:jc w:val="right"/>
              <w:ind w:right="557"/>
              <w:spacing w:after="0"/>
              <w:rPr>
                <w:sz w:val="20"/>
                <w:szCs w:val="20"/>
                <w:color w:val="auto"/>
              </w:rPr>
            </w:pPr>
            <w:r>
              <w:rPr>
                <w:rFonts w:ascii="Arial" w:cs="Arial" w:eastAsia="Arial" w:hAnsi="Arial"/>
                <w:sz w:val="17"/>
                <w:szCs w:val="17"/>
                <w:color w:val="auto"/>
              </w:rPr>
              <w:t>10.9</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0"/>
              </w:rPr>
              <w:t>Form of Indemnity Agreement (Incorporated by reference to Exhibit 10.7 to the Registrant’s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1120" w:type="dxa"/>
            <w:vAlign w:val="bottom"/>
          </w:tcPr>
          <w:p>
            <w:pPr>
              <w:ind w:left="200"/>
              <w:spacing w:after="0"/>
              <w:rPr>
                <w:sz w:val="20"/>
                <w:szCs w:val="20"/>
                <w:color w:val="auto"/>
              </w:rPr>
            </w:pPr>
            <w:r>
              <w:rPr>
                <w:rFonts w:ascii="Arial" w:cs="Arial" w:eastAsia="Arial" w:hAnsi="Arial"/>
                <w:sz w:val="17"/>
                <w:szCs w:val="17"/>
                <w:color w:val="auto"/>
              </w:rPr>
              <w:t>10.10†</w:t>
            </w: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7"/>
              </w:rPr>
              <w:t>Contract No. HHSO100200700037C, dated September 25, 2007, between Emergent</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3"/>
              </w:rPr>
              <w:t>BioDefense Operations Lansing Inc., and the Department of Health and Human Services</w:t>
            </w:r>
          </w:p>
        </w:tc>
      </w:tr>
      <w:tr>
        <w:trPr>
          <w:trHeight w:val="205"/>
        </w:trPr>
        <w:tc>
          <w:tcPr>
            <w:tcW w:w="1120" w:type="dxa"/>
            <w:vAlign w:val="bottom"/>
          </w:tcPr>
          <w:p>
            <w:pPr>
              <w:spacing w:after="0"/>
              <w:rPr>
                <w:sz w:val="17"/>
                <w:szCs w:val="17"/>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w w:val="91"/>
              </w:rPr>
              <w:t>(Incorporated by reference to Exhibit 10.1 to the Registrant’s Quarterly Report on Form 10-</w:t>
            </w:r>
          </w:p>
        </w:tc>
      </w:tr>
      <w:tr>
        <w:trPr>
          <w:trHeight w:val="212"/>
        </w:trPr>
        <w:tc>
          <w:tcPr>
            <w:tcW w:w="1120" w:type="dxa"/>
            <w:vAlign w:val="bottom"/>
          </w:tcPr>
          <w:p>
            <w:pPr>
              <w:spacing w:after="0"/>
              <w:rPr>
                <w:sz w:val="18"/>
                <w:szCs w:val="18"/>
                <w:color w:val="auto"/>
              </w:rPr>
            </w:pPr>
          </w:p>
        </w:tc>
        <w:tc>
          <w:tcPr>
            <w:tcW w:w="6380" w:type="dxa"/>
            <w:vAlign w:val="bottom"/>
            <w:gridSpan w:val="3"/>
          </w:tcPr>
          <w:p>
            <w:pPr>
              <w:ind w:left="140"/>
              <w:spacing w:after="0"/>
              <w:rPr>
                <w:sz w:val="20"/>
                <w:szCs w:val="20"/>
                <w:color w:val="auto"/>
              </w:rPr>
            </w:pPr>
            <w:r>
              <w:rPr>
                <w:rFonts w:ascii="Arial" w:cs="Arial" w:eastAsia="Arial" w:hAnsi="Arial"/>
                <w:sz w:val="17"/>
                <w:szCs w:val="17"/>
                <w:color w:val="auto"/>
              </w:rPr>
              <w:t>Q for the quarter ended September 30, 2007 (File No. 001-33137))</w:t>
            </w:r>
          </w:p>
        </w:tc>
      </w:tr>
      <w:tr>
        <w:trPr>
          <w:trHeight w:val="403"/>
        </w:trPr>
        <w:tc>
          <w:tcPr>
            <w:tcW w:w="1120" w:type="dxa"/>
            <w:vAlign w:val="bottom"/>
          </w:tcPr>
          <w:p>
            <w:pPr>
              <w:ind w:left="240"/>
              <w:spacing w:after="0"/>
              <w:rPr>
                <w:sz w:val="20"/>
                <w:szCs w:val="20"/>
                <w:color w:val="auto"/>
              </w:rPr>
            </w:pPr>
            <w:r>
              <w:rPr>
                <w:rFonts w:ascii="Arial" w:cs="Arial" w:eastAsia="Arial" w:hAnsi="Arial"/>
                <w:sz w:val="17"/>
                <w:szCs w:val="17"/>
                <w:color w:val="auto"/>
              </w:rPr>
              <w:t>10.11†</w:t>
            </w:r>
          </w:p>
        </w:tc>
        <w:tc>
          <w:tcPr>
            <w:tcW w:w="140" w:type="dxa"/>
            <w:vAlign w:val="bottom"/>
          </w:tcPr>
          <w:p>
            <w:pPr>
              <w:spacing w:after="0"/>
              <w:rPr>
                <w:sz w:val="24"/>
                <w:szCs w:val="24"/>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9"/>
              </w:rPr>
              <w:t>Filling Services Agreement, dated March 18, 2002, between Emergent BioDefense</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5"/>
              </w:rPr>
              <w:t>Operations Lansing Inc., formerly BioPort Corporation, and Hollister-Stier Laboratories</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rPr>
              <w:t>LLC, as amended (Incorporated by reference to Exhibit 10.10 to the Registrant’s</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1120" w:type="dxa"/>
            <w:vAlign w:val="bottom"/>
          </w:tcPr>
          <w:p>
            <w:pPr>
              <w:ind w:left="240"/>
              <w:spacing w:after="0"/>
              <w:rPr>
                <w:sz w:val="20"/>
                <w:szCs w:val="20"/>
                <w:color w:val="auto"/>
              </w:rPr>
            </w:pPr>
            <w:r>
              <w:rPr>
                <w:rFonts w:ascii="Arial" w:cs="Arial" w:eastAsia="Arial" w:hAnsi="Arial"/>
                <w:sz w:val="17"/>
                <w:szCs w:val="17"/>
                <w:color w:val="auto"/>
              </w:rPr>
              <w:t>10.12</w:t>
            </w: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6"/>
              </w:rPr>
              <w:t>Amendment No. 5 to the Filling Services Agreement, effective May 14, 2007 between</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0"/>
              </w:rPr>
              <w:t>Emergent BioDefense Operations Lansing Inc., formerly BioPort Corporation, and Hollister-</w:t>
            </w:r>
          </w:p>
        </w:tc>
      </w:tr>
      <w:tr>
        <w:trPr>
          <w:trHeight w:val="205"/>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8"/>
              </w:rPr>
              <w:t>Stier Laboratories LLC (Incorporated by reference to Exhibit 10.6 to the Registrant’s</w:t>
            </w:r>
          </w:p>
        </w:tc>
      </w:tr>
      <w:tr>
        <w:trPr>
          <w:trHeight w:val="212"/>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40" w:type="dxa"/>
            <w:vAlign w:val="bottom"/>
            <w:gridSpan w:val="2"/>
          </w:tcPr>
          <w:p>
            <w:pPr>
              <w:ind w:left="40"/>
              <w:spacing w:after="0"/>
              <w:rPr>
                <w:sz w:val="20"/>
                <w:szCs w:val="20"/>
                <w:color w:val="auto"/>
              </w:rPr>
            </w:pPr>
            <w:r>
              <w:rPr>
                <w:rFonts w:ascii="Arial" w:cs="Arial" w:eastAsia="Arial" w:hAnsi="Arial"/>
                <w:sz w:val="17"/>
                <w:szCs w:val="17"/>
                <w:color w:val="auto"/>
                <w:w w:val="91"/>
              </w:rPr>
              <w:t>Quarterly Report on Form 10-Q for the quarter ended June 30, 2007 (File No. 001-33137))</w:t>
            </w:r>
          </w:p>
        </w:tc>
      </w:tr>
    </w:tbl>
    <w:p>
      <w:pPr>
        <w:sectPr>
          <w:pgSz w:w="11900" w:h="16838" w:orient="portrait"/>
          <w:cols w:equalWidth="0" w:num="1">
            <w:col w:w="9019"/>
          </w:cols>
          <w:pgMar w:left="1440" w:top="127" w:right="1440" w:bottom="0" w:gutter="0" w:footer="0" w:header="0"/>
        </w:sectPr>
      </w:pPr>
    </w:p>
    <w:bookmarkStart w:id="105" w:name="page106"/>
    <w:bookmarkEnd w:id="105"/>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10.13†</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BT Vaccine License Agreement, dated November 23, 2004,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Health Protection Agency (Incorporated by reference to Exhibit 10.11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10.14†</w:t>
            </w: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BT Vaccine Development Agreement, dated November 23, 2004, between the Registrant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and the Health Protection Agency (Incorporated by reference to Exhibit 10.12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August 14,</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10.15†</w:t>
            </w: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rBot Vaccine License Agreement, dated November 23, 2004,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Health Protection Agency (Incorporated by reference to Exhibit 10.13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10.16†</w:t>
            </w: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rBot Vaccine Development Agreement, dated November 23, 2004, between the Registrant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and the Health Protection Agency (Incorporated by reference to Exhibit 10.14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August 14,</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10.17†</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License and Co-development Agreement, dated May 6, 2006, between Emergent Product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Development UK Limited, formerly Emergent Europe Limited, and Sanofi Pasteur, S.A</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(Incorporated by reference to Exhibit 10.33 to the Registrant’s Registration Statement 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10.18†</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Product Supply Agreement, dated June 12, 2006, between Emergent Product Development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Gaithersburg Inc. and Talecris Biotherapeutics, Inc. (Incorporated by reference to Exhibit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10.34 to Amendment No. 3 to the Registrant’s Registration Statement on Form S-1 (File No.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333-136622) filed on October 20,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10.19†</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Agreement, dated June 16, 2005, between the Free State of Bavaria and Emergent Product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Development UK, formerly ViVacs GmbH (Incorporated by reference to Exhibit 10.43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Amendment No. 3 to the Registrant’s Registration Statement on Form S-1 (File No. 333-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136622) filed on October 20,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10.20†</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Exclusive Distribution Agreement, dated November 23, 2004, between the Registrant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the Health Protection Agency (Incorporated by reference to Exhibit 10.15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10.21</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Investment Agreement relating to Microscience Holdings plc, dated March 18, 2005, among</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the Wellcome Trust, Microscience Investments Limited, formerly Microscience Holdings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plc, and Emergent Product Development UK Limited, formerly Microscience Limited, as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amended (Incorporated by reference to Exhibit 10.16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10.22†</w:t>
            </w: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Consulting Services Agreement, dated March 1, 2006, between the Registrant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Hauer Group (Incorporated by reference to Exhibit 10.19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10.23</w:t>
            </w: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Amendment to Consulting Services Agreement effective March 30, 2007, between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9"/>
              </w:rPr>
              <w:t>Registrant and The Hauer Group (Incorporated by reference to Exhibit 10.44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Registrant’s Annual Report on Form 10-K for the year ended December 31, 2006 (File No.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10.24</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Services Agreement, dated August 1, 2006, between East West Resources Corporation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the Registrant (Incorporated by reference to Exhibit 10.36 to Amendment No. 1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25, 2006)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10.25</w:t>
            </w: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Lease, dated December 1, 1998, between ARE-QRS, Corp. and Antex Biologics Inc., as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amended (Incorporated by reference to Exhibit 10.21 to the Registrant’s Registration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10.26</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Lease (540 Eskdale Road, Winnersh Triangle, Wokingham, Berkshire), dated December 13,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1996, between Slough Properties Limited and Azur Environmental Limited, as assigned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Emergent Product Development UK Limited, formerly Microscience Limited (Incorporated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by reference to Exhibit 10.22 to the Registrant’s Registration Statement on Form S-1 (File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10.27</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Lease (545 Eskdale Road, Winnersh Triangle, Wokingham, Berkshire), dated December 13,</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1996, between Slough Properties Limited and Azur Environmental Limited, as assigned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Emergent Product Development UK Limited, formerly Microscience Limited (Incorporated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by reference to Exhibit 10.23 to the Registrant’s Registration Statement on Form S-1 (File</w:t>
            </w:r>
          </w:p>
        </w:tc>
      </w:tr>
      <w:tr>
        <w:trPr>
          <w:trHeight w:val="212"/>
        </w:trPr>
        <w:tc>
          <w:tcPr>
            <w:tcW w:w="76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No. 333-136622) filed on August 14, 2006)</w:t>
            </w:r>
          </w:p>
        </w:tc>
      </w:tr>
      <w:tr>
        <w:trPr>
          <w:trHeight w:val="403"/>
        </w:trPr>
        <w:tc>
          <w:tcPr>
            <w:tcW w:w="760" w:type="dxa"/>
            <w:vAlign w:val="bottom"/>
          </w:tcPr>
          <w:p>
            <w:pPr>
              <w:spacing w:after="0"/>
              <w:rPr>
                <w:sz w:val="20"/>
                <w:szCs w:val="20"/>
                <w:color w:val="auto"/>
              </w:rPr>
            </w:pPr>
            <w:r>
              <w:rPr>
                <w:rFonts w:ascii="Arial" w:cs="Arial" w:eastAsia="Arial" w:hAnsi="Arial"/>
                <w:sz w:val="17"/>
                <w:szCs w:val="17"/>
                <w:color w:val="auto"/>
              </w:rPr>
              <w:t>10.28</w:t>
            </w: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Lease Agreement, dated May 10, 2007, among Slough Estates (Winnerish) Limited,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Emergent Product Development UK Limited and the Registrant (Incorporated by reference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to Exhibit 10.5 to the Registrant’s Quarterly Report on Form 10-Q for the quarter ended June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10.29</w:t>
            </w: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Lease Agreement, dated June 27, 2006, between Brandywine Research LLC and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Registrant (Incorporated by reference to Exhibit 10.24 to Amendment No. 1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September</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25, 2006)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10.30</w:t>
            </w: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Loan and Security Agreement, dated October 14, 2004, among the Registrant, Emergent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Commercial Operations Frederick Inc., formerly Advanced BioSolutions, Inc., Antex</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Biologics Inc., Emergent BioDefense Operations Lansing Inc., formerly BioPort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Corporation, and Mercantile Potomac Bank (Incorporated by reference to Exhibit 10.26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the Registrant’s Registration Statement on Form S-1 (File No. 333-136622) filed on August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10.31</w:t>
            </w:r>
          </w:p>
        </w:tc>
        <w:tc>
          <w:tcPr>
            <w:tcW w:w="6500" w:type="dxa"/>
            <w:vAlign w:val="bottom"/>
          </w:tcPr>
          <w:p>
            <w:pPr>
              <w:ind w:left="300"/>
              <w:spacing w:after="0"/>
              <w:rPr>
                <w:sz w:val="20"/>
                <w:szCs w:val="20"/>
                <w:color w:val="auto"/>
              </w:rPr>
            </w:pPr>
            <w:r>
              <w:rPr>
                <w:rFonts w:ascii="Arial" w:cs="Arial" w:eastAsia="Arial" w:hAnsi="Arial"/>
                <w:sz w:val="17"/>
                <w:szCs w:val="17"/>
                <w:color w:val="auto"/>
                <w:w w:val="88"/>
              </w:rPr>
              <w:t>Promissory Note, dated October 14, 2004, from Emergent Commercial Operations Frederick</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Inc., formerly Advanced BioSolutions, Inc., to Mercantile Potomac Bank (Incorporated by</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reference to Exhibit 10.27 to the Registrant’s Registration Statement on Form S-1 (File No.</w:t>
            </w:r>
          </w:p>
        </w:tc>
      </w:tr>
      <w:tr>
        <w:trPr>
          <w:trHeight w:val="212"/>
        </w:trPr>
        <w:tc>
          <w:tcPr>
            <w:tcW w:w="76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333-136622) filed on August 14, 2006)</w:t>
            </w:r>
          </w:p>
        </w:tc>
      </w:tr>
    </w:tbl>
    <w:p>
      <w:pPr>
        <w:sectPr>
          <w:pgSz w:w="11900" w:h="16838" w:orient="portrait"/>
          <w:cols w:equalWidth="0" w:num="1">
            <w:col w:w="9019"/>
          </w:cols>
          <w:pgMar w:left="1440" w:top="131" w:right="1440" w:bottom="341" w:gutter="0" w:footer="0" w:header="0"/>
        </w:sectPr>
      </w:pPr>
    </w:p>
    <w:bookmarkStart w:id="106" w:name="page107"/>
    <w:bookmarkEnd w:id="106"/>
    <w:p>
      <w:pPr>
        <w:spacing w:after="0" w:line="1" w:lineRule="exact"/>
        <w:rPr>
          <w:sz w:val="20"/>
          <w:szCs w:val="20"/>
          <w:color w:val="auto"/>
        </w:rPr>
      </w:pPr>
    </w:p>
    <w:tbl>
      <w:tblPr>
        <w:tblLayout w:type="fixed"/>
        <w:tblInd w:w="2220" w:type="dxa"/>
        <w:tblCellMar>
          <w:top w:w="0" w:type="dxa"/>
          <w:left w:w="0" w:type="dxa"/>
          <w:bottom w:w="0" w:type="dxa"/>
          <w:right w:w="0" w:type="dxa"/>
        </w:tblCellMar>
      </w:tblP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10.32</w:t>
            </w: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Loan Agreement, dated October 15, 2004, between Emergent Commercial Operations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Frederick Inc., formerly Advanced BioSolutions, Inc., and the Department of Business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Economic Development (Incorporated by reference to Exhibit 10.28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10.33</w:t>
            </w: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Deed of Trust Note, dated October 14, 2004, between Emergent Commercial Operations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Frederick Inc., formerly Advanced BioSolutions, Inc., and the Department of Business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Economic Development (Incorporated by reference to Exhibit 10.29 to the Registrant’s</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Registration Statement on Form S-1 (File No. 333-136622) filed on 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10.34†</w:t>
            </w:r>
          </w:p>
        </w:tc>
        <w:tc>
          <w:tcPr>
            <w:tcW w:w="6500" w:type="dxa"/>
            <w:vAlign w:val="bottom"/>
          </w:tcPr>
          <w:p>
            <w:pPr>
              <w:ind w:left="300"/>
              <w:spacing w:after="0"/>
              <w:rPr>
                <w:sz w:val="20"/>
                <w:szCs w:val="20"/>
                <w:color w:val="auto"/>
              </w:rPr>
            </w:pPr>
            <w:r>
              <w:rPr>
                <w:rFonts w:ascii="Arial" w:cs="Arial" w:eastAsia="Arial" w:hAnsi="Arial"/>
                <w:sz w:val="17"/>
                <w:szCs w:val="17"/>
                <w:color w:val="auto"/>
                <w:w w:val="93"/>
              </w:rPr>
              <w:t>Term Note, dated August 10, 2004, from Emergent BioDefense Operations Lansing Inc.,</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formerly BioPort Corporation, to Fifth Third Bank (Incorporated by reference to Exhibit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10.30 to the Registrant’s Registration Statement on Form S-1 (File No. 333-136622) filed 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August 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10.35</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Loan Agreement, dated April 25, 2006, among the Registrant, Emergent Frederick LLC and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HSBC Realty Credit Corporation (USA) (Incorporated by reference to Exhibit 10.31 to the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Registrant’s Registration Statement on Form S-1 (File No. 333-136622) filed on August 14,</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10.36</w:t>
            </w: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Bond Purchase Agreement, dated March 31, 2005, between the County Commissioners of</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4"/>
              </w:rPr>
              <w:t>Frederick County, Emergent Commercial Operations Frederick Inc., formerly Emergent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Biologics Inc., and Mercantile Potomac Bank (Incorporated by reference to Exhibit 10.32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the Registrant’s Registration Statement on Form S-1 (File No. 333-136622) filed on August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14, 2006)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10.37</w:t>
            </w:r>
          </w:p>
        </w:tc>
        <w:tc>
          <w:tcPr>
            <w:tcW w:w="6500" w:type="dxa"/>
            <w:vAlign w:val="bottom"/>
          </w:tcPr>
          <w:p>
            <w:pPr>
              <w:ind w:left="300"/>
              <w:spacing w:after="0"/>
              <w:rPr>
                <w:sz w:val="20"/>
                <w:szCs w:val="20"/>
                <w:color w:val="auto"/>
              </w:rPr>
            </w:pPr>
            <w:r>
              <w:rPr>
                <w:rFonts w:ascii="Arial" w:cs="Arial" w:eastAsia="Arial" w:hAnsi="Arial"/>
                <w:sz w:val="17"/>
                <w:szCs w:val="17"/>
                <w:color w:val="auto"/>
                <w:w w:val="95"/>
              </w:rPr>
              <w:t>Promissory Note, dated April 25, 2006, from Emergent Frederick LLC to HSBC Realty</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Credit Corporation (USA) (Incorporated by reference to Exhibit 10.39 to Amendment No. 1</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to the Registrant’s Registration Statement on Form S-1 (File No. 333-136622) filed on</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September 25, 2006)</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10.38</w:t>
            </w: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Loan Agreement, dated June 29, 2007, among the Registrant, Emergent BioDefense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Operations Lansing Inc., formerly BioPort Corporation, and HSBC Realty Credit</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Corporation (USA) (Incorporated by reference to Exhibit 10.1 to the Registrant’s Quarterly</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Report on Form 10-Q for the quarter ended June 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10.39</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Promissory Note, dated June 29, 2007, from Emergent BioDefense Operations Lansing Inc.,</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2"/>
              </w:rPr>
              <w:t>formerly BioPort Corporation, to HSBC Realty Credit Corporation (USA) (Incorporated by</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reference to Exhibit 10.2 to the Registrant’s Quarterly Report on Form 10-Q for the quarter</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ended June 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10.40</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Loan Agreement, dated June 8, 2007, between Emergent BioDefense Operations Lansing</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6"/>
              </w:rPr>
              <w:t>Inc., formerly BioPort Corporation, and Fifth Third Bank (Incorporated by reference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Exhibit 10.3 to the Registrant’s Quarterly Report on Form 10-Q for the quarter ended June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10.41</w:t>
            </w:r>
          </w:p>
        </w:tc>
        <w:tc>
          <w:tcPr>
            <w:tcW w:w="6500" w:type="dxa"/>
            <w:vAlign w:val="bottom"/>
          </w:tcPr>
          <w:p>
            <w:pPr>
              <w:ind w:left="300"/>
              <w:spacing w:after="0"/>
              <w:rPr>
                <w:sz w:val="20"/>
                <w:szCs w:val="20"/>
                <w:color w:val="auto"/>
              </w:rPr>
            </w:pPr>
            <w:r>
              <w:rPr>
                <w:rFonts w:ascii="Arial" w:cs="Arial" w:eastAsia="Arial" w:hAnsi="Arial"/>
                <w:sz w:val="17"/>
                <w:szCs w:val="17"/>
                <w:color w:val="auto"/>
                <w:w w:val="89"/>
              </w:rPr>
              <w:t>Revolving Credit Note, dated June 8, 2007, from Emergent BioDefense Operations Lansing</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Inc., formerly BioPort Corporation, to Fifth Third Bank (Incorporated by reference to</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Exhibit 10.4 to the Registrant’s Quarterly Report on Form 10-Q for the quarter ended June</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30, 2007 (File No. 001-33137))</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21.1##</w:t>
            </w:r>
          </w:p>
        </w:tc>
        <w:tc>
          <w:tcPr>
            <w:tcW w:w="6500" w:type="dxa"/>
            <w:vAlign w:val="bottom"/>
          </w:tcPr>
          <w:p>
            <w:pPr>
              <w:ind w:left="300"/>
              <w:spacing w:after="0"/>
              <w:rPr>
                <w:sz w:val="20"/>
                <w:szCs w:val="20"/>
                <w:color w:val="auto"/>
              </w:rPr>
            </w:pPr>
            <w:r>
              <w:rPr>
                <w:rFonts w:ascii="Arial" w:cs="Arial" w:eastAsia="Arial" w:hAnsi="Arial"/>
                <w:sz w:val="17"/>
                <w:szCs w:val="17"/>
                <w:color w:val="auto"/>
              </w:rPr>
              <w:t>Subsidiaries of the Registrant</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23.1##</w:t>
            </w:r>
          </w:p>
        </w:tc>
        <w:tc>
          <w:tcPr>
            <w:tcW w:w="6500" w:type="dxa"/>
            <w:vAlign w:val="bottom"/>
          </w:tcPr>
          <w:p>
            <w:pPr>
              <w:ind w:left="30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31.1#</w:t>
            </w:r>
          </w:p>
        </w:tc>
        <w:tc>
          <w:tcPr>
            <w:tcW w:w="6500" w:type="dxa"/>
            <w:vAlign w:val="bottom"/>
          </w:tcPr>
          <w:p>
            <w:pPr>
              <w:ind w:left="300"/>
              <w:spacing w:after="0"/>
              <w:rPr>
                <w:sz w:val="20"/>
                <w:szCs w:val="20"/>
                <w:color w:val="auto"/>
              </w:rPr>
            </w:pPr>
            <w:r>
              <w:rPr>
                <w:rFonts w:ascii="Arial" w:cs="Arial" w:eastAsia="Arial" w:hAnsi="Arial"/>
                <w:sz w:val="17"/>
                <w:szCs w:val="17"/>
                <w:color w:val="auto"/>
                <w:w w:val="97"/>
              </w:rPr>
              <w:t>Certification of the Chief Executive Officer pursuant to Exchange Act Rule 13a-14(a)</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31.2#</w:t>
            </w:r>
          </w:p>
        </w:tc>
        <w:tc>
          <w:tcPr>
            <w:tcW w:w="6500" w:type="dxa"/>
            <w:vAlign w:val="bottom"/>
          </w:tcPr>
          <w:p>
            <w:pPr>
              <w:ind w:left="300"/>
              <w:spacing w:after="0"/>
              <w:rPr>
                <w:sz w:val="20"/>
                <w:szCs w:val="20"/>
                <w:color w:val="auto"/>
              </w:rPr>
            </w:pPr>
            <w:r>
              <w:rPr>
                <w:rFonts w:ascii="Arial" w:cs="Arial" w:eastAsia="Arial" w:hAnsi="Arial"/>
                <w:sz w:val="17"/>
                <w:szCs w:val="17"/>
                <w:color w:val="auto"/>
                <w:w w:val="98"/>
              </w:rPr>
              <w:t>Certification of the Chief Financial Officer pursuant to Exchange Act Rule 13a-14(a)</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32.1 #</w:t>
            </w:r>
          </w:p>
        </w:tc>
        <w:tc>
          <w:tcPr>
            <w:tcW w:w="6500" w:type="dxa"/>
            <w:vAlign w:val="bottom"/>
          </w:tcPr>
          <w:p>
            <w:pPr>
              <w:ind w:left="300"/>
              <w:spacing w:after="0"/>
              <w:rPr>
                <w:sz w:val="20"/>
                <w:szCs w:val="20"/>
                <w:color w:val="auto"/>
              </w:rPr>
            </w:pPr>
            <w:r>
              <w:rPr>
                <w:rFonts w:ascii="Arial" w:cs="Arial" w:eastAsia="Arial" w:hAnsi="Arial"/>
                <w:sz w:val="17"/>
                <w:szCs w:val="17"/>
                <w:color w:val="auto"/>
                <w:w w:val="90"/>
              </w:rPr>
              <w:t>Certification of the Chief Executive Officer pursuant to 18 U.S.C. Section 1350, as adopted</w:t>
            </w:r>
          </w:p>
        </w:tc>
      </w:tr>
      <w:tr>
        <w:trPr>
          <w:trHeight w:val="205"/>
        </w:trPr>
        <w:tc>
          <w:tcPr>
            <w:tcW w:w="760" w:type="dxa"/>
            <w:vAlign w:val="bottom"/>
          </w:tcPr>
          <w:p>
            <w:pPr>
              <w:spacing w:after="0"/>
              <w:rPr>
                <w:sz w:val="17"/>
                <w:szCs w:val="17"/>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pursuant to Section 906 of the Sarbanes-Oxley Act of 2002</w:t>
            </w:r>
          </w:p>
        </w:tc>
      </w:tr>
      <w:tr>
        <w:trPr>
          <w:trHeight w:val="205"/>
        </w:trPr>
        <w:tc>
          <w:tcPr>
            <w:tcW w:w="760" w:type="dxa"/>
            <w:vAlign w:val="bottom"/>
          </w:tcPr>
          <w:p>
            <w:pPr>
              <w:spacing w:after="0"/>
              <w:rPr>
                <w:sz w:val="20"/>
                <w:szCs w:val="20"/>
                <w:color w:val="auto"/>
              </w:rPr>
            </w:pPr>
            <w:r>
              <w:rPr>
                <w:rFonts w:ascii="Arial" w:cs="Arial" w:eastAsia="Arial" w:hAnsi="Arial"/>
                <w:sz w:val="17"/>
                <w:szCs w:val="17"/>
                <w:color w:val="auto"/>
              </w:rPr>
              <w:t>32.2 #</w:t>
            </w:r>
          </w:p>
        </w:tc>
        <w:tc>
          <w:tcPr>
            <w:tcW w:w="6500" w:type="dxa"/>
            <w:vAlign w:val="bottom"/>
          </w:tcPr>
          <w:p>
            <w:pPr>
              <w:ind w:left="300"/>
              <w:spacing w:after="0"/>
              <w:rPr>
                <w:sz w:val="20"/>
                <w:szCs w:val="20"/>
                <w:color w:val="auto"/>
              </w:rPr>
            </w:pPr>
            <w:r>
              <w:rPr>
                <w:rFonts w:ascii="Arial" w:cs="Arial" w:eastAsia="Arial" w:hAnsi="Arial"/>
                <w:sz w:val="17"/>
                <w:szCs w:val="17"/>
                <w:color w:val="auto"/>
                <w:w w:val="91"/>
              </w:rPr>
              <w:t>Certification of the Chief Financial Officer pursuant to 18 U.S.C. Section 1350, as adopted</w:t>
            </w:r>
          </w:p>
        </w:tc>
      </w:tr>
      <w:tr>
        <w:trPr>
          <w:trHeight w:val="212"/>
        </w:trPr>
        <w:tc>
          <w:tcPr>
            <w:tcW w:w="760" w:type="dxa"/>
            <w:vAlign w:val="bottom"/>
          </w:tcPr>
          <w:p>
            <w:pPr>
              <w:spacing w:after="0"/>
              <w:rPr>
                <w:sz w:val="18"/>
                <w:szCs w:val="18"/>
                <w:color w:val="auto"/>
              </w:rPr>
            </w:pPr>
          </w:p>
        </w:tc>
        <w:tc>
          <w:tcPr>
            <w:tcW w:w="6500" w:type="dxa"/>
            <w:vAlign w:val="bottom"/>
          </w:tcPr>
          <w:p>
            <w:pPr>
              <w:ind w:left="300"/>
              <w:spacing w:after="0"/>
              <w:rPr>
                <w:sz w:val="20"/>
                <w:szCs w:val="20"/>
                <w:color w:val="auto"/>
              </w:rPr>
            </w:pPr>
            <w:r>
              <w:rPr>
                <w:rFonts w:ascii="Arial" w:cs="Arial" w:eastAsia="Arial" w:hAnsi="Arial"/>
                <w:sz w:val="17"/>
                <w:szCs w:val="17"/>
                <w:color w:val="auto"/>
              </w:rPr>
              <w:t>pursuant to Section 906 of the Sarbanes-Oxley Act of 2002</w:t>
            </w:r>
          </w:p>
        </w:tc>
      </w:tr>
    </w:tbl>
    <w:p>
      <w:pPr>
        <w:spacing w:after="0" w:line="198"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7" w:lineRule="exact"/>
        <w:rPr>
          <w:sz w:val="20"/>
          <w:szCs w:val="20"/>
          <w:color w:val="auto"/>
        </w:rPr>
      </w:pPr>
    </w:p>
    <w:p>
      <w:pPr>
        <w:ind w:left="320" w:hanging="317"/>
        <w:spacing w:after="0"/>
        <w:tabs>
          <w:tab w:leader="none" w:pos="3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Filed with the Annual Report on Form 10-K for the year ended December 31, 2007 originally filed with the Securities and Exchange Commission on March 10, 2007.</w:t>
      </w:r>
    </w:p>
    <w:p>
      <w:pPr>
        <w:spacing w:after="0" w:line="32" w:lineRule="exact"/>
        <w:rPr>
          <w:rFonts w:ascii="Arial" w:cs="Arial" w:eastAsia="Arial" w:hAnsi="Arial"/>
          <w:sz w:val="15"/>
          <w:szCs w:val="15"/>
          <w:color w:val="auto"/>
        </w:rPr>
      </w:pPr>
    </w:p>
    <w:p>
      <w:pPr>
        <w:ind w:left="320" w:right="540" w:hanging="308"/>
        <w:spacing w:after="0" w:line="251" w:lineRule="auto"/>
        <w:rPr>
          <w:rFonts w:ascii="Arial" w:cs="Arial" w:eastAsia="Arial" w:hAnsi="Arial"/>
          <w:sz w:val="15"/>
          <w:szCs w:val="15"/>
          <w:color w:val="auto"/>
        </w:rPr>
      </w:pPr>
      <w:r>
        <w:rPr>
          <w:rFonts w:ascii="Arial" w:cs="Arial" w:eastAsia="Arial" w:hAnsi="Arial"/>
          <w:sz w:val="17"/>
          <w:szCs w:val="17"/>
          <w:color w:val="auto"/>
        </w:rPr>
        <w:t>† Confidential treatment granted by the Securities and Exchange Commission as to certain portions. Confidential materials omitted and filed separately with the Securities and Exchange Commission.</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Management contract or compensatory plan or arrangement filed herewith in response to Item 15(a)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320040</wp:posOffset>
            </wp:positionV>
            <wp:extent cx="727900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Fuad El-Hibri, certify that:</w:t>
      </w:r>
    </w:p>
    <w:p>
      <w:pPr>
        <w:spacing w:after="0" w:line="215" w:lineRule="exact"/>
        <w:rPr>
          <w:sz w:val="20"/>
          <w:szCs w:val="20"/>
          <w:color w:val="auto"/>
        </w:rPr>
      </w:pPr>
    </w:p>
    <w:p>
      <w:pPr>
        <w:ind w:left="620" w:hanging="31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Emergent BioSolutions Inc.;</w:t>
      </w:r>
    </w:p>
    <w:p>
      <w:pPr>
        <w:spacing w:after="0" w:line="214" w:lineRule="exact"/>
        <w:rPr>
          <w:rFonts w:ascii="Arial" w:cs="Arial" w:eastAsia="Arial" w:hAnsi="Arial"/>
          <w:sz w:val="17"/>
          <w:szCs w:val="17"/>
          <w:color w:val="auto"/>
        </w:rPr>
      </w:pPr>
    </w:p>
    <w:p>
      <w:pPr>
        <w:ind w:left="620" w:right="360" w:hanging="310"/>
        <w:spacing w:after="0" w:line="341"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20" w:right="440" w:hanging="310"/>
        <w:spacing w:after="0" w:line="272"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620" w:right="260" w:hanging="310"/>
        <w:spacing w:after="0" w:line="262"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920" w:right="40" w:hanging="302"/>
        <w:spacing w:after="0" w:line="262" w:lineRule="auto"/>
        <w:tabs>
          <w:tab w:leader="none" w:pos="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920" w:right="180" w:hanging="302"/>
        <w:spacing w:after="0" w:line="262" w:lineRule="auto"/>
        <w:tabs>
          <w:tab w:leader="none" w:pos="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920" w:right="180" w:hanging="302"/>
        <w:spacing w:after="0" w:line="272" w:lineRule="auto"/>
        <w:tabs>
          <w:tab w:leader="none" w:pos="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920" w:right="120" w:hanging="302"/>
        <w:spacing w:after="0" w:line="262" w:lineRule="auto"/>
        <w:tabs>
          <w:tab w:leader="none" w:pos="9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302895</wp:posOffset>
            </wp:positionV>
            <wp:extent cx="727900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8" w:name="page109"/>
    <w:bookmarkEnd w:id="108"/>
    <w:p>
      <w:pPr>
        <w:ind w:left="310" w:hanging="310"/>
        <w:spacing w:after="0" w:line="272" w:lineRule="auto"/>
        <w:tabs>
          <w:tab w:leader="none" w:pos="31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610" w:right="140" w:hanging="302"/>
        <w:spacing w:after="0" w:line="272" w:lineRule="auto"/>
        <w:tabs>
          <w:tab w:leader="none" w:pos="61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610" w:right="360" w:hanging="302"/>
        <w:spacing w:after="0" w:line="272" w:lineRule="auto"/>
        <w:tabs>
          <w:tab w:leader="none" w:pos="61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 March 13, 2008</w:t>
      </w:r>
    </w:p>
    <w:p>
      <w:pPr>
        <w:spacing w:after="0" w:line="17" w:lineRule="exact"/>
        <w:rPr>
          <w:sz w:val="20"/>
          <w:szCs w:val="20"/>
          <w:color w:val="auto"/>
        </w:rPr>
      </w:pPr>
    </w:p>
    <w:p>
      <w:pPr>
        <w:ind w:left="4010"/>
        <w:spacing w:after="0"/>
        <w:rPr>
          <w:sz w:val="20"/>
          <w:szCs w:val="20"/>
          <w:color w:val="auto"/>
        </w:rPr>
      </w:pPr>
      <w:r>
        <w:rPr>
          <w:rFonts w:ascii="Arial" w:cs="Arial" w:eastAsia="Arial" w:hAnsi="Arial"/>
          <w:sz w:val="17"/>
          <w:szCs w:val="17"/>
          <w:u w:val="single" w:color="auto"/>
          <w:color w:val="auto"/>
        </w:rPr>
        <w:t>/s/Fuad El-Hibri</w:t>
      </w:r>
    </w:p>
    <w:p>
      <w:pPr>
        <w:spacing w:after="0" w:line="10"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Fuad El-Hibri</w:t>
      </w:r>
    </w:p>
    <w:p>
      <w:pPr>
        <w:spacing w:after="0" w:line="10" w:lineRule="exact"/>
        <w:rPr>
          <w:sz w:val="20"/>
          <w:szCs w:val="20"/>
          <w:color w:val="auto"/>
        </w:rPr>
      </w:pPr>
    </w:p>
    <w:p>
      <w:pPr>
        <w:ind w:left="401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0890"/>
          </w:cols>
          <w:pgMar w:left="550" w:top="131" w:right="45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 R. Don Elsey, certify that:</w:t>
      </w:r>
    </w:p>
    <w:p>
      <w:pPr>
        <w:spacing w:after="0" w:line="215" w:lineRule="exact"/>
        <w:rPr>
          <w:sz w:val="20"/>
          <w:szCs w:val="20"/>
          <w:color w:val="auto"/>
        </w:rPr>
      </w:pPr>
    </w:p>
    <w:p>
      <w:pPr>
        <w:ind w:left="620" w:hanging="31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10-K/A of Emergent BioSolutions Inc.;</w:t>
      </w:r>
    </w:p>
    <w:p>
      <w:pPr>
        <w:spacing w:after="0" w:line="214" w:lineRule="exact"/>
        <w:rPr>
          <w:rFonts w:ascii="Arial" w:cs="Arial" w:eastAsia="Arial" w:hAnsi="Arial"/>
          <w:sz w:val="17"/>
          <w:szCs w:val="17"/>
          <w:color w:val="auto"/>
        </w:rPr>
      </w:pPr>
    </w:p>
    <w:p>
      <w:pPr>
        <w:ind w:left="620" w:right="360" w:hanging="310"/>
        <w:spacing w:after="0" w:line="341" w:lineRule="auto"/>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5"/>
          <w:szCs w:val="15"/>
          <w:color w:val="auto"/>
        </w:rPr>
      </w:pPr>
    </w:p>
    <w:p>
      <w:pPr>
        <w:ind w:left="620" w:right="440" w:hanging="310"/>
        <w:spacing w:after="0" w:line="272"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7"/>
          <w:szCs w:val="17"/>
          <w:color w:val="auto"/>
        </w:rPr>
      </w:pPr>
    </w:p>
    <w:p>
      <w:pPr>
        <w:jc w:val="both"/>
        <w:ind w:left="620" w:right="260" w:hanging="310"/>
        <w:spacing w:after="0" w:line="262"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920" w:right="40" w:hanging="302"/>
        <w:spacing w:after="0" w:line="262" w:lineRule="auto"/>
        <w:tabs>
          <w:tab w:leader="none" w:pos="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920" w:right="180" w:hanging="302"/>
        <w:spacing w:after="0" w:line="262" w:lineRule="auto"/>
        <w:tabs>
          <w:tab w:leader="none" w:pos="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920" w:right="180" w:hanging="302"/>
        <w:spacing w:after="0" w:line="272" w:lineRule="auto"/>
        <w:tabs>
          <w:tab w:leader="none" w:pos="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Arial" w:cs="Arial" w:eastAsia="Arial" w:hAnsi="Arial"/>
          <w:sz w:val="17"/>
          <w:szCs w:val="17"/>
          <w:color w:val="auto"/>
        </w:rPr>
      </w:pPr>
    </w:p>
    <w:p>
      <w:pPr>
        <w:ind w:left="920" w:right="120" w:hanging="302"/>
        <w:spacing w:after="0" w:line="262" w:lineRule="auto"/>
        <w:tabs>
          <w:tab w:leader="none" w:pos="9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172720</wp:posOffset>
            </wp:positionV>
            <wp:extent cx="727900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900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p>
      <w:pPr>
        <w:ind w:left="620" w:hanging="310"/>
        <w:spacing w:after="0" w:line="272"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2" w:lineRule="exact"/>
        <w:rPr>
          <w:rFonts w:ascii="Arial" w:cs="Arial" w:eastAsia="Arial" w:hAnsi="Arial"/>
          <w:sz w:val="17"/>
          <w:szCs w:val="17"/>
          <w:color w:val="auto"/>
        </w:rPr>
      </w:pPr>
    </w:p>
    <w:p>
      <w:pPr>
        <w:ind w:left="920" w:right="140" w:hanging="302"/>
        <w:spacing w:after="0" w:line="272" w:lineRule="auto"/>
        <w:tabs>
          <w:tab w:leader="none" w:pos="9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7"/>
          <w:szCs w:val="17"/>
          <w:color w:val="auto"/>
        </w:rPr>
      </w:pPr>
    </w:p>
    <w:p>
      <w:pPr>
        <w:ind w:left="920" w:right="360" w:hanging="302"/>
        <w:spacing w:after="0" w:line="272" w:lineRule="auto"/>
        <w:tabs>
          <w:tab w:leader="none" w:pos="9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March 13, 2008</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17"/>
          <w:szCs w:val="17"/>
          <w:u w:val="single" w:color="auto"/>
          <w:color w:val="auto"/>
        </w:rPr>
        <w:t>/s/R. Don Elsey</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R. Don Elsey</w:t>
      </w:r>
    </w:p>
    <w:p>
      <w:pPr>
        <w:spacing w:after="0" w:line="10"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Senior Vice President Finance, Chief Financial Officer and Treasurer</w:t>
      </w:r>
    </w:p>
    <w:p>
      <w:pPr>
        <w:sectPr>
          <w:pgSz w:w="11900" w:h="16838" w:orient="portrait"/>
          <w:cols w:equalWidth="0" w:num="1">
            <w:col w:w="11200"/>
          </w:cols>
          <w:pgMar w:left="240" w:top="131" w:right="4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auto"/>
        </w:rPr>
        <w:t>In connection with the Annual Report on Form 10-K/A of Emergent BioSolutions Inc. (the “Company”) for the period ended December 31, 2007 as filed with the Securities and Exchange Commission on the date hereof (the “Report”), the undersigned, Fuad El-Hibri, Chief Executive Officer of the Company, hereby certifies, pursuant to 18 U.S.C. Section 1350, that:</w:t>
      </w:r>
    </w:p>
    <w:p>
      <w:pPr>
        <w:spacing w:after="0" w:line="180" w:lineRule="exact"/>
        <w:rPr>
          <w:sz w:val="20"/>
          <w:szCs w:val="20"/>
          <w:color w:val="auto"/>
        </w:rPr>
      </w:pPr>
    </w:p>
    <w:p>
      <w:pPr>
        <w:ind w:left="920" w:hanging="302"/>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920" w:hanging="302"/>
        <w:spacing w:after="0"/>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7"/>
                <w:szCs w:val="17"/>
                <w:color w:val="auto"/>
              </w:rPr>
              <w:t>Date: March 13, 2008</w:t>
            </w:r>
          </w:p>
        </w:tc>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/s/Fuad El-Hibri</w:t>
            </w:r>
          </w:p>
        </w:tc>
        <w:tc>
          <w:tcPr>
            <w:tcW w:w="860" w:type="dxa"/>
            <w:vAlign w:val="bottom"/>
          </w:tcPr>
          <w:p>
            <w:pPr>
              <w:spacing w:after="0"/>
              <w:rPr>
                <w:sz w:val="16"/>
                <w:szCs w:val="16"/>
                <w:color w:val="auto"/>
              </w:rPr>
            </w:pPr>
          </w:p>
        </w:tc>
      </w:tr>
      <w:tr>
        <w:trPr>
          <w:trHeight w:val="215"/>
        </w:trPr>
        <w:tc>
          <w:tcPr>
            <w:tcW w:w="43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Fuad El-Hibri</w:t>
            </w:r>
          </w:p>
        </w:tc>
      </w:tr>
      <w:tr>
        <w:trPr>
          <w:trHeight w:val="205"/>
        </w:trPr>
        <w:tc>
          <w:tcPr>
            <w:tcW w:w="432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r>
      <w:tr>
        <w:trPr>
          <w:trHeight w:val="212"/>
        </w:trPr>
        <w:tc>
          <w:tcPr>
            <w:tcW w:w="43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w w:val="91"/>
              </w:rPr>
              <w:t>(Principal Executive Officer)</w:t>
            </w:r>
          </w:p>
        </w:tc>
      </w:tr>
    </w:tbl>
    <w:p>
      <w:pPr>
        <w:sectPr>
          <w:pgSz w:w="11900" w:h="16838" w:orient="portrait"/>
          <w:cols w:equalWidth="0" w:num="1">
            <w:col w:w="11420"/>
          </w:cols>
          <w:pgMar w:left="240" w:top="12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7" w:lineRule="exact"/>
        <w:rPr>
          <w:sz w:val="20"/>
          <w:szCs w:val="20"/>
          <w:color w:val="auto"/>
        </w:rPr>
      </w:pPr>
    </w:p>
    <w:p>
      <w:pPr>
        <w:ind w:firstLine="615"/>
        <w:spacing w:after="0" w:line="262" w:lineRule="auto"/>
        <w:rPr>
          <w:sz w:val="20"/>
          <w:szCs w:val="20"/>
          <w:color w:val="auto"/>
        </w:rPr>
      </w:pPr>
      <w:r>
        <w:rPr>
          <w:rFonts w:ascii="Arial" w:cs="Arial" w:eastAsia="Arial" w:hAnsi="Arial"/>
          <w:sz w:val="17"/>
          <w:szCs w:val="17"/>
          <w:color w:val="auto"/>
        </w:rPr>
        <w:t>In connection with the Annual Report on Form 10-K/A of Emergent BioSolutions Inc. (the “Company”) for the period ended December 31, 2007 as filed with the Securities and Exchange Commission on the date hereof (the “Report”), the undersigned, R. Don Elsey, Senior Vice President Finance, Chief Financial Officer and Treasurer of the Company, hereby certifies, pursuant to 18 U.S.C. Section 1350, that:</w:t>
      </w:r>
    </w:p>
    <w:p>
      <w:pPr>
        <w:spacing w:after="0" w:line="180" w:lineRule="exact"/>
        <w:rPr>
          <w:sz w:val="20"/>
          <w:szCs w:val="20"/>
          <w:color w:val="auto"/>
        </w:rPr>
      </w:pPr>
    </w:p>
    <w:p>
      <w:pPr>
        <w:ind w:left="920" w:hanging="302"/>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4" w:lineRule="exact"/>
        <w:rPr>
          <w:rFonts w:ascii="Arial" w:cs="Arial" w:eastAsia="Arial" w:hAnsi="Arial"/>
          <w:sz w:val="17"/>
          <w:szCs w:val="17"/>
          <w:color w:val="auto"/>
        </w:rPr>
      </w:pPr>
    </w:p>
    <w:p>
      <w:pPr>
        <w:ind w:left="920" w:hanging="302"/>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Pr>
          <w:p>
            <w:pPr>
              <w:spacing w:after="0"/>
              <w:rPr>
                <w:sz w:val="20"/>
                <w:szCs w:val="20"/>
                <w:color w:val="auto"/>
              </w:rPr>
            </w:pPr>
            <w:r>
              <w:rPr>
                <w:rFonts w:ascii="Arial" w:cs="Arial" w:eastAsia="Arial" w:hAnsi="Arial"/>
                <w:sz w:val="17"/>
                <w:szCs w:val="17"/>
                <w:color w:val="auto"/>
              </w:rPr>
              <w:t>Date: March 13, 2008</w:t>
            </w:r>
          </w:p>
        </w:tc>
        <w:tc>
          <w:tcPr>
            <w:tcW w:w="4600" w:type="dxa"/>
            <w:vAlign w:val="bottom"/>
            <w:gridSpan w:val="2"/>
          </w:tcPr>
          <w:p>
            <w:pPr>
              <w:spacing w:after="0"/>
              <w:rPr>
                <w:sz w:val="20"/>
                <w:szCs w:val="20"/>
                <w:color w:val="auto"/>
              </w:rPr>
            </w:pPr>
            <w:r>
              <w:rPr>
                <w:rFonts w:ascii="Arial" w:cs="Arial" w:eastAsia="Arial" w:hAnsi="Arial"/>
                <w:sz w:val="17"/>
                <w:szCs w:val="17"/>
                <w:color w:val="auto"/>
              </w:rPr>
              <w:t>/s/R. Don Elsey</w:t>
            </w:r>
          </w:p>
        </w:tc>
      </w:tr>
      <w:tr>
        <w:trPr>
          <w:trHeight w:val="215"/>
        </w:trPr>
        <w:tc>
          <w:tcPr>
            <w:tcW w:w="432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 Don Elsey</w:t>
            </w:r>
          </w:p>
        </w:tc>
        <w:tc>
          <w:tcPr>
            <w:tcW w:w="3560" w:type="dxa"/>
            <w:vAlign w:val="bottom"/>
          </w:tcPr>
          <w:p>
            <w:pPr>
              <w:spacing w:after="0"/>
              <w:rPr>
                <w:sz w:val="18"/>
                <w:szCs w:val="18"/>
                <w:color w:val="auto"/>
              </w:rPr>
            </w:pPr>
          </w:p>
        </w:tc>
      </w:tr>
      <w:tr>
        <w:trPr>
          <w:trHeight w:val="205"/>
        </w:trPr>
        <w:tc>
          <w:tcPr>
            <w:tcW w:w="43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w w:val="88"/>
              </w:rPr>
              <w:t>Senior Vice President Finance, Chief Financial Officer and Treasurer</w:t>
            </w:r>
          </w:p>
        </w:tc>
      </w:tr>
      <w:tr>
        <w:trPr>
          <w:trHeight w:val="212"/>
        </w:trPr>
        <w:tc>
          <w:tcPr>
            <w:tcW w:w="43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o"/>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1."/>
      <w:numFmt w:val="decimal"/>
      <w:start w:val="4"/>
    </w:lvl>
  </w:abstractNum>
  <w:abstractNum w:abstractNumId="25">
    <w:nsid w:val="614FD4A1"/>
    <w:multiLevelType w:val="hybridMultilevel"/>
    <w:lvl w:ilvl="0">
      <w:lvlJc w:val="left"/>
      <w:lvlText w:val="%1."/>
      <w:numFmt w:val="decimal"/>
      <w:start w:val="6"/>
    </w:lvl>
  </w:abstractNum>
  <w:abstractNum w:abstractNumId="26">
    <w:nsid w:val="419AC241"/>
    <w:multiLevelType w:val="hybridMultilevel"/>
    <w:lvl w:ilvl="0">
      <w:lvlJc w:val="left"/>
      <w:lvlText w:val="%1."/>
      <w:numFmt w:val="decimal"/>
      <w:start w:val="7"/>
    </w:lvl>
  </w:abstractNum>
  <w:abstractNum w:abstractNumId="27">
    <w:nsid w:val="5577F8E1"/>
    <w:multiLevelType w:val="hybridMultilevel"/>
    <w:lvl w:ilvl="0">
      <w:lvlJc w:val="left"/>
      <w:lvlText w:val="%1."/>
      <w:numFmt w:val="decimal"/>
      <w:start w:val="9"/>
    </w:lvl>
  </w:abstractNum>
  <w:abstractNum w:abstractNumId="28">
    <w:nsid w:val="440BADFC"/>
    <w:multiLevelType w:val="hybridMultilevel"/>
    <w:lvl w:ilvl="0">
      <w:lvlJc w:val="left"/>
      <w:lvlText w:val="%1."/>
      <w:numFmt w:val="decimal"/>
      <w:start w:val="10"/>
    </w:lvl>
  </w:abstractNum>
  <w:abstractNum w:abstractNumId="29">
    <w:nsid w:val="5072367"/>
    <w:multiLevelType w:val="hybridMultilevel"/>
    <w:lvl w:ilvl="0">
      <w:lvlJc w:val="left"/>
      <w:lvlText w:val="%1."/>
      <w:numFmt w:val="decimal"/>
      <w:start w:val="1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2"/>
    </w:lvl>
  </w:abstractNum>
  <w:abstractNum w:abstractNumId="33">
    <w:nsid w:val="5C482A97"/>
    <w:multiLevelType w:val="hybridMultilevel"/>
    <w:lvl w:ilvl="0">
      <w:lvlJc w:val="left"/>
      <w:lvlText w:val="%1."/>
      <w:numFmt w:val="decimal"/>
      <w:start w:val="13"/>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5"/>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5"/>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2019-12-15T14:12:39Z</dcterms:created>
  <dcterms:modified xsi:type="dcterms:W3CDTF">2019-12-15T14:12:39Z</dcterms:modified>
</cp:coreProperties>
</file>