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1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8-K</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CURRENT REPORT</w:t>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July 30, 2020</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EMERGENT BIOSOLUTIONS INC.</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80"/>
          </w:cols>
          <w:pgMar w:left="300" w:top="542" w:right="419" w:bottom="1440" w:gutter="0" w:footer="0" w:header="0"/>
        </w:sectPr>
      </w:pPr>
    </w:p>
    <w:p>
      <w:pPr>
        <w:spacing w:after="0" w:line="290"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jc w:val="center"/>
        <w:ind w:right="2120"/>
        <w:spacing w:after="0"/>
        <w:rPr>
          <w:sz w:val="20"/>
          <w:szCs w:val="20"/>
          <w:color w:val="auto"/>
        </w:rPr>
      </w:pPr>
      <w:r>
        <w:rPr>
          <w:rFonts w:ascii="Arial" w:cs="Arial" w:eastAsia="Arial" w:hAnsi="Arial"/>
          <w:sz w:val="12"/>
          <w:szCs w:val="12"/>
          <w:b w:val="1"/>
          <w:bCs w:val="1"/>
          <w:color w:val="auto"/>
        </w:rPr>
        <w:t>001-33137</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14-1902018</w:t>
      </w:r>
    </w:p>
    <w:p>
      <w:pPr>
        <w:spacing w:after="0" w:line="67" w:lineRule="exact"/>
        <w:rPr>
          <w:sz w:val="24"/>
          <w:szCs w:val="24"/>
          <w:color w:val="auto"/>
        </w:rPr>
      </w:pPr>
    </w:p>
    <w:p>
      <w:pPr>
        <w:sectPr>
          <w:pgSz w:w="11900" w:h="16838" w:orient="portrait"/>
          <w:cols w:equalWidth="0" w:num="3">
            <w:col w:w="4620" w:space="720"/>
            <w:col w:w="2740" w:space="720"/>
            <w:col w:w="2380"/>
          </w:cols>
          <w:pgMar w:left="300" w:top="542" w:right="419" w:bottom="1440" w:gutter="0" w:footer="0" w:header="0"/>
          <w:type w:val="continuous"/>
        </w:sectPr>
      </w:pPr>
    </w:p>
    <w:p>
      <w:pPr>
        <w:jc w:val="center"/>
        <w:ind w:left="120"/>
        <w:spacing w:after="0"/>
        <w:rPr>
          <w:sz w:val="20"/>
          <w:szCs w:val="20"/>
          <w:color w:val="auto"/>
        </w:rPr>
      </w:pPr>
      <w:r>
        <w:rPr>
          <w:rFonts w:ascii="Arial" w:cs="Arial" w:eastAsia="Arial" w:hAnsi="Arial"/>
          <w:sz w:val="12"/>
          <w:szCs w:val="12"/>
          <w:color w:val="auto"/>
        </w:rPr>
        <w:t>(State or other jurisdiction</w:t>
      </w:r>
    </w:p>
    <w:p>
      <w:pPr>
        <w:spacing w:after="0" w:line="74" w:lineRule="exact"/>
        <w:rPr>
          <w:sz w:val="24"/>
          <w:szCs w:val="24"/>
          <w:color w:val="auto"/>
        </w:rPr>
      </w:pPr>
    </w:p>
    <w:p>
      <w:pPr>
        <w:jc w:val="center"/>
        <w:ind w:left="12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color w:val="auto"/>
        </w:rPr>
        <w:t>(IRS Employer</w:t>
      </w:r>
    </w:p>
    <w:p>
      <w:pPr>
        <w:spacing w:after="0" w:line="51" w:lineRule="exact"/>
        <w:rPr>
          <w:sz w:val="24"/>
          <w:szCs w:val="24"/>
          <w:color w:val="auto"/>
        </w:rPr>
      </w:pPr>
    </w:p>
    <w:p>
      <w:pPr>
        <w:jc w:val="center"/>
        <w:ind w:right="1500"/>
        <w:spacing w:after="0"/>
        <w:rPr>
          <w:sz w:val="20"/>
          <w:szCs w:val="20"/>
          <w:color w:val="auto"/>
        </w:rPr>
      </w:pPr>
      <w:r>
        <w:rPr>
          <w:rFonts w:ascii="Arial" w:cs="Arial" w:eastAsia="Arial" w:hAnsi="Arial"/>
          <w:sz w:val="13"/>
          <w:szCs w:val="13"/>
          <w:color w:val="auto"/>
        </w:rPr>
        <w:t>Identification No.)</w:t>
      </w:r>
    </w:p>
    <w:p>
      <w:pPr>
        <w:spacing w:after="0" w:line="42" w:lineRule="exact"/>
        <w:rPr>
          <w:sz w:val="24"/>
          <w:szCs w:val="24"/>
          <w:color w:val="auto"/>
        </w:rPr>
      </w:pPr>
    </w:p>
    <w:p>
      <w:pPr>
        <w:sectPr>
          <w:pgSz w:w="11900" w:h="16838" w:orient="portrait"/>
          <w:cols w:equalWidth="0" w:num="3">
            <w:col w:w="4160" w:space="720"/>
            <w:col w:w="3020" w:space="720"/>
            <w:col w:w="2560"/>
          </w:cols>
          <w:pgMar w:left="300" w:top="542" w:right="419" w:bottom="1440" w:gutter="0" w:footer="0" w:header="0"/>
          <w:type w:val="continuous"/>
        </w:sectPr>
      </w:pPr>
    </w:p>
    <w:p>
      <w:pPr>
        <w:ind w:left="4460"/>
        <w:spacing w:after="0"/>
        <w:rPr>
          <w:sz w:val="20"/>
          <w:szCs w:val="20"/>
          <w:color w:val="auto"/>
        </w:rPr>
      </w:pPr>
      <w:r>
        <w:rPr>
          <w:rFonts w:ascii="Arial" w:cs="Arial" w:eastAsia="Arial" w:hAnsi="Arial"/>
          <w:sz w:val="17"/>
          <w:szCs w:val="17"/>
          <w:b w:val="1"/>
          <w:bCs w:val="1"/>
          <w:color w:val="auto"/>
        </w:rPr>
        <w:t>400 Professional Drive, Suite 400,</w:t>
      </w:r>
    </w:p>
    <w:p>
      <w:pPr>
        <w:spacing w:after="0" w:line="24"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Gaithersburg, Maryland 20879</w:t>
      </w:r>
    </w:p>
    <w:p>
      <w:pPr>
        <w:spacing w:after="0" w:line="62"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(Address of principal executive offices, including zip code)</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(240) 631-3200</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180"/>
          </w:cols>
          <w:pgMar w:left="300" w:top="542" w:right="419" w:bottom="1440" w:gutter="0" w:footer="0" w:header="0"/>
          <w:type w:val="continuous"/>
        </w:sectPr>
      </w:pPr>
    </w:p>
    <w:p>
      <w:pPr>
        <w:spacing w:after="0" w:line="16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8"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right="4700" w:firstLine="5"/>
        <w:spacing w:after="0" w:line="534" w:lineRule="auto"/>
        <w:tabs>
          <w:tab w:leader="none" w:pos="163"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59" w:lineRule="exact"/>
        <w:rPr>
          <w:sz w:val="24"/>
          <w:szCs w:val="24"/>
          <w:color w:val="auto"/>
        </w:rPr>
      </w:pPr>
    </w:p>
    <w:tbl>
      <w:tblPr>
        <w:tblLayout w:type="fixed"/>
        <w:tblInd w:w="250" w:type="dxa"/>
        <w:tblCellMar>
          <w:top w:w="0" w:type="dxa"/>
          <w:left w:w="0" w:type="dxa"/>
          <w:bottom w:w="0" w:type="dxa"/>
          <w:right w:w="0" w:type="dxa"/>
        </w:tblCellMar>
      </w:tblPr>
      <w:tr>
        <w:trPr>
          <w:trHeight w:val="201"/>
        </w:trPr>
        <w:tc>
          <w:tcPr>
            <w:tcW w:w="4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226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4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4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$0.001 per share</w:t>
            </w:r>
          </w:p>
        </w:tc>
        <w:tc>
          <w:tcPr>
            <w:tcW w:w="22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EBS</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New York Stock Exchange</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bl>
    <w:p>
      <w:pPr>
        <w:spacing w:after="0" w:line="159" w:lineRule="exact"/>
        <w:rPr>
          <w:sz w:val="24"/>
          <w:szCs w:val="24"/>
          <w:color w:val="auto"/>
        </w:rPr>
      </w:pPr>
    </w:p>
    <w:p>
      <w:pPr>
        <w:ind w:right="48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61" w:lineRule="exact"/>
        <w:tabs>
          <w:tab w:leader="none" w:pos="17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4" w:lineRule="exact"/>
        <w:rPr>
          <w:sz w:val="24"/>
          <w:szCs w:val="24"/>
          <w:color w:val="auto"/>
        </w:rPr>
      </w:pPr>
    </w:p>
    <w:p>
      <w:pPr>
        <w:ind w:right="120"/>
        <w:spacing w:after="0" w:line="183"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4"/>
          <w:szCs w:val="14"/>
          <w:color w:val="auto"/>
        </w:rPr>
        <w:t>☐</w:t>
      </w:r>
    </w:p>
    <w:p>
      <w:pPr>
        <w:sectPr>
          <w:pgSz w:w="11900" w:h="16838" w:orient="portrait"/>
          <w:cols w:equalWidth="0" w:num="1">
            <w:col w:w="11180"/>
          </w:cols>
          <w:pgMar w:left="300" w:top="542"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r>
        <w:rPr>
          <w:rFonts w:ascii="Arial" w:cs="Arial" w:eastAsia="Arial" w:hAnsi="Arial"/>
          <w:sz w:val="14"/>
          <w:szCs w:val="14"/>
          <w:color w:val="auto"/>
        </w:rPr>
        <w:t>.</w:t>
      </w:r>
    </w:p>
    <w:p>
      <w:pPr>
        <w:spacing w:after="0" w:line="225"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On July 30, 2020, Emergent BioSolutions Inc. announced financial and operating results for the quarter ended June 30, 2020. The full text of the press release issued in connection with the announcement is attached as Exhibit 99 to this Current Report on Form 8-K.</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29" w:lineRule="exact"/>
        <w:rPr>
          <w:sz w:val="20"/>
          <w:szCs w:val="20"/>
          <w:color w:val="auto"/>
        </w:rPr>
      </w:pPr>
    </w:p>
    <w:p>
      <w:pPr>
        <w:ind w:left="520" w:hanging="48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8320" w:type="dxa"/>
            <w:vAlign w:val="bottom"/>
          </w:tcPr>
          <w:p>
            <w:pPr>
              <w:ind w:left="3820"/>
              <w:spacing w:after="0"/>
              <w:rPr>
                <w:sz w:val="20"/>
                <w:szCs w:val="20"/>
                <w:color w:val="auto"/>
              </w:rPr>
            </w:pPr>
            <w:r>
              <w:rPr>
                <w:rFonts w:ascii="Arial" w:cs="Arial" w:eastAsia="Arial" w:hAnsi="Arial"/>
                <w:sz w:val="14"/>
                <w:szCs w:val="14"/>
                <w:b w:val="1"/>
                <w:bCs w:val="1"/>
                <w:color w:val="auto"/>
              </w:rPr>
              <w:t>Description</w:t>
            </w:r>
          </w:p>
        </w:tc>
      </w:tr>
      <w:tr>
        <w:trPr>
          <w:trHeight w:val="22"/>
        </w:trPr>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r>
      <w:tr>
        <w:trPr>
          <w:trHeight w:val="181"/>
        </w:trPr>
        <w:tc>
          <w:tcPr>
            <w:tcW w:w="1660" w:type="dxa"/>
            <w:vAlign w:val="bottom"/>
          </w:tcPr>
          <w:p>
            <w:pPr>
              <w:ind w:left="20"/>
              <w:spacing w:after="0"/>
              <w:rPr>
                <w:sz w:val="20"/>
                <w:szCs w:val="20"/>
                <w:color w:val="auto"/>
              </w:rPr>
            </w:pPr>
            <w:r>
              <w:rPr>
                <w:rFonts w:ascii="Arial" w:cs="Arial" w:eastAsia="Arial" w:hAnsi="Arial"/>
                <w:sz w:val="14"/>
                <w:szCs w:val="14"/>
                <w:color w:val="auto"/>
              </w:rPr>
              <w:t>99</w:t>
            </w:r>
          </w:p>
        </w:tc>
        <w:tc>
          <w:tcPr>
            <w:tcW w:w="300" w:type="dxa"/>
            <w:vAlign w:val="bottom"/>
          </w:tcPr>
          <w:p>
            <w:pPr>
              <w:spacing w:after="0"/>
              <w:rPr>
                <w:sz w:val="15"/>
                <w:szCs w:val="15"/>
                <w:color w:val="auto"/>
              </w:rPr>
            </w:pPr>
          </w:p>
        </w:tc>
        <w:tc>
          <w:tcPr>
            <w:tcW w:w="8320" w:type="dxa"/>
            <w:vAlign w:val="bottom"/>
          </w:tcPr>
          <w:p>
            <w:pPr>
              <w:ind w:left="2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Press release issued by the company on July 30, 2020.</w:t>
              </w:r>
            </w:hyperlink>
          </w:p>
        </w:tc>
      </w:tr>
      <w:tr>
        <w:trPr>
          <w:trHeight w:val="202"/>
        </w:trPr>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20" w:type="dxa"/>
            <w:vAlign w:val="bottom"/>
          </w:tcPr>
          <w:p>
            <w:pPr>
              <w:ind w:left="20"/>
              <w:spacing w:after="0"/>
              <w:rPr>
                <w:sz w:val="20"/>
                <w:szCs w:val="20"/>
                <w:color w:val="auto"/>
              </w:rPr>
            </w:pPr>
            <w:r>
              <w:rPr>
                <w:rFonts w:ascii="Arial" w:cs="Arial" w:eastAsia="Arial" w:hAnsi="Arial"/>
                <w:sz w:val="14"/>
                <w:szCs w:val="14"/>
                <w:color w:val="auto"/>
                <w:w w:val="94"/>
              </w:rPr>
              <w:t>Emergent BioSolutions Inc. Current Report on Form 8-K, dated July 30, 2020, formatted in XBRL (Extensible Business Reporting Language):</w:t>
            </w:r>
          </w:p>
        </w:tc>
      </w:tr>
      <w:tr>
        <w:trPr>
          <w:trHeight w:val="170"/>
        </w:trPr>
        <w:tc>
          <w:tcPr>
            <w:tcW w:w="1660" w:type="dxa"/>
            <w:vAlign w:val="bottom"/>
          </w:tcPr>
          <w:p>
            <w:pPr>
              <w:ind w:left="20"/>
              <w:spacing w:after="0"/>
              <w:rPr>
                <w:sz w:val="20"/>
                <w:szCs w:val="20"/>
                <w:color w:val="auto"/>
              </w:rPr>
            </w:pPr>
            <w:r>
              <w:rPr>
                <w:rFonts w:ascii="Arial" w:cs="Arial" w:eastAsia="Arial" w:hAnsi="Arial"/>
                <w:sz w:val="14"/>
                <w:szCs w:val="14"/>
                <w:color w:val="auto"/>
              </w:rPr>
              <w:t>101</w:t>
            </w:r>
          </w:p>
        </w:tc>
        <w:tc>
          <w:tcPr>
            <w:tcW w:w="300" w:type="dxa"/>
            <w:vAlign w:val="bottom"/>
          </w:tcPr>
          <w:p>
            <w:pPr>
              <w:spacing w:after="0"/>
              <w:rPr>
                <w:sz w:val="14"/>
                <w:szCs w:val="14"/>
                <w:color w:val="auto"/>
              </w:rPr>
            </w:pPr>
          </w:p>
        </w:tc>
        <w:tc>
          <w:tcPr>
            <w:tcW w:w="8320" w:type="dxa"/>
            <w:vAlign w:val="bottom"/>
          </w:tcPr>
          <w:p>
            <w:pPr>
              <w:ind w:left="20"/>
              <w:spacing w:after="0"/>
              <w:rPr>
                <w:sz w:val="20"/>
                <w:szCs w:val="20"/>
                <w:color w:val="auto"/>
              </w:rPr>
            </w:pPr>
            <w:r>
              <w:rPr>
                <w:rFonts w:ascii="Arial" w:cs="Arial" w:eastAsia="Arial" w:hAnsi="Arial"/>
                <w:sz w:val="14"/>
                <w:szCs w:val="14"/>
                <w:color w:val="auto"/>
                <w:w w:val="94"/>
              </w:rPr>
              <w:t>Cover Page. The instance document does not appear in the Interactive Data File because its XBRL tags are embedded within the Inline XBRL</w:t>
            </w:r>
          </w:p>
        </w:tc>
      </w:tr>
      <w:tr>
        <w:trPr>
          <w:trHeight w:val="180"/>
        </w:trPr>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320" w:type="dxa"/>
            <w:vAlign w:val="bottom"/>
          </w:tcPr>
          <w:p>
            <w:pPr>
              <w:ind w:left="20"/>
              <w:spacing w:after="0"/>
              <w:rPr>
                <w:sz w:val="20"/>
                <w:szCs w:val="20"/>
                <w:color w:val="auto"/>
              </w:rPr>
            </w:pPr>
            <w:r>
              <w:rPr>
                <w:rFonts w:ascii="Arial" w:cs="Arial" w:eastAsia="Arial" w:hAnsi="Arial"/>
                <w:sz w:val="14"/>
                <w:szCs w:val="14"/>
                <w:color w:val="auto"/>
              </w:rPr>
              <w:t>document.</w:t>
            </w:r>
          </w:p>
        </w:tc>
      </w:tr>
      <w:tr>
        <w:trPr>
          <w:trHeight w:val="212"/>
        </w:trPr>
        <w:tc>
          <w:tcPr>
            <w:tcW w:w="1660" w:type="dxa"/>
            <w:vAlign w:val="bottom"/>
          </w:tcPr>
          <w:p>
            <w:pPr>
              <w:ind w:left="20"/>
              <w:spacing w:after="0"/>
              <w:rPr>
                <w:sz w:val="20"/>
                <w:szCs w:val="20"/>
                <w:color w:val="auto"/>
              </w:rPr>
            </w:pPr>
            <w:r>
              <w:rPr>
                <w:rFonts w:ascii="Arial" w:cs="Arial" w:eastAsia="Arial" w:hAnsi="Arial"/>
                <w:sz w:val="14"/>
                <w:szCs w:val="14"/>
                <w:color w:val="auto"/>
              </w:rPr>
              <w:t>104</w:t>
            </w:r>
          </w:p>
        </w:tc>
        <w:tc>
          <w:tcPr>
            <w:tcW w:w="30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72"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SIGNATURE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25"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EMERGENT BIOSOLUTIONS INC.</w:t>
      </w:r>
    </w:p>
    <w:p>
      <w:pPr>
        <w:spacing w:after="0" w:line="267" w:lineRule="exact"/>
        <w:rPr>
          <w:sz w:val="20"/>
          <w:szCs w:val="20"/>
          <w:color w:val="auto"/>
        </w:rPr>
      </w:pPr>
    </w:p>
    <w:p>
      <w:pPr>
        <w:ind w:left="520"/>
        <w:spacing w:after="0"/>
        <w:tabs>
          <w:tab w:leader="none" w:pos="5760" w:val="left"/>
          <w:tab w:leader="none" w:pos="6260" w:val="left"/>
        </w:tabs>
        <w:rPr>
          <w:sz w:val="20"/>
          <w:szCs w:val="20"/>
          <w:color w:val="auto"/>
        </w:rPr>
      </w:pPr>
      <w:r>
        <w:rPr>
          <w:rFonts w:ascii="Arial" w:cs="Arial" w:eastAsia="Arial" w:hAnsi="Arial"/>
          <w:sz w:val="14"/>
          <w:szCs w:val="14"/>
          <w:color w:val="auto"/>
        </w:rPr>
        <w:t>Dated: July 31, 2020</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26035</wp:posOffset>
            </wp:positionV>
            <wp:extent cx="28765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spacing w:after="0" w:line="42"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Name: Richard S. Lindahl</w:t>
      </w:r>
    </w:p>
    <w:p>
      <w:pPr>
        <w:spacing w:after="0" w:line="19"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Title: Executive Vice President, Chief Financial</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Officer and Treasurer</w:t>
      </w:r>
    </w:p>
    <w:p>
      <w:pPr>
        <w:sectPr>
          <w:pgSz w:w="11900" w:h="16838" w:orient="portrait"/>
          <w:cols w:equalWidth="0" w:num="1">
            <w:col w:w="10800"/>
          </w:cols>
          <w:pgMar w:left="300" w:top="507" w:right="7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4786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5650" cy="478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86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478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86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478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79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4779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86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478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5193030</wp:posOffset>
            </wp:positionV>
            <wp:extent cx="710565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86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478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92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4792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4779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4779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79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4779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4779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4779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4786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4786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79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4779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4779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4779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4779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4779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2020-07-31T15:30:13Z</dcterms:created>
  <dcterms:modified xsi:type="dcterms:W3CDTF">2020-07-31T15:30:13Z</dcterms:modified>
</cp:coreProperties>
</file>