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jc w:val="center"/>
        <w:ind w:right="-19"/>
        <w:spacing w:after="0" w:line="203" w:lineRule="auto"/>
        <w:rPr>
          <w:sz w:val="20"/>
          <w:szCs w:val="20"/>
          <w:color w:val="auto"/>
        </w:rPr>
      </w:pPr>
      <w:r>
        <w:rPr>
          <w:rFonts w:ascii="Arial" w:cs="Arial" w:eastAsia="Arial" w:hAnsi="Arial"/>
          <w:sz w:val="18"/>
          <w:szCs w:val="18"/>
          <w:b w:val="1"/>
          <w:bCs w:val="1"/>
          <w:color w:val="auto"/>
        </w:rPr>
        <w:t>Washington, D.C. 20549</w:t>
      </w:r>
    </w:p>
    <w:p>
      <w:pPr>
        <w:jc w:val="center"/>
        <w:ind w:right="-19"/>
        <w:spacing w:after="0" w:line="204" w:lineRule="auto"/>
        <w:rPr>
          <w:sz w:val="20"/>
          <w:szCs w:val="20"/>
          <w:color w:val="auto"/>
        </w:rPr>
      </w:pPr>
      <w:r>
        <w:rPr>
          <w:rFonts w:ascii="Arial" w:cs="Arial" w:eastAsia="Arial" w:hAnsi="Arial"/>
          <w:sz w:val="18"/>
          <w:szCs w:val="18"/>
          <w:b w:val="1"/>
          <w:bCs w:val="1"/>
          <w:color w:val="auto"/>
        </w:rPr>
        <w:t>Form 10-Q</w:t>
      </w: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980" w:right="1300"/>
        <w:spacing w:after="0" w:line="464"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378"/>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176"/>
        </w:trPr>
        <w:tc>
          <w:tcPr>
            <w:tcW w:w="6820" w:type="dxa"/>
            <w:vAlign w:val="bottom"/>
          </w:tcPr>
          <w:p>
            <w:pPr>
              <w:jc w:val="center"/>
              <w:ind w:left="2550"/>
              <w:spacing w:after="0" w:line="176" w:lineRule="exact"/>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5"/>
                <w:szCs w:val="15"/>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337"/>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176"/>
        </w:trPr>
        <w:tc>
          <w:tcPr>
            <w:tcW w:w="6820" w:type="dxa"/>
            <w:vAlign w:val="bottom"/>
          </w:tcPr>
          <w:p>
            <w:pPr>
              <w:jc w:val="center"/>
              <w:ind w:right="2950"/>
              <w:spacing w:after="0" w:line="176" w:lineRule="exact"/>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line="176"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372"/>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400 Professional Drive, Suite 400</w:t>
            </w:r>
          </w:p>
        </w:tc>
        <w:tc>
          <w:tcPr>
            <w:tcW w:w="1440" w:type="dxa"/>
            <w:vAlign w:val="bottom"/>
          </w:tcPr>
          <w:p>
            <w:pPr>
              <w:spacing w:after="0"/>
              <w:rPr>
                <w:sz w:val="24"/>
                <w:szCs w:val="24"/>
                <w:color w:val="auto"/>
              </w:rPr>
            </w:pPr>
          </w:p>
        </w:tc>
      </w:tr>
      <w:tr>
        <w:trPr>
          <w:trHeight w:val="180"/>
        </w:trPr>
        <w:tc>
          <w:tcPr>
            <w:tcW w:w="6820" w:type="dxa"/>
            <w:vAlign w:val="bottom"/>
          </w:tcPr>
          <w:p>
            <w:pPr>
              <w:jc w:val="center"/>
              <w:ind w:right="2950"/>
              <w:spacing w:after="0" w:line="181" w:lineRule="exact"/>
              <w:rPr>
                <w:sz w:val="20"/>
                <w:szCs w:val="20"/>
                <w:color w:val="auto"/>
              </w:rPr>
            </w:pPr>
            <w:r>
              <w:rPr>
                <w:rFonts w:ascii="Arial" w:cs="Arial" w:eastAsia="Arial" w:hAnsi="Arial"/>
                <w:sz w:val="18"/>
                <w:szCs w:val="18"/>
                <w:b w:val="1"/>
                <w:bCs w:val="1"/>
                <w:color w:val="auto"/>
                <w:w w:val="94"/>
              </w:rPr>
              <w:t>Gaithersburg, Maryland</w:t>
            </w:r>
          </w:p>
        </w:tc>
        <w:tc>
          <w:tcPr>
            <w:tcW w:w="1440" w:type="dxa"/>
            <w:vAlign w:val="bottom"/>
          </w:tcPr>
          <w:p>
            <w:pPr>
              <w:jc w:val="right"/>
              <w:ind w:right="350"/>
              <w:spacing w:after="0" w:line="181" w:lineRule="exact"/>
              <w:rPr>
                <w:sz w:val="20"/>
                <w:szCs w:val="20"/>
                <w:color w:val="auto"/>
              </w:rPr>
            </w:pPr>
            <w:r>
              <w:rPr>
                <w:rFonts w:ascii="Arial" w:cs="Arial" w:eastAsia="Arial" w:hAnsi="Arial"/>
                <w:sz w:val="18"/>
                <w:szCs w:val="18"/>
                <w:b w:val="1"/>
                <w:bCs w:val="1"/>
                <w:color w:val="auto"/>
              </w:rPr>
              <w:t>20879</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337"/>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(240) 631-3200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160"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6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No</w:t>
      </w:r>
    </w:p>
    <w:p>
      <w:pPr>
        <w:spacing w:after="0" w:line="16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1" w:lineRule="exact"/>
        <w:rPr>
          <w:sz w:val="24"/>
          <w:szCs w:val="24"/>
          <w:color w:val="auto"/>
        </w:rPr>
      </w:pPr>
    </w:p>
    <w:p>
      <w:pPr>
        <w:ind w:left="2620" w:right="1480" w:hanging="3232"/>
        <w:spacing w:after="0" w:line="220" w:lineRule="exact"/>
        <w:tabs>
          <w:tab w:leader="none" w:pos="2600" w:val="left"/>
        </w:tabs>
        <w:rPr>
          <w:sz w:val="20"/>
          <w:szCs w:val="20"/>
          <w:color w:val="auto"/>
        </w:rPr>
      </w:pPr>
      <w:r>
        <w:rPr>
          <w:rFonts w:ascii="Arial" w:cs="Arial" w:eastAsia="Arial" w:hAnsi="Arial"/>
          <w:sz w:val="18"/>
          <w:szCs w:val="18"/>
          <w:color w:val="auto"/>
        </w:rPr>
        <w:t>Large accelerated filer</w:t>
        <w:tab/>
        <w:t xml:space="preserve">Accelerated filer Non-accelerated filer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(Do not check if a smaller reporting company)</w:t>
      </w:r>
    </w:p>
    <w:p>
      <w:pPr>
        <w:spacing w:after="0" w:line="121" w:lineRule="exact"/>
        <w:rPr>
          <w:sz w:val="24"/>
          <w:szCs w:val="24"/>
          <w:color w:val="auto"/>
        </w:rPr>
      </w:pPr>
    </w:p>
    <w:p>
      <w:pPr>
        <w:ind w:firstLine="648"/>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660" w:right="1700"/>
        <w:spacing w:after="0" w:line="481"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No As of July 27, 2018, the registrant had 50,019,935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4"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Emergent BioSolutions Inc.</w:t>
      </w:r>
    </w:p>
    <w:p>
      <w:pPr>
        <w:jc w:val="center"/>
        <w:ind w:left="660"/>
        <w:spacing w:after="0"/>
        <w:rPr>
          <w:sz w:val="20"/>
          <w:szCs w:val="20"/>
          <w:color w:val="auto"/>
        </w:rPr>
      </w:pPr>
      <w:r>
        <w:rPr>
          <w:rFonts w:ascii="Arial" w:cs="Arial" w:eastAsia="Arial" w:hAnsi="Arial"/>
          <w:sz w:val="18"/>
          <w:szCs w:val="18"/>
          <w:b w:val="1"/>
          <w:bCs w:val="1"/>
          <w:color w:val="auto"/>
        </w:rPr>
        <w:t>Index to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3"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Unaudited Financial Statements</w:t>
        </w:r>
      </w:hyperlink>
    </w:p>
    <w:p>
      <w:pPr>
        <w:ind w:left="10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p>
      <w:pPr>
        <w:spacing w:after="0" w:line="7" w:lineRule="exact"/>
        <w:rPr>
          <w:sz w:val="20"/>
          <w:szCs w:val="20"/>
          <w:color w:val="auto"/>
        </w:rPr>
      </w:pPr>
    </w:p>
    <w:p>
      <w:pPr>
        <w:ind w:left="10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 of Changes in Stockholders' Equity</w:t>
        </w:r>
      </w:hyperlink>
    </w:p>
    <w:p>
      <w:pPr>
        <w:spacing w:after="0" w:line="9" w:lineRule="exact"/>
        <w:rPr>
          <w:sz w:val="20"/>
          <w:szCs w:val="20"/>
          <w:color w:val="auto"/>
        </w:rPr>
      </w:pPr>
    </w:p>
    <w:p>
      <w:pPr>
        <w:ind w:left="10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p>
      <w:pPr>
        <w:spacing w:after="0"/>
        <w:tabs>
          <w:tab w:leader="none" w:pos="1040" w:val="left"/>
        </w:tabs>
        <w:rPr>
          <w:sz w:val="20"/>
          <w:szCs w:val="20"/>
          <w:color w:val="auto"/>
        </w:rPr>
      </w:pPr>
      <w:r>
        <w:rPr>
          <w:rFonts w:ascii="Arial" w:cs="Arial" w:eastAsia="Arial" w:hAnsi="Arial"/>
          <w:sz w:val="18"/>
          <w:szCs w:val="18"/>
          <w:u w:val="single" w:color="auto"/>
          <w:color w:val="0000EE"/>
        </w:rPr>
        <w:t>Item 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229" w:lineRule="auto"/>
        <w:tabs>
          <w:tab w:leader="none" w:pos="104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Quantitative and Qualitative Disclosures About Market Risk</w:t>
        </w:r>
      </w:hyperlink>
    </w:p>
    <w:p>
      <w:pPr>
        <w:spacing w:after="0"/>
        <w:tabs>
          <w:tab w:leader="none" w:pos="104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Controls and Procedures</w:t>
        </w:r>
      </w:hyperlink>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gridSpan w:val="2"/>
          </w:tcPr>
          <w:p>
            <w:pPr>
              <w:spacing w:after="0" w:line="15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1A.</w:t>
              </w:r>
            </w:hyperlink>
          </w:p>
        </w:tc>
        <w:tc>
          <w:tcPr>
            <w:tcW w:w="440" w:type="dxa"/>
            <w:vAlign w:val="bottom"/>
            <w:vMerge w:val="continue"/>
          </w:tcPr>
          <w:p>
            <w:pPr>
              <w:spacing w:after="0"/>
              <w:rPr>
                <w:sz w:val="13"/>
                <w:szCs w:val="13"/>
                <w:color w:val="auto"/>
              </w:rPr>
            </w:pPr>
          </w:p>
        </w:tc>
        <w:tc>
          <w:tcPr>
            <w:tcW w:w="1320" w:type="dxa"/>
            <w:vAlign w:val="bottom"/>
            <w:gridSpan w:val="5"/>
          </w:tcPr>
          <w:p>
            <w:pPr>
              <w:spacing w:after="0" w:line="15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4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440" w:type="dxa"/>
            <w:vAlign w:val="bottom"/>
          </w:tcPr>
          <w:p>
            <w:pPr>
              <w:spacing w:after="0"/>
              <w:rPr>
                <w:sz w:val="13"/>
                <w:szCs w:val="13"/>
                <w:color w:val="auto"/>
              </w:rPr>
            </w:pPr>
          </w:p>
        </w:tc>
        <w:tc>
          <w:tcPr>
            <w:tcW w:w="880" w:type="dxa"/>
            <w:vAlign w:val="bottom"/>
            <w:tcBorders>
              <w:top w:val="single" w:sz="8" w:color="0000EE"/>
            </w:tcBorders>
            <w:gridSpan w:val="3"/>
          </w:tcPr>
          <w:p>
            <w:pPr>
              <w:spacing w:after="0" w:line="156" w:lineRule="exact"/>
              <w:rPr>
                <w:rFonts w:ascii="Arial" w:cs="Arial" w:eastAsia="Arial" w:hAnsi="Arial"/>
                <w:sz w:val="18"/>
                <w:szCs w:val="18"/>
                <w:color w:val="0000EE"/>
                <w:w w:val="83"/>
              </w:rPr>
            </w:pPr>
            <w:hyperlink w:anchor="page30">
              <w:r>
                <w:rPr>
                  <w:rFonts w:ascii="Arial" w:cs="Arial" w:eastAsia="Arial" w:hAnsi="Arial"/>
                  <w:sz w:val="18"/>
                  <w:szCs w:val="18"/>
                  <w:color w:val="0000EE"/>
                  <w:w w:val="83"/>
                </w:rPr>
                <w:t>Unregistered</w:t>
              </w:r>
            </w:hyperlink>
          </w:p>
        </w:tc>
        <w:tc>
          <w:tcPr>
            <w:tcW w:w="3480" w:type="dxa"/>
            <w:vAlign w:val="bottom"/>
            <w:gridSpan w:val="6"/>
          </w:tcPr>
          <w:p>
            <w:pPr>
              <w:ind w:left="80"/>
              <w:spacing w:after="0" w:line="15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Sales of Equity Securities and Use of Proceeds</w:t>
              </w:r>
            </w:hyperlink>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4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0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20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30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73"/>
              </w:rPr>
            </w:pPr>
            <w:hyperlink w:anchor="page33">
              <w:r>
                <w:rPr>
                  <w:rFonts w:ascii="Arial" w:cs="Arial" w:eastAsia="Arial" w:hAnsi="Arial"/>
                  <w:sz w:val="16"/>
                  <w:szCs w:val="16"/>
                  <w:color w:val="0000EE"/>
                  <w:w w:val="73"/>
                </w:rPr>
                <w:t>Signatures</w:t>
              </w:r>
            </w:hyperlink>
          </w:p>
        </w:tc>
        <w:tc>
          <w:tcPr>
            <w:tcW w:w="160" w:type="dxa"/>
            <w:vAlign w:val="bottom"/>
            <w:tcBorders>
              <w:bottom w:val="single" w:sz="8" w:color="0000EE"/>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34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gridSpan w:val="9"/>
          </w:tcPr>
          <w:p>
            <w:pPr>
              <w:spacing w:after="0" w:line="196" w:lineRule="exact"/>
              <w:rPr>
                <w:sz w:val="20"/>
                <w:szCs w:val="20"/>
                <w:color w:val="auto"/>
              </w:rPr>
            </w:pPr>
            <w:r>
              <w:rPr>
                <w:rFonts w:ascii="Arial" w:cs="Arial" w:eastAsia="Arial" w:hAnsi="Arial"/>
                <w:sz w:val="18"/>
                <w:szCs w:val="18"/>
                <w:color w:val="0000EE"/>
              </w:rPr>
              <w:t>Exhibit Index</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BioThrax® (Anthrax Vaccine Adsorbed), RSDL® (Reactive Skin Decontamination Lotion Kit), BAT® [Botulism Antitoxin Heptavalent (A,B,C,D,E,F,G)-(Equine)], Anthrasil® (Anthrax Immune Globulin Intravenous [human]), NuThrax™ (anthrax vaccine adsorbed with CPG 7909 adjuvant), VIGIV [Vaccinia Immune Globulin Intravenous (Human)], Trobigard™ (atropine sulfate, obidoxime chloride), ACAM2000®, (Smallpox (Vaccinia) Vaccine, Live), Raxibacumab (Anthrax Monoclonal)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25"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4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appropriations for the procurement of BioThrax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(Anthrax Vaccine Adsorbed) and our other products addressing public health threats;</w:t>
      </w:r>
    </w:p>
    <w:p>
      <w:pPr>
        <w:ind w:left="980" w:hanging="324"/>
        <w:spacing w:after="0" w:line="24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our NuThrax product candidate, and our other public health threat products, including the timing of and specifications relating to deliveries;</w:t>
      </w: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Emergency Use Authorization pre-approval for NuThrax™ (anthrax vaccine adsorbed with CPG 7909 adjuvant) from the U.S. Food and Drug Administration, or FDA;</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follow-on procurement contracts for our public health threat products that are under procurement contracts that have expired or will be expiring;</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and acquire companies, businesses, products or product candidates that satisfy our selection criteria;</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identify and respond to new development contracts with the U.S. government, as well as successfully maintain, through achievement of development milestones, current development contracts with the U.S. government;</w:t>
      </w: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our contractors and suppliers to maintain compliance with current good manufacturing practices and other regulatory obligations;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regulatory inspections;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the class action lawsuit;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and the timing of any such approvals;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2"/>
              </w:rPr>
              <w:t>June 30, 2018</w:t>
            </w:r>
          </w:p>
        </w:tc>
        <w:tc>
          <w:tcPr>
            <w:tcW w:w="8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10"/>
              <w:spacing w:after="0" w:line="189"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60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190,237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178,292</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143,653</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142,812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3"/>
        </w:trPr>
        <w:tc>
          <w:tcPr>
            <w:tcW w:w="86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485,389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407,210</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111,773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119,597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49,130</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1,138,891</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1,070,206</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41,629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41,751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37,882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Income taxes payable,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96,813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100,068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indebtedness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23"/>
        </w:trPr>
        <w:tc>
          <w:tcPr>
            <w:tcW w:w="860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200,545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157,861</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00" w:type="dxa"/>
            <w:vAlign w:val="bottom"/>
          </w:tcPr>
          <w:p>
            <w:pPr>
              <w:ind w:left="160"/>
              <w:spacing w:after="0" w:line="135" w:lineRule="exact"/>
              <w:rPr>
                <w:sz w:val="20"/>
                <w:szCs w:val="20"/>
                <w:color w:val="auto"/>
              </w:rPr>
            </w:pPr>
            <w:r>
              <w:rPr>
                <w:rFonts w:ascii="Arial" w:cs="Arial" w:eastAsia="Arial" w:hAnsi="Arial"/>
                <w:sz w:val="15"/>
                <w:szCs w:val="15"/>
                <w:color w:val="auto"/>
              </w:rPr>
              <w:t>Preferred stock, $0.001 par value; 15,000,000 shares authorized, 0 shares issued and outstanding at both June 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600" w:type="dxa"/>
            <w:vAlign w:val="bottom"/>
          </w:tcPr>
          <w:p>
            <w:pPr>
              <w:ind w:left="240"/>
              <w:spacing w:after="0" w:line="189" w:lineRule="exact"/>
              <w:rPr>
                <w:sz w:val="20"/>
                <w:szCs w:val="20"/>
                <w:color w:val="auto"/>
              </w:rPr>
            </w:pPr>
            <w:r>
              <w:rPr>
                <w:rFonts w:ascii="Arial" w:cs="Arial" w:eastAsia="Arial" w:hAnsi="Arial"/>
                <w:sz w:val="18"/>
                <w:szCs w:val="18"/>
                <w:color w:val="auto"/>
              </w:rPr>
              <w:t>2018 and December 31, 2017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00" w:type="dxa"/>
            <w:vAlign w:val="bottom"/>
            <w:shd w:val="clear" w:color="auto" w:fill="CCEEFF"/>
          </w:tcPr>
          <w:p>
            <w:pPr>
              <w:ind w:left="160"/>
              <w:spacing w:after="0" w:line="135" w:lineRule="exact"/>
              <w:rPr>
                <w:sz w:val="20"/>
                <w:szCs w:val="20"/>
                <w:color w:val="auto"/>
              </w:rPr>
            </w:pPr>
            <w:r>
              <w:rPr>
                <w:rFonts w:ascii="Arial" w:cs="Arial" w:eastAsia="Arial" w:hAnsi="Arial"/>
                <w:sz w:val="15"/>
                <w:szCs w:val="15"/>
                <w:color w:val="auto"/>
              </w:rPr>
              <w:t>Common stock, $0.001 par value; 200,000,000 shares authorized, 51,231,814 shares issued and 50,014,528 shares</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0"/>
              </w:rPr>
              <w:t>outstanding at June 30, 2018; 50,619,808 shares issued and 49,405,365 shares outstanding at December 31, 2017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00" w:type="dxa"/>
            <w:vAlign w:val="bottom"/>
          </w:tcPr>
          <w:p>
            <w:pPr>
              <w:ind w:left="160"/>
              <w:spacing w:after="0" w:line="135" w:lineRule="exact"/>
              <w:rPr>
                <w:sz w:val="20"/>
                <w:szCs w:val="20"/>
                <w:color w:val="auto"/>
              </w:rPr>
            </w:pPr>
            <w:r>
              <w:rPr>
                <w:rFonts w:ascii="Arial" w:cs="Arial" w:eastAsia="Arial" w:hAnsi="Arial"/>
                <w:sz w:val="15"/>
                <w:szCs w:val="15"/>
                <w:color w:val="auto"/>
              </w:rPr>
              <w:t>Treasury stock, at cost, 1,217,286 and 1,214,443 common shares at June 30, 2018 and December 31, 2017,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(39,642)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(39,497)</w:t>
            </w:r>
          </w:p>
        </w:tc>
        <w:tc>
          <w:tcPr>
            <w:tcW w:w="0" w:type="dxa"/>
            <w:vAlign w:val="bottom"/>
          </w:tcPr>
          <w:p>
            <w:pPr>
              <w:spacing w:after="0"/>
              <w:rPr>
                <w:sz w:val="1"/>
                <w:szCs w:val="1"/>
                <w:color w:val="auto"/>
              </w:rPr>
            </w:pPr>
          </w:p>
        </w:tc>
      </w:tr>
      <w:tr>
        <w:trPr>
          <w:trHeight w:val="189"/>
        </w:trPr>
        <w:tc>
          <w:tcPr>
            <w:tcW w:w="8600" w:type="dxa"/>
            <w:vAlign w:val="bottom"/>
          </w:tcPr>
          <w:p>
            <w:pPr>
              <w:ind w:left="80"/>
              <w:spacing w:after="0" w:line="189"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618,416</w:t>
            </w:r>
          </w:p>
        </w:tc>
        <w:tc>
          <w:tcPr>
            <w:tcW w:w="0" w:type="dxa"/>
            <w:vAlign w:val="bottom"/>
          </w:tcPr>
          <w:p>
            <w:pPr>
              <w:spacing w:after="0"/>
              <w:rPr>
                <w:sz w:val="1"/>
                <w:szCs w:val="1"/>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1,138,891</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1,070,206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1"/>
                <w:szCs w:val="21"/>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1"/>
                <w:szCs w:val="21"/>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89"/>
        </w:trPr>
        <w:tc>
          <w:tcPr>
            <w:tcW w:w="6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255,846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145,579</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Contract manufacturing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16,160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38,263</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338,014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217,630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 and contract manufacturing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80,946</w:t>
            </w:r>
          </w:p>
        </w:tc>
        <w:tc>
          <w:tcPr>
            <w:tcW w:w="0" w:type="dxa"/>
            <w:vAlign w:val="bottom"/>
          </w:tcPr>
          <w:p>
            <w:pPr>
              <w:spacing w:after="0"/>
              <w:rPr>
                <w:sz w:val="1"/>
                <w:szCs w:val="1"/>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25,751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53,796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46,227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67,018</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(1,805)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(1,808)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6,721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56,398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20,366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50,144</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45,236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 basic</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49,896,124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41,013,764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49,738,980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40,871,540</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Weighted-average number of shares - diluted</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51,162,909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50,078,594</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51,039,195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49,899,291</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See "Earnings per share" footnote for details on calculation.</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420" w:type="dxa"/>
            <w:vAlign w:val="bottom"/>
            <w:gridSpan w:val="2"/>
          </w:tcPr>
          <w:p>
            <w:pPr>
              <w:spacing w:after="0"/>
              <w:rPr>
                <w:sz w:val="16"/>
                <w:szCs w:val="16"/>
                <w:color w:val="auto"/>
              </w:rPr>
            </w:pPr>
          </w:p>
        </w:tc>
        <w:tc>
          <w:tcPr>
            <w:tcW w:w="900" w:type="dxa"/>
            <w:vAlign w:val="bottom"/>
            <w:gridSpan w:val="2"/>
          </w:tcPr>
          <w:p>
            <w:pPr>
              <w:spacing w:after="0"/>
              <w:rPr>
                <w:sz w:val="16"/>
                <w:szCs w:val="16"/>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50,144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45,236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Foreign currency translations, net of tax</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44,519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220" w:type="dxa"/>
            <w:vAlign w:val="bottom"/>
          </w:tcPr>
          <w:p>
            <w:pPr>
              <w:jc w:val="center"/>
              <w:ind w:left="3010"/>
              <w:spacing w:after="0"/>
              <w:rPr>
                <w:sz w:val="20"/>
                <w:szCs w:val="20"/>
                <w:color w:val="auto"/>
              </w:rPr>
            </w:pPr>
            <w:r>
              <w:rPr>
                <w:rFonts w:ascii="Arial" w:cs="Arial" w:eastAsia="Arial" w:hAnsi="Arial"/>
                <w:sz w:val="18"/>
                <w:szCs w:val="18"/>
                <w:b w:val="1"/>
                <w:bCs w:val="1"/>
                <w:color w:val="auto"/>
                <w:w w:val="89"/>
              </w:rPr>
              <w:t>Emergent BioSolutions Inc. and Subsidiaries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jc w:val="center"/>
              <w:ind w:left="301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tcPr>
          <w:p>
            <w:pPr>
              <w:jc w:val="center"/>
              <w:ind w:left="3010"/>
              <w:spacing w:after="0"/>
              <w:rPr>
                <w:sz w:val="20"/>
                <w:szCs w:val="20"/>
                <w:color w:val="auto"/>
              </w:rPr>
            </w:pPr>
            <w:r>
              <w:rPr>
                <w:rFonts w:ascii="Arial" w:cs="Arial" w:eastAsia="Arial" w:hAnsi="Arial"/>
                <w:sz w:val="18"/>
                <w:szCs w:val="18"/>
                <w:b w:val="1"/>
                <w:bCs w:val="1"/>
                <w:color w:val="auto"/>
                <w:w w:val="87"/>
              </w:rPr>
              <w:t>(in thousands)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45,236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15,101</w:t>
            </w: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Adjustments to reconcile to net cash provided by (used in) operating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16"/>
        </w:trPr>
        <w:tc>
          <w:tcPr>
            <w:tcW w:w="82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24,713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6"/>
        </w:trPr>
        <w:tc>
          <w:tcPr>
            <w:tcW w:w="8220" w:type="dxa"/>
            <w:vAlign w:val="bottom"/>
          </w:tcPr>
          <w:p>
            <w:pPr>
              <w:ind w:left="300"/>
              <w:spacing w:after="0"/>
              <w:rPr>
                <w:sz w:val="20"/>
                <w:szCs w:val="20"/>
                <w:color w:val="auto"/>
              </w:rPr>
            </w:pPr>
            <w:r>
              <w:rPr>
                <w:rFonts w:ascii="Arial" w:cs="Arial" w:eastAsia="Arial" w:hAnsi="Arial"/>
                <w:sz w:val="18"/>
                <w:szCs w:val="18"/>
                <w:color w:val="auto"/>
              </w:rPr>
              <w:t>Change in fair value of contingent consideration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of long-lived assets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30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(46,251)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36,160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7"/>
        </w:trPr>
        <w:tc>
          <w:tcPr>
            <w:tcW w:w="8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33,591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95,673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(25,217)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(22,593)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Issuance of common stock upon exercise of stock options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 on behalf of employees for equity activity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Payments of notes payable to Aptevo</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 payments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82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(21,942)</w:t>
            </w:r>
          </w:p>
        </w:tc>
        <w:tc>
          <w:tcPr>
            <w:tcW w:w="0" w:type="dxa"/>
            <w:vAlign w:val="bottom"/>
          </w:tcPr>
          <w:p>
            <w:pPr>
              <w:spacing w:after="0"/>
              <w:rPr>
                <w:sz w:val="1"/>
                <w:szCs w:val="1"/>
                <w:color w:val="auto"/>
              </w:rPr>
            </w:pPr>
          </w:p>
        </w:tc>
      </w:tr>
      <w:tr>
        <w:trPr>
          <w:trHeight w:val="216"/>
        </w:trPr>
        <w:tc>
          <w:tcPr>
            <w:tcW w:w="8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cash, cash equivalents and restricted cash</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44,114</w:t>
            </w:r>
          </w:p>
        </w:tc>
        <w:tc>
          <w:tcPr>
            <w:tcW w:w="0" w:type="dxa"/>
            <w:vAlign w:val="bottom"/>
          </w:tcPr>
          <w:p>
            <w:pPr>
              <w:spacing w:after="0"/>
              <w:rPr>
                <w:sz w:val="1"/>
                <w:szCs w:val="1"/>
                <w:color w:val="auto"/>
              </w:rPr>
            </w:pPr>
          </w:p>
        </w:tc>
      </w:tr>
      <w:tr>
        <w:trPr>
          <w:trHeight w:val="223"/>
        </w:trPr>
        <w:tc>
          <w:tcPr>
            <w:tcW w:w="822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 at beginning of period (1)</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at end of period (1)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191,280</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315,627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As of December 31, 2017 and June 30, 2018, the balance includes $1,043 of restricted cash.</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 of Changes in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$0.001 Par Value</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right="220"/>
              <w:spacing w:after="0" w:line="162"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6"/>
                <w:szCs w:val="16"/>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6"/>
                <w:szCs w:val="16"/>
                <w:b w:val="1"/>
                <w:bCs w:val="1"/>
                <w:color w:val="auto"/>
              </w:rPr>
              <w:t>Paid-In</w:t>
            </w:r>
          </w:p>
        </w:tc>
        <w:tc>
          <w:tcPr>
            <w:tcW w:w="2000" w:type="dxa"/>
            <w:vAlign w:val="bottom"/>
            <w:tcBorders>
              <w:bottom w:val="single" w:sz="8" w:color="auto"/>
            </w:tcBorders>
            <w:gridSpan w:val="5"/>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80" w:type="dxa"/>
            <w:vAlign w:val="bottom"/>
            <w:gridSpan w:val="4"/>
          </w:tcPr>
          <w:p>
            <w:pPr>
              <w:jc w:val="center"/>
              <w:ind w:right="120"/>
              <w:spacing w:after="0" w:line="142" w:lineRule="exact"/>
              <w:rPr>
                <w:sz w:val="20"/>
                <w:szCs w:val="20"/>
                <w:color w:val="auto"/>
              </w:rPr>
            </w:pPr>
            <w:r>
              <w:rPr>
                <w:rFonts w:ascii="Arial" w:cs="Arial" w:eastAsia="Arial" w:hAnsi="Arial"/>
                <w:sz w:val="16"/>
                <w:szCs w:val="16"/>
                <w:b w:val="1"/>
                <w:bCs w:val="1"/>
                <w:color w:val="auto"/>
                <w:w w:val="99"/>
              </w:rPr>
              <w:t>Comprehensive</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20" w:type="dxa"/>
            <w:vAlign w:val="bottom"/>
            <w:gridSpan w:val="4"/>
          </w:tcPr>
          <w:p>
            <w:pPr>
              <w:ind w:left="80"/>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Balance at December 31,</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50,619,808</w:t>
            </w:r>
          </w:p>
        </w:tc>
        <w:tc>
          <w:tcPr>
            <w:tcW w:w="820" w:type="dxa"/>
            <w:vAlign w:val="bottom"/>
            <w:gridSpan w:val="2"/>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618,416</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(1,214,443)</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(39,497)</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(3,698)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337,074</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912,345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Adoption of new accounting</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gridSpan w:val="3"/>
          </w:tcPr>
          <w:p>
            <w:pPr>
              <w:spacing w:after="0" w:line="162" w:lineRule="exact"/>
              <w:rPr>
                <w:sz w:val="20"/>
                <w:szCs w:val="20"/>
                <w:color w:val="auto"/>
              </w:rPr>
            </w:pPr>
            <w:r>
              <w:rPr>
                <w:rFonts w:ascii="Arial" w:cs="Arial" w:eastAsia="Arial" w:hAnsi="Arial"/>
                <w:sz w:val="18"/>
                <w:szCs w:val="18"/>
                <w:color w:val="auto"/>
              </w:rPr>
              <w:t>standard (ASC 606), net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(32,527)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(32,527)</w:t>
            </w:r>
          </w:p>
        </w:tc>
        <w:tc>
          <w:tcPr>
            <w:tcW w:w="0" w:type="dxa"/>
            <w:vAlign w:val="bottom"/>
          </w:tcPr>
          <w:p>
            <w:pPr>
              <w:spacing w:after="0"/>
              <w:rPr>
                <w:sz w:val="1"/>
                <w:szCs w:val="1"/>
                <w:color w:val="auto"/>
              </w:rPr>
            </w:pPr>
          </w:p>
        </w:tc>
      </w:tr>
      <w:tr>
        <w:trPr>
          <w:trHeight w:val="189"/>
        </w:trPr>
        <w:tc>
          <w:tcPr>
            <w:tcW w:w="2180" w:type="dxa"/>
            <w:vAlign w:val="bottom"/>
            <w:gridSpan w:val="3"/>
          </w:tcPr>
          <w:p>
            <w:pPr>
              <w:spacing w:after="0" w:line="189" w:lineRule="exact"/>
              <w:rPr>
                <w:sz w:val="20"/>
                <w:szCs w:val="20"/>
                <w:color w:val="auto"/>
              </w:rPr>
            </w:pPr>
            <w:r>
              <w:rPr>
                <w:rFonts w:ascii="Arial" w:cs="Arial" w:eastAsia="Arial" w:hAnsi="Arial"/>
                <w:sz w:val="18"/>
                <w:szCs w:val="18"/>
                <w:color w:val="auto"/>
              </w:rPr>
              <w:t>tax</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gridSpan w:val="2"/>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Balance at January 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50,619,808</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618,416</w:t>
            </w:r>
          </w:p>
        </w:tc>
        <w:tc>
          <w:tcPr>
            <w:tcW w:w="220" w:type="dxa"/>
            <w:vAlign w:val="bottom"/>
            <w:vMerge w:val="restart"/>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(1,214,443)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(39,497)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304,547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879,818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Employee equity plans</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612,006</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14,153</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activity</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5"/>
                <w:szCs w:val="15"/>
                <w:color w:val="auto"/>
              </w:rPr>
              <w:t>Foreign currency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translation, net of tax</w:t>
            </w: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Balance at June 30,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51,231,814</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632,569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(1,217,286)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(39,642)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349,783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938,346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8" w:name="page9"/>
    <w:bookmarkEnd w:id="8"/>
    <w:p>
      <w:pPr>
        <w:jc w:val="center"/>
        <w:ind w:left="660"/>
        <w:spacing w:after="0"/>
        <w:rPr>
          <w:sz w:val="20"/>
          <w:szCs w:val="20"/>
          <w:color w:val="auto"/>
        </w:rPr>
      </w:pPr>
      <w:r>
        <w:rPr>
          <w:rFonts w:ascii="Arial" w:cs="Arial" w:eastAsia="Arial" w:hAnsi="Arial"/>
          <w:sz w:val="18"/>
          <w:szCs w:val="18"/>
          <w:b w:val="1"/>
          <w:bCs w:val="1"/>
          <w:color w:val="auto"/>
        </w:rPr>
        <w:t>EMERGENT BIOSOLUTIONS INC. AND SUBSIDIARIES</w:t>
      </w:r>
    </w:p>
    <w:p>
      <w:pPr>
        <w:ind w:left="5100" w:right="2440" w:hanging="2018"/>
        <w:spacing w:after="0" w:line="226"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accompanying unaudited condensed consolidated financial statements include the accounts of Emergent BioSolutions Inc. ("Emergent" or the "Company") and its wholly owned and majority owned subsidiaries. All significant intercompany accounts and transactions have been eliminated in consolidation. 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2017, as filed with the SEC.</w:t>
      </w:r>
    </w:p>
    <w:p>
      <w:pPr>
        <w:spacing w:after="0" w:line="12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the opinion of the Company's management, any adjustments contained in the accompanying unaudited condensed consolidated financial statements are of a normal recurring nature and are necessary to present fairly the financial position of the Company as of June 30, 2018. Interim results are not necessarily indicative of results that may be expected for any other interim period or for an entire year.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During the six months ended June 30, 2018, there have been no significant changes to the Company's summary of significant accounting policies contained in the Company's Annual Report on Form 10-K for the year ended December 31, 2017, as filed with the SEC, except for the new revenue recognition standard the Company adopted effective January 1, 2018. See Note 2. "Revenue recognition" for further details.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2018-07, </w:t>
      </w:r>
      <w:r>
        <w:rPr>
          <w:rFonts w:ascii="Arial" w:cs="Arial" w:eastAsia="Arial" w:hAnsi="Arial"/>
          <w:sz w:val="18"/>
          <w:szCs w:val="18"/>
          <w:i w:val="1"/>
          <w:iCs w:val="1"/>
          <w:u w:val="single" w:color="auto"/>
          <w:color w:val="auto"/>
        </w:rPr>
        <w:t>Compensation-Stock Compensation (Topic 718): Improvements to Nonemployee Share-based Payment Accounting</w:t>
      </w:r>
    </w:p>
    <w:p>
      <w:pPr>
        <w:spacing w:after="0" w:line="14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 xml:space="preserve">In June 2018, the Financial Accounting Standards Board ("FASB") issued Accounting Standard Update ("ASU") No. 2018-07,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Improvements to Nonemployee Share-based Payment Accounting </w:t>
      </w:r>
      <w:r>
        <w:rPr>
          <w:rFonts w:ascii="Arial" w:cs="Arial" w:eastAsia="Arial" w:hAnsi="Arial"/>
          <w:sz w:val="16"/>
          <w:szCs w:val="16"/>
          <w:color w:val="auto"/>
        </w:rPr>
        <w:t>("ASU No. 2018-07"). ASU No. 2018-07 expands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Topic 718 to include share-based payments issued to nonemployees for goods and services. ASU No. 2018-07 is intended to reduce cost and complexity and to improve financial reporting for share-based payments issued to nonemployees (for example, service providers, external legal counsel, suppliers, etc.). The standard will be effective after December 15, 2018 for the Company, with early adoption permitted, but no earlier than the Company's adoption date of Topic</w:t>
      </w:r>
    </w:p>
    <w:p>
      <w:pPr>
        <w:spacing w:after="0" w:line="1" w:lineRule="exact"/>
        <w:rPr>
          <w:sz w:val="20"/>
          <w:szCs w:val="20"/>
          <w:color w:val="auto"/>
        </w:rPr>
      </w:pPr>
    </w:p>
    <w:p>
      <w:pPr>
        <w:ind w:right="20" w:firstLine="8"/>
        <w:spacing w:after="0" w:line="226" w:lineRule="auto"/>
        <w:tabs>
          <w:tab w:leader="none" w:pos="37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early adopted the new standard effective April 1, 2018. The adoption of this standard did not have a material impact on the Company's condensed consolidated financial statements.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2017-09, </w:t>
      </w:r>
      <w:r>
        <w:rPr>
          <w:rFonts w:ascii="Arial" w:cs="Arial" w:eastAsia="Arial" w:hAnsi="Arial"/>
          <w:sz w:val="18"/>
          <w:szCs w:val="18"/>
          <w:i w:val="1"/>
          <w:iCs w:val="1"/>
          <w:u w:val="single" w:color="auto"/>
          <w:color w:val="auto"/>
        </w:rPr>
        <w:t>Compensation-Stock Compensation (Topic 718): Scope of Modification Accounting</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No. 2017-09"). ASU No. 2017-09 clarifies which changes to the terms or conditions of a share-based payment award require an entity to apply modification accounting in Topic 718. The Company adopted the new standard effective January 1, 2018, which did not have a material impact on its condensed consolidated financial statements.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2016-18, </w:t>
      </w:r>
      <w:r>
        <w:rPr>
          <w:rFonts w:ascii="Arial" w:cs="Arial" w:eastAsia="Arial" w:hAnsi="Arial"/>
          <w:sz w:val="18"/>
          <w:szCs w:val="18"/>
          <w:i w:val="1"/>
          <w:iCs w:val="1"/>
          <w:u w:val="single" w:color="auto"/>
          <w:color w:val="auto"/>
        </w:rPr>
        <w:t>Restricted Cash (Topic 230): Statement of Cash Flows</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Restricted Cash (Topic 230): Statement of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ASU No. 2016-18"). ASU No. 2016-18 requires that a statement of cash flows explain the change during the period in the total of cash, cash equivalents and amounts generally described as restricted cash or restricted cash equivalents. Restricted cash and restricted cash equivalents will be included with cash and cash equivalents when reconciling the beginning of period and end of period balances on the statement of cash flows upon adoption of this standard. The Company adopted the new standard effective January 1, 2018. Restricted cash primarily consists of collateralized cash for a standby letter of credit and guarantee arrangement with a bank.</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2016-15, </w:t>
      </w:r>
      <w:r>
        <w:rPr>
          <w:rFonts w:ascii="Arial" w:cs="Arial" w:eastAsia="Arial" w:hAnsi="Arial"/>
          <w:sz w:val="18"/>
          <w:szCs w:val="18"/>
          <w:i w:val="1"/>
          <w:iCs w:val="1"/>
          <w:u w:val="single" w:color="auto"/>
          <w:color w:val="auto"/>
        </w:rPr>
        <w:t>Statement of Cash Flows (Topic 230): Classification of Certain Cash Receipts and Cash Payments</w:t>
      </w:r>
    </w:p>
    <w:p>
      <w:pPr>
        <w:spacing w:after="0" w:line="144"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ASU No. 2016-15"). ASU No. 2016-15 eliminates the diversity in practice related to the classification of certain cash receipts and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debt prepayments or extinguishment costs, the maturing of a zero-coupon bond, the settlement of contingent liabilities arising from a business combination, proceeds from insurance settlements, distributions from certain equity method investees and beneficial interests obtained in a financial asset securitization. ASU No. 2016-15 designates the appropriate cash flow classification, including requirements to allocate certain components of these cash receipts and payments among operating, investing and financing activities. The Company adopted the new standard effective January 1, 2018 and has determined the impact of ASU No. 2016-15 on its condensed consolidated financial statements will be related to the settlement of contingent liabilities arising from a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2016-02, </w:t>
      </w:r>
      <w:r>
        <w:rPr>
          <w:rFonts w:ascii="Arial" w:cs="Arial" w:eastAsia="Arial" w:hAnsi="Arial"/>
          <w:sz w:val="18"/>
          <w:szCs w:val="18"/>
          <w:i w:val="1"/>
          <w:iCs w:val="1"/>
          <w:u w:val="single" w:color="auto"/>
          <w:color w:val="auto"/>
        </w:rPr>
        <w:t>Leases (Topic 842)</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ASU No. 2016-02"). ASU No. 2016-02 increases transparency and comparability among organizations by requiring the recognition of lease assets and lease liabilities on the balance sheet and disclosure of key information about leasing arrangements for both lessees and lessors. The standard will be effective January 1, 2019 for the Company, with early adoption permitted. The standard will be applied using a modified retrospective approach to the beginning of the earliest period presented in the financial statements. The Company's implementation efforts are primarily focused on the review of its existing lease contracts, identification of other contracts that may fall under the scope of the new guidance and performing a gap analysis on the current state of lease-related activities compared with the future state of lease-related activities. The Company has identified the lease agreements that will be impacted by the new standard and is currently evaluating the overall impact on its condensed consolidated financial statements and related disclosures.</w:t>
      </w:r>
    </w:p>
    <w:p>
      <w:pPr>
        <w:spacing w:after="0" w:line="127"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There are no other recently issued accounting pronouncements that are expected to have a material impact on the Company's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4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ASU No. 2014-09"). ASU No. 2014-09 (known as ASC 606) supersedes the revenue recognition requirements in </w:t>
      </w:r>
      <w:r>
        <w:rPr>
          <w:rFonts w:ascii="Arial" w:cs="Arial" w:eastAsia="Arial" w:hAnsi="Arial"/>
          <w:sz w:val="17"/>
          <w:szCs w:val="17"/>
          <w:i w:val="1"/>
          <w:iCs w:val="1"/>
          <w:color w:val="auto"/>
        </w:rPr>
        <w:t>Topic 605, Revenue Recognition</w:t>
      </w:r>
      <w:r>
        <w:rPr>
          <w:rFonts w:ascii="Arial" w:cs="Arial" w:eastAsia="Arial" w:hAnsi="Arial"/>
          <w:sz w:val="17"/>
          <w:szCs w:val="17"/>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The Company adopted the requirements of the new standard as of January 1, 2018 using the modified retrospective method. The modified retrospective method requires companies to recognize the cumulative effect of initially applying the new standard as an adjustment to opening retained earnings.</w:t>
      </w:r>
    </w:p>
    <w:p>
      <w:pPr>
        <w:sectPr>
          <w:pgSz w:w="11900" w:h="16838" w:orient="portrait"/>
          <w:cols w:equalWidth="0" w:num="1">
            <w:col w:w="11420"/>
          </w:cols>
          <w:pgMar w:left="240" w:top="299" w:right="239" w:bottom="0" w:gutter="0" w:footer="0" w:header="0"/>
        </w:sectPr>
      </w:pPr>
    </w:p>
    <w:bookmarkStart w:id="9" w:name="page10"/>
    <w:bookmarkEnd w:id="9"/>
    <w:p>
      <w:pPr>
        <w:jc w:val="both"/>
        <w:ind w:firstLine="648"/>
        <w:spacing w:after="0" w:line="214" w:lineRule="auto"/>
        <w:rPr>
          <w:sz w:val="20"/>
          <w:szCs w:val="20"/>
          <w:color w:val="auto"/>
        </w:rPr>
      </w:pPr>
      <w:r>
        <w:rPr>
          <w:rFonts w:ascii="Arial" w:cs="Arial" w:eastAsia="Arial" w:hAnsi="Arial"/>
          <w:sz w:val="18"/>
          <w:szCs w:val="18"/>
          <w:color w:val="auto"/>
        </w:rPr>
        <w:t>A performance obligation is a promise in a contract to transfer a distinct product or service to a customer and is the unit of account under ASC 606. For contracts with multiple performance obligations, the Company allocates the contract's transaction price to each performance obligation on a relative standalone selling price basis using the Company's best estimate of the standalone selling price of each distinct product or service in the contract.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Allocation of the transaction price is determined at the contracts' inception.</w:t>
      </w:r>
    </w:p>
    <w:p>
      <w:pPr>
        <w:spacing w:after="0" w:line="12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Once the performance obligations in the contract have been identified, the Company estimates the transaction price of the contract. The estimate includes amounts that are fixed as well as those that can vary based on expected outcomes of the activities or contractual terms. The Company's variable consideration primarily includes consideration transferred under its development contracts with the U.S. government as consideration received can vary based on developmental progression of the product candidate(s). When a contract's transaction price includes variable consideration, the Company evaluates the estimate of the variable consideration to determine whether the estimate needs to be constrained; therefore, the Company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There were no constraints or material changes to the Company's variable consideration estimates as of or during the six months ended June 30, 2018.</w:t>
      </w:r>
    </w:p>
    <w:p>
      <w:pPr>
        <w:spacing w:after="0" w:line="15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To indicate the transfer of control for the Company's product sales and contract manufacturing services, it must have a present right to payment, legal title must have passed to the customer, and the customer must have the significant risks and rewards of ownership. Revenue for long-term development contracts is generally recognized based upon the cost-to-cost measure of progress, provided that the Company meets the criteria associated with transferring control of the good or service over time.</w:t>
      </w:r>
    </w:p>
    <w:p>
      <w:pPr>
        <w:spacing w:after="0" w:line="1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The Company derives revenues primarily from the sale of its marketed medical countermeasures ("MCMs") products and contract revenues associated with development of its MCMs. The primary customer for the Company's MCM products and the development of the Company's MCM product candidate portfolio is the U.S. government. The Company's contracts for the sale of its MCM products generally have single performance obligation. Certain product sales contracts with the U.S. government include multiple performance obligations, which generally include the marketed product, stability testing associated with that product, expiry extensions and plasma collection. The Company's development contracts for its MCM product candidates generally are cost plus fixed fee arrangements, which the Company treats a single performance obligation with variable consideration. The U.S. government contracts for the sale and development of the Company's MCM products and product candidates are normally multi-year contracts.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addition, the Company performs contract manufacturing services for third parties, which includes pharmaceutical product process development, manufacturing and filling services for injectable and other sterile products, inclusive of process design, technical transfer, manufacturing validations, laboratory analytical development support, aseptic filling, lyophilization, final packaging and accelerated and ongoing stability studies. These contracts generally include a single performance obligation with a duration that is less than one-year.</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Company finalized the review of its portfolio of revenue contracts that were not complete as of the adoption date and made its determination of its revenue streams as well as completed extensive contract specific reviews to determine the impact of the new standard on its historical and prospective revenue recognition. Because many of the Company's contracts with customers have unique contract terms, the Company reviewed all of its non-standard agreements in order to determine the effect of adoption.</w:t>
      </w:r>
    </w:p>
    <w:p>
      <w:pPr>
        <w:spacing w:after="0" w:line="12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The Company determined its Centers for Innovation in Advanced Development and Manufacturing ("CIADM") contract with the Biomedical Advanced Research and Development Authority ("BARDA") will have a material change in revenue recognition under the new guidance. Under ASC 606, the Company determined that there is one performance obligation to provide ongoing manufacturing capability to the U.S. government and will recognize the consideration received in the base period on a straight-line basis over a 24-year period as the capability being created during the base period of the contract is being provided to the customer over both the base period contract term as well as 17 additional option periods. In addition, the Company determined the CIADM contract includes a significant financing component which is included in the transaction price. The Company calculated the financing component using an interest rate the Company had on its other debt obligations at inception of the contract. Prior to the adoption of ASC 606, the Company recognized revenue under the CIADM contract on a straight-line basis, based upon its estimate of the total payments to be received under the contract. The Company analyzed the estimated payments to be received on a quarterly basis to determine if an adjustment to revenue was required. As a result of the adoption of ASC 606, as of January 1, 2018, there was an increase in the deferred revenue liability of $42.4 million and an increase in deferred tax assets of $9.9 million with an offsetting reduction to retained earnings of $32.5 million.</w:t>
      </w:r>
    </w:p>
    <w:p>
      <w:pPr>
        <w:spacing w:after="0" w:line="1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Company considers accounts receivables and deferred costs associated with revenue generating contracts, that are not included in inventory or property, plant and equipment, as contract assets. As of June 30, 2018 and December 31, 2017, the Company had $189.5 million and $143.7 million, respectively, in contract assets associated with accounts receivable which is included in accounts receivable on the company's condensed consolidated balance sheets. As of June 30, 2018 and December 31, 2017, the Company had contract assets associated with deferred costs of $3.4 million and $2.9 million, respectively, which is included in prepaid and other current assets on the Company's condensed consolidated balance sheets.</w:t>
      </w:r>
    </w:p>
    <w:p>
      <w:pPr>
        <w:spacing w:after="0" w:line="1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When performance obligations are not transferred to a customer at the end of a reporting period, the amount allocated to those performance obligations are deferred until control of these performance obligations is transferred to the customer. The following table presents the rollforward of the contract liabilities, which is included in the Company's current and long-term deferred revenue line items in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23"/>
        </w:trPr>
        <w:tc>
          <w:tcPr>
            <w:tcW w:w="10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30,491</w:t>
            </w:r>
          </w:p>
        </w:tc>
        <w:tc>
          <w:tcPr>
            <w:tcW w:w="100" w:type="dxa"/>
            <w:vAlign w:val="bottom"/>
            <w:tcBorders>
              <w:top w:val="single" w:sz="8" w:color="auto"/>
            </w:tcBorders>
            <w:shd w:val="clear" w:color="auto" w:fill="CCEEFF"/>
          </w:tcPr>
          <w:p>
            <w:pPr>
              <w:spacing w:after="0"/>
              <w:rPr>
                <w:sz w:val="19"/>
                <w:szCs w:val="19"/>
                <w:color w:val="auto"/>
              </w:rPr>
            </w:pPr>
          </w:p>
        </w:tc>
      </w:tr>
      <w:tr>
        <w:trPr>
          <w:trHeight w:val="223"/>
        </w:trPr>
        <w:tc>
          <w:tcPr>
            <w:tcW w:w="10180" w:type="dxa"/>
            <w:vAlign w:val="bottom"/>
          </w:tcPr>
          <w:p>
            <w:pPr>
              <w:spacing w:after="0"/>
              <w:rPr>
                <w:sz w:val="20"/>
                <w:szCs w:val="20"/>
                <w:color w:val="auto"/>
              </w:rPr>
            </w:pPr>
            <w:r>
              <w:rPr>
                <w:rFonts w:ascii="Arial" w:cs="Arial" w:eastAsia="Arial" w:hAnsi="Arial"/>
                <w:sz w:val="18"/>
                <w:szCs w:val="18"/>
                <w:color w:val="auto"/>
              </w:rPr>
              <w:t>Adoption of new accounting standard (ASC 606)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42,379</w:t>
            </w:r>
          </w:p>
        </w:tc>
        <w:tc>
          <w:tcPr>
            <w:tcW w:w="100" w:type="dxa"/>
            <w:vAlign w:val="bottom"/>
          </w:tcPr>
          <w:p>
            <w:pPr>
              <w:spacing w:after="0"/>
              <w:rPr>
                <w:sz w:val="19"/>
                <w:szCs w:val="19"/>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Deferral of revenue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15,478</w:t>
            </w:r>
          </w:p>
        </w:tc>
        <w:tc>
          <w:tcPr>
            <w:tcW w:w="100" w:type="dxa"/>
            <w:vAlign w:val="bottom"/>
          </w:tcPr>
          <w:p>
            <w:pPr>
              <w:spacing w:after="0"/>
              <w:rPr>
                <w:sz w:val="18"/>
                <w:szCs w:val="18"/>
                <w:color w:val="auto"/>
              </w:rPr>
            </w:pPr>
          </w:p>
        </w:tc>
      </w:tr>
      <w:tr>
        <w:trPr>
          <w:trHeight w:val="223"/>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(15,343)</w:t>
            </w:r>
          </w:p>
        </w:tc>
      </w:tr>
      <w:tr>
        <w:trPr>
          <w:trHeight w:val="216"/>
        </w:trPr>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2018</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73,005</w:t>
            </w:r>
          </w:p>
        </w:tc>
        <w:tc>
          <w:tcPr>
            <w:tcW w:w="10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operate in one business segment. Therefore, results of our operations are reported on a consolidated basis for purposes of segment reporting, consistent with internal management reporting. For the three and six months ended June 30, 2018, there was a nominal difference between revenues recognized under ASC 606 and revenues recognized based on the prior revenue recognition guidance for the same period. For the three and six months ended June 30, 2018, the Company's revenues disaggregated by the major sources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0"/>
              </w:rPr>
              <w:t>Three Months Ended June 30, 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8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9"/>
              </w:rPr>
              <w:t>Six Months Ended June 30, 2018</w:t>
            </w:r>
          </w:p>
        </w:tc>
      </w:tr>
      <w:tr>
        <w:trPr>
          <w:trHeight w:val="225"/>
        </w:trPr>
        <w:tc>
          <w:tcPr>
            <w:tcW w:w="3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Non-U.S.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3"/>
              </w:rPr>
              <w:t>U.S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Government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Government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Government</w:t>
            </w:r>
          </w:p>
        </w:tc>
        <w:tc>
          <w:tcPr>
            <w:tcW w:w="20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Government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180,075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235,922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255,846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23,613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49,791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32,377</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185,147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35,053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220,200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265,977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72,037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338,014</w:t>
            </w: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of June 30, 2018, the Company had expected future revenues associated with performance obligations that have not been satisfied of approximately $630 million. The Company expects to recognize a majority of its revenues within the next 24 months with the remainder recognized thereafter. However, the amount and timing of recognition of revenue for unsatisfied performance obligations can materially change due to timing of funding appropriations from the U.S. government and the overall success of the Company's development activities associated with its MCM product candidates. In</w:t>
      </w:r>
    </w:p>
    <w:p>
      <w:pPr>
        <w:sectPr>
          <w:pgSz w:w="11900" w:h="16838" w:orient="portrait"/>
          <w:cols w:equalWidth="0" w:num="1">
            <w:col w:w="11420"/>
          </w:cols>
          <w:pgMar w:left="240" w:top="111" w:right="239" w:bottom="0" w:gutter="0" w:footer="0" w:header="0"/>
        </w:sectPr>
      </w:pPr>
    </w:p>
    <w:bookmarkStart w:id="10" w:name="page11"/>
    <w:bookmarkEnd w:id="10"/>
    <w:p>
      <w:pPr>
        <w:spacing w:after="0" w:line="5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addition, the amount of future revenues associated with unsatisfied performance obligations excludes the value associated with unexercised option periods in the Company's contracts (which are not performance obligations as of June 30,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ACAM2000 business</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On October 6, 2017, the Company completed the acquisition of the ACAM2000® (Smallpox (Vaccinia) Vaccine, Live) business of Sanofi Pasteur Biologics, LLC ("Sanofi"). This acquisition included ACAM2000, the only smallpox vaccine licensed by the FDA, a current good manufacturing practices ("cGMP") live viral manufacturing facility and office and warehouse space, both in Canton, Massachusetts, and a cGMP viral fill/finish facility in Rockville, Maryland. With this acquisition, the Company also acquired an existing 10-year contract with the Centers for Disease Control and Prevention ("CDC"), which under the terms expired in March 2018. This contract had a stated value of up to $425 million, with a remaining contract value of up to approximately $160 million as of the acquisition date, for the delivery of ACAM2000 to the U.S. Strategic National Stockpile ("SNS") and the establishment of U.S.-based manufacturing of ACAM2000. This acquisition added to the Company's product portfolio and expanded the Company's manufacturing capabilities.</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At the closing, the Company paid $97.5 million in an upfront payment and $20 million in milestone payments earned as of the closing date tied to the achievement of certain regulatory and manufacturing-related milestones, for a total payment in cash of $117.5 million. The agreement included an additional milestone payment of up to $7.5 million upon achievement of a regulatory milestone, which was achieved in November 2017. The $7.5 million milestone payment was made during the fourth quarter of 2017. This transaction was accounted for by the Company under the acquisition method of accounting, with the Company as the acquirer. Under the acquisition method of accounting, the assets and liabilities of the ACAM2000 business were preliminarily recorded as of October 6, 2017, the acquisition date, at their respective fair values, and combined with those of the Company.</w:t>
      </w:r>
    </w:p>
    <w:p>
      <w:pPr>
        <w:spacing w:after="0" w:line="12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contingent purchase consideration obligation is based on a regulatory milestone. At October 6, 2017, the contingent purchase consideration obligation related to the regulatory milestone was recorded at a fair value of $2.2 million. The fair value of this obligation is based on a present value model of management's assessment of the probability of achievement of the regulatory milestone as of the acquisition date. This assessment is based on inputs that have no observable market (Level 3).</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purchase price is summarized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of cash paid to Sanofi</w:t>
            </w:r>
          </w:p>
        </w:tc>
        <w:tc>
          <w:tcPr>
            <w:tcW w:w="37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Borders>
              <w:top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Fair value of contingent purchase consideration</w:t>
            </w:r>
          </w:p>
        </w:tc>
        <w:tc>
          <w:tcPr>
            <w:tcW w:w="3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table below summarizes the preliminary allocation of the purchase price based upon estimated fair values of assets acquired at October 6, 2017. The Company did not assume any liabilities in the acquisition. This preliminary allocation is based upon the finalization of valuation reports and as management gathers additional information on the acquired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20"/>
                <w:szCs w:val="20"/>
                <w:color w:val="auto"/>
              </w:rPr>
            </w:pPr>
            <w:r>
              <w:rPr>
                <w:rFonts w:ascii="Arial" w:cs="Arial" w:eastAsia="Arial" w:hAnsi="Arial"/>
                <w:sz w:val="18"/>
                <w:szCs w:val="18"/>
                <w:color w:val="auto"/>
              </w:rPr>
              <w:t>Fair value of tangible assets acquired:</w:t>
            </w: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74,876</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tangible assets acquired</w:t>
            </w:r>
          </w:p>
        </w:tc>
        <w:tc>
          <w:tcPr>
            <w:tcW w:w="3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w:t>
            </w:r>
          </w:p>
        </w:tc>
        <w:tc>
          <w:tcPr>
            <w:tcW w:w="3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3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r>
      <w:tr>
        <w:trPr>
          <w:trHeight w:val="23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shd w:val="clear" w:color="auto" w:fill="CCEEFF"/>
          </w:tcPr>
          <w:p>
            <w:pPr>
              <w:spacing w:after="0"/>
              <w:rPr>
                <w:sz w:val="20"/>
                <w:szCs w:val="20"/>
                <w:color w:val="auto"/>
              </w:rPr>
            </w:pP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The Company determined the fair value of the intangible asset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 The Company determined the fair value of the ACAM2000 intangible asset using the income approach with a present value discount rate of 15.5%; this discount rate is derived from the estimated weighted-average cost of capital for substantially similar companies and assets. This is comparable to the estimated internal rate of return for the acquisition and represents the rate that market participants would use to value these intangible assets. The projected cash flows from the ACAM2000 intangible asset were based on key assumptions, including: estimates of revenues and operating profits, the life of the potential commercialized product and associated risks, and risks related to the viability of and potential alternative treatments in any future target markets. The Company has determined the ACAM2000 intangible asset will be amortized over 10 years.</w:t>
      </w:r>
    </w:p>
    <w:p>
      <w:pPr>
        <w:spacing w:after="0" w:line="12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determined the fair value of the inventory using the probability adjusted comparative sales method, which estimates the expected sales price reduced for all costs expected to be incurred to complete and dispose of the inventory with a profit on those costs.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Company determined the fair value of the property, plant and equipment utilizing either the cost approach or the sales comparison approach. The cost approach is derived by determining replacement cost of the asset and then subtracting any value that has been lost due to economic obsolescence, functional obsolescence, or physical deterioration. The sales comparison approach is derived by the determination that an asset is equal to the market price of an asset of comparable features such as design, location, size, construction, materials, use, capacity, specification, operational characteristics and other features or descriptions.</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recorded approximately $8.1 million in goodwill related to the ACAM2000 acquisition, representing the purchase price paid in the acquisition that was in excess of the fair value of the tangible and intangible assets acquired. There is no goodwill for tax purposes.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Contingent consideration consists of liabilities measured at fair value on a recurring basis. For the three and six months ended June 30, 2018, the contingent purchase consideration obligations associated with RSDL increased by $0.7 million and $1.6 million, respectively. During the three and six months ended June 30, 2017, the contingent purchase consideration obligations associated with RSDL increased by $0.2 million and $0.5 million, respectively. The changes in the fair value of the RSDL contingent consideration obligations are primarily due to the expected amount and timing of future net sales, which are inputs that have no observable market (Level 3). These changes are classified in the Company's statement of operations as cost of product sales and contract manufacturing.</w:t>
      </w:r>
    </w:p>
    <w:p>
      <w:pPr>
        <w:spacing w:after="0" w:line="1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table is a reconciliation of the beginning and ending balance of the liabilities, consisting only of contingent consideration, measured at fair value, using significant unobservable inputs (Level 3) during the six months ended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100" w:type="dxa"/>
            <w:vAlign w:val="bottom"/>
            <w:tcBorders>
              <w:top w:val="single" w:sz="8" w:color="auto"/>
            </w:tcBorders>
            <w:shd w:val="clear" w:color="auto" w:fill="CCEEFF"/>
          </w:tcPr>
          <w:p>
            <w:pPr>
              <w:spacing w:after="0"/>
              <w:rPr>
                <w:sz w:val="19"/>
                <w:szCs w:val="19"/>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Expense included in earnings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r>
      <w:tr>
        <w:trPr>
          <w:trHeight w:val="216"/>
        </w:trPr>
        <w:tc>
          <w:tcPr>
            <w:tcW w:w="20" w:type="dxa"/>
            <w:vAlign w:val="bottom"/>
          </w:tcPr>
          <w:p>
            <w:pPr>
              <w:spacing w:after="0"/>
              <w:rPr>
                <w:sz w:val="18"/>
                <w:szCs w:val="18"/>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2018</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Borders>
              <w:top w:val="single" w:sz="8" w:color="CCEEFF"/>
            </w:tcBorders>
          </w:tcPr>
          <w:p>
            <w:pPr>
              <w:spacing w:after="0"/>
              <w:rPr>
                <w:sz w:val="18"/>
                <w:szCs w:val="18"/>
                <w:color w:val="auto"/>
              </w:rPr>
            </w:pPr>
          </w:p>
        </w:tc>
      </w:tr>
    </w:tbl>
    <w:p>
      <w:pPr>
        <w:sectPr>
          <w:pgSz w:w="11900" w:h="16897" w:orient="portrait"/>
          <w:cols w:equalWidth="0" w:num="1">
            <w:col w:w="11420"/>
          </w:cols>
          <w:pgMar w:left="240" w:top="112" w:right="239" w:bottom="0" w:gutter="0" w:footer="0" w:header="0"/>
        </w:sectPr>
      </w:pPr>
    </w:p>
    <w:bookmarkStart w:id="11" w:name="page12"/>
    <w:bookmarkEnd w:id="11"/>
    <w:p>
      <w:pPr>
        <w:jc w:val="both"/>
        <w:ind w:firstLine="648"/>
        <w:spacing w:after="0" w:line="2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6614795</wp:posOffset>
            </wp:positionH>
            <wp:positionV relativeFrom="page">
              <wp:posOffset>97155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t>Separate disclosure is required for assets and liabilities measured at fair value on a recurring basis from those measured at fair value on a non-recurring basis. As of June 30, 2018 and 2017 and for the quarters then ended, the Company had no significant assets or liabilities that were measured at fair value on a non-recurring basis.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0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34,426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79,546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76,610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Total inventories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139,373</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142,812</w:t>
            </w:r>
          </w:p>
        </w:tc>
        <w:tc>
          <w:tcPr>
            <w:tcW w:w="0" w:type="dxa"/>
            <w:vAlign w:val="bottom"/>
          </w:tcPr>
          <w:p>
            <w:pPr>
              <w:spacing w:after="0"/>
              <w:rPr>
                <w:sz w:val="1"/>
                <w:szCs w:val="1"/>
                <w:color w:val="auto"/>
              </w:rPr>
            </w:pPr>
          </w:p>
        </w:tc>
      </w:tr>
      <w:tr>
        <w:trPr>
          <w:trHeight w:val="21"/>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ind w:left="660"/>
              <w:spacing w:after="0"/>
              <w:rPr>
                <w:sz w:val="20"/>
                <w:szCs w:val="20"/>
                <w:color w:val="auto"/>
              </w:rPr>
            </w:pPr>
            <w:r>
              <w:rPr>
                <w:rFonts w:ascii="Arial" w:cs="Arial" w:eastAsia="Arial" w:hAnsi="Arial"/>
                <w:sz w:val="18"/>
                <w:szCs w:val="18"/>
                <w:color w:val="auto"/>
              </w:rPr>
              <w:t>Property, plant and equipment consisted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21,848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160,005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206,819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50,829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539,584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419,157</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407,210</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the table presented above, as of June 30, 2018 and December 31, 2017, construction-in-progress primarily includes costs related to construction of the Company's CIADM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75" w:lineRule="exact"/>
        <w:rPr>
          <w:sz w:val="20"/>
          <w:szCs w:val="20"/>
          <w:color w:val="auto"/>
        </w:rPr>
      </w:pPr>
    </w:p>
    <w:p>
      <w:pPr>
        <w:jc w:val="both"/>
        <w:ind w:firstLine="700"/>
        <w:spacing w:after="0" w:line="249" w:lineRule="auto"/>
        <w:rPr>
          <w:sz w:val="20"/>
          <w:szCs w:val="20"/>
          <w:color w:val="auto"/>
        </w:rPr>
      </w:pPr>
      <w:r>
        <w:rPr>
          <w:rFonts w:ascii="Arial" w:cs="Arial" w:eastAsia="Arial" w:hAnsi="Arial"/>
          <w:sz w:val="16"/>
          <w:szCs w:val="16"/>
          <w:color w:val="auto"/>
        </w:rPr>
        <w:t>During the three months ended June 30, 2018 and 2017, the Company recorded amortization expense for intangible assets of $3.9 million and $1.6 million, respectively. During the six months ended June 30, 2018 and 2017, the Company recorded amortization expense for intangible assets of $7.8 million and $3.1 million, respectively. Amortization expense has been recorded in operating expenses, specifically selling, general and administrative and cost of product sales and contract manufacturing. As of June 30, 2018, the weighted average amortization period remaining for intangible assets was 8.3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During the six months ended June 30, 2018, the Company granted 0.4 million shares of stock options and 0.4 million shares of restricted stock units under the Fourth Amended and Restated Emergent BioSolutions Inc. 2006 Stock Incentive Plan (the "Plan"). The grants vest over three equal annual installments beginning on the day prior to the anniversary of the grant date. On May 24, 2018, the Company's stockholders approved an increase in the number of shares issuable under the Plan by 3.0 million shares, to a total of 21.9 million shares, and extended the plan term to May 23, 2028.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estimated effective annual tax rate for the Company, which excludes discrete adjustments, was 25% and 31% for the six months ended June 30, 2018 and 2017, respectively. The decrease in the estimated effective annual tax rate is primarily due to the impact of the Tax Reform Act enacted on December 22, 2017 which reduced the U.S. federal corporate income tax rate from 35% to 21%, offset by state taxes, non-deductible expenses, international provisions from the U.S. tax reform and the impact of a change in the Company's jurisdictional mix of earnings. For the six months ended June 30, 2018 and 2017, the Company recorded a discrete tax benefit primarily associated with equity awards activity of $3.2 million and $1.1 million, respectively.</w:t>
      </w:r>
    </w:p>
    <w:p>
      <w:pPr>
        <w:spacing w:after="0" w:line="11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Reform Act. For the six months ended June 30, 2018, the Company did not change the provisional estimates recognized in 2017. Additional work is necessary for a more detailed analysis of the Company's deferred tax assets and liabilities and its historical foreign earnings as well as potential correlative adjustments. Any adjustment to these amounts will be recorded to current tax expense in the quarter of 2018 when the analysis is complete.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Purchase commitments</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During the first quarter of 2018, the Company entered into a three year contract with Norwood Laboratories Inc. ("Norwood") to purchase approximately $12.0 million of raw materials related to the Company's RSDL product. As of June 30, 2018, the Company had not purchased any materials under this commitment.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45,236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 on convertible debt, 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convertible debt issuance costs, net of tax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adjusted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50,144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45,236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17,234</w:t>
            </w: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49,896,124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41,013,764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49,738,980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40,871,540</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4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Dilutive securities—equity awards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1,266,785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968,354</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1,300,215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931,263</w:t>
            </w: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8,096,476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8,096,488</w:t>
            </w:r>
          </w:p>
        </w:tc>
      </w:tr>
      <w:tr>
        <w:trPr>
          <w:trHeight w:val="27"/>
        </w:trPr>
        <w:tc>
          <w:tcPr>
            <w:tcW w:w="4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51,162,909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50,078,594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51,039,195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49,899,291</w:t>
            </w:r>
          </w:p>
        </w:tc>
      </w:tr>
      <w:tr>
        <w:trPr>
          <w:trHeight w:val="216"/>
        </w:trPr>
        <w:tc>
          <w:tcPr>
            <w:tcW w:w="4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r>
    </w:tbl>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the three and six months ended June 30, 2018 and 2017, basic earnings per share is computed by dividing net income by the weighted average number of shares of common stock outstanding during the period.</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For the three and six months ended June 30, 2018, diluted earnings per share was computed using the "treasury method" by dividing the net income by the weighted average number of shares of common stock outstanding during the period. The weighted average number of shares is adjusted for the potential dilutive effect of the exercise of stock options, and the vesting of restricted stock units and performance stock units.</w:t>
      </w:r>
    </w:p>
    <w:p>
      <w:pPr>
        <w:spacing w:after="0" w:line="22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the three and six months ended June 30, 2017, diluted earnings per share is computed using the "if-converted" method by dividing the net income adjusted for interest expense and amortization of debt issuance cost, both net of tax, associated with the 2.875% Convertible Senior Notes due 2021 (the "Notes") by the weighted average number of shares of common stock outstanding during the period. The weighted average number of shares is adjusted for the potential dilutive effect of the exercise of stock options; and the vesting of restricted stock units and performance stock units along with the assumption of the conversion of the Notes, at the beginning of the period.</w:t>
      </w:r>
    </w:p>
    <w:p>
      <w:pPr>
        <w:spacing w:after="0" w:line="2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For the three and six months ended June 30, 2018, there were no stock options excluded from the calculation of diluted earnings per share. For the three and six months ended June 30, 2017, approximately 0.4 million stock options were excluded from the calculation of diluted earnings per share due to the fact that the exercise prices were in excess of the average per share closing price during the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w:t>
      </w:r>
    </w:p>
    <w:p>
      <w:pPr>
        <w:spacing w:after="0" w:line="14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July 19, 2016, Plaintiff William Sponn ("Sponn"), filed a putative class action complaint in the United States District Court for the District of Maryland on behalf of purchasers of the Company's common stock between January 11, 2016 and June 21, 2016, inclusive (the "Class Period"), seeking to pursue remedies under the Securities Exchange Act of 1934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The Company filed a Motion to Dismiss on February 27, 2017. The Plaintiffs filed an opposition brief on April 28, 2017. The Company's Motion to Dismiss was heard and denied on July 6, 2017. The Company filed its answer on July 28, 2017. The parties are currently in the process of exchanging discovery. The Plaintiffs filed an amended motion for class certification and appointment of Sponn and Geoffrey L. Flagstad as lead plaintiffs on December 20, 2017. A hearing on that motion was heard on May 2, 2018. On June 8, 2018 the Court granted class certification with a shortened class period, May 5, 2016 to June 21, 2016. The Defendants believe that the allegations in the complaint are without merit and intend to defend themselves vigorously against those claims. As of the date of this filing, the range of potential loss cannot be determined or estimated.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We are a global life sciences company focused on providing specialty products for civilian and military populations that address accidental, intentional and naturally occurring public health threats, or PHTs. Within the category of our specialty products, we are focused on developing, manufacturing and commercializing medical countermeasures, or MCMs, that address PHTs. The PHTs that we address fall into two categories: Chemical, Biological, Radiological, Nuclear and Explosives, or CBRNE; and emerging infectious diseases, or EID. We have a portfolio of eight products through which we generate our product sales revenue, which accounts for a majority of our total revenue, a fully-integrated portfolio of contract manufacturing services, and a research and development pipeline of various investigational stage product candidates. The U.S. government is the primary purchaser of our products and provides us with substantial funding for the development of many of our product candidates. Our development pipeline consists of a diversified mix of both pre-clinical- and clinical-stage candidates.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MCM products are:</w:t>
      </w:r>
    </w:p>
    <w:p>
      <w:pPr>
        <w:spacing w:after="0" w:line="148" w:lineRule="exact"/>
        <w:rPr>
          <w:sz w:val="20"/>
          <w:szCs w:val="20"/>
          <w:color w:val="auto"/>
        </w:rPr>
      </w:pPr>
    </w:p>
    <w:p>
      <w:pPr>
        <w:ind w:left="980" w:hanging="324"/>
        <w:spacing w:after="0" w:line="19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FDA, for the general use prophylaxis and post-exposure prophylaxis of anthrax disease;</w:t>
      </w:r>
    </w:p>
    <w:p>
      <w:pPr>
        <w:ind w:left="980" w:right="20" w:hanging="324"/>
        <w:spacing w:after="0" w:line="21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ACAM2000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(Smallpox (Vaccinia) Vaccine, Live), the only smallpox vaccine licensed by the FDA for active immunization against smallpox disease for persons determined to be at high risk for smallpox infection (acquired from Sanofi Pasteur Biologics, LLC in October 2017);</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Raxibacumab (Anthrax Monoclonal), the first fully human monoclonal antibody therapeutic licensed by the FDA for the treatment and prophylaxis of inhalational anthrax (acquired from GlaxoSmithKline LLC in October 2017);</w:t>
      </w:r>
    </w:p>
    <w:p>
      <w:pPr>
        <w:ind w:left="980" w:hanging="324"/>
        <w:spacing w:after="0" w:line="18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 [Botulism Antitoxin Heptavalent (A,B,C,D,E,F,G)-(Equine)], the only heptavalent antibody therapeutic licensed by the FDA and Health Canada for the treatment of botulism;</w:t>
      </w: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antibody therapeutic licensed by the FDA and Health Canada to address certain complications from smallpox vaccination;</w:t>
      </w:r>
    </w:p>
    <w:p>
      <w:pPr>
        <w:ind w:left="980" w:right="20" w:hanging="324"/>
        <w:spacing w:after="0" w:line="18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 and</w:t>
      </w:r>
    </w:p>
    <w:p>
      <w:pPr>
        <w:spacing w:after="0" w:line="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ectPr>
          <w:pgSz w:w="11900" w:h="16838" w:orient="portrait"/>
          <w:cols w:equalWidth="0" w:num="1">
            <w:col w:w="11420"/>
          </w:cols>
          <w:pgMar w:left="240" w:top="100" w:right="239" w:bottom="37" w:gutter="0" w:footer="0" w:header="0"/>
        </w:sectPr>
      </w:pPr>
    </w:p>
    <w:bookmarkStart w:id="13" w:name="page14"/>
    <w:bookmarkEnd w:id="13"/>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lead investigational stage MCM product candidates, many of which are under an active development contract with significant funding from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U.S. government, are:</w:t>
      </w:r>
    </w:p>
    <w:p>
      <w:pPr>
        <w:spacing w:after="0" w:line="14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a next generation anthrax vaccine;</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FLU-IGIV (NP025), a human polyclonal antibody therapeutic being developed for the treatment of serious influenza A infection in hospitalized patients;</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ZIKV-IG (NP024), a human polyclonal antibody therapeutic being developed as a prophylaxis for Zika infections in at risk populations;</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FILOV (NP026), an equine polyclonal antibody therapeutic being developed to treat hemorrhagic fever caused by Filoviruses (Ebola, Marburg and Sudan);</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VLA1601, a highly purified inactivated vaccine against the Zika virus;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UNI-FLU, a universal influenza vaccine;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EBX-205, an oral therapeutic to treat acute bacterial skin and skin structure infection, including those caused by methicillin-resistant </w:t>
      </w:r>
      <w:r>
        <w:rPr>
          <w:rFonts w:ascii="Arial" w:cs="Arial" w:eastAsia="Arial" w:hAnsi="Arial"/>
          <w:sz w:val="18"/>
          <w:szCs w:val="18"/>
          <w:i w:val="1"/>
          <w:iCs w:val="1"/>
          <w:color w:val="auto"/>
        </w:rPr>
        <w:t>Staphylococcus aureus</w:t>
      </w:r>
      <w:r>
        <w:rPr>
          <w:rFonts w:ascii="Arial" w:cs="Arial" w:eastAsia="Arial" w:hAnsi="Arial"/>
          <w:sz w:val="18"/>
          <w:szCs w:val="18"/>
          <w:color w:val="auto"/>
        </w:rPr>
        <w:t>, or MRSA, as well as to treat other serious bacterial infections caused by biothreat pathogens;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EBI-001, a pan respiratory antiviral from our iminosugar-based discovery program;</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GC-072, an oral and intravenous treatment for </w:t>
      </w:r>
      <w:r>
        <w:rPr>
          <w:rFonts w:ascii="Arial" w:cs="Arial" w:eastAsia="Arial" w:hAnsi="Arial"/>
          <w:sz w:val="18"/>
          <w:szCs w:val="18"/>
          <w:i w:val="1"/>
          <w:iCs w:val="1"/>
          <w:color w:val="auto"/>
        </w:rPr>
        <w:t>Burkholderia pseudomallei</w:t>
      </w:r>
      <w:r>
        <w:rPr>
          <w:rFonts w:ascii="Arial" w:cs="Arial" w:eastAsia="Arial" w:hAnsi="Arial"/>
          <w:sz w:val="18"/>
          <w:szCs w:val="18"/>
          <w:color w:val="auto"/>
        </w:rPr>
        <w:t xml:space="preserve"> infection (GC-072 is the lead compound in the EV-035 series of broad-spectrum antibiotics);</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D4, a multi-drug delivery device being developed for nerve agent antidote delivery (atropine and pralidoxime chloride in combination); and</w:t>
      </w:r>
    </w:p>
    <w:p>
      <w:pPr>
        <w:spacing w:after="0" w:line="20" w:lineRule="exact"/>
        <w:rPr>
          <w:rFonts w:ascii="Arial" w:cs="Arial" w:eastAsia="Arial" w:hAnsi="Arial"/>
          <w:sz w:val="17"/>
          <w:szCs w:val="17"/>
          <w:color w:val="auto"/>
        </w:rPr>
      </w:pPr>
    </w:p>
    <w:p>
      <w:pPr>
        <w:ind w:left="980" w:right="2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SIAN (stabilized isoamyl nitrite), a stabilized form of isoamyl nitrite in an intra-nasal spray device being developed as a treatment for known or suspected acute cyanide poisoning.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 and Business Accomplishments for 2018</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In June 2018, we announced a planned $50 million expansion to our Camden fill/finish facility located in Baltimore, Maryland. The multi-year expansion is expected to be completed in 2021 and will increase our contract development and manufacturing capability and capacity.</w:t>
      </w:r>
    </w:p>
    <w:p>
      <w:pPr>
        <w:spacing w:after="0" w:line="10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May 2018, the Coalition for Epidemic Preparedness Innovations, or CEPI, announced a collaboration with us and Profectus BioSciences, Inc., or Profectus, under which the parties will receive up to $25 million to advance the development and manufacture of a vaccine against the Nipah virus, or NiV, a bat-borne virus that can spread to both humans and livestock. We, through a separate agreement with Profectus, have an exclusive option to license and assume control of development activities for the NiV vaccine from Profectus. NiV and Hendra virus, or HeV, are closely related Paramyxoviruses that cause respiratory and encephalitis disease in a variety of animal hosts and in humans. There is currently no approved vaccine or therapeutic against either NiV or HeV.</w:t>
      </w:r>
    </w:p>
    <w:p>
      <w:pPr>
        <w:spacing w:after="0" w:line="17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In April 2018, we announced the successful completion of the Mutual Recognition Procedure, or MRP, for market authorization of BioThrax® in five Concerned Member States, or CMS, within the European Union, or EU, consisting of Italy, the Netherlands, Poland, the U.K., and France (where it will be marketed as BaciThrax™). We filed the mutual recognition application based on the existing Marketing Authorization of BioThrax in Germany granted by the Paul-Ehrlich-Institut. Following the positive MRP outcome, national licenses were issued by four out of the five CMS countries.</w:t>
      </w:r>
    </w:p>
    <w:p>
      <w:pPr>
        <w:spacing w:after="0" w:line="17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In February 2018, we announced a contract award by the Centers for Disease Control and Prevention, or CDC, valued at $26 million over 12 months, for the continued supply of VIGIV into the U.S. Strategic National Stockpile, or SNS. VIGIV is the only therapeutic licensed by the FDA for the treatment of complications due to smallpox vaccination. Under the contract, we will conduct manufacturing runs, collect plasma for future manufacturing, and undertake additional activities in support of maintaining FDA licensure of VIGIV. VIGIV was developed on our hyperimmune platform, on which several</w:t>
      </w:r>
    </w:p>
    <w:p>
      <w:pPr>
        <w:jc w:val="both"/>
        <w:spacing w:after="0" w:line="187" w:lineRule="auto"/>
        <w:rPr>
          <w:sz w:val="20"/>
          <w:szCs w:val="20"/>
          <w:color w:val="auto"/>
        </w:rPr>
      </w:pPr>
      <w:r>
        <w:rPr>
          <w:rFonts w:ascii="Arial" w:cs="Arial" w:eastAsia="Arial" w:hAnsi="Arial"/>
          <w:sz w:val="17"/>
          <w:szCs w:val="17"/>
          <w:color w:val="auto"/>
        </w:rPr>
        <w:t>marketed antibody therapeutics have been licensed, including Anthrasil</w:t>
      </w:r>
      <w:r>
        <w:rPr>
          <w:rFonts w:ascii="Arial" w:cs="Arial" w:eastAsia="Arial" w:hAnsi="Arial"/>
          <w:sz w:val="28"/>
          <w:szCs w:val="28"/>
          <w:color w:val="auto"/>
          <w:vertAlign w:val="superscript"/>
        </w:rPr>
        <w:t>®</w:t>
      </w:r>
      <w:r>
        <w:rPr>
          <w:rFonts w:ascii="Arial" w:cs="Arial" w:eastAsia="Arial" w:hAnsi="Arial"/>
          <w:sz w:val="17"/>
          <w:szCs w:val="17"/>
          <w:color w:val="auto"/>
        </w:rPr>
        <w:t>. This contract will continue the CDC's commitment to VIGIV, which was licensed in the U.S. by the FDA in 2005 and in Canada by Health Canada in 2007.</w:t>
      </w:r>
    </w:p>
    <w:p>
      <w:pPr>
        <w:spacing w:after="0" w:line="12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In February 2018, we, together with Valneva SE, or Valneva, announced the initiation of a Phase 1 clinical trial in the U.S. to evaluate the safety and immunogenicity of VLA1601, Valneva's vaccine candidate against Zika virus. Initial data from the trial are expected to be available in late 2018 or early 2019. Upon availability of Phase 1 data, we will have the option to continue the development and commercialization of a Zika vaccine under our worldwide exclusive license agreement with Valneva for a milestone payment of €5 million. The agreement provides Valneva potential additional milestone payments of up to €44 million related to product development, approval, commercialization, and product sales, future royalties on annual net sales, and the right, prior to a Phase 3 clinical trial, to negotiate for exclusive commercialization rights in Europe.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We have derived a majority of our historical product sales revenues from BioThrax sales to the U.S. government. We are a party to a contract with the CDC, an operating division of the U.S. Department of Health and Human Services, or HHS, valued at up to $911 million, to supply approximately 29.4 million doses of BioThrax to the SNS through September 2021. We are focused on increasing the sales of our marketed MCMs to U.S. government customers, as well as on expanding the market for our MCM product portfolio to other customers domestically and internationally.</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have received contract and grant funding from the Biomedical Advanced Research and Development Authority, or BARDA, Department of Defense, or DoD, the CDC, the Defense Threat Reduction Agency, or DTRA, and the National Institute of Allergy and Infectious Diseases, or NIAID, for the following development programs: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Development Programs</w:t>
            </w:r>
          </w:p>
        </w:tc>
        <w:tc>
          <w:tcPr>
            <w:tcW w:w="380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Funding Source</w:t>
            </w: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Award Date</w:t>
            </w:r>
          </w:p>
        </w:tc>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Performance Period</w:t>
            </w:r>
          </w:p>
        </w:tc>
      </w:tr>
      <w:tr>
        <w:trPr>
          <w:trHeight w:val="148"/>
        </w:trPr>
        <w:tc>
          <w:tcPr>
            <w:tcW w:w="4180" w:type="dxa"/>
            <w:vAlign w:val="bottom"/>
            <w:gridSpan w:val="2"/>
          </w:tcPr>
          <w:p>
            <w:pPr>
              <w:spacing w:after="0" w:line="148" w:lineRule="exact"/>
              <w:rPr>
                <w:sz w:val="20"/>
                <w:szCs w:val="20"/>
                <w:color w:val="auto"/>
              </w:rPr>
            </w:pPr>
            <w:r>
              <w:rPr>
                <w:rFonts w:ascii="Arial" w:cs="Arial" w:eastAsia="Arial" w:hAnsi="Arial"/>
                <w:sz w:val="17"/>
                <w:szCs w:val="17"/>
                <w:color w:val="auto"/>
              </w:rPr>
              <w:t>Anthrasil</w:t>
            </w:r>
          </w:p>
        </w:tc>
        <w:tc>
          <w:tcPr>
            <w:tcW w:w="3800" w:type="dxa"/>
            <w:vAlign w:val="bottom"/>
          </w:tcPr>
          <w:p>
            <w:pPr>
              <w:ind w:left="2360"/>
              <w:spacing w:after="0" w:line="148" w:lineRule="exact"/>
              <w:rPr>
                <w:sz w:val="20"/>
                <w:szCs w:val="20"/>
                <w:color w:val="auto"/>
              </w:rPr>
            </w:pPr>
            <w:r>
              <w:rPr>
                <w:rFonts w:ascii="Arial" w:cs="Arial" w:eastAsia="Arial" w:hAnsi="Arial"/>
                <w:sz w:val="17"/>
                <w:szCs w:val="17"/>
                <w:color w:val="auto"/>
              </w:rPr>
              <w:t>BARDA</w:t>
            </w:r>
          </w:p>
        </w:tc>
        <w:tc>
          <w:tcPr>
            <w:tcW w:w="1260" w:type="dxa"/>
            <w:vAlign w:val="bottom"/>
          </w:tcPr>
          <w:p>
            <w:pPr>
              <w:ind w:left="200"/>
              <w:spacing w:after="0" w:line="148" w:lineRule="exact"/>
              <w:rPr>
                <w:sz w:val="20"/>
                <w:szCs w:val="20"/>
                <w:color w:val="auto"/>
              </w:rPr>
            </w:pPr>
            <w:r>
              <w:rPr>
                <w:rFonts w:ascii="Arial" w:cs="Arial" w:eastAsia="Arial" w:hAnsi="Arial"/>
                <w:sz w:val="17"/>
                <w:szCs w:val="17"/>
                <w:color w:val="auto"/>
              </w:rPr>
              <w:t>09/2005</w:t>
            </w:r>
          </w:p>
        </w:tc>
        <w:tc>
          <w:tcPr>
            <w:tcW w:w="2180" w:type="dxa"/>
            <w:vAlign w:val="bottom"/>
          </w:tcPr>
          <w:p>
            <w:pPr>
              <w:ind w:left="160"/>
              <w:spacing w:after="0" w:line="148" w:lineRule="exact"/>
              <w:rPr>
                <w:sz w:val="20"/>
                <w:szCs w:val="20"/>
                <w:color w:val="auto"/>
              </w:rPr>
            </w:pPr>
            <w:r>
              <w:rPr>
                <w:rFonts w:ascii="Arial" w:cs="Arial" w:eastAsia="Arial" w:hAnsi="Arial"/>
                <w:sz w:val="17"/>
                <w:szCs w:val="17"/>
                <w:color w:val="auto"/>
              </w:rPr>
              <w:t>09/2005 — 04/2021</w:t>
            </w:r>
          </w:p>
        </w:tc>
      </w:tr>
      <w:tr>
        <w:trPr>
          <w:trHeight w:val="237"/>
        </w:trPr>
        <w:tc>
          <w:tcPr>
            <w:tcW w:w="20" w:type="dxa"/>
            <w:vAlign w:val="bottom"/>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BARDA</w:t>
            </w: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09/2013</w:t>
            </w:r>
          </w:p>
        </w:tc>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09/2013 — 09/2018</w:t>
            </w:r>
          </w:p>
        </w:tc>
      </w:tr>
      <w:tr>
        <w:trPr>
          <w:trHeight w:val="169"/>
        </w:trPr>
        <w:tc>
          <w:tcPr>
            <w:tcW w:w="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Auto-injector platform</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DoD</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07/2017</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07/2017 — 06/2022</w:t>
            </w:r>
          </w:p>
        </w:tc>
      </w:tr>
      <w:tr>
        <w:trPr>
          <w:trHeight w:val="169"/>
        </w:trPr>
        <w:tc>
          <w:tcPr>
            <w:tcW w:w="418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BAT</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BARDA</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05/2006</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05/2006 — 12/2027</w:t>
            </w:r>
          </w:p>
        </w:tc>
      </w:tr>
      <w:tr>
        <w:trPr>
          <w:trHeight w:val="169"/>
        </w:trPr>
        <w:tc>
          <w:tcPr>
            <w:tcW w:w="418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CIADM</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BARDA</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06/2012</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06/2012 — 06/2037</w:t>
            </w:r>
          </w:p>
        </w:tc>
      </w:tr>
      <w:tr>
        <w:trPr>
          <w:trHeight w:val="169"/>
        </w:trPr>
        <w:tc>
          <w:tcPr>
            <w:tcW w:w="418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GC-072</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DTRA</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08/2014</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08/2014 — 08/2019</w:t>
            </w:r>
          </w:p>
        </w:tc>
      </w:tr>
      <w:tr>
        <w:trPr>
          <w:trHeight w:val="148"/>
        </w:trPr>
        <w:tc>
          <w:tcPr>
            <w:tcW w:w="4180" w:type="dxa"/>
            <w:vAlign w:val="bottom"/>
            <w:gridSpan w:val="2"/>
          </w:tcPr>
          <w:p>
            <w:pPr>
              <w:spacing w:after="0" w:line="148" w:lineRule="exact"/>
              <w:rPr>
                <w:sz w:val="20"/>
                <w:szCs w:val="20"/>
                <w:color w:val="auto"/>
              </w:rPr>
            </w:pPr>
            <w:r>
              <w:rPr>
                <w:rFonts w:ascii="Arial" w:cs="Arial" w:eastAsia="Arial" w:hAnsi="Arial"/>
                <w:sz w:val="17"/>
                <w:szCs w:val="17"/>
                <w:color w:val="auto"/>
              </w:rPr>
              <w:t>NuThrax</w:t>
            </w:r>
          </w:p>
        </w:tc>
        <w:tc>
          <w:tcPr>
            <w:tcW w:w="3800" w:type="dxa"/>
            <w:vAlign w:val="bottom"/>
          </w:tcPr>
          <w:p>
            <w:pPr>
              <w:ind w:left="2360"/>
              <w:spacing w:after="0" w:line="148" w:lineRule="exact"/>
              <w:rPr>
                <w:sz w:val="20"/>
                <w:szCs w:val="20"/>
                <w:color w:val="auto"/>
              </w:rPr>
            </w:pPr>
            <w:r>
              <w:rPr>
                <w:rFonts w:ascii="Arial" w:cs="Arial" w:eastAsia="Arial" w:hAnsi="Arial"/>
                <w:sz w:val="17"/>
                <w:szCs w:val="17"/>
                <w:color w:val="auto"/>
              </w:rPr>
              <w:t>NIAID</w:t>
            </w:r>
          </w:p>
        </w:tc>
        <w:tc>
          <w:tcPr>
            <w:tcW w:w="1260" w:type="dxa"/>
            <w:vAlign w:val="bottom"/>
          </w:tcPr>
          <w:p>
            <w:pPr>
              <w:ind w:left="200"/>
              <w:spacing w:after="0" w:line="148" w:lineRule="exact"/>
              <w:rPr>
                <w:sz w:val="20"/>
                <w:szCs w:val="20"/>
                <w:color w:val="auto"/>
              </w:rPr>
            </w:pPr>
            <w:r>
              <w:rPr>
                <w:rFonts w:ascii="Arial" w:cs="Arial" w:eastAsia="Arial" w:hAnsi="Arial"/>
                <w:sz w:val="17"/>
                <w:szCs w:val="17"/>
                <w:color w:val="auto"/>
              </w:rPr>
              <w:t>08/2014</w:t>
            </w:r>
          </w:p>
        </w:tc>
        <w:tc>
          <w:tcPr>
            <w:tcW w:w="2180" w:type="dxa"/>
            <w:vAlign w:val="bottom"/>
          </w:tcPr>
          <w:p>
            <w:pPr>
              <w:ind w:left="160"/>
              <w:spacing w:after="0" w:line="148" w:lineRule="exact"/>
              <w:rPr>
                <w:sz w:val="20"/>
                <w:szCs w:val="20"/>
                <w:color w:val="auto"/>
              </w:rPr>
            </w:pPr>
            <w:r>
              <w:rPr>
                <w:rFonts w:ascii="Arial" w:cs="Arial" w:eastAsia="Arial" w:hAnsi="Arial"/>
                <w:sz w:val="17"/>
                <w:szCs w:val="17"/>
                <w:color w:val="auto"/>
              </w:rPr>
              <w:t>08/2014 — 01/2020</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800" w:type="dxa"/>
            <w:vAlign w:val="bottom"/>
          </w:tcPr>
          <w:p>
            <w:pPr>
              <w:ind w:left="2360"/>
              <w:spacing w:after="0"/>
              <w:rPr>
                <w:sz w:val="20"/>
                <w:szCs w:val="20"/>
                <w:color w:val="auto"/>
              </w:rPr>
            </w:pPr>
            <w:r>
              <w:rPr>
                <w:rFonts w:ascii="Arial" w:cs="Arial" w:eastAsia="Arial" w:hAnsi="Arial"/>
                <w:sz w:val="18"/>
                <w:szCs w:val="18"/>
                <w:color w:val="auto"/>
              </w:rPr>
              <w:t>BARDA</w:t>
            </w:r>
          </w:p>
        </w:tc>
        <w:tc>
          <w:tcPr>
            <w:tcW w:w="1260" w:type="dxa"/>
            <w:vAlign w:val="bottom"/>
          </w:tcPr>
          <w:p>
            <w:pPr>
              <w:ind w:left="200"/>
              <w:spacing w:after="0"/>
              <w:rPr>
                <w:sz w:val="20"/>
                <w:szCs w:val="20"/>
                <w:color w:val="auto"/>
              </w:rPr>
            </w:pPr>
            <w:r>
              <w:rPr>
                <w:rFonts w:ascii="Arial" w:cs="Arial" w:eastAsia="Arial" w:hAnsi="Arial"/>
                <w:sz w:val="18"/>
                <w:szCs w:val="18"/>
                <w:color w:val="auto"/>
              </w:rPr>
              <w:t>03/2015</w:t>
            </w:r>
          </w:p>
        </w:tc>
        <w:tc>
          <w:tcPr>
            <w:tcW w:w="2180" w:type="dxa"/>
            <w:vAlign w:val="bottom"/>
          </w:tcPr>
          <w:p>
            <w:pPr>
              <w:ind w:left="160"/>
              <w:spacing w:after="0"/>
              <w:rPr>
                <w:sz w:val="20"/>
                <w:szCs w:val="20"/>
                <w:color w:val="auto"/>
              </w:rPr>
            </w:pPr>
            <w:r>
              <w:rPr>
                <w:rFonts w:ascii="Arial" w:cs="Arial" w:eastAsia="Arial" w:hAnsi="Arial"/>
                <w:sz w:val="18"/>
                <w:szCs w:val="18"/>
                <w:color w:val="auto"/>
              </w:rPr>
              <w:t>03/2015 — 10/2018</w:t>
            </w:r>
          </w:p>
        </w:tc>
      </w:tr>
      <w:tr>
        <w:trPr>
          <w:trHeight w:val="237"/>
        </w:trPr>
        <w:tc>
          <w:tcPr>
            <w:tcW w:w="20" w:type="dxa"/>
            <w:vAlign w:val="bottom"/>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BARDA</w:t>
            </w: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09/2016</w:t>
            </w:r>
          </w:p>
        </w:tc>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09/2016 — 09/2021</w:t>
            </w:r>
          </w:p>
        </w:tc>
      </w:tr>
      <w:tr>
        <w:trPr>
          <w:trHeight w:val="169"/>
        </w:trPr>
        <w:tc>
          <w:tcPr>
            <w:tcW w:w="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SIAN</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BARDA</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09/2017</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09/2017 — 09/2022</w:t>
            </w:r>
          </w:p>
        </w:tc>
      </w:tr>
      <w:tr>
        <w:trPr>
          <w:trHeight w:val="169"/>
        </w:trPr>
        <w:tc>
          <w:tcPr>
            <w:tcW w:w="418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UV-4B</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NIAID</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09/2011</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09/2011 — 09/2018</w:t>
            </w:r>
          </w:p>
        </w:tc>
      </w:tr>
      <w:tr>
        <w:trPr>
          <w:trHeight w:val="169"/>
        </w:trPr>
        <w:tc>
          <w:tcPr>
            <w:tcW w:w="418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VIGIV</w:t>
            </w:r>
          </w:p>
        </w:tc>
        <w:tc>
          <w:tcPr>
            <w:tcW w:w="3800" w:type="dxa"/>
            <w:vAlign w:val="bottom"/>
            <w:tcBorders>
              <w:bottom w:val="single" w:sz="8" w:color="auto"/>
            </w:tcBorders>
          </w:tcPr>
          <w:p>
            <w:pPr>
              <w:ind w:left="2360"/>
              <w:spacing w:after="0" w:line="162" w:lineRule="exact"/>
              <w:rPr>
                <w:sz w:val="20"/>
                <w:szCs w:val="20"/>
                <w:color w:val="auto"/>
              </w:rPr>
            </w:pPr>
            <w:r>
              <w:rPr>
                <w:rFonts w:ascii="Arial" w:cs="Arial" w:eastAsia="Arial" w:hAnsi="Arial"/>
                <w:sz w:val="18"/>
                <w:szCs w:val="18"/>
                <w:color w:val="auto"/>
              </w:rPr>
              <w:t>CDC</w:t>
            </w:r>
          </w:p>
        </w:tc>
        <w:tc>
          <w:tcPr>
            <w:tcW w:w="1260" w:type="dxa"/>
            <w:vAlign w:val="bottom"/>
            <w:tcBorders>
              <w:bottom w:val="single" w:sz="8" w:color="auto"/>
            </w:tcBorders>
          </w:tcPr>
          <w:p>
            <w:pPr>
              <w:ind w:left="200"/>
              <w:spacing w:after="0" w:line="162" w:lineRule="exact"/>
              <w:rPr>
                <w:sz w:val="20"/>
                <w:szCs w:val="20"/>
                <w:color w:val="auto"/>
              </w:rPr>
            </w:pPr>
            <w:r>
              <w:rPr>
                <w:rFonts w:ascii="Arial" w:cs="Arial" w:eastAsia="Arial" w:hAnsi="Arial"/>
                <w:sz w:val="18"/>
                <w:szCs w:val="18"/>
                <w:color w:val="auto"/>
              </w:rPr>
              <w:t>02/2018</w:t>
            </w:r>
          </w:p>
        </w:tc>
        <w:tc>
          <w:tcPr>
            <w:tcW w:w="218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8"/>
                <w:szCs w:val="18"/>
                <w:color w:val="auto"/>
              </w:rPr>
              <w:t>02/2018 — 02/2019</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0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During the six months ended June 30, 2018, there have been no significant changes to our Critical Accounting Policies and Estimates contained in our Annual Report on Form 10-K for the year ended December 31, 2017, as filed with the Securities and Exchange Commission, except for the adoption of the new revenue recognition standard.</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or </w:t>
      </w:r>
      <w:r>
        <w:rPr>
          <w:rFonts w:ascii="Arial" w:cs="Arial" w:eastAsia="Arial" w:hAnsi="Arial"/>
          <w:sz w:val="16"/>
          <w:szCs w:val="16"/>
          <w:color w:val="auto"/>
        </w:rPr>
        <w:t>ASU No. 2014-09. ASU No. 2014-09 supersedes the revenue recognition requirements in</w:t>
      </w:r>
      <w:r>
        <w:rPr>
          <w:rFonts w:ascii="Arial" w:cs="Arial" w:eastAsia="Arial" w:hAnsi="Arial"/>
          <w:sz w:val="16"/>
          <w:szCs w:val="16"/>
          <w:i w:val="1"/>
          <w:iCs w:val="1"/>
          <w:color w:val="auto"/>
        </w:rPr>
        <w:t xml:space="preserve"> Topic 605, Revenue Recognition</w:t>
      </w:r>
      <w:r>
        <w:rPr>
          <w:rFonts w:ascii="Arial" w:cs="Arial" w:eastAsia="Arial" w:hAnsi="Arial"/>
          <w:sz w:val="16"/>
          <w:szCs w:val="16"/>
          <w:color w:val="auto"/>
        </w:rPr>
        <w:t>, as well as most industry-specific guidance, and significantly enhances comparability of revenue recognition practices across entities and</w:t>
      </w:r>
    </w:p>
    <w:p>
      <w:pPr>
        <w:sectPr>
          <w:pgSz w:w="11900" w:h="16844" w:orient="portrait"/>
          <w:cols w:equalWidth="0" w:num="1">
            <w:col w:w="11420"/>
          </w:cols>
          <w:pgMar w:left="240" w:top="112" w:right="239" w:bottom="0" w:gutter="0" w:footer="0" w:header="0"/>
        </w:sectPr>
      </w:pPr>
    </w:p>
    <w:bookmarkStart w:id="14" w:name="page15"/>
    <w:bookmarkEnd w:id="14"/>
    <w:p>
      <w:pPr>
        <w:jc w:val="both"/>
        <w:spacing w:after="0" w:line="236" w:lineRule="auto"/>
        <w:rPr>
          <w:sz w:val="20"/>
          <w:szCs w:val="20"/>
          <w:color w:val="auto"/>
        </w:rPr>
      </w:pPr>
      <w:r>
        <w:rPr>
          <w:rFonts w:ascii="Arial" w:cs="Arial" w:eastAsia="Arial" w:hAnsi="Arial"/>
          <w:sz w:val="16"/>
          <w:szCs w:val="16"/>
          <w:color w:val="auto"/>
        </w:rPr>
        <w:t>industries by providing a principles-based, comprehensive framework for addressing revenue recognition issues. In order for a provider of promised goods or services to recognize as revenue the consideration that we expect to receive in exchange for the promised goods or services, the provider should apply the following five steps: (1) identify the contract with a customer(s); (2) identify the performance obligations in the contract; (3) determine the transaction price;</w:t>
      </w:r>
    </w:p>
    <w:p>
      <w:pPr>
        <w:jc w:val="both"/>
        <w:ind w:firstLine="8"/>
        <w:spacing w:after="0" w:line="242" w:lineRule="auto"/>
        <w:tabs>
          <w:tab w:leader="none" w:pos="273"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We adopted the requirements of the new standard as of January 1, 2018 using the modified retrospective method. The modified retrospective method requires companies to recognize the cumulative effect of initially applying the new standard as an adjustment to opening retained earnings.</w:t>
      </w:r>
    </w:p>
    <w:p>
      <w:pPr>
        <w:spacing w:after="0" w:line="12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 performance obligation is a promise in a contract to transfer a distinct product or service to a customer and is the unit of account under ASC 606. For contracts with multiple performance obligations, we allocate the contract's transaction price to each performance obligation on a relative standalone selling price basis using our best estimate of the standalone selling price of each distinct product or service in the contract. The primary method used to estimate standalone selling price is the price observed in standalone sales to customers, however when prices in standalone sales are not available we may use third-party pricing for similar products or services or estimate the standalone selling price. Allocation of the transaction price is determined at the contracts' inception.</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Once the performance obligations in the contract have been identified, we estimate the transaction price of the contract. The estimate includes amounts that are fixed as well as those that can vary based on expected outcomes of the activities or contractual terms. Our variable consideration primarily includes consideration transferred under our development contracts with the U.S. government as consideration received can vary based on developmental progression of the product candidate(s). When a contract's transaction price includes variable consideration, we evaluate the estimate of the variable consideration to determine whether the estimate needs to be constrained; therefore, we include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There were no constraints or material changes to our variable consideration estimates during the six months ended June 30, 2018.</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To indicate the transfer of control for our product sales and contract manufacturing services, we must have a present right to payment, legal title must have passed to the customer, and the customer must have the significant risks and rewards of ownership. Revenue for long-term development contracts is generally recognized based upon the cost-to-cost measure of progress, provided that we meet the criteria associated with transferring control of the good or service over time.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BioThrax</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23"/>
        </w:trPr>
        <w:tc>
          <w:tcPr>
            <w:tcW w:w="59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r>
      <w:tr>
        <w:trPr>
          <w:trHeight w:val="216"/>
        </w:trPr>
        <w:tc>
          <w:tcPr>
            <w:tcW w:w="5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Product sales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increase in BioThrax sales was primarily due to the timing of BioThrax deliveries to the SNS. Substantially all of the BioThrax product sales revenues during the three months ended June 30, 2018 and 2017 consisted of sales to the U.S. government.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Other product sales relates primarily to:</w:t>
      </w:r>
    </w:p>
    <w:p>
      <w:pPr>
        <w:spacing w:after="0" w:line="158"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ACAM2000 (which was acquired in October 2017) to the CDC;</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Raxibacumab (which was acquired in October 2017) to BARDA;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sales of BAT to the SNS;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Trobigard to the U.S. Department of State;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RSDL to the DoD;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Anthrasil to the Canadian National Defence ministry.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increases in Other product sales were partially offset by a decrease in VIGIV sales primarily due to the timing of deliveries to the SNS.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Contract manufacturing revenue was primarily due to manufacturing services at our Canton facility (which was acquired in October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and grants: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Contracts and grants revenue was primarily due to a reduction in revenue associated with the successful completion of multiple 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as well as reduced R&amp;D activities related to certain ongoing funded development programs, including:</w:t>
      </w:r>
    </w:p>
    <w:p>
      <w:pPr>
        <w:spacing w:after="0" w:line="142" w:lineRule="exact"/>
        <w:rPr>
          <w:sz w:val="20"/>
          <w:szCs w:val="20"/>
          <w:color w:val="auto"/>
        </w:rPr>
      </w:pPr>
    </w:p>
    <w:p>
      <w:pPr>
        <w:ind w:left="1300" w:hanging="320"/>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development funding of $2.9 million for our large-scale manufacturing of BioThrax, primarily due to the timing of contract close out activities associated with the development contract from BARDA;</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revenue of $3.4 million related to our CIADM program, primarily due to adoption of a new revenue accounting standard effective January 1, 2018. The $3.4 million decrease includes a decrease of $1.6 million in funding for CIADM task orders (related to Ebola and Zika);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revenue of $1.6 million for our NuThrax program related to the timing of clinical trial activities, partially offset by an increase in manufacturing development activities.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Contracts and grants revenue were partially offset by an increase in the following R&amp;D development programs:</w:t>
      </w:r>
    </w:p>
    <w:p>
      <w:pPr>
        <w:spacing w:after="0" w:line="15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funding of $1.9 million for BAT primarily related to the timing of stability testing;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funding of $1.7 million for SIAN related to a non-clinical pharmacokinetics study and manufacturing development.</w:t>
      </w:r>
    </w:p>
    <w:p>
      <w:pPr>
        <w:sectPr>
          <w:pgSz w:w="11900" w:h="16838" w:orient="portrait"/>
          <w:cols w:equalWidth="0" w:num="1">
            <w:col w:w="11420"/>
          </w:cols>
          <w:pgMar w:left="240" w:top="112" w:right="239" w:bottom="0" w:gutter="0" w:footer="0" w:header="0"/>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Cost of Product Sales and Contract Manufacturing</w:t>
      </w:r>
    </w:p>
    <w:p>
      <w:pPr>
        <w:sectPr>
          <w:pgSz w:w="11900" w:h="16838" w:orient="portrait"/>
          <w:cols w:equalWidth="0" w:num="1">
            <w:col w:w="11420"/>
          </w:cols>
          <w:pgMar w:left="240" w:top="112" w:right="239" w:bottom="0" w:gutter="0" w:footer="0" w:header="0"/>
          <w:type w:val="continuous"/>
        </w:sectPr>
      </w:pPr>
    </w:p>
    <w:bookmarkStart w:id="15" w:name="page16"/>
    <w:bookmarkEnd w:id="15"/>
    <w:p>
      <w:pPr>
        <w:spacing w:after="0" w:line="9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Cost of product sales and contract manufacturing increased by $54.6 million, or 158%, to $89.2 million for the three months ended June 30, 2018 from $34.6 million for the three months ended June 30, 2017. The increase was primarily attributable to the increase in product sales and contract manufacturing activities at our Bayview and Canton facilities.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Research and development expenses decreased by $1.1 million, or 4%, to $24.7 million for the three months ended June 30, 2018 from $25.8 million for the three months ended June 30, 2017. Net of contracts and grants revenue, during the three months ended June 30, 2018 and 2017, we incurred net research and development expenses of $8.2 million and $4.8 million, respectively.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research and development expense was primarily attributable to:</w:t>
      </w:r>
    </w:p>
    <w:p>
      <w:pPr>
        <w:spacing w:after="0" w:line="15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timing of manufacturing development activities associated with non-clinical guinea pig studies for our NuThrax product candidate; and</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license fees for VLA1601 (a highly purified inactivated vaccine against the Zika virus).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increased research and development activity primarily attributable to the timing of:</w:t>
      </w:r>
    </w:p>
    <w:p>
      <w:pPr>
        <w:spacing w:after="0" w:line="158" w:lineRule="exact"/>
        <w:rPr>
          <w:sz w:val="20"/>
          <w:szCs w:val="20"/>
          <w:color w:val="auto"/>
        </w:rPr>
      </w:pPr>
    </w:p>
    <w:p>
      <w:pPr>
        <w:ind w:left="1300" w:hanging="320"/>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transfer activities for Raxibacumab (acquired in October 2017), related to moving the manufacturing from GlaxoSmithKline's facility to our Bayview facility;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and pharmacokinetic activities for our SIAN product candidate.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Selling, general and administrative expenses increased by $7.6 million, or 24%, to $39.5 million for the three months ended June 30, 2018 from $31.9 million for the three months ended June 30, 2017. The increase was primarily attributable to an increase in professional services to support our infrastructure improvement initiatives, along with an increase in compensation related costs.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Provision for income taxes increased by $13.6 million, to $15.7 million for the three months ended June 30, 2018 from $2.1 million for the three months ended June 30, 2017. The increase was primarily due to an increase in pre-tax income of $59.1 million, partially offset by the impact of the Tax Reform Act enacted on December 22, 2017 which reduced the U.S. federal corporate income tax rate from 35% to 21%.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2018 Compared to Six Months Ended June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BioThrax</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9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23"/>
        </w:trPr>
        <w:tc>
          <w:tcPr>
            <w:tcW w:w="5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217.6</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120.4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The increase in BioThrax sales was primarily due to the timing of BioThrax deliveries to the SNS. BioThrax product sales revenues during the six months ended June 30, 2018 and 2017 primarily consisted of deliveries to the U.S. government of $96.3 million and $93.4 million, respectively.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Other product sales relates primarily to:</w:t>
      </w:r>
    </w:p>
    <w:p>
      <w:pPr>
        <w:spacing w:after="0" w:line="158"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ACAM2000 (which was acquired in October 2017) to the CDC;</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Raxibacumab (which was acquired in October 2017) to BARDA;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BAT to the SNS;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Trobigard to the U.S. Department of State;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RSDL to the DoD;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Anthrasil to the Canadian National Defence ministry.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increases in Other product sales were partially offset by a decrease in the sales of BAT due to the timing of BAT deliveries to the SNS.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14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increase in Contract manufacturing revenue was primarily due to the design, construction and validation of manufacturing capability for a third party at our Lansing, Michigan site and manufacturing services at our Canton, Massachusetts facility.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and grants: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Contracts and grants revenue was primarily due to a reduction in revenue associated with the successful completion of multiple 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as well as reduced R&amp;D activities related to certain ongoing funded development programs, including:</w:t>
      </w:r>
    </w:p>
    <w:p>
      <w:pPr>
        <w:spacing w:after="0" w:line="142" w:lineRule="exact"/>
        <w:rPr>
          <w:sz w:val="20"/>
          <w:szCs w:val="20"/>
          <w:color w:val="auto"/>
        </w:rPr>
      </w:pPr>
    </w:p>
    <w:p>
      <w:pPr>
        <w:ind w:left="1300" w:hanging="320"/>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development funding of $3.5 million for our large-scale manufacturing of BioThrax, primarily due to the timing of contract close out activities associated with the development contract from BARDA;</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revenue of $6.6 million related to our CIADM program primarily due to adoption of a new revenue accounting standard effective January 1, 2018. The $6.6 million decrease includes a decrease of $2.5 million in funding for CIADM task orders (related to Ebola and Zika);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revenue of $2.0 million for our NuThrax program related to the timing of clinical trial activities, partially offset by an increase in manufacturing development activities.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Contracts and grants revenue were partially offset by an increase in the following R&amp;D development programs:</w:t>
      </w:r>
    </w:p>
    <w:p>
      <w:pPr>
        <w:spacing w:after="0" w:line="158" w:lineRule="exact"/>
        <w:rPr>
          <w:sz w:val="20"/>
          <w:szCs w:val="20"/>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funding of $3.5 million for ACAM2000 (acquired October 2017) primarily related to development contract closeout activities with the CDC; and</w:t>
      </w:r>
    </w:p>
    <w:p>
      <w:pPr>
        <w:sectPr>
          <w:pgSz w:w="11900" w:h="16929" w:orient="portrait"/>
          <w:cols w:equalWidth="0" w:num="1">
            <w:col w:w="11420"/>
          </w:cols>
          <w:pgMar w:left="240" w:top="112" w:right="239" w:bottom="0" w:gutter="0" w:footer="0" w:header="0"/>
        </w:sectPr>
      </w:pPr>
    </w:p>
    <w:bookmarkStart w:id="16" w:name="page17"/>
    <w:bookmarkEnd w:id="16"/>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funding of $2.9 million for SIAN related to a non-clinical pharmacokinetics study and manufacturing development.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Cost of product sales and contract manufacturing increased by $66.3 million, or 82%, to $147.2 million for the six months ended June 30, 2018 from $80.9 million for the six months ended June 30, 2017. The increase was primarily attributable to the increase in product sales and contract manufacturing activities at our Bayview and Canton facilities.</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These increases were partially offset by a decrease in BAT costs due to the timing of sales to the SNS and higher 2017 costs for BioThrax due to an increase in the cost per dose sold associated with decreased production yields in the period in which the doses were produced.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Research and development expenses increased by $7.6 million, or 16%, to $53.8 million for the six months ended June 30, 2018 from $46.2 million for the six months ended June 30, 2017. Net of contracts and grants revenue, during the six months ended June 30, 2018 and 2017, we incurred net research and development expenses of $21.4 million and $7.9 million, respectively.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research and development expense was primarily attributable to:</w:t>
      </w:r>
    </w:p>
    <w:p>
      <w:pPr>
        <w:spacing w:after="0" w:line="158" w:lineRule="exact"/>
        <w:rPr>
          <w:sz w:val="20"/>
          <w:szCs w:val="20"/>
          <w:color w:val="auto"/>
        </w:rPr>
      </w:pPr>
    </w:p>
    <w:p>
      <w:pPr>
        <w:ind w:left="1300" w:right="20" w:hanging="320"/>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transfer activities for Raxibacumab (acquired in October 2017), moving the manufacturing from GlaxoSmithKline's facility to our Bayview facility;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and pharmacokinetic activities for our SIAN product candidate;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proof of concept activities for our UNI-FLU program.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 decreased research and development activity primarily attributable to the timing of:</w:t>
      </w:r>
    </w:p>
    <w:p>
      <w:pPr>
        <w:spacing w:after="0" w:line="158" w:lineRule="exact"/>
        <w:rPr>
          <w:sz w:val="20"/>
          <w:szCs w:val="20"/>
          <w:color w:val="auto"/>
        </w:rPr>
      </w:pPr>
    </w:p>
    <w:p>
      <w:pPr>
        <w:ind w:left="1300" w:right="20" w:hanging="320"/>
        <w:spacing w:after="0" w:line="274"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 activity to evaluate safety and tolerability related to UV-4B; we anticipate a reduction in funding by the U.S. government and, as a result, we will cease further development work on UV-4B and expect the spending to be minimal in the future; and</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license fees associated our Ebola/Marburg programs.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Selling, general and administrative expenses increased by $12.7 million, or 19%, to $79.7 million for the six months ended June 30, 2018 from $67.0 million for the six months ended June 30, 2017. The increase was primarily attributable to an increase in professional services to support our infrastructure improvement initiatives, along with an increase in compensation related costs.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Expense, Net</w:t>
      </w:r>
    </w:p>
    <w:p>
      <w:pPr>
        <w:spacing w:after="0" w:line="1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Total other expense, net decreased by $2.2 million, or 71%, to $0.9 million for the six months ended June 30, 2018 from $3.1 million for the six months ended June 30, 2017. The decrease was primarily attributable to a decrease in interest expense primarily due to the conversion of substantially all of the outstanding debt under our 2.875% Convertible Senior Notes due 2021 into shares of common stock during the fourth quarter of 2017.</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Provision for income taxes increased by $5.9 million, to $11.2 million for the six months ended June 30, 2018 from $5.3 million for the six months ended June 30, 2017. The increase was primarily due to an increase in pre-tax income of $36.0 million, partially offset by the impact of the Tax Reform Act enacted on December 22, 2017 which reduced the U.S. federal corporate income tax rate from 35% to 21%. For the six months ended June 30, 2018 and 2017, we recorded a discrete tax benefit primarily associated with equity awards activity of $3.2 million and $1.1 million,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From inception through June 30, 2018, we have funded our cash requirements principally with a combination of cash from our operations, debt financing, development funding, the net proceeds from our initial public offering and the sale of our common stock upon exercise of stock options. We have operated profitably for each of the last five years ended December 31, 2017. As of June 30, 2018, we had cash and cash equivalents of $190.2 million. As of June 30, 2018, we believe that we have sufficient liquidity to support operations over the next 12 months.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2018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activities(i)</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5740" w:hanging="4"/>
        <w:spacing w:after="0" w:line="422"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Includes the effect of exchange rates on cash and cash equivalents. </w:t>
      </w:r>
      <w:r>
        <w:rPr>
          <w:rFonts w:ascii="Arial" w:cs="Arial" w:eastAsia="Arial" w:hAnsi="Arial"/>
          <w:sz w:val="18"/>
          <w:szCs w:val="18"/>
          <w:u w:val="single" w:color="auto"/>
          <w:color w:val="auto"/>
        </w:rPr>
        <w:t>Operating Activities:</w:t>
      </w:r>
    </w:p>
    <w:p>
      <w:pPr>
        <w:spacing w:after="0" w:line="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Net cash provided by operating activities of $33.5 million for the six months ended June 30, 2018 was primarily due to our net income excluding non-cash items of $93.0 million and offset by changes in working capital which resulted in a net cash outflow of $59.4 million. Cash outflows includes the timing of collection of accounts receivables related to amounts billed (primarily related to BioThrax and ACAM2000), a decrease from prepaid expenses and other assets (primarily due to deferred contract manufacturing costs and prepayments for manufacturing equipment) and a decrease in accrued compensation (primarily related to the payment of 2017 annual bonuses offset by the accrual of the 2018 bonuses).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provided by operating activities of $95.7 million for the six months ended June 30, 2017 was primarily due to our net income excluding non-cash items of $49.1 million and changes in working capital which resulted in a net cash inflow of $46.6 million. Cash inflow includes the timing of collection of accounts receivables related to amounts billed, an increase in deferred revenue, and a decrease in inventories primarily due to the timing of deliveries of BAT to BARDA, partially offset by a decrease in accrued compensation primarily related to the payment of 2016 annual bonuses.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Investing Activities:</w:t>
      </w:r>
    </w:p>
    <w:p>
      <w:pPr>
        <w:sectPr>
          <w:pgSz w:w="11900" w:h="16838" w:orient="portrait"/>
          <w:cols w:equalWidth="0" w:num="1">
            <w:col w:w="11420"/>
          </w:cols>
          <w:pgMar w:left="240" w:top="125" w:right="239" w:bottom="0" w:gutter="0" w:footer="0" w:header="0"/>
        </w:sectPr>
      </w:pPr>
    </w:p>
    <w:bookmarkStart w:id="17" w:name="page18"/>
    <w:bookmarkEnd w:id="17"/>
    <w:p>
      <w:pPr>
        <w:spacing w:after="0" w:line="9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Net cash used in investing activities of $22.6 million for the six months ended June 30, 2018 reflects infrastructure and equipment investments, including construction at our Baltimore CIADM manufacturing facility, partially offset by net proceeds from the sale of our manufacturing and development facility in Winnipeg, Manitoba.</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Net cash used in investing activities of $29.6 million for the six months ended June 30, 2017 reflects infrastructure and equipment investments, including construction at our Baltimore CIADM manufacturing facility.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Net cash provided by financing activities of $1.0 million for the six months ended June 30, 2018 was primarily due to the $8.5 million in proceeds from the issuance of common stock pursuant to our employee stock option exercises, partially offset by $6.0 million associated with the taxes paid on behalf of employees for equity activity and $1.3 million in contingent obligation payments.</w:t>
      </w:r>
    </w:p>
    <w:p>
      <w:pPr>
        <w:spacing w:after="0" w:line="23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Net cash used in financing activities of $21.9 million for the six months ended June 30, 2017 was primarily due to the payment of a $20.0 million note payable to Aptevo in conjunction with the spin-off, $4.0 million associated with the taxes paid on behalf of employees for equity activity and $2.4 million in contingent obligation payments, partially offset by $4.6 million in proceeds from the issuance of common stock pursuant to our employee stock option exercises.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We expect to continue to fund our anticipated operating expenses, capital expenditures, debt service requirements and any future repurchase of our common stock from the following sources:</w:t>
      </w:r>
    </w:p>
    <w:p>
      <w:pPr>
        <w:spacing w:after="0" w:line="13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cash and cash equivalents;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proceeds from the sale of our products and contract manufacturing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contracts and grants funding;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senior secured credit facility and any other lines of credit we may establish from time to time.</w:t>
      </w:r>
    </w:p>
    <w:p>
      <w:pPr>
        <w:spacing w:after="0" w:line="15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3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timing and cost of product sales and contract manufacturing services;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repurchase additional common stock under our authorized share repurchase program;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public or private equity or debt offerings, bank loans or collaboration and licensing arrangements.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we raise funds by issuing equity securities, our stockholders may experience dilution. Public or bank debt financing, if available, may involve agreements that include covenants, like those contained in our senior secured revolving credit facility,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are not restricted under the terms of the indenture governing our remaining senior convertible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 However, our senior secured credit facility restricts our ability to incur additional indebtedness, including secured indebtedness.</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March 2018, our board of directors authorized our management to repurchase from time to time up to an aggregate of up to $50 million of our common stock under a board-approved share repurchase program. The term of the board authorization of the repurchase program is until December 31, 2019. Any repurchased shares will be available for use in connection with our stock plans and for other corporate purposes. As of June 30, 2018, we have not made any repurchases under this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exposure to market risk is currently confined to our cash and cash equivalents.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2018. The term "disclosure controls and procedures," as defined in Rules 13a-15(e) and 15d-15(e) under the Securities Exchange Act, 1934,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pgSz w:w="11900" w:h="16931" w:orient="portrait"/>
          <w:cols w:equalWidth="0" w:num="1">
            <w:col w:w="11420"/>
          </w:cols>
          <w:pgMar w:left="240" w:top="112" w:right="239" w:bottom="0" w:gutter="0" w:footer="0" w:header="0"/>
        </w:sectPr>
      </w:pPr>
    </w:p>
    <w:bookmarkStart w:id="18" w:name="page19"/>
    <w:bookmarkEnd w:id="18"/>
    <w:p>
      <w:pPr>
        <w:jc w:val="both"/>
        <w:ind w:right="20"/>
        <w:spacing w:after="0" w:line="235" w:lineRule="auto"/>
        <w:rPr>
          <w:sz w:val="20"/>
          <w:szCs w:val="20"/>
          <w:color w:val="auto"/>
        </w:rPr>
      </w:pPr>
      <w:r>
        <w:rPr>
          <w:rFonts w:ascii="Arial" w:cs="Arial" w:eastAsia="Arial" w:hAnsi="Arial"/>
          <w:sz w:val="18"/>
          <w:szCs w:val="18"/>
          <w:color w:val="auto"/>
        </w:rPr>
        <w:t>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jc w:val="both"/>
        <w:ind w:firstLine="486"/>
        <w:spacing w:after="0" w:line="22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June 30, 2018 that have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From time to time, we may be involved in various legal proceedings and claims that arise in or outside the ordinary course of our business. We believe that the outcome of these pending legal proceedings in the aggregate is unlikely to have a material adverse effect on our business,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Class Action Lawsuit filed July 19, 2016</w:t>
      </w:r>
    </w:p>
    <w:p>
      <w:pPr>
        <w:spacing w:after="0" w:line="22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On July 19, 2016, Plaintiff William Sponn, or Sponn, filed a putative class action complaint in the United States District Court for the District of Maryland on behalf of purchasers of the Company's common stock between January 11, 2016 and June 21, 2016, inclusive, or the Class Period, seeking to pursue remedies under the Exchange Act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The Company filed a Motion to Dismiss on February 27, 2017. The Plaintiffs filed an opposition brief on April 28, 2017. The Company's Motion to Dismiss was heard and denied on July 6, 2017. The Company filed its answer on July 28, 2017. The parties are currently in the process of exchanging discovery. The Plaintiffs filed an amended motion for class certification and appointment of Sponn and Geoffrey L. Flagstad as lead plaintiffs on December 20, 2017. A hearing on that motion was heard on May 2, 2018. On June 8, 2018 the Court granted class certification with a shortened class period, May 5, 2016 to June 21, 2016. The Defendants believe that the allegations in the complaint are without merit and intend to defend themselves vigorously against those claims.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currently derive a substantial portion of our revenue from sales of BioThrax to our principal customer, the U.S. government. If the U.S. government's demand for and/or funding for procurement of BioThrax is substantially reduced, our business, financial condition, operating results and cash flow would be materially harmed.</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derive a substantial portion of our current and expected future revenues from sales of BioThrax, our anthrax vaccine licensed by the FDA to the U.S. government. In December 2016, we signed a follow-on procurement contract with the CDC for the delivery of approximately 29.4 million doses of BioThrax for placement into the SNS over a five-year period ending in September 2021. The potential value of this contract is approximately $911 million if all procurement options are exercised.</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procurement of doses of BioThrax by the CDC is subject to the availability of funding. We have no certainty that funding will be made available for the procurement of doses under the CDC contract. If the SNS priorities change, funding to procure doses of BioThrax may be limited or not available, and our business, financial condition and operating results and cash flows would be materially harmed. The success of our business and our future operating results are significantly dependent on funding for the procurement of BioThrax and the terms of our BioThrax sales to the U.S. government, including the price per dose, the number of doses and the timing of deliveries.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submission of NuThrax for EUA pre-approval and eventual FDA licensure may not be approved by the FDA in a timely manner or at all. Delays in our ability to achieve such pre-approval and licensure could prevent us from realizing the full potential value of our BARDA contract for the advanced development and procurement of NuThrax.</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September 2016, we entered into a contract with the U.S. Department of Health and Human Services, or HHS, through BARDA for the advanced development and procurement of NuThrax, our next generation anthrax vaccine candidate. The contract, as modified in March 2017, is valued at up to approximately $1.5 billion.</w:t>
      </w:r>
    </w:p>
    <w:p>
      <w:pPr>
        <w:spacing w:after="0" w:line="12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intend to submit an application with the FDA for Emergency Use Authorization, or EUA, pre-approval of NuThrax this year, and although there can be no assurances, we currently anticipate that the FDA could authorize NuThrax for emergency use as early as 2019, triggering deliveries of NuThrax to the SNS for use in an emergency situation as early as 2019. However, the FDA does not have review deadlines with respect to such submissions and, therefore, the timing of any approval of an EUA pre-approval submission is uncertain. We cannot guarantee that the FDA will review our data in a timely manner, or that the FDA will accept the data when reviewed. The FDA may decide that our data are insufficient for EUA pre-approval and require additional pre-clinical, clinical or other studies and refuse to approve our application. If we are unsuccessful in obtaining EUA pre-approval for NuThrax and eventual FDA licensure in a timely manner or at all, we may not be able to realize the full potential value of the contract, which could have a material adverse effect on our future business, financial condition, operating results and cash flows.</w:t>
      </w:r>
    </w:p>
    <w:p>
      <w:pPr>
        <w:spacing w:after="0" w:line="12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if priorities for the SNS change, funding to procure any future doses of NuThrax may be limited or not available, and our future business, financial condition, operating results and cash flows could be materially harmed.</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U.S. government procurement and development contracts require ongoing funding decisions by the U.S. government. Reduced or discontinued funding of these contracts could cause our business, financial condition, operating results and cash flows to suffer materially.</w:t>
      </w:r>
    </w:p>
    <w:p>
      <w:pPr>
        <w:spacing w:after="0" w:line="1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U.S. government is the principal customer for our PHT-focused MCMs, and is the primary source of funds for the development of our product candidates in our development pipeline, most notably our NuThrax product candidate. We anticipate that the U.S. government will also be a principal customer for those MCMs that we successfully develop within our existing product development pipeline, as well as those we acquire in the future. Additionally, a significant portion of our revenue comes from U.S. government development contracts and grants. Over its lifetime, a U.S. government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and stringent budgetary constraints.</w:t>
      </w:r>
    </w:p>
    <w:p>
      <w:pPr>
        <w:sectPr>
          <w:pgSz w:w="11900" w:h="16838" w:orient="portrait"/>
          <w:cols w:equalWidth="0" w:num="1">
            <w:col w:w="11420"/>
          </w:cols>
          <w:pgMar w:left="240" w:top="112" w:right="239" w:bottom="0" w:gutter="0" w:footer="0" w:header="0"/>
        </w:sectPr>
      </w:pPr>
    </w:p>
    <w:bookmarkStart w:id="19" w:name="page20"/>
    <w:bookmarkEnd w:id="19"/>
    <w:p>
      <w:pPr>
        <w:jc w:val="both"/>
        <w:ind w:firstLine="648"/>
        <w:spacing w:after="0" w:line="223" w:lineRule="auto"/>
        <w:rPr>
          <w:sz w:val="20"/>
          <w:szCs w:val="20"/>
          <w:color w:val="auto"/>
        </w:rPr>
      </w:pPr>
      <w:r>
        <w:rPr>
          <w:rFonts w:ascii="Arial" w:cs="Arial" w:eastAsia="Arial" w:hAnsi="Arial"/>
          <w:sz w:val="17"/>
          <w:szCs w:val="17"/>
          <w:color w:val="auto"/>
        </w:rPr>
        <w:t>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NuThrax for post-exposure prophylaxis of anthrax disease consists of a five-year base period of performance valued at approximately $200 million. The contract award also includes options for the delivery of additional doses of NuThrax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 government otherwise declines to exercise its options under our existing contracts, our revenues would suffer, as well as our business, financial condition, operating results and cash flows.</w:t>
      </w:r>
    </w:p>
    <w:p>
      <w:pPr>
        <w:spacing w:after="0" w:line="12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There can be no assurance that we will be able to secure follow-on procurement contracts with the U.S. government upon the expiration of any of our current product procurement contracts.</w:t>
      </w:r>
    </w:p>
    <w:p>
      <w:pPr>
        <w:spacing w:after="0" w:line="12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Our revenue is substantially dependent upon product procurement contracts with the U.S. government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although there are remaining deliverables under the contract, the CDC procurement contract for ACAM2000 that we acquired in our acquisition of the ACAM2000 business from Sanofi expired on March 31, 2018. The BARDA procurement contract for Raxibacumab that we acquired in our acquisition of Raxibacumab from Human Genome Sciences, Inc. and GlaxoSmithKline LLC, collectively referred to as GSK, expires in 2019. Our CDC procurement contract for BioThrax expires in 2021. We intend to negotiate follow-on procurement contracts for each of our PHT products upon the expiration of a related procurement contract, including our procurement contract for ACAM2000, but there can be no assurance that we will be successful obtaining any follow-on contracts.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business involves government contracts and grants, which may be awarded through competitive bidding. Competitive bidding for government contracts presents many risks and requirements, including:</w:t>
      </w:r>
    </w:p>
    <w:p>
      <w:pPr>
        <w:spacing w:after="0" w:line="13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jc w:val="both"/>
        <w:ind w:left="980" w:hanging="324"/>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U.S. government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reputation and relationship with the U.S. government, which could have a material adverse effect on our business, financial condition, operating results and cash flows.</w:t>
      </w:r>
    </w:p>
    <w:p>
      <w:pPr>
        <w:spacing w:after="0" w:line="17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As a manufacturer and supplier of MCMs to the U.S. government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 affect our business are:</w:t>
      </w:r>
    </w:p>
    <w:p>
      <w:pPr>
        <w:spacing w:after="0" w:line="190" w:lineRule="exact"/>
        <w:rPr>
          <w:sz w:val="20"/>
          <w:szCs w:val="20"/>
          <w:color w:val="auto"/>
        </w:rPr>
      </w:pPr>
    </w:p>
    <w:p>
      <w:pPr>
        <w:ind w:left="98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Acquisition Regulation, or FAR, and agency-specific regulations supplemental to FAR, which comprehensively regulate the award, formation, administration and performance of government contracts;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Defense Federal Acquisition Regulations, or DFARs, and agency-specific regulations supplemental to DFARs, which comprehensively regulate the award, formation, administration and performance of U.S. Department of Defense, or DoD, government contracts;</w:t>
      </w: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Department of State Acquisition Regulation, or DOSAR, which regulates the relationship between a Department of State organization and a contractor or potential contractor;</w:t>
      </w:r>
    </w:p>
    <w:p>
      <w:pPr>
        <w:jc w:val="both"/>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and import control laws and regulations, including but not limited to International Traffic in Arms Regulations;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U.S. government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and such audit were to uncover improper or illegal activities, we could be subject to civil and criminal penalties, administrative sanctions, including suspension or debarment from government contracting, and suffer significant reputational harm. Loss of our status as an eligible government contractor would have a material adverse effect on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10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current procurement contracts with HHS and the DoD are fixed price contracts. We expect that future procurement contracts we successfully secure with the U.S. government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ectPr>
          <w:pgSz w:w="11900" w:h="16838" w:orient="portrait"/>
          <w:cols w:equalWidth="0" w:num="1">
            <w:col w:w="11420"/>
          </w:cols>
          <w:pgMar w:left="240" w:top="287" w:right="239" w:bottom="0" w:gutter="0" w:footer="0" w:header="0"/>
        </w:sectPr>
      </w:pPr>
    </w:p>
    <w:bookmarkStart w:id="20" w:name="page21"/>
    <w:bookmarkEnd w:id="20"/>
    <w:p>
      <w:pPr>
        <w:ind w:right="20"/>
        <w:spacing w:after="0" w:line="289" w:lineRule="auto"/>
        <w:rPr>
          <w:sz w:val="20"/>
          <w:szCs w:val="20"/>
          <w:color w:val="auto"/>
        </w:rPr>
      </w:pPr>
      <w:r>
        <w:rPr>
          <w:rFonts w:ascii="Arial" w:cs="Arial" w:eastAsia="Arial" w:hAnsi="Arial"/>
          <w:sz w:val="16"/>
          <w:szCs w:val="16"/>
          <w:b w:val="1"/>
          <w:bCs w:val="1"/>
          <w:i w:val="1"/>
          <w:iCs w:val="1"/>
          <w:color w:val="auto"/>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8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3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 in whole or in part, to exercise an option to purchase product under a procurement contract or to fund additional development under a development contract;</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 to renew a procurement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5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Generally, government contracts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 government, are terminable at the U.S. government's convenience with these potential consequences.</w:t>
      </w:r>
    </w:p>
    <w:p>
      <w:pPr>
        <w:spacing w:after="0" w:line="12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addition, 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10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company to support a BLA with substantial evidence of the product candidate's safety and efficacy in treating the targeted indication based on data derived from adequate and well-controlled clinical trials, including Phase III safety and efficacy trials conducted in patients with the disease or condition being targeted.</w:t>
      </w:r>
    </w:p>
    <w:p>
      <w:pPr>
        <w:spacing w:after="0" w:line="1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However, NuThrax and many of our MCM product candidates, for example, are subject to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NuThrax or any of our PHT MCM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123"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may cause delays in the approval or rejection of an application.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intend to transfer the manufacturing of Raxibacumab, which we acquired from GSK, to our bulk and fill finish facilities in Baltimore, Maryland, and this transfer of manufacturing operations requires FDA approval.</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Under our arrangements with GSK for our acquisition of the Raxibacumab product, we will continue to purchase product from GSK to satisfy deliveries to the SNS under the current BARDA contract, which expires in 2019. We intend to seek FDA approval to transfer the manufacturing of Raxibacumab to our Baltimore, Maryland bulk and fill finish manufacturing facilities and currently anticipate FDA approval of this technology transfer in 2020. Approval of this technology transfer may involve complications or may not be secured on a timely basis or at all. Any delay in the approval of this anticipated technology transfer would delay our expected benefits and synergies from this product acquisition and could materially harm our revenues and our business, financial condition, operating results and cash flows could be harmed. Until approval of this technology transfer, we must rely on GSK to supply product to us to satisfy deliveries to the SNS under the BARDA contract, and GSK may fail to meet delivery obligations, which could result in our inability to satisfy requirements under the BARDA contract.</w:t>
      </w:r>
    </w:p>
    <w:p>
      <w:pPr>
        <w:spacing w:after="0" w:line="12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current good manufacturing practices, or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ectPr>
          <w:pgSz w:w="11900" w:h="16838" w:orient="portrait"/>
          <w:cols w:equalWidth="0" w:num="1">
            <w:col w:w="11420"/>
          </w:cols>
          <w:pgMar w:left="240" w:top="111" w:right="239" w:bottom="0" w:gutter="0" w:footer="0" w:header="0"/>
        </w:sectPr>
      </w:pPr>
    </w:p>
    <w:bookmarkStart w:id="21" w:name="page22"/>
    <w:bookmarkEnd w:id="21"/>
    <w:p>
      <w:pPr>
        <w:jc w:val="both"/>
        <w:ind w:firstLine="648"/>
        <w:spacing w:after="0" w:line="239" w:lineRule="auto"/>
        <w:rPr>
          <w:sz w:val="20"/>
          <w:szCs w:val="20"/>
          <w:color w:val="auto"/>
        </w:rPr>
      </w:pPr>
      <w:r>
        <w:rPr>
          <w:rFonts w:ascii="Arial" w:cs="Arial" w:eastAsia="Arial" w:hAnsi="Arial"/>
          <w:sz w:val="16"/>
          <w:szCs w:val="16"/>
          <w:color w:val="auto"/>
        </w:rPr>
        <w:t>Our regulators enforce cGMP and other requirements through periodic unannounced inspections of manufacturing facilities. The FDA is authorized to inspect domestic manufacturing facilities without prior notice at reasonable times and in a reasonable manner. Health Canada may conduct similar inspections of our facilities where Canadian marketed products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3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Additionally, companies may not promote drugs for "off-label" uses (</w:t>
      </w:r>
      <w:r>
        <w:rPr>
          <w:rFonts w:ascii="Arial" w:cs="Arial" w:eastAsia="Arial" w:hAnsi="Arial"/>
          <w:sz w:val="18"/>
          <w:szCs w:val="18"/>
          <w:i w:val="1"/>
          <w:iCs w:val="1"/>
          <w:color w:val="auto"/>
        </w:rPr>
        <w:t>i.e.,</w:t>
      </w:r>
      <w:r>
        <w:rPr>
          <w:rFonts w:ascii="Arial" w:cs="Arial" w:eastAsia="Arial" w:hAnsi="Arial"/>
          <w:sz w:val="18"/>
          <w:szCs w:val="18"/>
          <w:color w:val="auto"/>
        </w:rPr>
        <w:t xml:space="preserve"> uses that are not described in the product's labeling and that differ from those approved by the applicable regulatory agencies). A company that is found to have improperly promoted off-label uses may be subject to significant liability, including civil and administrative remedies (such as entering into corporate integrity agreements with the U.S. government), as well as criminal sanctions. If our employees or agents engage in "off-label" marketing of any of our products, we could be subject to civil or criminal investigations, monetary and injunctive penalties, which could adversely impact our ability to conduct business in certain markets, negatively affect our business, financial condition, operating results and cash flows, and damage our reputation.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intend to sell certain of our products outside the United States and recently received market authorization under the MRP to sell BioThrax in France, Italy, the Netherlands, Poland, and the U.K. and licensure of BioThrax in four out of the five CMS countries. To market our products in foreign jurisdictions, we may need to obtain separate regulatory approvals and comply with numerous and varying regulatory requirements. Approval by the FDA in the United States or the MRP in the CMS does not ensure approval by all foreign regulatory authorities. The approval procedures in foreign jurisdictions can vary widely and can involve additional clinical trials and data review beyond that required by the FDA or under the MRP. We and our collaborators may not be able to obtain foreign regulatory approvals on a timely basis, if at all, and we may be unable to successfully commercialize our products internationally. We have limited experience in preparing, filing and prosecuting the applications necessary to gain foreign regulatory approvals and expect to rely on third-party contract research organizations and consultants to assist us in this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4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are found to be in violation of the FCPA or similar foreign laws despite our training and compliance efforts, we and our senior management may be subject to significant civil and criminal penalties, potential debarment from public procurement and reputational damage, which could have a material adverse effect on our business, financial condition, operating results, cash flows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148" w:lineRule="exact"/>
        <w:rPr>
          <w:sz w:val="20"/>
          <w:szCs w:val="20"/>
          <w:color w:val="auto"/>
        </w:rPr>
      </w:pPr>
    </w:p>
    <w:p>
      <w:pPr>
        <w:jc w:val="both"/>
        <w:spacing w:after="0" w:line="324" w:lineRule="auto"/>
        <w:rPr>
          <w:sz w:val="20"/>
          <w:szCs w:val="20"/>
          <w:color w:val="auto"/>
        </w:rPr>
      </w:pPr>
      <w:r>
        <w:rPr>
          <w:rFonts w:ascii="Arial" w:cs="Arial" w:eastAsia="Arial" w:hAnsi="Arial"/>
          <w:sz w:val="15"/>
          <w:szCs w:val="15"/>
          <w:b w:val="1"/>
          <w:bCs w:val="1"/>
          <w:i w:val="1"/>
          <w:iCs w:val="1"/>
          <w:color w:val="auto"/>
        </w:rPr>
        <w:t>Disruption at, damage to or destruction of our manufacturing facilities could impede our ability to manufacture BioThrax or our other products, as well as deliver our contract development and manufacturing services, which would harm our business, financial condition, operating results and cash flows.</w:t>
      </w:r>
    </w:p>
    <w:p>
      <w:pPr>
        <w:spacing w:after="0" w:line="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 interruption in our manufacturing operations could result in our inability to produce our PHT countermeasures for delivery to satisfy the product demands of our customers in a timely manner, which would reduce our revenues and materially harm our business, financial condition, operating results and cash flows. A number of factors could cause interruptions, including:</w:t>
      </w:r>
    </w:p>
    <w:p>
      <w:pPr>
        <w:spacing w:after="0" w:line="13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or destruction of the facility;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contamination or tampering.</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Providers of PHT countermeasures could be subject to an increased risk of terrorist activities. The U.S. government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facilities in Winnipeg, Manitoba, Canada; other Baltimore, Maryland facilities in Camden; facilities in Canton, Massachusetts; Rockville, Maryland; and 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not be able to utilize the full manufacturing capacity of our manufacturing facilities, which could impact our future revenues and materially harm our business, financial condition, operating results and cash flows.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ectPr>
          <w:pgSz w:w="11900" w:h="16838" w:orient="portrait"/>
          <w:cols w:equalWidth="0" w:num="1">
            <w:col w:w="11420"/>
          </w:cols>
          <w:pgMar w:left="240" w:top="111" w:right="239" w:bottom="0" w:gutter="0" w:footer="0" w:header="0"/>
        </w:sectPr>
      </w:pPr>
    </w:p>
    <w:bookmarkStart w:id="22" w:name="page23"/>
    <w:bookmarkEnd w:id="22"/>
    <w:p>
      <w:pPr>
        <w:jc w:val="both"/>
        <w:spacing w:after="0" w:line="224" w:lineRule="auto"/>
        <w:rPr>
          <w:sz w:val="20"/>
          <w:szCs w:val="20"/>
          <w:color w:val="auto"/>
        </w:rPr>
      </w:pPr>
      <w:r>
        <w:rPr>
          <w:rFonts w:ascii="Arial" w:cs="Arial" w:eastAsia="Arial" w:hAnsi="Arial"/>
          <w:sz w:val="18"/>
          <w:szCs w:val="18"/>
          <w:b w:val="1"/>
          <w:bCs w:val="1"/>
          <w:i w:val="1"/>
          <w:iCs w:val="1"/>
          <w:color w:val="auto"/>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12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BioThrax, Raxibacumab, ACAM2000, Anthrasil, BAT, VIGIV, and many of our current product candidates, including NuThrax,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required to obtain FDA approval prior to the release of each lot of BioThrax and ACAM2000, which may not be obtained on a timely basis or at all.</w:t>
      </w:r>
    </w:p>
    <w:p>
      <w:pPr>
        <w:spacing w:after="0" w:line="12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FDA approval is required for the release of each lot of BioThrax and ACAM2000. We are not able to sell any lots that fail to satisfy the release testing specifications. For example, we must provide the FDA with the results of certain tests, including potency tests, before lots are released for sale. Potency testing of each lot of BioThrax and each lot of ACAM2000 is performed against qualified control lots that we maintain. We continually monitor the status of our reference lots and periodically produce and qualify a new reference lot to replace the existing reference lot. If we are not able to produce and qualify a new reference lot or otherwise satisfy the FDA's requirements for release of BioThrax or ACAM2000, our ability to sell BioThrax or ACAM2000 would be impaired until such time as we become able to meet the FDA's requirements, which would materially harm our business, financial condition, operating results and cash flows.</w:t>
      </w:r>
    </w:p>
    <w:p>
      <w:pPr>
        <w:spacing w:after="0" w:line="12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 and NuThrax, and currently rely on a single-source supplier to manufacture Raxibacumab. We also rely on single-source suppliers for the sponge applicator device and the active ingredient used to make RSDL as well as the specialty plasma in our hyperimmune 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2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126" w:lineRule="exact"/>
        <w:rPr>
          <w:sz w:val="20"/>
          <w:szCs w:val="20"/>
          <w:color w:val="auto"/>
        </w:rPr>
      </w:pPr>
    </w:p>
    <w:p>
      <w:pPr>
        <w:ind w:right="5020"/>
        <w:spacing w:after="0" w:line="433" w:lineRule="auto"/>
        <w:rPr>
          <w:sz w:val="20"/>
          <w:szCs w:val="20"/>
          <w:color w:val="auto"/>
        </w:rPr>
      </w:pPr>
      <w:r>
        <w:rPr>
          <w:rFonts w:ascii="Arial" w:cs="Arial" w:eastAsia="Arial" w:hAnsi="Arial"/>
          <w:sz w:val="17"/>
          <w:szCs w:val="17"/>
          <w:b w:val="1"/>
          <w:bCs w:val="1"/>
          <w:color w:val="auto"/>
        </w:rPr>
        <w:t xml:space="preserve">RISKS RELATED TO STRATEGIC ACQUISITIONS AND COLLABORATIONS </w:t>
      </w:r>
      <w:r>
        <w:rPr>
          <w:rFonts w:ascii="Arial" w:cs="Arial" w:eastAsia="Arial" w:hAnsi="Arial"/>
          <w:sz w:val="17"/>
          <w:szCs w:val="17"/>
          <w:b w:val="1"/>
          <w:bCs w:val="1"/>
          <w:i w:val="1"/>
          <w:iCs w:val="1"/>
          <w:color w:val="auto"/>
        </w:rPr>
        <w:t>Our strategy of generating growth through acquisitions may not be successful.</w:t>
      </w:r>
    </w:p>
    <w:p>
      <w:pPr>
        <w:spacing w:after="0" w:line="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2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our acquisition of the ACAM2000 business required initial payments of $117.5 million and an additional milestone payment of $7.5 million on the achievement of a regulatory event. In addition, our acquisition of Raxibacumab required a $76 million upfront payment and may require up to $20 million in additional future milestone payments.</w:t>
      </w:r>
    </w:p>
    <w:p>
      <w:pPr>
        <w:sectPr>
          <w:pgSz w:w="11900" w:h="16838" w:orient="portrait"/>
          <w:cols w:equalWidth="0" w:num="1">
            <w:col w:w="11420"/>
          </w:cols>
          <w:pgMar w:left="240" w:top="111" w:right="239" w:bottom="0" w:gutter="0" w:footer="0" w:header="0"/>
        </w:sectPr>
      </w:pPr>
    </w:p>
    <w:bookmarkStart w:id="23" w:name="page24"/>
    <w:bookmarkEnd w:id="23"/>
    <w:p>
      <w:pPr>
        <w:jc w:val="both"/>
        <w:ind w:firstLine="648"/>
        <w:spacing w:after="0" w:line="219" w:lineRule="auto"/>
        <w:rPr>
          <w:sz w:val="20"/>
          <w:szCs w:val="20"/>
          <w:color w:val="auto"/>
        </w:rPr>
      </w:pPr>
      <w:r>
        <w:rPr>
          <w:rFonts w:ascii="Arial" w:cs="Arial" w:eastAsia="Arial" w:hAnsi="Arial"/>
          <w:sz w:val="18"/>
          <w:szCs w:val="18"/>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could adversely affect our ability to realize the benefits of such acquisitions and, therefore, to grow our business.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or products include, among others:</w:t>
      </w:r>
    </w:p>
    <w:p>
      <w:pPr>
        <w:spacing w:after="0" w:line="15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conforming internal controls, policies and procedures, business cultures and compensation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executing technology transfers and obtaining required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consolidating sales and marketing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operations and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assumption of known and unknown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operations.</w:t>
      </w:r>
    </w:p>
    <w:p>
      <w:pPr>
        <w:spacing w:after="0" w:line="15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POLITICAL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6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There are a number of companies with products or product candidates addressing PHT preparedness that are competing with us for both U.S. government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Competition for BioThrax, Raxibacumab, ACAM2000, Anthrasil, BAT and VIGIV,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2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Products developed to counter the potential impact of PHTs, whether CBRNE or EID,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COMMERCIALIZATION RISKS</w:t>
      </w:r>
    </w:p>
    <w:p>
      <w:pPr>
        <w:spacing w:after="0" w:line="1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8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 government's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134"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 development, formulation and cGMP scale-up of manufacturing that meets FDA or other foreign regulatory requirements;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program partnering;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 and studies in approved animal models;</w:t>
      </w:r>
    </w:p>
    <w:p>
      <w:pPr>
        <w:sectPr>
          <w:pgSz w:w="11900" w:h="16838" w:orient="portrait"/>
          <w:cols w:equalWidth="0" w:num="1">
            <w:col w:w="11420"/>
          </w:cols>
          <w:pgMar w:left="240" w:top="111" w:right="239" w:bottom="0" w:gutter="0" w:footer="0" w:header="0"/>
        </w:sectPr>
      </w:pPr>
    </w:p>
    <w:bookmarkStart w:id="24" w:name="page25"/>
    <w:bookmarkEnd w:id="24"/>
    <w:p>
      <w:pPr>
        <w:spacing w:after="0" w:line="7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commercial manufacturing processes and product supply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the product by potential government and other customers.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19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Under certain circumstances, MCMs may be procured by government entities prior to approval by the FDA or other regulatory authorities. In the United States, the Project BioShield Act of 2004, or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pre-approval. Absent an applicable exception, our MCM product candidates generally will have to be approved by the FDA or other regulatory authorities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marketing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or the PREP Act, may not cover claims arising under non-U.S. law.</w:t>
      </w:r>
    </w:p>
    <w:p>
      <w:pPr>
        <w:spacing w:after="0" w:line="10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For certain of our product candidates addressing CBRNE threats,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Emergency Use Authorization. If our product candidates are not selected under this Project BioShield authority, they generally will have to be approved by the FDA through traditional regulatory mechanisms for distribution in the United States.</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2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drug immunogenicity;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123"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1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ectPr>
          <w:pgSz w:w="11900" w:h="16912" w:orient="portrait"/>
          <w:cols w:equalWidth="0" w:num="1">
            <w:col w:w="11420"/>
          </w:cols>
          <w:pgMar w:left="240" w:top="125" w:right="239" w:bottom="0" w:gutter="0" w:footer="0" w:header="0"/>
        </w:sectPr>
      </w:pPr>
    </w:p>
    <w:bookmarkStart w:id="25" w:name="page26"/>
    <w:bookmarkEnd w:id="25"/>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4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proprietary rights, our business, financial condition, operating results and cash flows could be materially harmed.</w:t>
      </w:r>
    </w:p>
    <w:p>
      <w:pPr>
        <w:spacing w:after="0" w:line="16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success, especially with respect to our small molecule product candidates,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biopharmaceutical field generally is highly uncertain and involves complex legal and scientific questions.</w:t>
      </w:r>
    </w:p>
    <w:p>
      <w:pPr>
        <w:spacing w:after="0" w:line="12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 In addition, some countries do not grant patent claims directed to methods of treating humans, and, in these countries, patent protection may not be available at all to protect our products or product candidates.</w:t>
      </w:r>
    </w:p>
    <w:p>
      <w:pPr>
        <w:spacing w:after="0" w:line="1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are unenforceable, or must be interpreted narrowly and that we do not have the right to stop another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operating results and cash flows could be materially and adversely affected.</w:t>
      </w:r>
    </w:p>
    <w:p>
      <w:pPr>
        <w:spacing w:after="0" w:line="12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Pfizer, Inc. an oligonucleotide adjuvant, CPG 7909, for use in our NuThrax anthrax vaccine product candidate.</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123"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Third parties may choose to file patent infringement claims against us; defending ourselves from such allegations would be costly, time-consuming, distracting to management and could materially and adversely affect our business, financial condition, operating results and cash flows.</w:t>
      </w:r>
    </w:p>
    <w:p>
      <w:pPr>
        <w:spacing w:after="0" w:line="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may have substantially greater financial resources than us and could bring claims against us that could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12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licensed patents and subject us to damages, which may be material.</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materially and adversely impact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ectPr>
          <w:pgSz w:w="11900" w:h="16843" w:orient="portrait"/>
          <w:cols w:equalWidth="0" w:num="1">
            <w:col w:w="11420"/>
          </w:cols>
          <w:pgMar w:left="240" w:top="287" w:right="239" w:bottom="0" w:gutter="0" w:footer="0" w:header="0"/>
        </w:sectPr>
      </w:pPr>
    </w:p>
    <w:bookmarkStart w:id="26" w:name="page27"/>
    <w:bookmarkEnd w:id="26"/>
    <w:p>
      <w:pPr>
        <w:jc w:val="both"/>
        <w:spacing w:after="0" w:line="235"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September 2017, we entered into a five-year $200 million syndicated senior secured revolving credit facility that replaced our prior $100 million facility, which was scheduled to expire in December 2018. The senior secured credit facility also includes a $100 million accordion feature in revolver or incremental term loans, at our option, which could expand total commitments to up to $300 million subject to certain conditions and requirements under the credit agreement. We may also seek additional debt financing to support our ongoing activities or to provide additional financial flexibility. Debt financing could have significant adverse consequences for our business, including:</w:t>
      </w:r>
    </w:p>
    <w:p>
      <w:pPr>
        <w:spacing w:after="0" w:line="135" w:lineRule="exact"/>
        <w:rPr>
          <w:sz w:val="20"/>
          <w:szCs w:val="20"/>
          <w:color w:val="auto"/>
        </w:rPr>
      </w:pPr>
    </w:p>
    <w:p>
      <w:pPr>
        <w:ind w:left="980" w:hanging="324"/>
        <w:spacing w:after="0" w:line="25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3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in our assets securing our indebtedness.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and our operating results, financial condition and cash flows.</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may require significant additional funding to grow our business, including efforts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June 30, 2018, we had approximately $190.2 million of cash and cash equivalents. Our future capital requirements will depend on many factors, including, among others:</w:t>
      </w:r>
    </w:p>
    <w:p>
      <w:pPr>
        <w:spacing w:after="0" w:line="13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timing and cost of product sales and contract manufacturing services;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repurchase additional common stock under our authorized share repurchase program;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public or private equity or debt offerings, bank loans or collaboration and licensing arrangements.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2.875% Convertible Senior Notes due 2021, or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facility restricts our ability to incur additional indebtedness, including secured indebtedness.</w:t>
      </w:r>
    </w:p>
    <w:p>
      <w:pPr>
        <w:spacing w:after="0" w:line="127"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second quarter of 2016 and in each of the first quarters of 2018, 2015, 2014 and 2013.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We may not be able to achieve consistent profitability on a quarterly basis or sustain or increase profitability on an annual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 OF OUR BIOSCIENCES BUSINESS</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If the spin-off distribution on August 1, 2016 of all of the outstanding shares of Aptevo Therapeutics Inc. common stock to our stockholders does not qualify as a tax-free transaction for U.S. federal income tax purposes, we and our stockholders could be subject to significant tax liabilities.</w:t>
      </w:r>
    </w:p>
    <w:p>
      <w:pPr>
        <w:spacing w:after="0" w:line="8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It was our intention that our distribution on August 1, 2016 of all of the outstanding shares of Aptevo common stock to our stockholders, or the Distribution, together with certain related transactions, qualify as a tax-free transaction described under Sections 355 and 368(a)(1)(D) of the Internal Revenue Code of 1986, as amended, or the Code. In anticipation of the Distribution, we received a favorable private letter ruling from the Internal Revenue Service, or the IRS, regarding certain U.S. federal income tax matters relating to the Distribution and certain related transactions and an opinion of counsel substantially to the effect that, for U.S. federal income tax purposes, the Distribution, together with certain related transactions, will qualify as a transaction described under Sections 355 and 368(a)(1)(D) of the Code. A "private letter ruling," is a written statement issued to a taxpayer by an Associate Chief Counsel Office of the Office of Chief Counsel that interprets and applies the tax laws to a specific set of facts. Our private letter ruling is based on certain facts and representations submitted by us to the IRS and the opinion of counsel was based upon and relied on, among other things, the IRS private letter ruling and certain facts and assumptions, as well as certain representations and covenants of us and Aptevo contained in a tax matters agreement and certain representations contained in representation letters provided by us, Aptevo and certain stockholders to such counsel, including representations and covenants relating to the past and future conduct of us, Aptevo and such stockholders. If any of these facts, assumptions, representations, or covenants are, or become, inaccurate or incomplete, the IRS private letter ruling and/or the opinion of counsel may be invalid and the conclusions reached therein could be jeopardized and, as a result, the Distribution, together with certain related transactions, could fail to qualify as a tax-free transaction described under Sections 355 and 368(a)(1)(D) of the Code for U.S. federal income tax purposes.</w:t>
      </w:r>
    </w:p>
    <w:p>
      <w:pPr>
        <w:sectPr>
          <w:pgSz w:w="11900" w:h="16838" w:orient="portrait"/>
          <w:cols w:equalWidth="0" w:num="1">
            <w:col w:w="11420"/>
          </w:cols>
          <w:pgMar w:left="240" w:top="287" w:right="239" w:bottom="0" w:gutter="0" w:footer="0" w:header="0"/>
        </w:sectPr>
      </w:pPr>
    </w:p>
    <w:bookmarkStart w:id="27" w:name="page28"/>
    <w:bookmarkEnd w:id="27"/>
    <w:p>
      <w:pPr>
        <w:jc w:val="both"/>
        <w:ind w:firstLine="648"/>
        <w:spacing w:after="0" w:line="229" w:lineRule="auto"/>
        <w:rPr>
          <w:sz w:val="20"/>
          <w:szCs w:val="20"/>
          <w:color w:val="auto"/>
        </w:rPr>
      </w:pPr>
      <w:r>
        <w:rPr>
          <w:rFonts w:ascii="Arial" w:cs="Arial" w:eastAsia="Arial" w:hAnsi="Arial"/>
          <w:sz w:val="17"/>
          <w:szCs w:val="17"/>
          <w:color w:val="auto"/>
        </w:rPr>
        <w:t>In addition, the IRS private letter ruling only addresses certain limited matters relevant to determining whether the Distribution, together with certain related transactions, qualifies as a transaction described under Sections 355 and 368(a)(1)(D) of the Code, and the opinion of counsel only represents the judgment of such counsel, which is not binding on the IRS or any court. Accordingly, notwithstanding the IRS private letter ruling and the opinion of counsel, there can be no assurance that the IRS will not assert that the Distribution, together with certain related transactions, should be treated as a taxable transaction for U.S. federal income tax purposes or that a court would not sustain such a challenge.</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the Distribution, together with certain related transactions, fails to qualify as a tax-free transaction described under Sections 355 and 368(a)(1)(D) of the Code, for U.S. federal income tax purposes, in general, (i) we would recognize taxable gain on the Distribution equal to the amount by which the fair market value of the Aptevo shares distributed to our stockholders exceeded our tax basis in the Aptevo shares and (ii) each of our stockholders who received Aptevo shares in the Distribution would be treated as receiving a taxable distribution equal to the fair market value of the Aptevo shares received by such stockholder.</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Under the tax matters agreement that we entered into with Aptevo in connection with the spin-off, Aptevo may be required to indemnify us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Aptevo's stock, assets or business, or a breach of the relevant representations or covenants made by Aptevo in the tax matters agreement or the IRS private letter ruling or in the representation letters provided to our counsel for purposes of their opinion. Any such indemnity obligations could be material, and there can be no assurance that Aptevo will be able to pay any such indemnification.</w:t>
      </w:r>
    </w:p>
    <w:p>
      <w:pPr>
        <w:spacing w:after="0" w:line="1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To preserve the tax-free treatment of the Distribution, together with certain related transactions, and in addition to Aptevo's indemnity obligation, the tax matters agreement, which expired on August 2, 2018, restricted Aptevo from taking any action that prevents such transactions from being tax-free for U.S. federal income tax purposes. In particular, for the two-year period following the Distribution, Aptevo was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There can be no assurance that Aptevo adequately complied with these restrictions. If a finding is made by the IRS through a tax audit that Aptevo failed to satisfy its obligations, this could have a substantial impact on our tax obligations, consolidated financial condition and cash flows.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In connection with Aptevo's separation from us, Aptevo agreed to indemnify us for certain matters. This indemnity may not be sufficient to hold us harmless from the full amount of losses that we may incur in connection with these matters, and Aptevo may not be able to satisfy its indemnification obligations to us.</w:t>
      </w:r>
    </w:p>
    <w:p>
      <w:pPr>
        <w:spacing w:after="0" w:line="12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Pursuant to the agreements that we entered into with Aptevo at the time of Aptevo's separation from us, Aptevo agreed to indemnify us for certain matters, including liabilities related to Aptevo's business or for which Aptevo otherwise agreed to be responsible in the separation. This indemnity from Aptevo may not be sufficient to protect us against the full amount of losses that we may incur in connection with these matters, including if third parties assert claims against us for liabilities that were allocated to Aptevo in the separation. Moreover, Aptevo may dispute its indemnification obligation to us or have insufficient resources to satisfy its indemnification obligations to us. Even if we ultimately succeed in recovering from Aptevo the amount of any losses that we incur in connection with these matters, the recovery could take a substantial amount of time and we may be required to bear these losses ourselves while we seek recovery. Each of these risks could negatively affect our business, operating results, financial condition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Pending litigation and legal proceedings and the impact of any finding of liability or damages could adversely impact our business, operating results, financial condition and cash flows.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From time to time, we may be named as a defendant in various legal actions or other proceedings. Certain of these actions include and future actual or threatened legal actions may include, claims for substantial and indeterminate amounts of damages, or may result in other action adverse to us.</w:t>
      </w:r>
    </w:p>
    <w:p>
      <w:pPr>
        <w:spacing w:after="0" w:line="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For example, a class action lawsuit was filed against us and several of our senior officers and directors in the United States District Court for the District of Maryland seeking unspecified damages on behalf of a putative class of persons who purchased or otherwise acquired our common stock between January 11, 2016 and June 21, 2016. The complaint, as amended on December 27, 2016, alleges, among other things, that we made materially false and misleading statements about the government's demand for BioThrax and expectations that our five-year exclusive procurement contract with HHS would be renewed and omitted certain material facts. On June 8, 2018 the court granted class certification with a shortened class period, May 5, 2016 to June 21, 2016.</w:t>
      </w:r>
    </w:p>
    <w:p>
      <w:pPr>
        <w:spacing w:after="0" w:line="11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results of this lawsuit and possible other future legal proceedings cannot be predicted with certainty. Accordingly, we cannot determine whether our insurance coverage would be sufficient to cover the costs or potential losses, if any. Regardless of merit, litigation may be both time-consuming and disruptive to our operations and cause significant expense and diversion of management attention. If we do not prevail in the class action lawsuit or in other future legal proceedings, we may be faced with significant monetary damages or injunctive relief against us that may adversely affect our business, operating results, financial condition and cash flows.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One measure of protection against such lawsuits is coverage under the Public Readiness and Emergency Preparedness Act, or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Additionally, certain of our products, namely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13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ectPr>
          <w:pgSz w:w="11900" w:h="16838" w:orient="portrait"/>
          <w:cols w:equalWidth="0" w:num="1">
            <w:col w:w="11420"/>
          </w:cols>
          <w:pgMar w:left="240" w:top="111" w:right="239" w:bottom="0" w:gutter="0" w:footer="0" w:header="0"/>
        </w:sectPr>
      </w:pPr>
    </w:p>
    <w:bookmarkStart w:id="28" w:name="page29"/>
    <w:bookmarkEnd w:id="28"/>
    <w:p>
      <w:pPr>
        <w:jc w:val="both"/>
        <w:ind w:firstLine="648"/>
        <w:spacing w:after="0" w:line="212"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operating results and cash flows.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The accuracy of our financial reporting depends on the effectiveness of our internal control over financial reporting. 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11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0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Mr. El-Hibri has the ability to significantly influence the election of the members of our Board of Directors due to his substantial beneficial ownership of our common stock. As of July 27, 2018, Mr. El-Hibri was the beneficial owner of approximately 11%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21"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15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6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we are subject to Section 203 of the Delaware General Corporation Law, or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w:t>
      </w:r>
    </w:p>
    <w:p>
      <w:pPr>
        <w:sectPr>
          <w:pgSz w:w="11900" w:h="16838" w:orient="portrait"/>
          <w:cols w:equalWidth="0" w:num="1">
            <w:col w:w="11420"/>
          </w:cols>
          <w:pgMar w:left="240" w:top="111" w:right="239" w:bottom="0" w:gutter="0" w:footer="0" w:header="0"/>
        </w:sectPr>
      </w:pPr>
    </w:p>
    <w:bookmarkStart w:id="29" w:name="page30"/>
    <w:bookmarkEnd w:id="29"/>
    <w:p>
      <w:pPr>
        <w:jc w:val="both"/>
        <w:ind w:right="20"/>
        <w:spacing w:after="0" w:line="235" w:lineRule="auto"/>
        <w:rPr>
          <w:sz w:val="20"/>
          <w:szCs w:val="20"/>
          <w:color w:val="auto"/>
        </w:rPr>
      </w:pPr>
      <w:r>
        <w:rPr>
          <w:rFonts w:ascii="Arial" w:cs="Arial" w:eastAsia="Arial" w:hAnsi="Arial"/>
          <w:sz w:val="18"/>
          <w:szCs w:val="18"/>
          <w:color w:val="auto"/>
        </w:rPr>
        <w:t>transaction in which the person became an interested stockholder, unless the business combination is approved in a prescribed manner. Accordingly, Section 203 may discourage, delay or prevent a change in control of us.</w:t>
      </w:r>
    </w:p>
    <w:p>
      <w:pPr>
        <w:spacing w:after="0" w:line="1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July 27, 2018, our common stock has traded as high as $55.94 per share and as low as $4.40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spacing w:after="0" w:line="136"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contracts, decisions and procurement policies by the U.S. government affecting BioThrax and our other products and product candidates;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financings or other transactions by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currently do not pay dividends, investors will benefit from an investment in our common stock only if it appreciates in value.</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currently do not pay dividends on our common stock. Our senior secured credit facility limits and any future debt agreements that we enter into may limit our ability to pay dividends. As a result, capital appreciation, if any, of our common stock will be the sole source of gain for our stockholders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July 27, 2018, have the right to require us to register these shares of common stock under specified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information set forth below is included herein for the purpose of providing the disclosure required under "Item 1.02 - Termination of a Material Agreement" of Form 8-K.</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August 2, 2018, we and Intergen LLC mutually agreed to terminate the Amended and Restated Marketing Agreement, dated November 5, 2008, between Emergent BioDefense Operations Lansing LLC and Intergen N.V., as such agreement was subsequently assigned to Intergen LLC on September 10, 2012, or the Marketing Agreement. Yasmine Gibellini was the chairperson and a major stockholder of Intergen N.V., and is the sister of Fuad El-Hibri, the executive chairman of our Board and she is also the General Manager of Intergen LLC. Under the Marketing Agreement, Intergen had been appointed as our marketing representative for the sale and promotion of BioThrax, and certain other products that are no longer being marketed in Saudi Arabia, Qatar and the United Arab Emirates.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ectPr>
          <w:pgSz w:w="11900" w:h="16838" w:orient="portrait"/>
          <w:cols w:equalWidth="0" w:num="1">
            <w:col w:w="11420"/>
          </w:cols>
          <w:pgMar w:left="240" w:top="111" w:right="239" w:bottom="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The exhibits required to be filed by Item 601 of Regulation S-K are listed in the Exhibit Index immediately preceding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132080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00"/>
          </w:cols>
          <w:pgMar w:left="860" w:top="328" w:right="11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62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 w:type="dxa"/>
            <w:vAlign w:val="bottom"/>
            <w:tcBorders>
              <w:bottom w:val="single" w:sz="8" w:color="0000EE"/>
            </w:tcBorders>
            <w:gridSpan w:val="2"/>
          </w:tcPr>
          <w:p>
            <w:pPr>
              <w:spacing w:after="0" w:line="162" w:lineRule="exact"/>
              <w:rPr>
                <w:rFonts w:ascii="Arial" w:cs="Arial" w:eastAsia="Arial" w:hAnsi="Arial"/>
                <w:sz w:val="18"/>
                <w:szCs w:val="18"/>
                <w:color w:val="0000EE"/>
                <w:w w:val="85"/>
              </w:rPr>
            </w:pPr>
            <w:hyperlink r:id="rId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20" w:type="dxa"/>
            <w:vAlign w:val="bottom"/>
          </w:tcPr>
          <w:p>
            <w:pPr>
              <w:ind w:left="100"/>
              <w:spacing w:after="0" w:line="162" w:lineRule="exact"/>
              <w:rPr>
                <w:sz w:val="20"/>
                <w:szCs w:val="20"/>
                <w:color w:val="auto"/>
              </w:rPr>
            </w:pPr>
            <w:r>
              <w:rPr>
                <w:rFonts w:ascii="Arial" w:cs="Arial" w:eastAsia="Arial" w:hAnsi="Arial"/>
                <w:sz w:val="18"/>
                <w:szCs w:val="18"/>
                <w:color w:val="auto"/>
                <w:w w:val="93"/>
              </w:rPr>
              <w:t>Emergent BioSolutions Inc. Stock Incentive Plan (incorporated by reference to Exhibit 99 to Registration Statement on Form S-8, filed on May</w:t>
            </w:r>
          </w:p>
        </w:tc>
        <w:tc>
          <w:tcPr>
            <w:tcW w:w="0" w:type="dxa"/>
            <w:vAlign w:val="bottom"/>
          </w:tcPr>
          <w:p>
            <w:pPr>
              <w:spacing w:after="0"/>
              <w:rPr>
                <w:sz w:val="1"/>
                <w:szCs w:val="1"/>
                <w:color w:val="auto"/>
              </w:rPr>
            </w:pPr>
          </w:p>
        </w:tc>
      </w:tr>
      <w:tr>
        <w:trPr>
          <w:trHeight w:val="142"/>
        </w:trPr>
        <w:tc>
          <w:tcPr>
            <w:tcW w:w="800" w:type="dxa"/>
            <w:vAlign w:val="bottom"/>
            <w:gridSpan w:val="4"/>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620" w:type="dxa"/>
            <w:vAlign w:val="bottom"/>
          </w:tcPr>
          <w:p>
            <w:pPr>
              <w:ind w:left="100"/>
              <w:spacing w:after="0" w:line="142" w:lineRule="exact"/>
              <w:rPr>
                <w:sz w:val="20"/>
                <w:szCs w:val="20"/>
                <w:color w:val="auto"/>
              </w:rPr>
            </w:pPr>
            <w:r>
              <w:rPr>
                <w:rFonts w:ascii="Arial" w:cs="Arial" w:eastAsia="Arial" w:hAnsi="Arial"/>
                <w:sz w:val="16"/>
                <w:szCs w:val="16"/>
                <w:color w:val="auto"/>
              </w:rPr>
              <w:t>30, 2018.)</w:t>
            </w:r>
          </w:p>
        </w:tc>
        <w:tc>
          <w:tcPr>
            <w:tcW w:w="0" w:type="dxa"/>
            <w:vAlign w:val="bottom"/>
          </w:tcPr>
          <w:p>
            <w:pPr>
              <w:spacing w:after="0"/>
              <w:rPr>
                <w:sz w:val="1"/>
                <w:szCs w:val="1"/>
                <w:color w:val="auto"/>
              </w:rPr>
            </w:pPr>
          </w:p>
        </w:tc>
      </w:tr>
      <w:tr>
        <w:trPr>
          <w:trHeight w:val="189"/>
        </w:trPr>
        <w:tc>
          <w:tcPr>
            <w:tcW w:w="800" w:type="dxa"/>
            <w:vAlign w:val="bottom"/>
            <w:gridSpan w:val="4"/>
            <w:vMerge w:val="continue"/>
          </w:tcPr>
          <w:p>
            <w:pPr>
              <w:spacing w:after="0"/>
              <w:rPr>
                <w:sz w:val="16"/>
                <w:szCs w:val="16"/>
                <w:color w:val="auto"/>
              </w:rPr>
            </w:pPr>
          </w:p>
        </w:tc>
        <w:tc>
          <w:tcPr>
            <w:tcW w:w="10620" w:type="dxa"/>
            <w:vAlign w:val="bottom"/>
          </w:tcPr>
          <w:p>
            <w:pPr>
              <w:ind w:left="100"/>
              <w:spacing w:after="0" w:line="189" w:lineRule="exact"/>
              <w:rPr>
                <w:sz w:val="20"/>
                <w:szCs w:val="20"/>
                <w:color w:val="auto"/>
              </w:rPr>
            </w:pPr>
            <w:r>
              <w:rPr>
                <w:rFonts w:ascii="Arial" w:cs="Arial" w:eastAsia="Arial" w:hAnsi="Arial"/>
                <w:sz w:val="18"/>
                <w:szCs w:val="18"/>
                <w:color w:val="auto"/>
                <w:w w:val="96"/>
              </w:rPr>
              <w:t>Modification No. 9, effective June 6, 2018, to the Solicitation/Contract/Order for Commercial Items, effective December 8, 2016, from the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20" w:type="dxa"/>
            <w:vAlign w:val="bottom"/>
            <w:vMerge w:val="restart"/>
          </w:tcPr>
          <w:p>
            <w:pPr>
              <w:ind w:left="100"/>
              <w:spacing w:after="0" w:line="162" w:lineRule="exact"/>
              <w:rPr>
                <w:sz w:val="20"/>
                <w:szCs w:val="20"/>
                <w:color w:val="auto"/>
              </w:rPr>
            </w:pPr>
            <w:r>
              <w:rPr>
                <w:rFonts w:ascii="Arial" w:cs="Arial" w:eastAsia="Arial" w:hAnsi="Arial"/>
                <w:sz w:val="18"/>
                <w:szCs w:val="18"/>
                <w:color w:val="auto"/>
                <w:w w:val="94"/>
              </w:rPr>
              <w:t>Centers for Disease Control and Prevention to Emergent Biodefense Operations Lansing LLC (the "CDC BioThrax Procurement Contract").</w:t>
            </w:r>
          </w:p>
        </w:tc>
        <w:tc>
          <w:tcPr>
            <w:tcW w:w="0" w:type="dxa"/>
            <w:vAlign w:val="bottom"/>
          </w:tcPr>
          <w:p>
            <w:pPr>
              <w:spacing w:after="0" w:line="20" w:lineRule="exact"/>
              <w:rPr>
                <w:sz w:val="1"/>
                <w:szCs w:val="1"/>
                <w:color w:val="auto"/>
              </w:rPr>
            </w:pPr>
          </w:p>
        </w:tc>
      </w:tr>
      <w:tr>
        <w:trPr>
          <w:trHeight w:val="142"/>
        </w:trPr>
        <w:tc>
          <w:tcPr>
            <w:tcW w:w="800" w:type="dxa"/>
            <w:vAlign w:val="bottom"/>
            <w:gridSpan w:val="4"/>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10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0" w:type="dxa"/>
            <w:vAlign w:val="bottom"/>
            <w:gridSpan w:val="4"/>
            <w:vMerge w:val="continue"/>
          </w:tcPr>
          <w:p>
            <w:pPr>
              <w:spacing w:after="0"/>
              <w:rPr>
                <w:sz w:val="16"/>
                <w:szCs w:val="16"/>
                <w:color w:val="auto"/>
              </w:rPr>
            </w:pPr>
          </w:p>
        </w:tc>
        <w:tc>
          <w:tcPr>
            <w:tcW w:w="10620" w:type="dxa"/>
            <w:vAlign w:val="bottom"/>
          </w:tcPr>
          <w:p>
            <w:pPr>
              <w:ind w:left="100"/>
              <w:spacing w:after="0" w:line="189" w:lineRule="exact"/>
              <w:rPr>
                <w:sz w:val="20"/>
                <w:szCs w:val="20"/>
                <w:color w:val="auto"/>
              </w:rPr>
            </w:pPr>
            <w:r>
              <w:rPr>
                <w:rFonts w:ascii="Arial" w:cs="Arial" w:eastAsia="Arial" w:hAnsi="Arial"/>
                <w:sz w:val="18"/>
                <w:szCs w:val="18"/>
                <w:color w:val="auto"/>
              </w:rPr>
              <w:t>Modification No. 10, effective June 18, 2018, to the CDC BioThrax Procurement Contract.</w:t>
            </w:r>
          </w:p>
        </w:tc>
        <w:tc>
          <w:tcPr>
            <w:tcW w:w="0" w:type="dxa"/>
            <w:vAlign w:val="bottom"/>
          </w:tcPr>
          <w:p>
            <w:pPr>
              <w:spacing w:after="0"/>
              <w:rPr>
                <w:sz w:val="1"/>
                <w:szCs w:val="1"/>
                <w:color w:val="auto"/>
              </w:rPr>
            </w:pPr>
          </w:p>
        </w:tc>
      </w:tr>
      <w:tr>
        <w:trPr>
          <w:trHeight w:val="156"/>
        </w:trPr>
        <w:tc>
          <w:tcPr>
            <w:tcW w:w="3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10620" w:type="dxa"/>
            <w:vAlign w:val="bottom"/>
          </w:tcPr>
          <w:p>
            <w:pPr>
              <w:ind w:left="100"/>
              <w:spacing w:after="0" w:line="156" w:lineRule="exact"/>
              <w:rPr>
                <w:sz w:val="20"/>
                <w:szCs w:val="20"/>
                <w:color w:val="auto"/>
              </w:rPr>
            </w:pPr>
            <w:r>
              <w:rPr>
                <w:rFonts w:ascii="Arial" w:cs="Arial" w:eastAsia="Arial" w:hAnsi="Arial"/>
                <w:sz w:val="18"/>
                <w:szCs w:val="18"/>
                <w:color w:val="auto"/>
              </w:rPr>
              <w:t>Modification No. 11, effective June 20, 2018, to the CDC BioThrax Procurement Contract.</w:t>
            </w:r>
          </w:p>
        </w:tc>
        <w:tc>
          <w:tcPr>
            <w:tcW w:w="0" w:type="dxa"/>
            <w:vAlign w:val="bottom"/>
          </w:tcPr>
          <w:p>
            <w:pPr>
              <w:spacing w:after="0"/>
              <w:rPr>
                <w:sz w:val="1"/>
                <w:szCs w:val="1"/>
                <w:color w:val="auto"/>
              </w:rPr>
            </w:pPr>
          </w:p>
        </w:tc>
      </w:tr>
      <w:tr>
        <w:trPr>
          <w:trHeight w:val="156"/>
        </w:trPr>
        <w:tc>
          <w:tcPr>
            <w:tcW w:w="340" w:type="dxa"/>
            <w:vAlign w:val="bottom"/>
            <w:gridSpan w:val="3"/>
          </w:tcPr>
          <w:p>
            <w:pPr>
              <w:spacing w:after="0" w:line="15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10620" w:type="dxa"/>
            <w:vAlign w:val="bottom"/>
          </w:tcPr>
          <w:p>
            <w:pPr>
              <w:ind w:left="100"/>
              <w:spacing w:after="0" w:line="156" w:lineRule="exact"/>
              <w:rPr>
                <w:sz w:val="20"/>
                <w:szCs w:val="20"/>
                <w:color w:val="auto"/>
              </w:rPr>
            </w:pPr>
            <w:r>
              <w:rPr>
                <w:rFonts w:ascii="Arial" w:cs="Arial" w:eastAsia="Arial" w:hAnsi="Arial"/>
                <w:sz w:val="18"/>
                <w:szCs w:val="18"/>
                <w:color w:val="auto"/>
              </w:rPr>
              <w:t>Modification No. 12, effective June 21, 2018, to the CDC BioThrax Procurement Contract.</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tcBorders>
            <w:gridSpan w:val="2"/>
          </w:tcPr>
          <w:p>
            <w:pPr>
              <w:spacing w:after="0" w:line="156"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12</w:t>
              </w:r>
            </w:hyperlink>
            <w:r>
              <w:rPr>
                <w:rFonts w:ascii="Arial" w:cs="Arial" w:eastAsia="Arial" w:hAnsi="Arial"/>
                <w:sz w:val="18"/>
                <w:szCs w:val="18"/>
                <w:color w:val="000000"/>
                <w:w w:val="99"/>
              </w:rPr>
              <w: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20" w:type="dxa"/>
            <w:vAlign w:val="bottom"/>
          </w:tcPr>
          <w:p>
            <w:pPr>
              <w:ind w:left="100"/>
              <w:spacing w:after="0" w:line="156" w:lineRule="exact"/>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169"/>
        </w:trPr>
        <w:tc>
          <w:tcPr>
            <w:tcW w:w="180" w:type="dxa"/>
            <w:vAlign w:val="bottom"/>
            <w:tcBorders>
              <w:top w:val="single" w:sz="8" w:color="0000EE"/>
            </w:tcBorders>
          </w:tcPr>
          <w:p>
            <w:pPr>
              <w:spacing w:after="0" w:line="169" w:lineRule="exact"/>
              <w:rPr>
                <w:rFonts w:ascii="Arial" w:cs="Arial" w:eastAsia="Arial" w:hAnsi="Arial"/>
                <w:sz w:val="16"/>
                <w:szCs w:val="16"/>
                <w:color w:val="0000EE"/>
                <w:w w:val="71"/>
              </w:rPr>
            </w:pPr>
            <w:hyperlink w:anchor="page45">
              <w:r>
                <w:rPr>
                  <w:rFonts w:ascii="Arial" w:cs="Arial" w:eastAsia="Arial" w:hAnsi="Arial"/>
                  <w:sz w:val="16"/>
                  <w:szCs w:val="16"/>
                  <w:color w:val="0000EE"/>
                  <w:w w:val="71"/>
                </w:rPr>
                <w:t>31.</w:t>
              </w:r>
            </w:hyperlink>
          </w:p>
        </w:tc>
        <w:tc>
          <w:tcPr>
            <w:tcW w:w="620" w:type="dxa"/>
            <w:vAlign w:val="bottom"/>
            <w:gridSpan w:val="3"/>
          </w:tcPr>
          <w:p>
            <w:pPr>
              <w:jc w:val="right"/>
              <w:ind w:right="315"/>
              <w:spacing w:after="0" w:line="169" w:lineRule="exact"/>
              <w:rPr>
                <w:rFonts w:ascii="Arial" w:cs="Arial" w:eastAsia="Arial" w:hAnsi="Arial"/>
                <w:sz w:val="13"/>
                <w:szCs w:val="13"/>
                <w:color w:val="0000EE"/>
              </w:rPr>
            </w:pPr>
            <w:hyperlink w:anchor="page45">
              <w:r>
                <w:rPr>
                  <w:rFonts w:ascii="Arial" w:cs="Arial" w:eastAsia="Arial" w:hAnsi="Arial"/>
                  <w:sz w:val="13"/>
                  <w:szCs w:val="13"/>
                  <w:u w:val="single" w:color="auto"/>
                  <w:color w:val="0000EE"/>
                </w:rPr>
                <w:t>1</w:t>
              </w:r>
            </w:hyperlink>
            <w:r>
              <w:rPr>
                <w:rFonts w:ascii="Arial" w:cs="Arial" w:eastAsia="Arial" w:hAnsi="Arial"/>
                <w:sz w:val="19"/>
                <w:szCs w:val="19"/>
                <w:color w:val="000000"/>
                <w:vertAlign w:val="superscript"/>
              </w:rPr>
              <w:t>#</w:t>
            </w:r>
          </w:p>
        </w:tc>
        <w:tc>
          <w:tcPr>
            <w:tcW w:w="10620" w:type="dxa"/>
            <w:vAlign w:val="bottom"/>
          </w:tcPr>
          <w:p>
            <w:pPr>
              <w:ind w:left="100"/>
              <w:spacing w:after="0" w:line="170" w:lineRule="exact"/>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gridSpan w:val="2"/>
          </w:tcPr>
          <w:p>
            <w:pPr>
              <w:spacing w:after="0" w:line="170"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80" w:type="dxa"/>
            <w:vAlign w:val="bottom"/>
            <w:gridSpan w:val="2"/>
          </w:tcPr>
          <w:p>
            <w:pPr>
              <w:spacing w:after="0" w:line="169" w:lineRule="exact"/>
              <w:rPr>
                <w:sz w:val="20"/>
                <w:szCs w:val="20"/>
                <w:color w:val="auto"/>
              </w:rPr>
            </w:pPr>
            <w:r>
              <w:rPr>
                <w:rFonts w:ascii="Arial" w:cs="Arial" w:eastAsia="Arial" w:hAnsi="Arial"/>
                <w:sz w:val="15"/>
                <w:szCs w:val="15"/>
                <w:color w:val="auto"/>
              </w:rPr>
              <w:t>#</w:t>
            </w:r>
          </w:p>
        </w:tc>
        <w:tc>
          <w:tcPr>
            <w:tcW w:w="10620" w:type="dxa"/>
            <w:vAlign w:val="bottom"/>
          </w:tcPr>
          <w:p>
            <w:pPr>
              <w:ind w:left="100"/>
              <w:spacing w:after="0" w:line="170" w:lineRule="exact"/>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163"/>
        </w:trPr>
        <w:tc>
          <w:tcPr>
            <w:tcW w:w="32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0" w:type="dxa"/>
            <w:vAlign w:val="bottom"/>
            <w:tcBorders>
              <w:top w:val="single" w:sz="8" w:color="0000EE"/>
            </w:tcBorders>
          </w:tcPr>
          <w:p>
            <w:pPr>
              <w:spacing w:after="0"/>
              <w:rPr>
                <w:sz w:val="14"/>
                <w:szCs w:val="14"/>
                <w:color w:val="auto"/>
              </w:rPr>
            </w:pPr>
          </w:p>
        </w:tc>
        <w:tc>
          <w:tcPr>
            <w:tcW w:w="46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0620" w:type="dxa"/>
            <w:vAlign w:val="bottom"/>
          </w:tcPr>
          <w:p>
            <w:pPr>
              <w:ind w:left="100"/>
              <w:spacing w:after="0" w:line="156" w:lineRule="exact"/>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35"/>
        </w:trPr>
        <w:tc>
          <w:tcPr>
            <w:tcW w:w="800" w:type="dxa"/>
            <w:vAlign w:val="bottom"/>
            <w:gridSpan w:val="4"/>
            <w:vMerge w:val="restart"/>
          </w:tcPr>
          <w:p>
            <w:pPr>
              <w:spacing w:after="0" w:line="324" w:lineRule="exact"/>
              <w:rPr>
                <w:rFonts w:ascii="Arial" w:cs="Arial" w:eastAsia="Arial" w:hAnsi="Arial"/>
                <w:sz w:val="18"/>
                <w:szCs w:val="18"/>
                <w:color w:val="0000EE"/>
              </w:rPr>
            </w:pPr>
            <w:hyperlink w:anchor="page4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30"/>
                <w:szCs w:val="30"/>
                <w:color w:val="000000"/>
                <w:vertAlign w:val="superscript"/>
              </w:rPr>
              <w:t>#</w:t>
            </w:r>
          </w:p>
        </w:tc>
        <w:tc>
          <w:tcPr>
            <w:tcW w:w="10620" w:type="dxa"/>
            <w:vAlign w:val="bottom"/>
          </w:tcPr>
          <w:p>
            <w:pPr>
              <w:ind w:left="100"/>
              <w:spacing w:after="0" w:line="135" w:lineRule="exact"/>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189"/>
        </w:trPr>
        <w:tc>
          <w:tcPr>
            <w:tcW w:w="800" w:type="dxa"/>
            <w:vAlign w:val="bottom"/>
            <w:gridSpan w:val="4"/>
            <w:vMerge w:val="continue"/>
          </w:tcPr>
          <w:p>
            <w:pPr>
              <w:spacing w:after="0"/>
              <w:rPr>
                <w:sz w:val="16"/>
                <w:szCs w:val="16"/>
                <w:color w:val="auto"/>
              </w:rPr>
            </w:pPr>
          </w:p>
        </w:tc>
        <w:tc>
          <w:tcPr>
            <w:tcW w:w="10620" w:type="dxa"/>
            <w:vAlign w:val="bottom"/>
          </w:tcPr>
          <w:p>
            <w:pPr>
              <w:ind w:left="100"/>
              <w:spacing w:after="0" w:line="189" w:lineRule="exact"/>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20" w:type="dxa"/>
            <w:vAlign w:val="bottom"/>
            <w:vMerge w:val="restart"/>
          </w:tcPr>
          <w:p>
            <w:pPr>
              <w:ind w:left="100"/>
              <w:spacing w:after="0" w:line="162" w:lineRule="exact"/>
              <w:rPr>
                <w:sz w:val="20"/>
                <w:szCs w:val="20"/>
                <w:color w:val="auto"/>
              </w:rPr>
            </w:pPr>
            <w:r>
              <w:rPr>
                <w:rFonts w:ascii="Arial" w:cs="Arial" w:eastAsia="Arial" w:hAnsi="Arial"/>
                <w:sz w:val="18"/>
                <w:szCs w:val="18"/>
                <w:color w:val="auto"/>
              </w:rPr>
              <w:t>2002.</w:t>
            </w:r>
          </w:p>
        </w:tc>
        <w:tc>
          <w:tcPr>
            <w:tcW w:w="0" w:type="dxa"/>
            <w:vAlign w:val="bottom"/>
          </w:tcPr>
          <w:p>
            <w:pPr>
              <w:spacing w:after="0" w:line="20" w:lineRule="exact"/>
              <w:rPr>
                <w:sz w:val="1"/>
                <w:szCs w:val="1"/>
                <w:color w:val="auto"/>
              </w:rPr>
            </w:pPr>
          </w:p>
        </w:tc>
      </w:tr>
      <w:tr>
        <w:trPr>
          <w:trHeight w:val="135"/>
        </w:trPr>
        <w:tc>
          <w:tcPr>
            <w:tcW w:w="800" w:type="dxa"/>
            <w:vAlign w:val="bottom"/>
            <w:gridSpan w:val="4"/>
            <w:vMerge w:val="restart"/>
          </w:tcPr>
          <w:p>
            <w:pPr>
              <w:spacing w:after="0"/>
              <w:rPr>
                <w:sz w:val="20"/>
                <w:szCs w:val="20"/>
                <w:color w:val="auto"/>
              </w:rPr>
            </w:pPr>
            <w:r>
              <w:rPr>
                <w:rFonts w:ascii="Arial" w:cs="Arial" w:eastAsia="Arial" w:hAnsi="Arial"/>
                <w:sz w:val="18"/>
                <w:szCs w:val="18"/>
                <w:color w:val="auto"/>
              </w:rPr>
              <w:t>101. INS</w:t>
            </w:r>
          </w:p>
        </w:tc>
        <w:tc>
          <w:tcPr>
            <w:tcW w:w="10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gridSpan w:val="4"/>
            <w:vMerge w:val="continue"/>
          </w:tcPr>
          <w:p>
            <w:pPr>
              <w:spacing w:after="0"/>
              <w:rPr>
                <w:sz w:val="15"/>
                <w:szCs w:val="15"/>
                <w:color w:val="auto"/>
              </w:rPr>
            </w:pP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rPr>
              <w:t>101.SCH</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rPr>
              <w:t>101.CAL</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176"/>
        </w:trPr>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rPr>
              <w:t>101.DEF</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176"/>
        </w:trPr>
        <w:tc>
          <w:tcPr>
            <w:tcW w:w="800" w:type="dxa"/>
            <w:vAlign w:val="bottom"/>
            <w:gridSpan w:val="4"/>
          </w:tcPr>
          <w:p>
            <w:pPr>
              <w:spacing w:after="0" w:line="176" w:lineRule="exact"/>
              <w:rPr>
                <w:sz w:val="20"/>
                <w:szCs w:val="20"/>
                <w:color w:val="auto"/>
              </w:rPr>
            </w:pPr>
            <w:r>
              <w:rPr>
                <w:rFonts w:ascii="Arial" w:cs="Arial" w:eastAsia="Arial" w:hAnsi="Arial"/>
                <w:sz w:val="18"/>
                <w:szCs w:val="18"/>
                <w:color w:val="auto"/>
              </w:rPr>
              <w:t>101.LAB</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ind w:left="800" w:hanging="306"/>
        <w:spacing w:after="0" w:line="203"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and six months ended June 30, 2018 and 2017;</w:t>
      </w:r>
    </w:p>
    <w:p>
      <w:pPr>
        <w:ind w:left="800" w:hanging="306"/>
        <w:spacing w:after="0" w:line="203"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for the three and six months ended June 30, 2018 and 2017;</w:t>
      </w:r>
    </w:p>
    <w:p>
      <w:pPr>
        <w:ind w:left="800" w:hanging="306"/>
        <w:spacing w:after="0" w:line="203"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Consolidated Balance Sheets at June 30, 2018 and December 31, 2017;</w:t>
      </w:r>
    </w:p>
    <w:p>
      <w:pPr>
        <w:ind w:left="800" w:hanging="306"/>
        <w:spacing w:after="0" w:line="203"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2018 and 2017; and</w:t>
      </w:r>
    </w:p>
    <w:p>
      <w:pPr>
        <w:ind w:left="800" w:hanging="306"/>
        <w:spacing w:after="0" w:line="203"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Condensed Consolidated Statement of Changes in Stockholders' Equity for the six months ended June 30, 2018; and</w:t>
      </w: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55"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60" w:right="48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requested with the Securities and Exchange Commission as to certain portions. Confidential materials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/s/DANIEL J. ABDUN-NABI</w:t>
      </w:r>
    </w:p>
    <w:p>
      <w:pPr>
        <w:ind w:left="660"/>
        <w:spacing w:after="0" w:line="203" w:lineRule="auto"/>
        <w:rPr>
          <w:sz w:val="20"/>
          <w:szCs w:val="20"/>
          <w:color w:val="auto"/>
        </w:rPr>
      </w:pPr>
      <w:r>
        <w:rPr>
          <w:rFonts w:ascii="Arial" w:cs="Arial" w:eastAsia="Arial" w:hAnsi="Arial"/>
          <w:sz w:val="18"/>
          <w:szCs w:val="18"/>
          <w:color w:val="auto"/>
        </w:rPr>
        <w:t>Daniel J. Abdun-Nabi</w:t>
      </w:r>
    </w:p>
    <w:p>
      <w:pPr>
        <w:ind w:left="660"/>
        <w:spacing w:after="0" w:line="204" w:lineRule="auto"/>
        <w:rPr>
          <w:sz w:val="20"/>
          <w:szCs w:val="20"/>
          <w:color w:val="auto"/>
        </w:rPr>
      </w:pPr>
      <w:r>
        <w:rPr>
          <w:rFonts w:ascii="Arial" w:cs="Arial" w:eastAsia="Arial" w:hAnsi="Arial"/>
          <w:sz w:val="18"/>
          <w:szCs w:val="18"/>
          <w:color w:val="auto"/>
        </w:rPr>
        <w:t>Chief Executive Officer</w:t>
      </w:r>
    </w:p>
    <w:p>
      <w:pPr>
        <w:ind w:left="660"/>
        <w:spacing w:after="0"/>
        <w:rPr>
          <w:sz w:val="20"/>
          <w:szCs w:val="20"/>
          <w:color w:val="auto"/>
        </w:rPr>
      </w:pPr>
      <w:r>
        <w:rPr>
          <w:rFonts w:ascii="Arial" w:cs="Arial" w:eastAsia="Arial" w:hAnsi="Arial"/>
          <w:sz w:val="18"/>
          <w:szCs w:val="18"/>
          <w:color w:val="auto"/>
        </w:rPr>
        <w:t>(Principal Executive Officer)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2018</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ind w:left="660"/>
        <w:spacing w:after="0" w:line="203" w:lineRule="auto"/>
        <w:rPr>
          <w:sz w:val="20"/>
          <w:szCs w:val="20"/>
          <w:color w:val="auto"/>
        </w:rPr>
      </w:pPr>
      <w:r>
        <w:rPr>
          <w:rFonts w:ascii="Arial" w:cs="Arial" w:eastAsia="Arial" w:hAnsi="Arial"/>
          <w:sz w:val="18"/>
          <w:szCs w:val="18"/>
          <w:color w:val="auto"/>
        </w:rPr>
        <w:t>Richard S. Lindahl</w:t>
      </w:r>
    </w:p>
    <w:p>
      <w:pPr>
        <w:ind w:left="660"/>
        <w:spacing w:after="0" w:line="204" w:lineRule="auto"/>
        <w:rPr>
          <w:sz w:val="20"/>
          <w:szCs w:val="20"/>
          <w:color w:val="auto"/>
        </w:rPr>
      </w:pPr>
      <w:r>
        <w:rPr>
          <w:rFonts w:ascii="Arial" w:cs="Arial" w:eastAsia="Arial" w:hAnsi="Arial"/>
          <w:sz w:val="18"/>
          <w:szCs w:val="18"/>
          <w:color w:val="auto"/>
        </w:rPr>
        <w:t>Executive Vice President, Chief Financial Officer and Treasurer</w:t>
      </w: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10060"/>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600" w:type="dxa"/>
            <w:vAlign w:val="bottom"/>
            <w:tcBorders>
              <w:top w:val="single" w:sz="8" w:color="auto"/>
              <w:right w:val="single" w:sz="8" w:color="auto"/>
            </w:tcBorders>
            <w:gridSpan w:val="5"/>
          </w:tcPr>
          <w:p>
            <w:pPr>
              <w:ind w:left="940"/>
              <w:spacing w:after="0" w:line="201"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234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1. CONTRACT ID CODE</w:t>
            </w:r>
          </w:p>
        </w:tc>
        <w:tc>
          <w:tcPr>
            <w:tcW w:w="58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880" w:type="dxa"/>
            <w:vAlign w:val="bottom"/>
          </w:tcPr>
          <w:p>
            <w:pPr>
              <w:spacing w:after="0" w:line="95" w:lineRule="exact"/>
              <w:rPr>
                <w:sz w:val="20"/>
                <w:szCs w:val="20"/>
                <w:color w:val="auto"/>
              </w:rPr>
            </w:pPr>
            <w:r>
              <w:rPr>
                <w:rFonts w:ascii="Arial" w:cs="Arial" w:eastAsia="Arial" w:hAnsi="Arial"/>
                <w:sz w:val="10"/>
                <w:szCs w:val="10"/>
                <w:color w:val="auto"/>
              </w:rPr>
              <w:t>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80" w:type="dxa"/>
            <w:vAlign w:val="bottom"/>
          </w:tcPr>
          <w:p>
            <w:pPr>
              <w:spacing w:after="0" w:line="135" w:lineRule="exact"/>
              <w:rPr>
                <w:sz w:val="20"/>
                <w:szCs w:val="20"/>
                <w:color w:val="auto"/>
              </w:rPr>
            </w:pPr>
            <w:r>
              <w:rPr>
                <w:rFonts w:ascii="Arial" w:cs="Arial" w:eastAsia="Arial" w:hAnsi="Arial"/>
                <w:sz w:val="15"/>
                <w:szCs w:val="15"/>
                <w:color w:val="auto"/>
              </w:rPr>
              <w:t>PAGES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2. AMENDMENT/MODIFICATION NO.</w:t>
            </w:r>
          </w:p>
        </w:tc>
        <w:tc>
          <w:tcPr>
            <w:tcW w:w="176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3. EFFECTIVE DATE</w:t>
            </w:r>
          </w:p>
        </w:tc>
        <w:tc>
          <w:tcPr>
            <w:tcW w:w="3540" w:type="dxa"/>
            <w:vAlign w:val="bottom"/>
            <w:gridSpan w:val="3"/>
          </w:tcPr>
          <w:p>
            <w:pPr>
              <w:spacing w:after="0" w:line="122" w:lineRule="exact"/>
              <w:rPr>
                <w:sz w:val="20"/>
                <w:szCs w:val="20"/>
                <w:color w:val="auto"/>
              </w:rPr>
            </w:pPr>
            <w:r>
              <w:rPr>
                <w:rFonts w:ascii="Arial" w:cs="Arial" w:eastAsia="Arial" w:hAnsi="Arial"/>
                <w:sz w:val="14"/>
                <w:szCs w:val="14"/>
                <w:color w:val="auto"/>
              </w:rPr>
              <w:t>4. REQUISITION/PURCHASE REQ. NO.</w:t>
            </w:r>
          </w:p>
        </w:tc>
        <w:tc>
          <w:tcPr>
            <w:tcW w:w="420" w:type="dxa"/>
            <w:vAlign w:val="bottom"/>
            <w:tcBorders>
              <w:right w:val="single" w:sz="8" w:color="auto"/>
            </w:tcBorders>
          </w:tcPr>
          <w:p>
            <w:pPr>
              <w:spacing w:after="0"/>
              <w:rPr>
                <w:sz w:val="10"/>
                <w:szCs w:val="10"/>
                <w:color w:val="auto"/>
              </w:rPr>
            </w:pPr>
          </w:p>
        </w:tc>
        <w:tc>
          <w:tcPr>
            <w:tcW w:w="2080" w:type="dxa"/>
            <w:vAlign w:val="bottom"/>
            <w:gridSpan w:val="3"/>
          </w:tcPr>
          <w:p>
            <w:pPr>
              <w:spacing w:after="0" w:line="122" w:lineRule="exact"/>
              <w:rPr>
                <w:sz w:val="20"/>
                <w:szCs w:val="20"/>
                <w:color w:val="auto"/>
              </w:rPr>
            </w:pPr>
            <w:r>
              <w:rPr>
                <w:rFonts w:ascii="Arial" w:cs="Arial" w:eastAsia="Arial" w:hAnsi="Arial"/>
                <w:sz w:val="14"/>
                <w:szCs w:val="14"/>
                <w:color w:val="auto"/>
              </w:rPr>
              <w:t xml:space="preserve">5. PROJECT NO. </w:t>
            </w:r>
            <w:r>
              <w:rPr>
                <w:rFonts w:ascii="Arial" w:cs="Arial" w:eastAsia="Arial" w:hAnsi="Arial"/>
                <w:sz w:val="14"/>
                <w:szCs w:val="14"/>
                <w:i w:val="1"/>
                <w:iCs w:val="1"/>
                <w:color w:val="auto"/>
              </w:rPr>
              <w:t>(If</w:t>
            </w:r>
          </w:p>
        </w:tc>
        <w:tc>
          <w:tcPr>
            <w:tcW w:w="0" w:type="dxa"/>
            <w:vAlign w:val="bottom"/>
          </w:tcPr>
          <w:p>
            <w:pPr>
              <w:spacing w:after="0"/>
              <w:rPr>
                <w:sz w:val="1"/>
                <w:szCs w:val="1"/>
                <w:color w:val="auto"/>
              </w:rPr>
            </w:pPr>
          </w:p>
        </w:tc>
      </w:tr>
      <w:tr>
        <w:trPr>
          <w:trHeight w:val="230"/>
        </w:trPr>
        <w:tc>
          <w:tcPr>
            <w:tcW w:w="2840" w:type="dxa"/>
            <w:vAlign w:val="bottom"/>
            <w:gridSpan w:val="2"/>
          </w:tcPr>
          <w:p>
            <w:pPr>
              <w:ind w:left="1580"/>
              <w:spacing w:after="0"/>
              <w:rPr>
                <w:sz w:val="20"/>
                <w:szCs w:val="20"/>
                <w:color w:val="auto"/>
              </w:rPr>
            </w:pPr>
            <w:r>
              <w:rPr>
                <w:rFonts w:ascii="Arial" w:cs="Arial" w:eastAsia="Arial" w:hAnsi="Arial"/>
                <w:sz w:val="18"/>
                <w:szCs w:val="18"/>
                <w:color w:val="auto"/>
              </w:rPr>
              <w:t>00009</w:t>
            </w:r>
          </w:p>
        </w:tc>
        <w:tc>
          <w:tcPr>
            <w:tcW w:w="78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06/06/2018</w:t>
            </w:r>
          </w:p>
        </w:tc>
        <w:tc>
          <w:tcPr>
            <w:tcW w:w="3540" w:type="dxa"/>
            <w:vAlign w:val="bottom"/>
            <w:gridSpan w:val="3"/>
          </w:tcPr>
          <w:p>
            <w:pPr>
              <w:ind w:left="1080"/>
              <w:spacing w:after="0"/>
              <w:rPr>
                <w:sz w:val="20"/>
                <w:szCs w:val="20"/>
                <w:color w:val="auto"/>
              </w:rPr>
            </w:pPr>
            <w:r>
              <w:rPr>
                <w:rFonts w:ascii="Arial" w:cs="Arial" w:eastAsia="Arial" w:hAnsi="Arial"/>
                <w:sz w:val="18"/>
                <w:szCs w:val="18"/>
                <w:color w:val="auto"/>
              </w:rPr>
              <w:t>0000HCGE-2018-24252</w:t>
            </w:r>
          </w:p>
        </w:tc>
        <w:tc>
          <w:tcPr>
            <w:tcW w:w="420" w:type="dxa"/>
            <w:vAlign w:val="bottom"/>
            <w:tcBorders>
              <w:right w:val="single" w:sz="8" w:color="auto"/>
            </w:tcBorders>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8"/>
                <w:szCs w:val="18"/>
                <w:i w:val="1"/>
                <w:iCs w:val="1"/>
                <w:color w:val="auto"/>
              </w:rPr>
              <w:t>applicable)</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gridSpan w:val="2"/>
          </w:tcPr>
          <w:p>
            <w:pPr>
              <w:spacing w:after="0"/>
              <w:rPr>
                <w:sz w:val="8"/>
                <w:szCs w:val="8"/>
                <w:color w:val="auto"/>
              </w:rPr>
            </w:pPr>
          </w:p>
        </w:tc>
        <w:tc>
          <w:tcPr>
            <w:tcW w:w="3540" w:type="dxa"/>
            <w:vAlign w:val="bottom"/>
            <w:tcBorders>
              <w:bottom w:val="single" w:sz="8" w:color="auto"/>
            </w:tcBorders>
            <w:gridSpan w:val="3"/>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7"/>
                <w:szCs w:val="17"/>
                <w:color w:val="auto"/>
              </w:rPr>
              <w:t>6. ISSUED BY</w:t>
            </w:r>
          </w:p>
        </w:tc>
        <w:tc>
          <w:tcPr>
            <w:tcW w:w="78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7"/>
                <w:szCs w:val="17"/>
                <w:color w:val="auto"/>
                <w:w w:val="93"/>
              </w:rPr>
              <w:t>CODE</w:t>
            </w:r>
          </w:p>
        </w:tc>
        <w:tc>
          <w:tcPr>
            <w:tcW w:w="176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7"/>
                <w:szCs w:val="17"/>
                <w:color w:val="auto"/>
              </w:rPr>
              <w:t>2543</w:t>
            </w:r>
          </w:p>
        </w:tc>
        <w:tc>
          <w:tcPr>
            <w:tcW w:w="3540" w:type="dxa"/>
            <w:vAlign w:val="bottom"/>
            <w:gridSpan w:val="3"/>
          </w:tcPr>
          <w:p>
            <w:pPr>
              <w:spacing w:after="0" w:line="149" w:lineRule="exact"/>
              <w:rPr>
                <w:sz w:val="20"/>
                <w:szCs w:val="20"/>
                <w:color w:val="auto"/>
              </w:rPr>
            </w:pPr>
            <w:r>
              <w:rPr>
                <w:rFonts w:ascii="Arial" w:cs="Arial" w:eastAsia="Arial" w:hAnsi="Arial"/>
                <w:sz w:val="17"/>
                <w:szCs w:val="17"/>
                <w:color w:val="auto"/>
              </w:rPr>
              <w:t xml:space="preserve">7. ADMINISTERED BY </w:t>
            </w:r>
            <w:r>
              <w:rPr>
                <w:rFonts w:ascii="Arial" w:cs="Arial" w:eastAsia="Arial" w:hAnsi="Arial"/>
                <w:sz w:val="17"/>
                <w:szCs w:val="17"/>
                <w:i w:val="1"/>
                <w:iCs w:val="1"/>
                <w:color w:val="auto"/>
              </w:rPr>
              <w:t>(If other than Item 6)</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w w:val="97"/>
              </w:rPr>
              <w:t>CODE</w:t>
            </w:r>
          </w:p>
        </w:tc>
        <w:tc>
          <w:tcPr>
            <w:tcW w:w="880" w:type="dxa"/>
            <w:vAlign w:val="bottom"/>
          </w:tcPr>
          <w:p>
            <w:pPr>
              <w:spacing w:after="0" w:line="149" w:lineRule="exact"/>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34"/>
        </w:trPr>
        <w:tc>
          <w:tcPr>
            <w:tcW w:w="2840" w:type="dxa"/>
            <w:vAlign w:val="bottom"/>
            <w:gridSpan w:val="2"/>
            <w:vMerge w:val="restart"/>
          </w:tcPr>
          <w:p>
            <w:pPr>
              <w:ind w:left="2560"/>
              <w:spacing w:after="0" w:line="189" w:lineRule="exact"/>
              <w:rPr>
                <w:sz w:val="20"/>
                <w:szCs w:val="20"/>
                <w:color w:val="auto"/>
              </w:rPr>
            </w:pPr>
            <w:r>
              <w:rPr>
                <w:rFonts w:ascii="Arial" w:cs="Arial" w:eastAsia="Arial" w:hAnsi="Arial"/>
                <w:sz w:val="18"/>
                <w:szCs w:val="18"/>
                <w:color w:val="auto"/>
                <w:w w:val="99"/>
              </w:rPr>
              <w:t>(Ö)</w:t>
            </w:r>
          </w:p>
        </w:tc>
        <w:tc>
          <w:tcPr>
            <w:tcW w:w="780" w:type="dxa"/>
            <w:vAlign w:val="bottom"/>
            <w:tcBorders>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540" w:type="dxa"/>
            <w:vAlign w:val="bottom"/>
            <w:gridSpan w:val="3"/>
            <w:vMerge w:val="restart"/>
          </w:tcPr>
          <w:p>
            <w:pPr>
              <w:spacing w:after="0" w:line="189" w:lineRule="exact"/>
              <w:rPr>
                <w:sz w:val="20"/>
                <w:szCs w:val="20"/>
                <w:color w:val="auto"/>
              </w:rPr>
            </w:pPr>
            <w:r>
              <w:rPr>
                <w:rFonts w:ascii="Arial" w:cs="Arial" w:eastAsia="Arial" w:hAnsi="Arial"/>
                <w:sz w:val="18"/>
                <w:szCs w:val="18"/>
                <w:color w:val="auto"/>
              </w:rPr>
              <w:t>Centers for Disease Control and Prevention</w:t>
            </w: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84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54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20" w:type="dxa"/>
            <w:vAlign w:val="bottom"/>
            <w:gridSpan w:val="3"/>
          </w:tcPr>
          <w:p>
            <w:pPr>
              <w:spacing w:after="0" w:line="176" w:lineRule="exact"/>
              <w:rPr>
                <w:sz w:val="20"/>
                <w:szCs w:val="20"/>
                <w:color w:val="auto"/>
              </w:rPr>
            </w:pPr>
            <w:r>
              <w:rPr>
                <w:rFonts w:ascii="Arial" w:cs="Arial" w:eastAsia="Arial" w:hAnsi="Arial"/>
                <w:sz w:val="18"/>
                <w:szCs w:val="18"/>
                <w:color w:val="auto"/>
              </w:rPr>
              <w:t>Centers for Disease Control and Prevention</w:t>
            </w:r>
          </w:p>
        </w:tc>
        <w:tc>
          <w:tcPr>
            <w:tcW w:w="50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3540" w:type="dxa"/>
            <w:vAlign w:val="bottom"/>
            <w:gridSpan w:val="3"/>
          </w:tcPr>
          <w:p>
            <w:pPr>
              <w:spacing w:after="0" w:line="176" w:lineRule="exact"/>
              <w:rPr>
                <w:sz w:val="20"/>
                <w:szCs w:val="20"/>
                <w:color w:val="auto"/>
              </w:rPr>
            </w:pPr>
            <w:r>
              <w:rPr>
                <w:rFonts w:ascii="Arial" w:cs="Arial" w:eastAsia="Arial" w:hAnsi="Arial"/>
                <w:sz w:val="18"/>
                <w:szCs w:val="18"/>
                <w:color w:val="auto"/>
              </w:rPr>
              <w:t>Office of Acquisition Services (OAS)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8"/>
                <w:szCs w:val="18"/>
                <w:color w:val="auto"/>
                <w:w w:val="97"/>
              </w:rPr>
              <w:t>Office of Acquisition Services (OAS)</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3540" w:type="dxa"/>
            <w:vAlign w:val="bottom"/>
            <w:gridSpan w:val="3"/>
          </w:tcPr>
          <w:p>
            <w:pPr>
              <w:spacing w:after="0" w:line="176" w:lineRule="exact"/>
              <w:rPr>
                <w:sz w:val="20"/>
                <w:szCs w:val="20"/>
                <w:color w:val="auto"/>
              </w:rPr>
            </w:pPr>
            <w:r>
              <w:rPr>
                <w:rFonts w:ascii="Arial" w:cs="Arial" w:eastAsia="Arial" w:hAnsi="Arial"/>
                <w:sz w:val="18"/>
                <w:szCs w:val="18"/>
                <w:color w:val="auto"/>
              </w:rPr>
              <w:t>2920 Brandywine Rd, RM 3000</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8"/>
                <w:szCs w:val="18"/>
                <w:color w:val="auto"/>
              </w:rPr>
              <w:t>2920 Brandywine Rd, RM 3000</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240" w:type="dxa"/>
            <w:vAlign w:val="bottom"/>
          </w:tcPr>
          <w:p>
            <w:pPr>
              <w:spacing w:after="0" w:line="176" w:lineRule="exact"/>
              <w:rPr>
                <w:sz w:val="20"/>
                <w:szCs w:val="20"/>
                <w:color w:val="auto"/>
              </w:rPr>
            </w:pPr>
            <w:r>
              <w:rPr>
                <w:rFonts w:ascii="Arial" w:cs="Arial" w:eastAsia="Arial" w:hAnsi="Arial"/>
                <w:sz w:val="18"/>
                <w:szCs w:val="18"/>
                <w:color w:val="auto"/>
              </w:rPr>
              <w:t>Atlanta, GA 30341-5539</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Atlanta, GA 30341-5539</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600" w:type="dxa"/>
            <w:vAlign w:val="bottom"/>
            <w:tcBorders>
              <w:bottom w:val="single" w:sz="8" w:color="auto"/>
            </w:tcBorders>
            <w:gridSpan w:val="2"/>
          </w:tcPr>
          <w:p>
            <w:pPr>
              <w:spacing w:after="0"/>
              <w:rPr>
                <w:sz w:val="12"/>
                <w:szCs w:val="12"/>
                <w:color w:val="auto"/>
              </w:rPr>
            </w:pPr>
          </w:p>
        </w:tc>
        <w:tc>
          <w:tcPr>
            <w:tcW w:w="1760" w:type="dxa"/>
            <w:vAlign w:val="bottom"/>
            <w:tcBorders>
              <w:bottom w:val="single" w:sz="8" w:color="auto"/>
              <w:right w:val="single" w:sz="8" w:color="auto"/>
            </w:tcBorders>
            <w:gridSpan w:val="2"/>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spacing w:after="0"/>
              <w:rPr>
                <w:sz w:val="12"/>
                <w:szCs w:val="12"/>
                <w:color w:val="auto"/>
              </w:rPr>
            </w:pPr>
          </w:p>
        </w:tc>
        <w:tc>
          <w:tcPr>
            <w:tcW w:w="1200" w:type="dxa"/>
            <w:vAlign w:val="bottom"/>
            <w:tcBorders>
              <w:bottom w:val="single" w:sz="8" w:color="auto"/>
            </w:tcBorders>
            <w:gridSpan w:val="2"/>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600" w:type="dxa"/>
            <w:vAlign w:val="bottom"/>
            <w:tcBorders>
              <w:right w:val="single" w:sz="8" w:color="auto"/>
            </w:tcBorders>
            <w:gridSpan w:val="5"/>
          </w:tcPr>
          <w:p>
            <w:pPr>
              <w:spacing w:after="0" w:line="122" w:lineRule="exact"/>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4"/>
                <w:szCs w:val="14"/>
                <w:i w:val="1"/>
                <w:iCs w:val="1"/>
                <w:color w:val="auto"/>
              </w:rPr>
              <w:t>(No., street, county, State and ZIP Code)</w:t>
            </w:r>
          </w:p>
        </w:tc>
        <w:tc>
          <w:tcPr>
            <w:tcW w:w="300" w:type="dxa"/>
            <w:vAlign w:val="bottom"/>
            <w:tcBorders>
              <w:right w:val="single" w:sz="8" w:color="auto"/>
            </w:tcBorders>
          </w:tcPr>
          <w:p>
            <w:pPr>
              <w:spacing w:after="0"/>
              <w:rPr>
                <w:sz w:val="10"/>
                <w:szCs w:val="10"/>
                <w:color w:val="auto"/>
              </w:rPr>
            </w:pPr>
          </w:p>
        </w:tc>
        <w:tc>
          <w:tcPr>
            <w:tcW w:w="3500" w:type="dxa"/>
            <w:vAlign w:val="bottom"/>
            <w:gridSpan w:val="5"/>
          </w:tcPr>
          <w:p>
            <w:pPr>
              <w:spacing w:after="0" w:line="122" w:lineRule="exact"/>
              <w:rPr>
                <w:sz w:val="20"/>
                <w:szCs w:val="20"/>
                <w:color w:val="auto"/>
              </w:rPr>
            </w:pPr>
            <w:r>
              <w:rPr>
                <w:rFonts w:ascii="Arial" w:cs="Arial" w:eastAsia="Arial" w:hAnsi="Arial"/>
                <w:sz w:val="14"/>
                <w:szCs w:val="14"/>
                <w:color w:val="auto"/>
              </w:rPr>
              <w:t>9A. AMENDMENT OF SOLICITATION NO.</w:t>
            </w:r>
          </w:p>
        </w:tc>
        <w:tc>
          <w:tcPr>
            <w:tcW w:w="0" w:type="dxa"/>
            <w:vAlign w:val="bottom"/>
          </w:tcPr>
          <w:p>
            <w:pPr>
              <w:spacing w:after="0"/>
              <w:rPr>
                <w:sz w:val="1"/>
                <w:szCs w:val="1"/>
                <w:color w:val="auto"/>
              </w:rPr>
            </w:pPr>
          </w:p>
        </w:tc>
      </w:tr>
      <w:tr>
        <w:trPr>
          <w:trHeight w:val="162"/>
        </w:trPr>
        <w:tc>
          <w:tcPr>
            <w:tcW w:w="5380" w:type="dxa"/>
            <w:vAlign w:val="bottom"/>
            <w:gridSpan w:val="5"/>
          </w:tcPr>
          <w:p>
            <w:pPr>
              <w:spacing w:after="0" w:line="162" w:lineRule="exact"/>
              <w:rPr>
                <w:sz w:val="20"/>
                <w:szCs w:val="20"/>
                <w:color w:val="auto"/>
              </w:rPr>
            </w:pPr>
            <w:r>
              <w:rPr>
                <w:rFonts w:ascii="Arial" w:cs="Arial" w:eastAsia="Arial" w:hAnsi="Arial"/>
                <w:sz w:val="18"/>
                <w:szCs w:val="18"/>
                <w:color w:val="auto"/>
              </w:rPr>
              <w:t>EMERGENT BIODEFENSE OPERATIONS LANSING LLC</w:t>
            </w:r>
          </w:p>
        </w:tc>
        <w:tc>
          <w:tcPr>
            <w:tcW w:w="224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40" w:type="dxa"/>
            <w:vAlign w:val="bottom"/>
            <w:gridSpan w:val="3"/>
            <w:vMerge w:val="restart"/>
          </w:tcPr>
          <w:p>
            <w:pPr>
              <w:spacing w:after="0"/>
              <w:rPr>
                <w:sz w:val="20"/>
                <w:szCs w:val="20"/>
                <w:color w:val="auto"/>
              </w:rPr>
            </w:pPr>
            <w:r>
              <w:rPr>
                <w:rFonts w:ascii="Arial" w:cs="Arial" w:eastAsia="Arial" w:hAnsi="Arial"/>
                <w:sz w:val="18"/>
                <w:szCs w:val="18"/>
                <w:color w:val="auto"/>
                <w:w w:val="97"/>
              </w:rPr>
              <w:t xml:space="preserve">9B. DATED </w:t>
            </w:r>
            <w:r>
              <w:rPr>
                <w:rFonts w:ascii="Arial" w:cs="Arial" w:eastAsia="Arial" w:hAnsi="Arial"/>
                <w:sz w:val="18"/>
                <w:szCs w:val="18"/>
                <w:i w:val="1"/>
                <w:iCs w:val="1"/>
                <w:color w:val="auto"/>
                <w:w w:val="97"/>
              </w:rPr>
              <w:t>(See Item 11)</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3500 N MARTIN LUTHER KING JR BLVD</w:t>
            </w: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040" w:type="dxa"/>
            <w:vAlign w:val="bottom"/>
            <w:gridSpan w:val="3"/>
            <w:vMerge w:val="continue"/>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LANSING, MI 48906-2933</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w w:val="99"/>
              </w:rPr>
              <w:t>10A. MODIFICATION OF</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84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40" w:type="dxa"/>
            <w:vAlign w:val="bottom"/>
            <w:gridSpan w:val="3"/>
          </w:tcPr>
          <w:p>
            <w:pPr>
              <w:spacing w:after="0" w:line="135" w:lineRule="exact"/>
              <w:rPr>
                <w:sz w:val="20"/>
                <w:szCs w:val="20"/>
                <w:color w:val="auto"/>
              </w:rPr>
            </w:pPr>
            <w:r>
              <w:rPr>
                <w:rFonts w:ascii="Arial" w:cs="Arial" w:eastAsia="Arial" w:hAnsi="Arial"/>
                <w:sz w:val="15"/>
                <w:szCs w:val="15"/>
                <w:color w:val="auto"/>
              </w:rPr>
              <w:t>CONTRACT/ORDER NO.</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gridSpan w:val="2"/>
          </w:tcPr>
          <w:p>
            <w:pPr>
              <w:spacing w:after="0" w:line="162" w:lineRule="exact"/>
              <w:rPr>
                <w:sz w:val="20"/>
                <w:szCs w:val="20"/>
                <w:color w:val="auto"/>
              </w:rPr>
            </w:pPr>
            <w:r>
              <w:rPr>
                <w:rFonts w:ascii="Arial" w:cs="Arial" w:eastAsia="Arial" w:hAnsi="Arial"/>
                <w:sz w:val="18"/>
                <w:szCs w:val="18"/>
                <w:color w:val="auto"/>
              </w:rPr>
              <w:t>200-2017-92634</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w w:val="93"/>
              </w:rPr>
              <w:t xml:space="preserve">10B. DATED </w:t>
            </w:r>
            <w:r>
              <w:rPr>
                <w:rFonts w:ascii="Arial" w:cs="Arial" w:eastAsia="Arial" w:hAnsi="Arial"/>
                <w:sz w:val="18"/>
                <w:szCs w:val="18"/>
                <w:i w:val="1"/>
                <w:iCs w:val="1"/>
                <w:color w:val="auto"/>
                <w:w w:val="93"/>
              </w:rPr>
              <w:t>(See Item 13)</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w:t>
            </w:r>
          </w:p>
        </w:tc>
        <w:tc>
          <w:tcPr>
            <w:tcW w:w="1000" w:type="dxa"/>
            <w:vAlign w:val="bottom"/>
            <w:vMerge w:val="restart"/>
          </w:tcPr>
          <w:p>
            <w:pPr>
              <w:spacing w:after="0"/>
              <w:rPr>
                <w:sz w:val="20"/>
                <w:szCs w:val="20"/>
                <w:color w:val="auto"/>
              </w:rPr>
            </w:pPr>
            <w:r>
              <w:rPr>
                <w:rFonts w:ascii="Arial" w:cs="Arial" w:eastAsia="Arial" w:hAnsi="Arial"/>
                <w:sz w:val="18"/>
                <w:szCs w:val="18"/>
                <w:color w:val="auto"/>
              </w:rPr>
              <w:t>12/08/2016</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CODE   026489018</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FACILITY CODE</w:t>
            </w:r>
          </w:p>
        </w:tc>
        <w:tc>
          <w:tcPr>
            <w:tcW w:w="3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gridSpan w:val="6"/>
          </w:tcPr>
          <w:p>
            <w:pPr>
              <w:ind w:left="40"/>
              <w:spacing w:after="0" w:line="176" w:lineRule="exact"/>
              <w:rPr>
                <w:sz w:val="20"/>
                <w:szCs w:val="20"/>
                <w:color w:val="auto"/>
              </w:rPr>
            </w:pPr>
            <w:r>
              <w:rPr>
                <w:rFonts w:ascii="Arial" w:cs="Arial" w:eastAsia="Arial" w:hAnsi="Arial"/>
                <w:sz w:val="18"/>
                <w:szCs w:val="18"/>
                <w:color w:val="auto"/>
              </w:rPr>
              <w:t>11. THIS ITEM ONLY APPLIES TO AMENDMENTS OF SOLICITATIONS</w:t>
            </w: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900" w:type="dxa"/>
            <w:vAlign w:val="bottom"/>
            <w:gridSpan w:val="7"/>
          </w:tcPr>
          <w:p>
            <w:pPr>
              <w:jc w:val="center"/>
              <w:spacing w:after="0" w:line="137" w:lineRule="exact"/>
              <w:rPr>
                <w:sz w:val="20"/>
                <w:szCs w:val="20"/>
                <w:color w:val="auto"/>
              </w:rPr>
            </w:pPr>
            <w:r>
              <w:rPr>
                <w:rFonts w:ascii="Arial" w:cs="Arial" w:eastAsia="Arial" w:hAnsi="Arial"/>
                <w:sz w:val="15"/>
                <w:szCs w:val="15"/>
                <w:color w:val="auto"/>
              </w:rPr>
              <w:t>The above numbered solicitation is amended as set forth in Item 14. The hour and date specified for receipt of Offers</w:t>
            </w:r>
          </w:p>
        </w:tc>
        <w:tc>
          <w:tcPr>
            <w:tcW w:w="1040" w:type="dxa"/>
            <w:vAlign w:val="bottom"/>
            <w:gridSpan w:val="2"/>
          </w:tcPr>
          <w:p>
            <w:pPr>
              <w:ind w:left="100"/>
              <w:spacing w:after="0" w:line="137" w:lineRule="exact"/>
              <w:rPr>
                <w:sz w:val="20"/>
                <w:szCs w:val="20"/>
                <w:color w:val="auto"/>
              </w:rPr>
            </w:pPr>
            <w:r>
              <w:rPr>
                <w:rFonts w:ascii="Arial" w:cs="Arial" w:eastAsia="Arial" w:hAnsi="Arial"/>
                <w:sz w:val="15"/>
                <w:szCs w:val="15"/>
                <w:color w:val="auto"/>
              </w:rPr>
              <w:t>is extended,</w:t>
            </w:r>
          </w:p>
        </w:tc>
        <w:tc>
          <w:tcPr>
            <w:tcW w:w="1460" w:type="dxa"/>
            <w:vAlign w:val="bottom"/>
            <w:gridSpan w:val="2"/>
          </w:tcPr>
          <w:p>
            <w:pPr>
              <w:ind w:left="220"/>
              <w:spacing w:after="0" w:line="137" w:lineRule="exact"/>
              <w:rPr>
                <w:sz w:val="20"/>
                <w:szCs w:val="20"/>
                <w:color w:val="auto"/>
              </w:rPr>
            </w:pPr>
            <w:r>
              <w:rPr>
                <w:rFonts w:ascii="Arial" w:cs="Arial" w:eastAsia="Arial" w:hAnsi="Arial"/>
                <w:sz w:val="15"/>
                <w:szCs w:val="15"/>
                <w:color w:val="auto"/>
              </w:rPr>
              <w:t>is not extended.</w:t>
            </w:r>
          </w:p>
        </w:tc>
        <w:tc>
          <w:tcPr>
            <w:tcW w:w="0" w:type="dxa"/>
            <w:vAlign w:val="bottom"/>
          </w:tcPr>
          <w:p>
            <w:pPr>
              <w:spacing w:after="0"/>
              <w:rPr>
                <w:sz w:val="1"/>
                <w:szCs w:val="1"/>
                <w:color w:val="auto"/>
              </w:rPr>
            </w:pPr>
          </w:p>
        </w:tc>
      </w:tr>
    </w:tbl>
    <w:p>
      <w:pPr>
        <w:ind w:right="220"/>
        <w:spacing w:after="0" w:line="187" w:lineRule="auto"/>
        <w:rPr>
          <w:sz w:val="20"/>
          <w:szCs w:val="20"/>
          <w:color w:val="auto"/>
        </w:rPr>
      </w:pPr>
      <w:r>
        <w:rPr>
          <w:rFonts w:ascii="Arial" w:cs="Arial" w:eastAsia="Arial" w:hAnsi="Arial"/>
          <w:sz w:val="18"/>
          <w:szCs w:val="18"/>
          <w:color w:val="auto"/>
        </w:rPr>
        <w:t>Offers must acknowledge receipt of this amendment prior to the hour and date specified in the solicitation or as amended, by one of the following methods: (a) By completing Items 8 and 15, and returning copies of the amendment; (b) By acknowledging receipt of this amendment on each copy of the offer submitted; or (c) By separate letter or telegram which includes a reference to the solicitation and amendment numbers. FAILURE OF YOUR ACKNOWLEGMENT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-401320</wp:posOffset>
            </wp:positionV>
            <wp:extent cx="114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-401320</wp:posOffset>
            </wp:positionV>
            <wp:extent cx="114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-195580</wp:posOffset>
            </wp:positionV>
            <wp:extent cx="171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jc w:val="both"/>
        <w:ind w:right="140"/>
        <w:spacing w:after="0" w:line="187" w:lineRule="auto"/>
        <w:rPr>
          <w:sz w:val="20"/>
          <w:szCs w:val="20"/>
          <w:color w:val="auto"/>
        </w:rPr>
      </w:pPr>
      <w:r>
        <w:rPr>
          <w:rFonts w:ascii="Arial" w:cs="Arial" w:eastAsia="Arial" w:hAnsi="Arial"/>
          <w:sz w:val="18"/>
          <w:szCs w:val="18"/>
          <w:color w:val="auto"/>
        </w:rPr>
        <w:t>TO BE RECEIVED AT THE PLACE DESIGNATED FOR THE RECEIPT OF OFFERS PRIOR TO THE HOUR AND DATE SPECIFIED MAY RESULT IN REJECTION OF YOUR OFFER. If by virtue of this amendment you desire to change an offer already submitted, such change may be made by telegram or letter,</w:t>
      </w:r>
    </w:p>
    <w:p>
      <w:pPr>
        <w:spacing w:after="0" w:line="218" w:lineRule="auto"/>
        <w:rPr>
          <w:sz w:val="20"/>
          <w:szCs w:val="20"/>
          <w:color w:val="auto"/>
        </w:rPr>
      </w:pPr>
      <w:r>
        <w:rPr>
          <w:rFonts w:ascii="Arial" w:cs="Arial" w:eastAsia="Arial" w:hAnsi="Arial"/>
          <w:sz w:val="17"/>
          <w:szCs w:val="17"/>
          <w:color w:val="auto"/>
        </w:rPr>
        <w:t>provided each telegram or letter makes reference to the solicitation and this amendment, and is received prior to the opening hour and date specified.</w:t>
      </w:r>
    </w:p>
    <w:p>
      <w:pPr>
        <w:ind w:right="6640" w:firstLine="8"/>
        <w:spacing w:after="0" w:line="202"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xml:space="preserve"> 939ZWUX 2642 2018 75-X-0956 5664711101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40" w:type="dxa"/>
            <w:vAlign w:val="bottom"/>
            <w:tcBorders>
              <w:top w:val="single" w:sz="8" w:color="auto"/>
            </w:tcBorders>
          </w:tcPr>
          <w:p>
            <w:pPr>
              <w:jc w:val="center"/>
              <w:ind w:right="1097"/>
              <w:spacing w:after="0" w:line="142" w:lineRule="exact"/>
              <w:rPr>
                <w:sz w:val="20"/>
                <w:szCs w:val="20"/>
                <w:color w:val="auto"/>
              </w:rPr>
            </w:pPr>
            <w:r>
              <w:rPr>
                <w:rFonts w:ascii="Arial" w:cs="Arial" w:eastAsia="Arial" w:hAnsi="Arial"/>
                <w:sz w:val="16"/>
                <w:szCs w:val="16"/>
                <w:color w:val="auto"/>
              </w:rPr>
              <w:t>(Ö)</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40" w:type="dxa"/>
            <w:vAlign w:val="bottom"/>
          </w:tcPr>
          <w:p>
            <w:pPr>
              <w:jc w:val="center"/>
              <w:ind w:right="1077"/>
              <w:spacing w:after="0" w:line="176" w:lineRule="exact"/>
              <w:rPr>
                <w:sz w:val="20"/>
                <w:szCs w:val="20"/>
                <w:color w:val="auto"/>
              </w:rPr>
            </w:pPr>
            <w:r>
              <w:rPr>
                <w:rFonts w:ascii="Arial" w:cs="Arial" w:eastAsia="Arial" w:hAnsi="Arial"/>
                <w:sz w:val="18"/>
                <w:szCs w:val="18"/>
                <w:color w:val="auto"/>
                <w:w w:val="95"/>
              </w:rPr>
              <w:t>13. THIS ITEM APPLIES ONLY TO MODIFICATIONS OF CONTRACTS/ORDERS,</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40" w:type="dxa"/>
            <w:vAlign w:val="bottom"/>
            <w:tcBorders>
              <w:bottom w:val="single" w:sz="8" w:color="auto"/>
            </w:tcBorders>
          </w:tcPr>
          <w:p>
            <w:pPr>
              <w:jc w:val="center"/>
              <w:ind w:right="1077"/>
              <w:spacing w:after="0" w:line="202" w:lineRule="exact"/>
              <w:rPr>
                <w:sz w:val="20"/>
                <w:szCs w:val="20"/>
                <w:color w:val="auto"/>
              </w:rPr>
            </w:pPr>
            <w:r>
              <w:rPr>
                <w:rFonts w:ascii="Arial" w:cs="Arial" w:eastAsia="Arial" w:hAnsi="Arial"/>
                <w:sz w:val="18"/>
                <w:szCs w:val="18"/>
                <w:color w:val="auto"/>
                <w:w w:val="96"/>
              </w:rPr>
              <w:t>IT MODIFIES THE CONTRACT/ORDER NO. AS DESCRIBED IN ITEM 14.</w:t>
            </w:r>
          </w:p>
        </w:tc>
      </w:tr>
      <w:tr>
        <w:trPr>
          <w:trHeight w:val="122"/>
        </w:trPr>
        <w:tc>
          <w:tcPr>
            <w:tcW w:w="2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4"/>
                <w:szCs w:val="14"/>
                <w:color w:val="auto"/>
              </w:rPr>
              <w:t>ITEM</w:t>
            </w:r>
          </w:p>
        </w:tc>
        <w:tc>
          <w:tcPr>
            <w:tcW w:w="640" w:type="dxa"/>
            <w:vAlign w:val="bottom"/>
          </w:tcPr>
          <w:p>
            <w:pPr>
              <w:ind w:left="100"/>
              <w:spacing w:after="0" w:line="122" w:lineRule="exact"/>
              <w:rPr>
                <w:sz w:val="20"/>
                <w:szCs w:val="20"/>
                <w:color w:val="auto"/>
              </w:rPr>
            </w:pPr>
            <w:r>
              <w:rPr>
                <w:rFonts w:ascii="Arial" w:cs="Arial" w:eastAsia="Arial" w:hAnsi="Arial"/>
                <w:sz w:val="14"/>
                <w:szCs w:val="14"/>
                <w:color w:val="auto"/>
              </w:rPr>
              <w:t>A.</w:t>
            </w:r>
          </w:p>
        </w:tc>
        <w:tc>
          <w:tcPr>
            <w:tcW w:w="10240" w:type="dxa"/>
            <w:vAlign w:val="bottom"/>
          </w:tcPr>
          <w:p>
            <w:pPr>
              <w:ind w:left="360"/>
              <w:spacing w:after="0" w:line="122" w:lineRule="exact"/>
              <w:rPr>
                <w:sz w:val="20"/>
                <w:szCs w:val="20"/>
                <w:color w:val="auto"/>
              </w:rPr>
            </w:pPr>
            <w:r>
              <w:rPr>
                <w:rFonts w:ascii="Arial" w:cs="Arial" w:eastAsia="Arial" w:hAnsi="Arial"/>
                <w:sz w:val="14"/>
                <w:szCs w:val="14"/>
                <w:color w:val="auto"/>
              </w:rPr>
              <w:t xml:space="preserve">THIS CHANGE ORDER IS ISSUED PURSUANT TO: </w:t>
            </w:r>
            <w:r>
              <w:rPr>
                <w:rFonts w:ascii="Arial" w:cs="Arial" w:eastAsia="Arial" w:hAnsi="Arial"/>
                <w:sz w:val="14"/>
                <w:szCs w:val="14"/>
                <w:i w:val="1"/>
                <w:iCs w:val="1"/>
                <w:color w:val="auto"/>
              </w:rPr>
              <w:t>(Specify authority)</w:t>
            </w:r>
            <w:r>
              <w:rPr>
                <w:rFonts w:ascii="Arial" w:cs="Arial" w:eastAsia="Arial" w:hAnsi="Arial"/>
                <w:sz w:val="14"/>
                <w:szCs w:val="14"/>
                <w:color w:val="auto"/>
              </w:rPr>
              <w:t xml:space="preserve"> THE CHANGES SET FORTH IN ITEM 14 ARE MADE</w:t>
            </w:r>
          </w:p>
        </w:tc>
      </w:tr>
      <w:tr>
        <w:trPr>
          <w:trHeight w:val="243"/>
        </w:trPr>
        <w:tc>
          <w:tcPr>
            <w:tcW w:w="540" w:type="dxa"/>
            <w:vAlign w:val="bottom"/>
            <w:gridSpan w:val="2"/>
          </w:tcPr>
          <w:p>
            <w:pPr>
              <w:spacing w:after="0"/>
              <w:rPr>
                <w:sz w:val="20"/>
                <w:szCs w:val="20"/>
                <w:color w:val="auto"/>
              </w:rPr>
            </w:pPr>
            <w:r>
              <w:rPr>
                <w:rFonts w:ascii="Arial" w:cs="Arial" w:eastAsia="Arial" w:hAnsi="Arial"/>
                <w:sz w:val="18"/>
                <w:szCs w:val="18"/>
                <w:color w:val="auto"/>
              </w:rPr>
              <w:t>10A.</w:t>
            </w:r>
          </w:p>
        </w:tc>
        <w:tc>
          <w:tcPr>
            <w:tcW w:w="10880" w:type="dxa"/>
            <w:vAlign w:val="bottom"/>
            <w:gridSpan w:val="2"/>
          </w:tcPr>
          <w:p>
            <w:pPr>
              <w:ind w:left="100"/>
              <w:spacing w:after="0"/>
              <w:rPr>
                <w:sz w:val="20"/>
                <w:szCs w:val="20"/>
                <w:color w:val="auto"/>
              </w:rPr>
            </w:pPr>
            <w:r>
              <w:rPr>
                <w:rFonts w:ascii="Arial" w:cs="Arial" w:eastAsia="Arial" w:hAnsi="Arial"/>
                <w:sz w:val="18"/>
                <w:szCs w:val="18"/>
                <w:color w:val="auto"/>
              </w:rPr>
              <w:t>IN THE CONTRACT ORDER NO.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157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157605"/>
                    </a:xfrm>
                    <a:prstGeom prst="rect">
                      <a:avLst/>
                    </a:prstGeom>
                    <a:noFill/>
                  </pic:spPr>
                </pic:pic>
              </a:graphicData>
            </a:graphic>
          </wp:anchor>
        </w:drawing>
      </w:r>
    </w:p>
    <w:p>
      <w:pPr>
        <w:spacing w:after="0" w:line="166" w:lineRule="exact"/>
        <w:rPr>
          <w:sz w:val="20"/>
          <w:szCs w:val="20"/>
          <w:color w:val="auto"/>
        </w:rPr>
      </w:pPr>
    </w:p>
    <w:p>
      <w:pPr>
        <w:ind w:left="1520" w:hanging="877"/>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ABOVE NUMBERED CONTRACT/ORDER IS MODIFIED TO REFLECT THE ADMINISTRATIVE CHANGES </w:t>
      </w:r>
      <w:r>
        <w:rPr>
          <w:rFonts w:ascii="Arial" w:cs="Arial" w:eastAsia="Arial" w:hAnsi="Arial"/>
          <w:sz w:val="18"/>
          <w:szCs w:val="18"/>
          <w:i w:val="1"/>
          <w:iCs w:val="1"/>
          <w:color w:val="auto"/>
        </w:rPr>
        <w:t>(such as</w:t>
      </w:r>
    </w:p>
    <w:p>
      <w:pPr>
        <w:ind w:left="640"/>
        <w:spacing w:after="0"/>
        <w:tabs>
          <w:tab w:leader="none" w:pos="4080" w:val="left"/>
        </w:tabs>
        <w:rPr>
          <w:sz w:val="20"/>
          <w:szCs w:val="20"/>
          <w:color w:val="auto"/>
        </w:rPr>
      </w:pPr>
      <w:r>
        <w:rPr>
          <w:rFonts w:ascii="Arial" w:cs="Arial" w:eastAsia="Arial" w:hAnsi="Arial"/>
          <w:sz w:val="18"/>
          <w:szCs w:val="18"/>
          <w:i w:val="1"/>
          <w:iCs w:val="1"/>
          <w:color w:val="auto"/>
        </w:rPr>
        <w:t>changes in paying office, appropriation date,</w:t>
      </w:r>
      <w:r>
        <w:rPr>
          <w:sz w:val="20"/>
          <w:szCs w:val="20"/>
          <w:color w:val="auto"/>
        </w:rPr>
        <w:tab/>
      </w:r>
      <w:r>
        <w:rPr>
          <w:rFonts w:ascii="Arial" w:cs="Arial" w:eastAsia="Arial" w:hAnsi="Arial"/>
          <w:sz w:val="17"/>
          <w:szCs w:val="17"/>
          <w:i w:val="1"/>
          <w:iCs w:val="1"/>
          <w:color w:val="auto"/>
        </w:rPr>
        <w:t xml:space="preserve">etc.) </w:t>
      </w:r>
      <w:r>
        <w:rPr>
          <w:rFonts w:ascii="Arial" w:cs="Arial" w:eastAsia="Arial" w:hAnsi="Arial"/>
          <w:sz w:val="17"/>
          <w:szCs w:val="17"/>
          <w:color w:val="auto"/>
        </w:rPr>
        <w:t>SET FORTH IN ITEM 14, PURSUANT TO THE AUTHORITY OF FAR 43.103(b).</w:t>
      </w:r>
    </w:p>
    <w:p>
      <w:pPr>
        <w:spacing w:after="0" w:line="7"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color w:val="auto"/>
        </w:rPr>
        <w:t>THIS SUPPLEMENTAL AGREEMENT IS ENTERED INTO PURSUANT TO AUTHORITY OF:</w:t>
      </w:r>
    </w:p>
    <w:p>
      <w:pPr>
        <w:ind w:left="760"/>
        <w:spacing w:after="0" w:line="216" w:lineRule="auto"/>
        <w:rPr>
          <w:sz w:val="20"/>
          <w:szCs w:val="20"/>
          <w:color w:val="auto"/>
        </w:rPr>
      </w:pPr>
      <w:r>
        <w:rPr>
          <w:rFonts w:ascii="Arial" w:cs="Arial" w:eastAsia="Arial" w:hAnsi="Arial"/>
          <w:sz w:val="18"/>
          <w:szCs w:val="18"/>
          <w:color w:val="auto"/>
        </w:rPr>
        <w:t>FAR 52.243-1 Changes—Fixed-Price</w:t>
      </w:r>
    </w:p>
    <w:p>
      <w:pPr>
        <w:ind w:left="1540" w:hanging="897"/>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(Specify type of modification and authority)</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 IMPORTANT: Contractor is not, Xis required to sign this document and return 1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-12700</wp:posOffset>
            </wp:positionV>
            <wp:extent cx="228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580" w:firstLine="8"/>
        <w:spacing w:after="0" w:line="182" w:lineRule="auto"/>
        <w:tabs>
          <w:tab w:leader="none" w:pos="2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w:t>
      </w:r>
      <w:r>
        <w:rPr>
          <w:rFonts w:ascii="Arial" w:cs="Arial" w:eastAsia="Arial" w:hAnsi="Arial"/>
          <w:sz w:val="17"/>
          <w:szCs w:val="17"/>
          <w:i w:val="1"/>
          <w:iCs w:val="1"/>
          <w:color w:val="auto"/>
        </w:rPr>
        <w:t>(Organized by UCF section headings, including solicitation/contract subject matter where</w:t>
      </w:r>
      <w:r>
        <w:rPr>
          <w:rFonts w:ascii="Arial" w:cs="Arial" w:eastAsia="Arial" w:hAnsi="Arial"/>
          <w:sz w:val="17"/>
          <w:szCs w:val="17"/>
          <w:color w:val="auto"/>
        </w:rPr>
        <w:t xml:space="preserve"> </w:t>
      </w:r>
      <w:r>
        <w:rPr>
          <w:rFonts w:ascii="Arial" w:cs="Arial" w:eastAsia="Arial" w:hAnsi="Arial"/>
          <w:sz w:val="17"/>
          <w:szCs w:val="17"/>
          <w:i w:val="1"/>
          <w:iCs w:val="1"/>
          <w:color w:val="auto"/>
        </w:rPr>
        <w:t>feasible.)</w:t>
      </w:r>
    </w:p>
    <w:p>
      <w:pPr>
        <w:ind w:left="660"/>
        <w:spacing w:after="0" w:line="182" w:lineRule="auto"/>
        <w:rPr>
          <w:rFonts w:ascii="Arial" w:cs="Arial" w:eastAsia="Arial" w:hAnsi="Arial"/>
          <w:sz w:val="17"/>
          <w:szCs w:val="17"/>
          <w:color w:val="auto"/>
        </w:rPr>
      </w:pPr>
      <w:r>
        <w:rPr>
          <w:rFonts w:ascii="Arial" w:cs="Arial" w:eastAsia="Arial" w:hAnsi="Arial"/>
          <w:sz w:val="17"/>
          <w:szCs w:val="17"/>
          <w:color w:val="auto"/>
        </w:rPr>
        <w:t>See Section 2</w:t>
      </w:r>
    </w:p>
    <w:p>
      <w:pPr>
        <w:ind w:right="400"/>
        <w:spacing w:after="0" w:line="182" w:lineRule="auto"/>
        <w:rPr>
          <w:rFonts w:ascii="Arial" w:cs="Arial" w:eastAsia="Arial" w:hAnsi="Arial"/>
          <w:sz w:val="17"/>
          <w:szCs w:val="17"/>
          <w:color w:val="auto"/>
        </w:rPr>
      </w:pPr>
      <w:r>
        <w:rPr>
          <w:rFonts w:ascii="Arial" w:cs="Arial" w:eastAsia="Arial" w:hAnsi="Arial"/>
          <w:sz w:val="17"/>
          <w:szCs w:val="17"/>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600" w:type="dxa"/>
            <w:vAlign w:val="bottom"/>
            <w:tcBorders>
              <w:top w:val="single" w:sz="8" w:color="auto"/>
            </w:tcBorders>
          </w:tcPr>
          <w:p>
            <w:pPr>
              <w:spacing w:after="0" w:line="141"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1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right w:val="single" w:sz="8" w:color="auto"/>
            </w:tcBorders>
          </w:tcPr>
          <w:p>
            <w:pPr>
              <w:spacing w:after="0"/>
              <w:rPr>
                <w:sz w:val="12"/>
                <w:szCs w:val="12"/>
                <w:color w:val="auto"/>
              </w:rPr>
            </w:pPr>
          </w:p>
        </w:tc>
        <w:tc>
          <w:tcPr>
            <w:tcW w:w="340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6"/>
                <w:szCs w:val="16"/>
                <w:color w:val="auto"/>
              </w:rPr>
              <w:t>16A. NAME OF CONTRACTING OFFICER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 Robert G. Kramer/President</w:t>
            </w: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Sherrie N Randall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00" w:type="dxa"/>
            <w:vAlign w:val="bottom"/>
            <w:tcBorders>
              <w:right w:val="single" w:sz="8" w:color="auto"/>
            </w:tcBorders>
          </w:tcPr>
          <w:p>
            <w:pPr>
              <w:spacing w:after="0" w:line="122" w:lineRule="exact"/>
              <w:rPr>
                <w:sz w:val="20"/>
                <w:szCs w:val="20"/>
                <w:color w:val="auto"/>
              </w:rPr>
            </w:pPr>
            <w:r>
              <w:rPr>
                <w:rFonts w:ascii="Arial" w:cs="Arial" w:eastAsia="Arial" w:hAnsi="Arial"/>
                <w:sz w:val="14"/>
                <w:szCs w:val="14"/>
                <w:color w:val="auto"/>
              </w:rPr>
              <w:t>15B. CONTRACTOR/OFFEROR</w:t>
            </w:r>
          </w:p>
        </w:tc>
        <w:tc>
          <w:tcPr>
            <w:tcW w:w="1540" w:type="dxa"/>
            <w:vAlign w:val="bottom"/>
            <w:tcBorders>
              <w:right w:val="single" w:sz="8" w:color="auto"/>
            </w:tcBorders>
          </w:tcPr>
          <w:p>
            <w:pPr>
              <w:spacing w:after="0" w:line="122" w:lineRule="exact"/>
              <w:rPr>
                <w:sz w:val="20"/>
                <w:szCs w:val="20"/>
                <w:color w:val="auto"/>
              </w:rPr>
            </w:pPr>
            <w:r>
              <w:rPr>
                <w:rFonts w:ascii="Arial" w:cs="Arial" w:eastAsia="Arial" w:hAnsi="Arial"/>
                <w:sz w:val="14"/>
                <w:szCs w:val="14"/>
                <w:color w:val="auto"/>
              </w:rPr>
              <w:t>15C. DATE</w:t>
            </w:r>
          </w:p>
        </w:tc>
        <w:tc>
          <w:tcPr>
            <w:tcW w:w="4120" w:type="dxa"/>
            <w:vAlign w:val="bottom"/>
            <w:tcBorders>
              <w:right w:val="single" w:sz="8" w:color="auto"/>
            </w:tcBorders>
            <w:gridSpan w:val="4"/>
          </w:tcPr>
          <w:p>
            <w:pPr>
              <w:spacing w:after="0" w:line="122" w:lineRule="exact"/>
              <w:rPr>
                <w:sz w:val="20"/>
                <w:szCs w:val="20"/>
                <w:color w:val="auto"/>
              </w:rPr>
            </w:pPr>
            <w:r>
              <w:rPr>
                <w:rFonts w:ascii="Arial" w:cs="Arial" w:eastAsia="Arial" w:hAnsi="Arial"/>
                <w:sz w:val="14"/>
                <w:szCs w:val="14"/>
                <w:color w:val="auto"/>
              </w:rPr>
              <w:t>16B. UNITED STATES OF AMERICA</w:t>
            </w:r>
          </w:p>
        </w:tc>
        <w:tc>
          <w:tcPr>
            <w:tcW w:w="1140" w:type="dxa"/>
            <w:vAlign w:val="bottom"/>
          </w:tcPr>
          <w:p>
            <w:pPr>
              <w:spacing w:after="0" w:line="122" w:lineRule="exact"/>
              <w:rPr>
                <w:sz w:val="20"/>
                <w:szCs w:val="20"/>
                <w:color w:val="auto"/>
              </w:rPr>
            </w:pPr>
            <w:r>
              <w:rPr>
                <w:rFonts w:ascii="Arial" w:cs="Arial" w:eastAsia="Arial" w:hAnsi="Arial"/>
                <w:sz w:val="14"/>
                <w:szCs w:val="14"/>
                <w:color w:val="auto"/>
              </w:rPr>
              <w:t>16C. DATE</w:t>
            </w: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5"/>
                <w:szCs w:val="15"/>
                <w:color w:val="auto"/>
              </w:rPr>
              <w:t>Robert G. Kramer</w:t>
            </w:r>
          </w:p>
        </w:tc>
        <w:tc>
          <w:tcPr>
            <w:tcW w:w="154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SIGNED</w:t>
            </w:r>
          </w:p>
        </w:tc>
        <w:tc>
          <w:tcPr>
            <w:tcW w:w="41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color w:val="auto"/>
                <w:w w:val="92"/>
              </w:rPr>
              <w:t>BY __/s/ Sherrie N. Randall______________________</w:t>
            </w:r>
          </w:p>
        </w:tc>
        <w:tc>
          <w:tcPr>
            <w:tcW w:w="1140" w:type="dxa"/>
            <w:vAlign w:val="bottom"/>
          </w:tcPr>
          <w:p>
            <w:pPr>
              <w:spacing w:after="0" w:line="135" w:lineRule="exact"/>
              <w:rPr>
                <w:sz w:val="20"/>
                <w:szCs w:val="20"/>
                <w:color w:val="auto"/>
              </w:rPr>
            </w:pPr>
            <w:r>
              <w:rPr>
                <w:rFonts w:ascii="Arial" w:cs="Arial" w:eastAsia="Arial" w:hAnsi="Arial"/>
                <w:sz w:val="15"/>
                <w:szCs w:val="15"/>
                <w:color w:val="auto"/>
              </w:rPr>
              <w:t>SIGNED</w:t>
            </w:r>
          </w:p>
        </w:tc>
        <w:tc>
          <w:tcPr>
            <w:tcW w:w="0" w:type="dxa"/>
            <w:vAlign w:val="bottom"/>
          </w:tcPr>
          <w:p>
            <w:pPr>
              <w:spacing w:after="0"/>
              <w:rPr>
                <w:sz w:val="1"/>
                <w:szCs w:val="1"/>
                <w:color w:val="auto"/>
              </w:rPr>
            </w:pPr>
          </w:p>
        </w:tc>
      </w:tr>
      <w:tr>
        <w:trPr>
          <w:trHeight w:val="142"/>
        </w:trPr>
        <w:tc>
          <w:tcPr>
            <w:tcW w:w="4620" w:type="dxa"/>
            <w:vAlign w:val="bottom"/>
            <w:tcBorders>
              <w:right w:val="single" w:sz="8" w:color="auto"/>
            </w:tcBorders>
            <w:gridSpan w:val="2"/>
          </w:tcPr>
          <w:p>
            <w:pPr>
              <w:ind w:left="120"/>
              <w:spacing w:after="0" w:line="135" w:lineRule="exact"/>
              <w:rPr>
                <w:sz w:val="20"/>
                <w:szCs w:val="20"/>
                <w:color w:val="auto"/>
              </w:rPr>
            </w:pPr>
            <w:r>
              <w:rPr>
                <w:rFonts w:ascii="Arial" w:cs="Arial" w:eastAsia="Arial" w:hAnsi="Arial"/>
                <w:sz w:val="15"/>
                <w:szCs w:val="15"/>
                <w:color w:val="auto"/>
              </w:rPr>
              <w:t>___________________________________________</w:t>
            </w:r>
          </w:p>
        </w:tc>
        <w:tc>
          <w:tcPr>
            <w:tcW w:w="1540" w:type="dxa"/>
            <w:vAlign w:val="bottom"/>
            <w:tcBorders>
              <w:right w:val="single" w:sz="8" w:color="auto"/>
            </w:tcBorders>
          </w:tcPr>
          <w:p>
            <w:pPr>
              <w:spacing w:after="0"/>
              <w:rPr>
                <w:sz w:val="12"/>
                <w:szCs w:val="12"/>
                <w:color w:val="auto"/>
              </w:rPr>
            </w:pPr>
          </w:p>
        </w:tc>
        <w:tc>
          <w:tcPr>
            <w:tcW w:w="4120" w:type="dxa"/>
            <w:vAlign w:val="bottom"/>
            <w:tcBorders>
              <w:right w:val="single" w:sz="8" w:color="auto"/>
            </w:tcBorders>
            <w:gridSpan w:val="4"/>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right w:val="single" w:sz="8" w:color="auto"/>
            </w:tcBorders>
          </w:tcPr>
          <w:p>
            <w:pPr>
              <w:ind w:left="840"/>
              <w:spacing w:after="0" w:line="202" w:lineRule="exact"/>
              <w:rPr>
                <w:sz w:val="20"/>
                <w:szCs w:val="20"/>
                <w:color w:val="auto"/>
              </w:rPr>
            </w:pPr>
            <w:r>
              <w:rPr>
                <w:rFonts w:ascii="Arial" w:cs="Arial" w:eastAsia="Arial" w:hAnsi="Arial"/>
                <w:sz w:val="18"/>
                <w:szCs w:val="18"/>
                <w:i w:val="1"/>
                <w:iCs w:val="1"/>
                <w:color w:val="auto"/>
              </w:rPr>
              <w:t>(Signature of person authorized to sign)</w:t>
            </w:r>
          </w:p>
        </w:tc>
        <w:tc>
          <w:tcPr>
            <w:tcW w:w="1540" w:type="dxa"/>
            <w:vAlign w:val="bottom"/>
            <w:tcBorders>
              <w:bottom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18 Jun 18</w:t>
            </w:r>
          </w:p>
        </w:tc>
        <w:tc>
          <w:tcPr>
            <w:tcW w:w="5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220"/>
              <w:spacing w:after="0" w:line="202" w:lineRule="exact"/>
              <w:rPr>
                <w:sz w:val="20"/>
                <w:szCs w:val="20"/>
                <w:color w:val="auto"/>
              </w:rPr>
            </w:pPr>
            <w:r>
              <w:rPr>
                <w:rFonts w:ascii="Arial" w:cs="Arial" w:eastAsia="Arial" w:hAnsi="Arial"/>
                <w:sz w:val="18"/>
                <w:szCs w:val="18"/>
                <w:i w:val="1"/>
                <w:iCs w:val="1"/>
                <w:color w:val="auto"/>
              </w:rPr>
              <w:t>(Signature of</w:t>
            </w:r>
          </w:p>
        </w:tc>
        <w:tc>
          <w:tcPr>
            <w:tcW w:w="206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i w:val="1"/>
                <w:iCs w:val="1"/>
                <w:color w:val="auto"/>
              </w:rPr>
              <w:t>Contracting Officer)</w:t>
            </w:r>
          </w:p>
        </w:tc>
        <w:tc>
          <w:tcPr>
            <w:tcW w:w="1140" w:type="dxa"/>
            <w:vAlign w:val="bottom"/>
            <w:tcBorders>
              <w:bottom w:val="single" w:sz="8" w:color="auto"/>
            </w:tcBorders>
          </w:tcPr>
          <w:p>
            <w:pPr>
              <w:jc w:val="right"/>
              <w:ind w:right="82"/>
              <w:spacing w:after="0" w:line="202" w:lineRule="exact"/>
              <w:rPr>
                <w:sz w:val="20"/>
                <w:szCs w:val="20"/>
                <w:color w:val="auto"/>
              </w:rPr>
            </w:pPr>
            <w:r>
              <w:rPr>
                <w:rFonts w:ascii="Arial" w:cs="Arial" w:eastAsia="Arial" w:hAnsi="Arial"/>
                <w:sz w:val="18"/>
                <w:szCs w:val="18"/>
                <w:color w:val="auto"/>
              </w:rPr>
              <w:t>06/18/2018</w:t>
            </w:r>
          </w:p>
        </w:tc>
        <w:tc>
          <w:tcPr>
            <w:tcW w:w="0" w:type="dxa"/>
            <w:vAlign w:val="bottom"/>
          </w:tcPr>
          <w:p>
            <w:pPr>
              <w:spacing w:after="0"/>
              <w:rPr>
                <w:sz w:val="1"/>
                <w:szCs w:val="1"/>
                <w:color w:val="auto"/>
              </w:rPr>
            </w:pPr>
          </w:p>
        </w:tc>
      </w:tr>
      <w:tr>
        <w:trPr>
          <w:trHeight w:val="702"/>
        </w:trPr>
        <w:tc>
          <w:tcPr>
            <w:tcW w:w="4620" w:type="dxa"/>
            <w:vAlign w:val="bottom"/>
            <w:gridSpan w:val="2"/>
          </w:tcPr>
          <w:p>
            <w:pPr>
              <w:spacing w:after="0"/>
              <w:rPr>
                <w:sz w:val="20"/>
                <w:szCs w:val="20"/>
                <w:color w:val="auto"/>
              </w:rPr>
            </w:pPr>
            <w:r>
              <w:rPr>
                <w:rFonts w:ascii="Arial" w:cs="Arial" w:eastAsia="Arial" w:hAnsi="Arial"/>
                <w:sz w:val="18"/>
                <w:szCs w:val="18"/>
                <w:color w:val="auto"/>
              </w:rPr>
              <w:t>NSN 7540-01-152-8070</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STANDARD FORM</w:t>
            </w:r>
          </w:p>
        </w:tc>
        <w:tc>
          <w:tcPr>
            <w:tcW w:w="0" w:type="dxa"/>
            <w:vAlign w:val="bottom"/>
          </w:tcPr>
          <w:p>
            <w:pPr>
              <w:spacing w:after="0"/>
              <w:rPr>
                <w:sz w:val="1"/>
                <w:szCs w:val="1"/>
                <w:color w:val="auto"/>
              </w:rPr>
            </w:pP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30 (REV. 10-83)</w:t>
            </w:r>
          </w:p>
        </w:tc>
        <w:tc>
          <w:tcPr>
            <w:tcW w:w="1540" w:type="dxa"/>
            <w:vAlign w:val="bottom"/>
          </w:tcPr>
          <w:p>
            <w:pPr>
              <w:spacing w:after="0"/>
              <w:rPr>
                <w:sz w:val="15"/>
                <w:szCs w:val="15"/>
                <w:color w:val="auto"/>
              </w:rPr>
            </w:pPr>
          </w:p>
        </w:tc>
        <w:tc>
          <w:tcPr>
            <w:tcW w:w="2060" w:type="dxa"/>
            <w:vAlign w:val="bottom"/>
            <w:gridSpan w:val="3"/>
            <w:vMerge w:val="restart"/>
          </w:tcPr>
          <w:p>
            <w:pPr>
              <w:jc w:val="right"/>
              <w:spacing w:after="0"/>
              <w:rPr>
                <w:sz w:val="20"/>
                <w:szCs w:val="20"/>
                <w:color w:val="auto"/>
              </w:rPr>
            </w:pPr>
            <w:r>
              <w:rPr>
                <w:rFonts w:ascii="Arial" w:cs="Arial" w:eastAsia="Arial" w:hAnsi="Arial"/>
                <w:sz w:val="18"/>
                <w:szCs w:val="18"/>
                <w:color w:val="auto"/>
              </w:rPr>
              <w:t>30-105</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tcPr>
          <w:p>
            <w:pPr>
              <w:ind w:left="120"/>
              <w:spacing w:after="0" w:line="150" w:lineRule="exact"/>
              <w:rPr>
                <w:sz w:val="20"/>
                <w:szCs w:val="20"/>
                <w:color w:val="auto"/>
              </w:rPr>
            </w:pPr>
            <w:r>
              <w:rPr>
                <w:rFonts w:ascii="Arial" w:cs="Arial" w:eastAsia="Arial" w:hAnsi="Arial"/>
                <w:sz w:val="17"/>
                <w:szCs w:val="17"/>
                <w:color w:val="auto"/>
              </w:rPr>
              <w:t>PREVIOUS EDITION UNUSABLE</w:t>
            </w:r>
          </w:p>
        </w:tc>
        <w:tc>
          <w:tcPr>
            <w:tcW w:w="15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5"/>
          <w:szCs w:val="15"/>
          <w:color w:val="auto"/>
        </w:rPr>
        <w:t>Prescribed by GSA</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This modification is issued to do the following:</w:t>
      </w:r>
    </w:p>
    <w:p>
      <w:pPr>
        <w:spacing w:after="0" w:line="198" w:lineRule="exact"/>
        <w:rPr>
          <w:sz w:val="20"/>
          <w:szCs w:val="20"/>
          <w:color w:val="auto"/>
        </w:rPr>
      </w:pPr>
    </w:p>
    <w:p>
      <w:pPr>
        <w:ind w:left="620" w:hanging="32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the number of doses for SubCLIN 2002 by [**] from [**]to [**].</w:t>
      </w:r>
    </w:p>
    <w:p>
      <w:pPr>
        <w:spacing w:after="0" w:line="198" w:lineRule="exact"/>
        <w:rPr>
          <w:rFonts w:ascii="Arial" w:cs="Arial" w:eastAsia="Arial" w:hAnsi="Arial"/>
          <w:sz w:val="18"/>
          <w:szCs w:val="18"/>
          <w:color w:val="auto"/>
        </w:rPr>
      </w:pPr>
    </w:p>
    <w:p>
      <w:pPr>
        <w:ind w:left="620" w:hanging="32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the cost and funding of SubCLIN 2002 by $[**] from $[**] to $[**].</w:t>
      </w:r>
    </w:p>
    <w:p>
      <w:pPr>
        <w:spacing w:after="0" w:line="198" w:lineRule="exact"/>
        <w:rPr>
          <w:rFonts w:ascii="Arial" w:cs="Arial" w:eastAsia="Arial" w:hAnsi="Arial"/>
          <w:sz w:val="18"/>
          <w:szCs w:val="18"/>
          <w:color w:val="auto"/>
        </w:rPr>
      </w:pPr>
    </w:p>
    <w:p>
      <w:pPr>
        <w:ind w:left="620" w:hanging="328"/>
        <w:spacing w:after="0"/>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 SubCLIN 2003 to cover the cost to purchase [**] doses at a lower rate of $[**].</w:t>
      </w:r>
    </w:p>
    <w:p>
      <w:pPr>
        <w:spacing w:after="0" w:line="221" w:lineRule="exact"/>
        <w:rPr>
          <w:rFonts w:ascii="Arial" w:cs="Arial" w:eastAsia="Arial" w:hAnsi="Arial"/>
          <w:sz w:val="16"/>
          <w:szCs w:val="16"/>
          <w:color w:val="auto"/>
        </w:rPr>
      </w:pPr>
    </w:p>
    <w:p>
      <w:pPr>
        <w:ind w:left="620" w:right="4399" w:hanging="328"/>
        <w:spacing w:after="0" w:line="540"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Increase and fund [**] doses on SubCLIN 2003 in the amount of $[**]. All changes will occur at no additional cost to the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6362700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79"/>
          </w:cols>
          <w:pgMar w:left="280" w:top="125" w:right="1440" w:bottom="1440" w:gutter="0" w:footer="0" w:header="0"/>
        </w:sectPr>
      </w:pPr>
    </w:p>
    <w:bookmarkStart w:id="36" w:name="page37"/>
    <w:bookmarkEnd w:id="36"/>
    <w:p>
      <w:pPr>
        <w:spacing w:after="0"/>
        <w:rPr>
          <w:sz w:val="20"/>
          <w:szCs w:val="20"/>
          <w:color w:val="auto"/>
        </w:rPr>
      </w:pPr>
      <w:r>
        <w:rPr>
          <w:rFonts w:ascii="Arial" w:cs="Arial" w:eastAsia="Arial" w:hAnsi="Arial"/>
          <w:sz w:val="25"/>
          <w:szCs w:val="25"/>
          <w:b w:val="1"/>
          <w:bCs w:val="1"/>
          <w:color w:val="auto"/>
        </w:rPr>
        <w:t>Section B – Supplies/Services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Option 1 Items</w:t>
            </w:r>
          </w:p>
        </w:tc>
        <w:tc>
          <w:tcPr>
            <w:tcW w:w="2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tcPr>
          <w:p>
            <w:pPr>
              <w:spacing w:after="0"/>
              <w:rPr>
                <w:sz w:val="14"/>
                <w:szCs w:val="14"/>
                <w:color w:val="auto"/>
              </w:rPr>
            </w:pPr>
          </w:p>
        </w:tc>
        <w:tc>
          <w:tcPr>
            <w:tcW w:w="2440" w:type="dxa"/>
            <w:vAlign w:val="bottom"/>
            <w:tcBorders>
              <w:right w:val="single" w:sz="8" w:color="auto"/>
            </w:tcBorders>
          </w:tcPr>
          <w:p>
            <w:pPr>
              <w:spacing w:after="0" w:line="172" w:lineRule="exact"/>
              <w:rPr>
                <w:sz w:val="20"/>
                <w:szCs w:val="20"/>
                <w:color w:val="auto"/>
              </w:rPr>
            </w:pPr>
            <w:r>
              <w:rPr>
                <w:rFonts w:ascii="Arial" w:cs="Arial" w:eastAsia="Arial" w:hAnsi="Arial"/>
                <w:sz w:val="18"/>
                <w:szCs w:val="18"/>
                <w:color w:val="auto"/>
              </w:rPr>
              <w:t>ITEM</w:t>
            </w:r>
          </w:p>
        </w:tc>
        <w:tc>
          <w:tcPr>
            <w:tcW w:w="2560" w:type="dxa"/>
            <w:vAlign w:val="bottom"/>
            <w:tcBorders>
              <w:right w:val="single" w:sz="8" w:color="auto"/>
            </w:tcBorders>
          </w:tcPr>
          <w:p>
            <w:pPr>
              <w:spacing w:after="0" w:line="172" w:lineRule="exact"/>
              <w:rPr>
                <w:sz w:val="20"/>
                <w:szCs w:val="20"/>
                <w:color w:val="auto"/>
              </w:rPr>
            </w:pPr>
            <w:r>
              <w:rPr>
                <w:rFonts w:ascii="Arial" w:cs="Arial" w:eastAsia="Arial" w:hAnsi="Arial"/>
                <w:sz w:val="18"/>
                <w:szCs w:val="18"/>
                <w:color w:val="auto"/>
              </w:rPr>
              <w:t>SUPPLIES / SERVICES</w:t>
            </w:r>
          </w:p>
        </w:tc>
        <w:tc>
          <w:tcPr>
            <w:tcW w:w="3660" w:type="dxa"/>
            <w:vAlign w:val="bottom"/>
            <w:tcBorders>
              <w:right w:val="single" w:sz="8" w:color="auto"/>
            </w:tcBorders>
          </w:tcPr>
          <w:p>
            <w:pPr>
              <w:spacing w:after="0" w:line="172"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4"/>
                <w:szCs w:val="14"/>
                <w:color w:val="auto"/>
              </w:rPr>
            </w:pPr>
          </w:p>
        </w:tc>
        <w:tc>
          <w:tcPr>
            <w:tcW w:w="134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UNIT PRICE</w:t>
            </w:r>
          </w:p>
        </w:tc>
        <w:tc>
          <w:tcPr>
            <w:tcW w:w="60" w:type="dxa"/>
            <w:vAlign w:val="bottom"/>
          </w:tcPr>
          <w:p>
            <w:pPr>
              <w:spacing w:after="0"/>
              <w:rPr>
                <w:sz w:val="14"/>
                <w:szCs w:val="14"/>
                <w:color w:val="auto"/>
              </w:rPr>
            </w:pPr>
          </w:p>
        </w:tc>
        <w:tc>
          <w:tcPr>
            <w:tcW w:w="122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EXTENDED</w:t>
            </w:r>
          </w:p>
        </w:tc>
        <w:tc>
          <w:tcPr>
            <w:tcW w:w="0" w:type="dxa"/>
            <w:vAlign w:val="bottom"/>
          </w:tcPr>
          <w:p>
            <w:pPr>
              <w:spacing w:after="0"/>
              <w:rPr>
                <w:sz w:val="1"/>
                <w:szCs w:val="1"/>
                <w:color w:val="auto"/>
              </w:rPr>
            </w:pPr>
          </w:p>
        </w:tc>
      </w:tr>
      <w:tr>
        <w:trPr>
          <w:trHeight w:val="224"/>
        </w:trPr>
        <w:tc>
          <w:tcPr>
            <w:tcW w:w="60" w:type="dxa"/>
            <w:vAlign w:val="bottom"/>
            <w:tcBorders>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2002</w:t>
            </w:r>
          </w:p>
        </w:tc>
        <w:tc>
          <w:tcPr>
            <w:tcW w:w="25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BioThrax [**] product</w:t>
            </w:r>
          </w:p>
        </w:tc>
        <w:tc>
          <w:tcPr>
            <w:tcW w:w="36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2440" w:type="dxa"/>
            <w:vAlign w:val="bottom"/>
            <w:tcBorders>
              <w:right w:val="single" w:sz="8" w:color="auto"/>
            </w:tcBorders>
            <w:shd w:val="clear" w:color="auto" w:fill="CCEEFF"/>
          </w:tcPr>
          <w:p>
            <w:pPr>
              <w:spacing w:after="0"/>
              <w:rPr>
                <w:sz w:val="13"/>
                <w:szCs w:val="13"/>
                <w:color w:val="auto"/>
              </w:rPr>
            </w:pPr>
          </w:p>
        </w:tc>
        <w:tc>
          <w:tcPr>
            <w:tcW w:w="2560" w:type="dxa"/>
            <w:vAlign w:val="bottom"/>
            <w:tcBorders>
              <w:right w:val="single" w:sz="8" w:color="auto"/>
            </w:tcBorders>
            <w:vMerge w:val="continue"/>
            <w:shd w:val="clear" w:color="auto" w:fill="CCEEFF"/>
          </w:tcPr>
          <w:p>
            <w:pPr>
              <w:spacing w:after="0"/>
              <w:rPr>
                <w:sz w:val="13"/>
                <w:szCs w:val="13"/>
                <w:color w:val="auto"/>
              </w:rPr>
            </w:pPr>
          </w:p>
        </w:tc>
        <w:tc>
          <w:tcPr>
            <w:tcW w:w="366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244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244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w:t>
            </w:r>
          </w:p>
        </w:tc>
        <w:tc>
          <w:tcPr>
            <w:tcW w:w="36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44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 w:type="dxa"/>
            <w:vAlign w:val="bottom"/>
            <w:tcBorders>
              <w:right w:val="single" w:sz="8" w:color="auto"/>
            </w:tcBorders>
            <w:shd w:val="clear" w:color="auto" w:fill="000000"/>
          </w:tcPr>
          <w:p>
            <w:pPr>
              <w:spacing w:after="0"/>
              <w:rPr>
                <w:sz w:val="24"/>
                <w:szCs w:val="24"/>
                <w:color w:val="auto"/>
              </w:rPr>
            </w:pPr>
          </w:p>
        </w:tc>
        <w:tc>
          <w:tcPr>
            <w:tcW w:w="244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w:t>
            </w:r>
          </w:p>
        </w:tc>
        <w:tc>
          <w:tcPr>
            <w:tcW w:w="36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44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366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0" w:type="dxa"/>
            <w:vAlign w:val="bottom"/>
            <w:tcBorders>
              <w:right w:val="single" w:sz="8" w:color="auto"/>
            </w:tcBorders>
            <w:shd w:val="clear" w:color="auto" w:fill="000000"/>
          </w:tcPr>
          <w:p>
            <w:pPr>
              <w:spacing w:after="0"/>
              <w:rPr>
                <w:sz w:val="24"/>
                <w:szCs w:val="24"/>
                <w:color w:val="auto"/>
              </w:rPr>
            </w:pPr>
          </w:p>
        </w:tc>
        <w:tc>
          <w:tcPr>
            <w:tcW w:w="244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to be NLT [**]</w:t>
            </w:r>
          </w:p>
        </w:tc>
        <w:tc>
          <w:tcPr>
            <w:tcW w:w="36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4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Line(s) Of Accounting:</w:t>
            </w:r>
          </w:p>
        </w:tc>
        <w:tc>
          <w:tcPr>
            <w:tcW w:w="2560" w:type="dxa"/>
            <w:vAlign w:val="bottom"/>
            <w:tcBorders>
              <w:top w:val="single" w:sz="8" w:color="CCEEFF"/>
              <w:right w:val="single" w:sz="8" w:color="auto"/>
            </w:tcBorders>
          </w:tcPr>
          <w:p>
            <w:pPr>
              <w:spacing w:after="0"/>
              <w:rPr>
                <w:sz w:val="16"/>
                <w:szCs w:val="16"/>
                <w:color w:val="auto"/>
              </w:rPr>
            </w:pPr>
          </w:p>
        </w:tc>
        <w:tc>
          <w:tcPr>
            <w:tcW w:w="366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5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939ZWUX 2642 2018 75-X-0956 5664711101 $[**]</w:t>
            </w:r>
          </w:p>
        </w:tc>
        <w:tc>
          <w:tcPr>
            <w:tcW w:w="3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514350</wp:posOffset>
            </wp:positionV>
            <wp:extent cx="17145" cy="1998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7145" cy="19983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514350</wp:posOffset>
            </wp:positionV>
            <wp:extent cx="17145" cy="1998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7145" cy="199834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514350</wp:posOffset>
            </wp:positionV>
            <wp:extent cx="17145" cy="1998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7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ITEM</w:t>
            </w:r>
          </w:p>
        </w:tc>
        <w:tc>
          <w:tcPr>
            <w:tcW w:w="2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SUPPLIES / SERVICES</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QTY / UNIT</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 PRICE</w:t>
            </w: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EXTENDED</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2003</w:t>
            </w:r>
          </w:p>
        </w:tc>
        <w:tc>
          <w:tcPr>
            <w:tcW w:w="25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BioThrax [**] product</w:t>
            </w: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Doses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shd w:val="clear" w:color="auto" w:fill="CCEEFF"/>
          </w:tcPr>
          <w:p>
            <w:pPr>
              <w:spacing w:after="0"/>
              <w:rPr>
                <w:sz w:val="13"/>
                <w:szCs w:val="13"/>
                <w:color w:val="auto"/>
              </w:rPr>
            </w:pPr>
          </w:p>
        </w:tc>
        <w:tc>
          <w:tcPr>
            <w:tcW w:w="2460" w:type="dxa"/>
            <w:vAlign w:val="bottom"/>
            <w:tcBorders>
              <w:right w:val="single" w:sz="8" w:color="auto"/>
            </w:tcBorders>
            <w:shd w:val="clear" w:color="auto" w:fill="CCEEFF"/>
          </w:tcPr>
          <w:p>
            <w:pPr>
              <w:spacing w:after="0"/>
              <w:rPr>
                <w:sz w:val="13"/>
                <w:szCs w:val="13"/>
                <w:color w:val="auto"/>
              </w:rPr>
            </w:pPr>
          </w:p>
        </w:tc>
        <w:tc>
          <w:tcPr>
            <w:tcW w:w="2560" w:type="dxa"/>
            <w:vAlign w:val="bottom"/>
            <w:tcBorders>
              <w:right w:val="single" w:sz="8" w:color="auto"/>
            </w:tcBorders>
            <w:vMerge w:val="continue"/>
            <w:shd w:val="clear" w:color="auto" w:fill="CCEEFF"/>
          </w:tcPr>
          <w:p>
            <w:pPr>
              <w:spacing w:after="0"/>
              <w:rPr>
                <w:sz w:val="13"/>
                <w:szCs w:val="13"/>
                <w:color w:val="auto"/>
              </w:rPr>
            </w:pPr>
          </w:p>
        </w:tc>
        <w:tc>
          <w:tcPr>
            <w:tcW w:w="3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shd w:val="clear" w:color="auto" w:fill="CCEEFF"/>
          </w:tcPr>
          <w:p>
            <w:pPr>
              <w:spacing w:after="0"/>
              <w:rPr>
                <w:sz w:val="17"/>
                <w:szCs w:val="17"/>
                <w:color w:val="auto"/>
              </w:rPr>
            </w:pPr>
          </w:p>
        </w:tc>
        <w:tc>
          <w:tcPr>
            <w:tcW w:w="246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shd w:val="clear" w:color="auto" w:fill="CCEEFF"/>
          </w:tcPr>
          <w:p>
            <w:pPr>
              <w:spacing w:after="0"/>
              <w:rPr>
                <w:sz w:val="17"/>
                <w:szCs w:val="17"/>
                <w:color w:val="auto"/>
              </w:rPr>
            </w:pPr>
          </w:p>
        </w:tc>
        <w:tc>
          <w:tcPr>
            <w:tcW w:w="246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w:t>
            </w:r>
          </w:p>
        </w:tc>
        <w:tc>
          <w:tcPr>
            <w:tcW w:w="36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 w:type="dxa"/>
            <w:vAlign w:val="bottom"/>
            <w:tcBorders>
              <w:right w:val="single" w:sz="8" w:color="CCEEFF"/>
            </w:tcBorders>
            <w:shd w:val="clear" w:color="auto" w:fill="CCEEFF"/>
          </w:tcPr>
          <w:p>
            <w:pPr>
              <w:spacing w:after="0"/>
              <w:rPr>
                <w:sz w:val="24"/>
                <w:szCs w:val="24"/>
                <w:color w:val="auto"/>
              </w:rPr>
            </w:pPr>
          </w:p>
        </w:tc>
        <w:tc>
          <w:tcPr>
            <w:tcW w:w="246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w:t>
            </w:r>
          </w:p>
        </w:tc>
        <w:tc>
          <w:tcPr>
            <w:tcW w:w="36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36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Borders>
              <w:right w:val="single" w:sz="8" w:color="CCEEFF"/>
            </w:tcBorders>
            <w:shd w:val="clear" w:color="auto" w:fill="CCEEFF"/>
          </w:tcPr>
          <w:p>
            <w:pPr>
              <w:spacing w:after="0"/>
              <w:rPr>
                <w:sz w:val="24"/>
                <w:szCs w:val="24"/>
                <w:color w:val="auto"/>
              </w:rPr>
            </w:pPr>
          </w:p>
        </w:tc>
        <w:tc>
          <w:tcPr>
            <w:tcW w:w="246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to be NLT [**]</w:t>
            </w:r>
          </w:p>
        </w:tc>
        <w:tc>
          <w:tcPr>
            <w:tcW w:w="3620" w:type="dxa"/>
            <w:vAlign w:val="bottom"/>
            <w:tcBorders>
              <w:right w:val="single" w:sz="8" w:color="CCEEFF"/>
            </w:tcBorders>
            <w:shd w:val="clear" w:color="auto" w:fill="CCEEFF"/>
          </w:tcPr>
          <w:p>
            <w:pPr>
              <w:spacing w:after="0"/>
              <w:rPr>
                <w:sz w:val="24"/>
                <w:szCs w:val="24"/>
                <w:color w:val="auto"/>
              </w:rPr>
            </w:pPr>
          </w:p>
        </w:tc>
        <w:tc>
          <w:tcPr>
            <w:tcW w:w="120" w:type="dxa"/>
            <w:vAlign w:val="bottom"/>
            <w:gridSpan w:val="2"/>
            <w:vMerge w:val="restart"/>
            <w:shd w:val="clear" w:color="auto" w:fill="CCEEFF"/>
          </w:tcPr>
          <w:p>
            <w:pPr>
              <w:spacing w:after="0"/>
              <w:rPr>
                <w:sz w:val="24"/>
                <w:szCs w:val="24"/>
                <w:color w:val="auto"/>
              </w:rPr>
            </w:pPr>
          </w:p>
        </w:tc>
        <w:tc>
          <w:tcPr>
            <w:tcW w:w="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0" w:type="dxa"/>
            <w:vAlign w:val="bottom"/>
            <w:tcBorders>
              <w:right w:val="single" w:sz="8" w:color="CCEEFF"/>
            </w:tcBorders>
            <w:shd w:val="clear" w:color="auto" w:fill="CCEEFF"/>
          </w:tcPr>
          <w:p>
            <w:pPr>
              <w:spacing w:after="0"/>
              <w:rPr>
                <w:sz w:val="16"/>
                <w:szCs w:val="16"/>
                <w:color w:val="auto"/>
              </w:rPr>
            </w:pPr>
          </w:p>
        </w:tc>
        <w:tc>
          <w:tcPr>
            <w:tcW w:w="2460" w:type="dxa"/>
            <w:vAlign w:val="bottom"/>
            <w:tcBorders>
              <w:right w:val="single" w:sz="8" w:color="auto"/>
            </w:tcBorders>
            <w:shd w:val="clear" w:color="auto" w:fill="CCEEFF"/>
          </w:tcPr>
          <w:p>
            <w:pPr>
              <w:spacing w:after="0"/>
              <w:rPr>
                <w:sz w:val="16"/>
                <w:szCs w:val="16"/>
                <w:color w:val="auto"/>
              </w:rPr>
            </w:pPr>
          </w:p>
        </w:tc>
        <w:tc>
          <w:tcPr>
            <w:tcW w:w="2560" w:type="dxa"/>
            <w:vAlign w:val="bottom"/>
            <w:tcBorders>
              <w:right w:val="single" w:sz="8" w:color="auto"/>
            </w:tcBorders>
            <w:shd w:val="clear" w:color="auto" w:fill="CCEEFF"/>
          </w:tcPr>
          <w:p>
            <w:pPr>
              <w:spacing w:after="0"/>
              <w:rPr>
                <w:sz w:val="16"/>
                <w:szCs w:val="16"/>
                <w:color w:val="auto"/>
              </w:rPr>
            </w:pPr>
          </w:p>
        </w:tc>
        <w:tc>
          <w:tcPr>
            <w:tcW w:w="362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CCEEFF"/>
            </w:tcBorders>
            <w:shd w:val="clear" w:color="auto" w:fill="CCEEFF"/>
          </w:tcPr>
          <w:p>
            <w:pPr>
              <w:spacing w:after="0"/>
              <w:rPr>
                <w:sz w:val="2"/>
                <w:szCs w:val="2"/>
                <w:color w:val="auto"/>
              </w:rPr>
            </w:pPr>
          </w:p>
        </w:tc>
        <w:tc>
          <w:tcPr>
            <w:tcW w:w="2460" w:type="dxa"/>
            <w:vAlign w:val="bottom"/>
            <w:tcBorders>
              <w:right w:val="single" w:sz="8" w:color="auto"/>
            </w:tcBorders>
            <w:shd w:val="clear" w:color="auto" w:fill="CCEEFF"/>
          </w:tcPr>
          <w:p>
            <w:pPr>
              <w:spacing w:after="0"/>
              <w:rPr>
                <w:sz w:val="2"/>
                <w:szCs w:val="2"/>
                <w:color w:val="auto"/>
              </w:rPr>
            </w:pPr>
          </w:p>
        </w:tc>
        <w:tc>
          <w:tcPr>
            <w:tcW w:w="2560" w:type="dxa"/>
            <w:vAlign w:val="bottom"/>
            <w:tcBorders>
              <w:right w:val="single" w:sz="8" w:color="auto"/>
            </w:tcBorders>
            <w:shd w:val="clear" w:color="auto" w:fill="CCEEFF"/>
          </w:tcPr>
          <w:p>
            <w:pPr>
              <w:spacing w:after="0"/>
              <w:rPr>
                <w:sz w:val="2"/>
                <w:szCs w:val="2"/>
                <w:color w:val="auto"/>
              </w:rPr>
            </w:pPr>
          </w:p>
        </w:tc>
        <w:tc>
          <w:tcPr>
            <w:tcW w:w="36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-1448435</wp:posOffset>
            </wp:positionV>
            <wp:extent cx="17145" cy="172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7145" cy="172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3198495" cy="1706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198495" cy="170688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-1448435</wp:posOffset>
            </wp:positionV>
            <wp:extent cx="17145" cy="172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145" cy="1724025"/>
                    </a:xfrm>
                    <a:prstGeom prst="rect">
                      <a:avLst/>
                    </a:prstGeom>
                    <a:noFill/>
                  </pic:spPr>
                </pic:pic>
              </a:graphicData>
            </a:graphic>
          </wp:anchor>
        </w:drawing>
      </w:r>
    </w:p>
    <w:p>
      <w:pPr>
        <w:ind w:left="40"/>
        <w:spacing w:after="0" w:line="236" w:lineRule="auto"/>
        <w:rPr>
          <w:sz w:val="20"/>
          <w:szCs w:val="20"/>
          <w:color w:val="auto"/>
        </w:rPr>
      </w:pPr>
      <w:r>
        <w:rPr>
          <w:rFonts w:ascii="Arial" w:cs="Arial" w:eastAsia="Arial" w:hAnsi="Arial"/>
          <w:sz w:val="18"/>
          <w:szCs w:val="18"/>
          <w:color w:val="auto"/>
        </w:rPr>
        <w:t>Line(s) Of Accounting: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939ZWUX 2642 2018 75-X-0956 5664711101 $[**]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-3175</wp:posOffset>
            </wp:positionV>
            <wp:extent cx="14922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ind w:left="10060"/>
        <w:spacing w:after="0"/>
        <w:rPr>
          <w:sz w:val="20"/>
          <w:szCs w:val="20"/>
          <w:color w:val="auto"/>
        </w:rPr>
      </w:pPr>
      <w:r>
        <w:rPr>
          <w:rFonts w:ascii="Arial" w:cs="Arial" w:eastAsia="Arial" w:hAnsi="Arial"/>
          <w:sz w:val="22"/>
          <w:szCs w:val="22"/>
          <w:b w:val="1"/>
          <w:bCs w:val="1"/>
          <w:color w:val="auto"/>
        </w:rPr>
        <w:t>EXHIBIT 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240" w:type="dxa"/>
            <w:vAlign w:val="bottom"/>
            <w:tcBorders>
              <w:top w:val="single" w:sz="8" w:color="auto"/>
              <w:right w:val="single" w:sz="8" w:color="auto"/>
            </w:tcBorders>
            <w:gridSpan w:val="5"/>
          </w:tcPr>
          <w:p>
            <w:pPr>
              <w:ind w:left="760"/>
              <w:spacing w:after="0" w:line="201"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276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1. CONTRACT ID CODE</w:t>
            </w:r>
          </w:p>
        </w:tc>
        <w:tc>
          <w:tcPr>
            <w:tcW w:w="50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900" w:type="dxa"/>
            <w:vAlign w:val="bottom"/>
          </w:tcPr>
          <w:p>
            <w:pPr>
              <w:spacing w:after="0" w:line="95" w:lineRule="exact"/>
              <w:rPr>
                <w:sz w:val="20"/>
                <w:szCs w:val="20"/>
                <w:color w:val="auto"/>
              </w:rPr>
            </w:pPr>
            <w:r>
              <w:rPr>
                <w:rFonts w:ascii="Arial" w:cs="Arial" w:eastAsia="Arial" w:hAnsi="Arial"/>
                <w:sz w:val="10"/>
                <w:szCs w:val="10"/>
                <w:color w:val="auto"/>
              </w:rPr>
              <w:t>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00" w:type="dxa"/>
            <w:vAlign w:val="bottom"/>
          </w:tcPr>
          <w:p>
            <w:pPr>
              <w:spacing w:after="0" w:line="135" w:lineRule="exact"/>
              <w:rPr>
                <w:sz w:val="20"/>
                <w:szCs w:val="20"/>
                <w:color w:val="auto"/>
              </w:rPr>
            </w:pPr>
            <w:r>
              <w:rPr>
                <w:rFonts w:ascii="Arial" w:cs="Arial" w:eastAsia="Arial" w:hAnsi="Arial"/>
                <w:sz w:val="15"/>
                <w:szCs w:val="15"/>
                <w:color w:val="auto"/>
              </w:rPr>
              <w:t>PAGES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2. AMENDMENT/MODIFICATION NO.</w:t>
            </w:r>
          </w:p>
        </w:tc>
        <w:tc>
          <w:tcPr>
            <w:tcW w:w="168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3. EFFECTIVE</w:t>
            </w:r>
          </w:p>
        </w:tc>
        <w:tc>
          <w:tcPr>
            <w:tcW w:w="3680" w:type="dxa"/>
            <w:vAlign w:val="bottom"/>
            <w:gridSpan w:val="3"/>
          </w:tcPr>
          <w:p>
            <w:pPr>
              <w:spacing w:after="0" w:line="122" w:lineRule="exact"/>
              <w:rPr>
                <w:sz w:val="20"/>
                <w:szCs w:val="20"/>
                <w:color w:val="auto"/>
              </w:rPr>
            </w:pPr>
            <w:r>
              <w:rPr>
                <w:rFonts w:ascii="Arial" w:cs="Arial" w:eastAsia="Arial" w:hAnsi="Arial"/>
                <w:sz w:val="14"/>
                <w:szCs w:val="14"/>
                <w:color w:val="auto"/>
              </w:rPr>
              <w:t>4. REQUISITION/PURCHASE REQ. NO.</w:t>
            </w:r>
          </w:p>
        </w:tc>
        <w:tc>
          <w:tcPr>
            <w:tcW w:w="300" w:type="dxa"/>
            <w:vAlign w:val="bottom"/>
            <w:tcBorders>
              <w:right w:val="single" w:sz="8" w:color="auto"/>
            </w:tcBorders>
          </w:tcPr>
          <w:p>
            <w:pPr>
              <w:spacing w:after="0"/>
              <w:rPr>
                <w:sz w:val="10"/>
                <w:szCs w:val="10"/>
                <w:color w:val="auto"/>
              </w:rPr>
            </w:pPr>
          </w:p>
        </w:tc>
        <w:tc>
          <w:tcPr>
            <w:tcW w:w="2220" w:type="dxa"/>
            <w:vAlign w:val="bottom"/>
            <w:gridSpan w:val="3"/>
          </w:tcPr>
          <w:p>
            <w:pPr>
              <w:spacing w:after="0" w:line="122" w:lineRule="exact"/>
              <w:rPr>
                <w:sz w:val="20"/>
                <w:szCs w:val="20"/>
                <w:color w:val="auto"/>
              </w:rPr>
            </w:pPr>
            <w:r>
              <w:rPr>
                <w:rFonts w:ascii="Arial" w:cs="Arial" w:eastAsia="Arial" w:hAnsi="Arial"/>
                <w:sz w:val="14"/>
                <w:szCs w:val="14"/>
                <w:color w:val="auto"/>
              </w:rPr>
              <w:t xml:space="preserve">5. PROJECT NO. </w:t>
            </w:r>
            <w:r>
              <w:rPr>
                <w:rFonts w:ascii="Arial" w:cs="Arial" w:eastAsia="Arial" w:hAnsi="Arial"/>
                <w:sz w:val="14"/>
                <w:szCs w:val="14"/>
                <w:i w:val="1"/>
                <w:iCs w:val="1"/>
                <w:color w:val="auto"/>
              </w:rPr>
              <w:t>(If</w:t>
            </w:r>
          </w:p>
        </w:tc>
        <w:tc>
          <w:tcPr>
            <w:tcW w:w="0" w:type="dxa"/>
            <w:vAlign w:val="bottom"/>
          </w:tcPr>
          <w:p>
            <w:pPr>
              <w:spacing w:after="0"/>
              <w:rPr>
                <w:sz w:val="1"/>
                <w:szCs w:val="1"/>
                <w:color w:val="auto"/>
              </w:rPr>
            </w:pPr>
          </w:p>
        </w:tc>
      </w:tr>
      <w:tr>
        <w:trPr>
          <w:trHeight w:val="162"/>
        </w:trPr>
        <w:tc>
          <w:tcPr>
            <w:tcW w:w="2800" w:type="dxa"/>
            <w:vAlign w:val="bottom"/>
            <w:gridSpan w:val="2"/>
          </w:tcPr>
          <w:p>
            <w:pPr>
              <w:ind w:left="1540"/>
              <w:spacing w:after="0" w:line="162" w:lineRule="exact"/>
              <w:rPr>
                <w:sz w:val="20"/>
                <w:szCs w:val="20"/>
                <w:color w:val="auto"/>
              </w:rPr>
            </w:pPr>
            <w:r>
              <w:rPr>
                <w:rFonts w:ascii="Arial" w:cs="Arial" w:eastAsia="Arial" w:hAnsi="Arial"/>
                <w:sz w:val="18"/>
                <w:szCs w:val="18"/>
                <w:color w:val="auto"/>
              </w:rPr>
              <w:t>00010</w:t>
            </w:r>
          </w:p>
        </w:tc>
        <w:tc>
          <w:tcPr>
            <w:tcW w:w="7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8"/>
                <w:szCs w:val="18"/>
                <w:color w:val="auto"/>
              </w:rPr>
              <w:t>DATE</w:t>
            </w:r>
          </w:p>
        </w:tc>
        <w:tc>
          <w:tcPr>
            <w:tcW w:w="3680" w:type="dxa"/>
            <w:vAlign w:val="bottom"/>
            <w:gridSpan w:val="3"/>
          </w:tcPr>
          <w:p>
            <w:pPr>
              <w:ind w:left="1080"/>
              <w:spacing w:after="0" w:line="162" w:lineRule="exact"/>
              <w:rPr>
                <w:sz w:val="20"/>
                <w:szCs w:val="20"/>
                <w:color w:val="auto"/>
              </w:rPr>
            </w:pPr>
            <w:r>
              <w:rPr>
                <w:rFonts w:ascii="Arial" w:cs="Arial" w:eastAsia="Arial" w:hAnsi="Arial"/>
                <w:sz w:val="18"/>
                <w:szCs w:val="18"/>
                <w:color w:val="auto"/>
              </w:rPr>
              <w:t>0000HCGE-2018-25726</w:t>
            </w:r>
          </w:p>
        </w:tc>
        <w:tc>
          <w:tcPr>
            <w:tcW w:w="300" w:type="dxa"/>
            <w:vAlign w:val="bottom"/>
            <w:tcBorders>
              <w:right w:val="single" w:sz="8" w:color="auto"/>
            </w:tcBorders>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i w:val="1"/>
                <w:iCs w:val="1"/>
                <w:color w:val="auto"/>
                <w:w w:val="91"/>
              </w:rPr>
              <w:t>applicable)</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gridSpan w:val="2"/>
          </w:tcPr>
          <w:p>
            <w:pPr>
              <w:ind w:left="420"/>
              <w:spacing w:after="0" w:line="162" w:lineRule="exact"/>
              <w:rPr>
                <w:sz w:val="20"/>
                <w:szCs w:val="20"/>
                <w:color w:val="auto"/>
              </w:rPr>
            </w:pPr>
            <w:r>
              <w:rPr>
                <w:rFonts w:ascii="Arial" w:cs="Arial" w:eastAsia="Arial" w:hAnsi="Arial"/>
                <w:sz w:val="18"/>
                <w:szCs w:val="18"/>
                <w:color w:val="auto"/>
              </w:rPr>
              <w:t>06/18/2018</w:t>
            </w:r>
          </w:p>
        </w:tc>
        <w:tc>
          <w:tcPr>
            <w:tcW w:w="2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7"/>
                <w:szCs w:val="17"/>
                <w:color w:val="auto"/>
              </w:rPr>
              <w:t>6. ISSUED BY</w:t>
            </w:r>
          </w:p>
        </w:tc>
        <w:tc>
          <w:tcPr>
            <w:tcW w:w="7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7"/>
                <w:szCs w:val="17"/>
                <w:color w:val="auto"/>
                <w:w w:val="97"/>
              </w:rPr>
              <w:t>CODE</w:t>
            </w:r>
          </w:p>
        </w:tc>
        <w:tc>
          <w:tcPr>
            <w:tcW w:w="168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7"/>
                <w:szCs w:val="17"/>
                <w:color w:val="auto"/>
              </w:rPr>
              <w:t>2543</w:t>
            </w:r>
          </w:p>
        </w:tc>
        <w:tc>
          <w:tcPr>
            <w:tcW w:w="3680" w:type="dxa"/>
            <w:vAlign w:val="bottom"/>
            <w:gridSpan w:val="3"/>
          </w:tcPr>
          <w:p>
            <w:pPr>
              <w:spacing w:after="0" w:line="149" w:lineRule="exact"/>
              <w:rPr>
                <w:sz w:val="20"/>
                <w:szCs w:val="20"/>
                <w:color w:val="auto"/>
              </w:rPr>
            </w:pPr>
            <w:r>
              <w:rPr>
                <w:rFonts w:ascii="Arial" w:cs="Arial" w:eastAsia="Arial" w:hAnsi="Arial"/>
                <w:sz w:val="17"/>
                <w:szCs w:val="17"/>
                <w:color w:val="auto"/>
              </w:rPr>
              <w:t xml:space="preserve">7. ADMINISTERED BY </w:t>
            </w:r>
            <w:r>
              <w:rPr>
                <w:rFonts w:ascii="Arial" w:cs="Arial" w:eastAsia="Arial" w:hAnsi="Arial"/>
                <w:sz w:val="17"/>
                <w:szCs w:val="17"/>
                <w:i w:val="1"/>
                <w:iCs w:val="1"/>
                <w:color w:val="auto"/>
              </w:rPr>
              <w:t>(If other than Item 6)</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Borders>
              <w:right w:val="single" w:sz="8" w:color="auto"/>
            </w:tcBorders>
          </w:tcPr>
          <w:p>
            <w:pPr>
              <w:spacing w:after="0" w:line="149" w:lineRule="exact"/>
              <w:rPr>
                <w:sz w:val="20"/>
                <w:szCs w:val="20"/>
                <w:color w:val="auto"/>
              </w:rPr>
            </w:pPr>
            <w:r>
              <w:rPr>
                <w:rFonts w:ascii="Arial" w:cs="Arial" w:eastAsia="Arial" w:hAnsi="Arial"/>
                <w:sz w:val="17"/>
                <w:szCs w:val="17"/>
                <w:color w:val="auto"/>
                <w:w w:val="93"/>
              </w:rPr>
              <w:t>CODE</w:t>
            </w:r>
          </w:p>
        </w:tc>
        <w:tc>
          <w:tcPr>
            <w:tcW w:w="900" w:type="dxa"/>
            <w:vAlign w:val="bottom"/>
          </w:tcPr>
          <w:p>
            <w:pPr>
              <w:spacing w:after="0" w:line="149" w:lineRule="exact"/>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34"/>
        </w:trPr>
        <w:tc>
          <w:tcPr>
            <w:tcW w:w="2800" w:type="dxa"/>
            <w:vAlign w:val="bottom"/>
            <w:gridSpan w:val="2"/>
            <w:vMerge w:val="restart"/>
          </w:tcPr>
          <w:p>
            <w:pPr>
              <w:ind w:left="2480"/>
              <w:spacing w:after="0" w:line="189" w:lineRule="exact"/>
              <w:rPr>
                <w:sz w:val="20"/>
                <w:szCs w:val="20"/>
                <w:color w:val="auto"/>
              </w:rPr>
            </w:pPr>
            <w:r>
              <w:rPr>
                <w:rFonts w:ascii="Arial" w:cs="Arial" w:eastAsia="Arial" w:hAnsi="Arial"/>
                <w:sz w:val="18"/>
                <w:szCs w:val="18"/>
                <w:color w:val="auto"/>
              </w:rPr>
              <w:t>(Ö)</w:t>
            </w:r>
          </w:p>
        </w:tc>
        <w:tc>
          <w:tcPr>
            <w:tcW w:w="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3680" w:type="dxa"/>
            <w:vAlign w:val="bottom"/>
            <w:gridSpan w:val="3"/>
            <w:vMerge w:val="restart"/>
          </w:tcPr>
          <w:p>
            <w:pPr>
              <w:spacing w:after="0" w:line="189" w:lineRule="exact"/>
              <w:rPr>
                <w:sz w:val="20"/>
                <w:szCs w:val="20"/>
                <w:color w:val="auto"/>
              </w:rPr>
            </w:pPr>
            <w:r>
              <w:rPr>
                <w:rFonts w:ascii="Arial" w:cs="Arial" w:eastAsia="Arial" w:hAnsi="Arial"/>
                <w:sz w:val="18"/>
                <w:szCs w:val="18"/>
                <w:color w:val="auto"/>
              </w:rPr>
              <w:t>Centers for Disease Control and Prevention</w:t>
            </w: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36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40" w:type="dxa"/>
            <w:vAlign w:val="bottom"/>
            <w:gridSpan w:val="3"/>
          </w:tcPr>
          <w:p>
            <w:pPr>
              <w:spacing w:after="0" w:line="176" w:lineRule="exact"/>
              <w:rPr>
                <w:sz w:val="20"/>
                <w:szCs w:val="20"/>
                <w:color w:val="auto"/>
              </w:rPr>
            </w:pPr>
            <w:r>
              <w:rPr>
                <w:rFonts w:ascii="Arial" w:cs="Arial" w:eastAsia="Arial" w:hAnsi="Arial"/>
                <w:sz w:val="18"/>
                <w:szCs w:val="18"/>
                <w:color w:val="auto"/>
              </w:rPr>
              <w:t>Centers for Disease Control and Prevention</w:t>
            </w:r>
          </w:p>
        </w:tc>
        <w:tc>
          <w:tcPr>
            <w:tcW w:w="44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color w:val="auto"/>
              </w:rPr>
              <w:t>Office of Acquisition Services (OAS)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spacing w:after="0" w:line="176" w:lineRule="exact"/>
              <w:rPr>
                <w:sz w:val="20"/>
                <w:szCs w:val="20"/>
                <w:color w:val="auto"/>
              </w:rPr>
            </w:pPr>
            <w:r>
              <w:rPr>
                <w:rFonts w:ascii="Arial" w:cs="Arial" w:eastAsia="Arial" w:hAnsi="Arial"/>
                <w:sz w:val="18"/>
                <w:szCs w:val="18"/>
                <w:color w:val="auto"/>
                <w:w w:val="96"/>
              </w:rPr>
              <w:t>Office of Acquisition Services (OAS)</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color w:val="auto"/>
              </w:rPr>
              <w:t>2920 Brandywine Rd, RM 3000</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spacing w:after="0" w:line="176" w:lineRule="exact"/>
              <w:rPr>
                <w:sz w:val="20"/>
                <w:szCs w:val="20"/>
                <w:color w:val="auto"/>
              </w:rPr>
            </w:pPr>
            <w:r>
              <w:rPr>
                <w:rFonts w:ascii="Arial" w:cs="Arial" w:eastAsia="Arial" w:hAnsi="Arial"/>
                <w:sz w:val="18"/>
                <w:szCs w:val="18"/>
                <w:color w:val="auto"/>
              </w:rPr>
              <w:t>2920 Brandywine Rd, RM 3000</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040" w:type="dxa"/>
            <w:vAlign w:val="bottom"/>
          </w:tcPr>
          <w:p>
            <w:pPr>
              <w:spacing w:after="0" w:line="176" w:lineRule="exact"/>
              <w:rPr>
                <w:sz w:val="20"/>
                <w:szCs w:val="20"/>
                <w:color w:val="auto"/>
              </w:rPr>
            </w:pPr>
            <w:r>
              <w:rPr>
                <w:rFonts w:ascii="Arial" w:cs="Arial" w:eastAsia="Arial" w:hAnsi="Arial"/>
                <w:sz w:val="18"/>
                <w:szCs w:val="18"/>
                <w:color w:val="auto"/>
              </w:rPr>
              <w:t>Atlanta, GA 30341-5539</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Atlanta, GA 30341-5539</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520" w:type="dxa"/>
            <w:vAlign w:val="bottom"/>
            <w:tcBorders>
              <w:bottom w:val="single" w:sz="8" w:color="auto"/>
            </w:tcBorders>
            <w:gridSpan w:val="2"/>
          </w:tcPr>
          <w:p>
            <w:pPr>
              <w:spacing w:after="0"/>
              <w:rPr>
                <w:sz w:val="12"/>
                <w:szCs w:val="12"/>
                <w:color w:val="auto"/>
              </w:rPr>
            </w:pPr>
          </w:p>
        </w:tc>
        <w:tc>
          <w:tcPr>
            <w:tcW w:w="1680" w:type="dxa"/>
            <w:vAlign w:val="bottom"/>
            <w:tcBorders>
              <w:bottom w:val="single" w:sz="8" w:color="auto"/>
              <w:right w:val="single" w:sz="8" w:color="auto"/>
            </w:tcBorders>
            <w:gridSpan w:val="2"/>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240" w:type="dxa"/>
            <w:vAlign w:val="bottom"/>
            <w:tcBorders>
              <w:right w:val="single" w:sz="8" w:color="auto"/>
            </w:tcBorders>
            <w:gridSpan w:val="5"/>
          </w:tcPr>
          <w:p>
            <w:pPr>
              <w:spacing w:after="0" w:line="122" w:lineRule="exact"/>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4"/>
                <w:szCs w:val="14"/>
                <w:i w:val="1"/>
                <w:iCs w:val="1"/>
                <w:color w:val="auto"/>
              </w:rPr>
              <w:t>(No., street, county, State and ZIP Code)</w:t>
            </w:r>
          </w:p>
        </w:tc>
        <w:tc>
          <w:tcPr>
            <w:tcW w:w="320" w:type="dxa"/>
            <w:vAlign w:val="bottom"/>
            <w:tcBorders>
              <w:right w:val="single" w:sz="8" w:color="auto"/>
            </w:tcBorders>
          </w:tcPr>
          <w:p>
            <w:pPr>
              <w:spacing w:after="0"/>
              <w:rPr>
                <w:sz w:val="10"/>
                <w:szCs w:val="10"/>
                <w:color w:val="auto"/>
              </w:rPr>
            </w:pPr>
          </w:p>
        </w:tc>
        <w:tc>
          <w:tcPr>
            <w:tcW w:w="3840" w:type="dxa"/>
            <w:vAlign w:val="bottom"/>
            <w:gridSpan w:val="5"/>
          </w:tcPr>
          <w:p>
            <w:pPr>
              <w:spacing w:after="0" w:line="122" w:lineRule="exact"/>
              <w:rPr>
                <w:sz w:val="20"/>
                <w:szCs w:val="20"/>
                <w:color w:val="auto"/>
              </w:rPr>
            </w:pPr>
            <w:r>
              <w:rPr>
                <w:rFonts w:ascii="Arial" w:cs="Arial" w:eastAsia="Arial" w:hAnsi="Arial"/>
                <w:sz w:val="14"/>
                <w:szCs w:val="14"/>
                <w:color w:val="auto"/>
              </w:rPr>
              <w:t>9A. AMENDMENT OF SOLICITATION NO.</w:t>
            </w:r>
          </w:p>
        </w:tc>
        <w:tc>
          <w:tcPr>
            <w:tcW w:w="0" w:type="dxa"/>
            <w:vAlign w:val="bottom"/>
          </w:tcPr>
          <w:p>
            <w:pPr>
              <w:spacing w:after="0"/>
              <w:rPr>
                <w:sz w:val="1"/>
                <w:szCs w:val="1"/>
                <w:color w:val="auto"/>
              </w:rPr>
            </w:pPr>
          </w:p>
        </w:tc>
      </w:tr>
      <w:tr>
        <w:trPr>
          <w:trHeight w:val="162"/>
        </w:trPr>
        <w:tc>
          <w:tcPr>
            <w:tcW w:w="5220" w:type="dxa"/>
            <w:vAlign w:val="bottom"/>
            <w:gridSpan w:val="5"/>
          </w:tcPr>
          <w:p>
            <w:pPr>
              <w:spacing w:after="0" w:line="162" w:lineRule="exact"/>
              <w:rPr>
                <w:sz w:val="20"/>
                <w:szCs w:val="20"/>
                <w:color w:val="auto"/>
              </w:rPr>
            </w:pPr>
            <w:r>
              <w:rPr>
                <w:rFonts w:ascii="Arial" w:cs="Arial" w:eastAsia="Arial" w:hAnsi="Arial"/>
                <w:sz w:val="18"/>
                <w:szCs w:val="18"/>
                <w:color w:val="auto"/>
              </w:rPr>
              <w:t>EMERGENT BIODEFENSE OPERATIONS LANSING LLC</w:t>
            </w:r>
          </w:p>
        </w:tc>
        <w:tc>
          <w:tcPr>
            <w:tcW w:w="20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4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9B. DATED </w:t>
            </w:r>
            <w:r>
              <w:rPr>
                <w:rFonts w:ascii="Arial" w:cs="Arial" w:eastAsia="Arial" w:hAnsi="Arial"/>
                <w:sz w:val="18"/>
                <w:szCs w:val="18"/>
                <w:i w:val="1"/>
                <w:iCs w:val="1"/>
                <w:color w:val="auto"/>
              </w:rPr>
              <w:t>(See Item 11)</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3500 N MARTIN LUTHER KING JR BLVD</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440" w:type="dxa"/>
            <w:vAlign w:val="bottom"/>
            <w:gridSpan w:val="3"/>
            <w:vMerge w:val="continue"/>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LANSING, MI 48906-2933</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840" w:type="dxa"/>
            <w:vAlign w:val="bottom"/>
            <w:gridSpan w:val="5"/>
          </w:tcPr>
          <w:p>
            <w:pPr>
              <w:spacing w:after="0"/>
              <w:rPr>
                <w:sz w:val="20"/>
                <w:szCs w:val="20"/>
                <w:color w:val="auto"/>
              </w:rPr>
            </w:pPr>
            <w:r>
              <w:rPr>
                <w:rFonts w:ascii="Arial" w:cs="Arial" w:eastAsia="Arial" w:hAnsi="Arial"/>
                <w:sz w:val="18"/>
                <w:szCs w:val="18"/>
                <w:color w:val="auto"/>
              </w:rPr>
              <w:t>10A. MODIFICATION OF CONTRACT/ORDER</w:t>
            </w:r>
          </w:p>
        </w:tc>
        <w:tc>
          <w:tcPr>
            <w:tcW w:w="0" w:type="dxa"/>
            <w:vAlign w:val="bottom"/>
          </w:tcPr>
          <w:p>
            <w:pPr>
              <w:spacing w:after="0"/>
              <w:rPr>
                <w:sz w:val="1"/>
                <w:szCs w:val="1"/>
                <w:color w:val="auto"/>
              </w:rPr>
            </w:pPr>
          </w:p>
        </w:tc>
      </w:tr>
      <w:tr>
        <w:trPr>
          <w:trHeight w:val="135"/>
        </w:trPr>
        <w:tc>
          <w:tcPr>
            <w:tcW w:w="28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5"/>
                <w:szCs w:val="15"/>
                <w:color w:val="auto"/>
              </w:rPr>
              <w:t>NO.</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20" w:type="dxa"/>
            <w:vAlign w:val="bottom"/>
          </w:tcPr>
          <w:p>
            <w:pPr>
              <w:spacing w:after="0" w:line="162" w:lineRule="exact"/>
              <w:rPr>
                <w:sz w:val="20"/>
                <w:szCs w:val="20"/>
                <w:color w:val="auto"/>
              </w:rPr>
            </w:pPr>
            <w:r>
              <w:rPr>
                <w:rFonts w:ascii="Arial" w:cs="Arial" w:eastAsia="Arial" w:hAnsi="Arial"/>
                <w:sz w:val="18"/>
                <w:szCs w:val="18"/>
                <w:color w:val="auto"/>
                <w:w w:val="98"/>
              </w:rPr>
              <w:t>200-2017-92634</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440" w:type="dxa"/>
            <w:vAlign w:val="bottom"/>
            <w:gridSpan w:val="3"/>
          </w:tcPr>
          <w:p>
            <w:pPr>
              <w:spacing w:after="0"/>
              <w:rPr>
                <w:sz w:val="20"/>
                <w:szCs w:val="20"/>
                <w:color w:val="auto"/>
              </w:rPr>
            </w:pPr>
            <w:r>
              <w:rPr>
                <w:rFonts w:ascii="Arial" w:cs="Arial" w:eastAsia="Arial" w:hAnsi="Arial"/>
                <w:sz w:val="18"/>
                <w:szCs w:val="18"/>
                <w:color w:val="auto"/>
              </w:rPr>
              <w:t xml:space="preserve">10B. DATED </w:t>
            </w:r>
            <w:r>
              <w:rPr>
                <w:rFonts w:ascii="Arial" w:cs="Arial" w:eastAsia="Arial" w:hAnsi="Arial"/>
                <w:sz w:val="18"/>
                <w:szCs w:val="18"/>
                <w:i w:val="1"/>
                <w:iCs w:val="1"/>
                <w:color w:val="auto"/>
              </w:rPr>
              <w:t>(See Item 13)</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w:t>
            </w:r>
          </w:p>
        </w:tc>
        <w:tc>
          <w:tcPr>
            <w:tcW w:w="1320" w:type="dxa"/>
            <w:vAlign w:val="bottom"/>
            <w:vMerge w:val="restart"/>
          </w:tcPr>
          <w:p>
            <w:pPr>
              <w:spacing w:after="0"/>
              <w:rPr>
                <w:sz w:val="20"/>
                <w:szCs w:val="20"/>
                <w:color w:val="auto"/>
              </w:rPr>
            </w:pPr>
            <w:r>
              <w:rPr>
                <w:rFonts w:ascii="Arial" w:cs="Arial" w:eastAsia="Arial" w:hAnsi="Arial"/>
                <w:sz w:val="18"/>
                <w:szCs w:val="18"/>
                <w:color w:val="auto"/>
              </w:rPr>
              <w:t>12/08/2016</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CODE   026489018</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FACILITY CODE</w:t>
            </w:r>
          </w:p>
        </w:tc>
        <w:tc>
          <w:tcPr>
            <w:tcW w:w="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gridSpan w:val="6"/>
          </w:tcPr>
          <w:p>
            <w:pPr>
              <w:ind w:left="80"/>
              <w:spacing w:after="0" w:line="176" w:lineRule="exact"/>
              <w:rPr>
                <w:sz w:val="20"/>
                <w:szCs w:val="20"/>
                <w:color w:val="auto"/>
              </w:rPr>
            </w:pPr>
            <w:r>
              <w:rPr>
                <w:rFonts w:ascii="Arial" w:cs="Arial" w:eastAsia="Arial" w:hAnsi="Arial"/>
                <w:sz w:val="18"/>
                <w:szCs w:val="18"/>
                <w:color w:val="auto"/>
              </w:rPr>
              <w:t>11. THIS ITEM ONLY APPLIES TO AMENDMENTS OF SOLICITATIONS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880" w:type="dxa"/>
            <w:vAlign w:val="bottom"/>
            <w:gridSpan w:val="7"/>
          </w:tcPr>
          <w:p>
            <w:pPr>
              <w:ind w:left="260"/>
              <w:spacing w:after="0" w:line="137" w:lineRule="exact"/>
              <w:rPr>
                <w:sz w:val="20"/>
                <w:szCs w:val="20"/>
                <w:color w:val="auto"/>
              </w:rPr>
            </w:pPr>
            <w:r>
              <w:rPr>
                <w:rFonts w:ascii="Arial" w:cs="Arial" w:eastAsia="Arial" w:hAnsi="Arial"/>
                <w:sz w:val="15"/>
                <w:szCs w:val="15"/>
                <w:color w:val="auto"/>
              </w:rPr>
              <w:t>The above numbered solicitation is amended as set forth in Item 14. The hour and date specified for receipt of Offers</w:t>
            </w:r>
          </w:p>
        </w:tc>
        <w:tc>
          <w:tcPr>
            <w:tcW w:w="1120" w:type="dxa"/>
            <w:vAlign w:val="bottom"/>
            <w:gridSpan w:val="2"/>
          </w:tcPr>
          <w:p>
            <w:pPr>
              <w:ind w:left="120"/>
              <w:spacing w:after="0" w:line="137" w:lineRule="exact"/>
              <w:rPr>
                <w:sz w:val="20"/>
                <w:szCs w:val="20"/>
                <w:color w:val="auto"/>
              </w:rPr>
            </w:pPr>
            <w:r>
              <w:rPr>
                <w:rFonts w:ascii="Arial" w:cs="Arial" w:eastAsia="Arial" w:hAnsi="Arial"/>
                <w:sz w:val="15"/>
                <w:szCs w:val="15"/>
                <w:color w:val="auto"/>
              </w:rPr>
              <w:t>is extended,</w:t>
            </w:r>
          </w:p>
        </w:tc>
        <w:tc>
          <w:tcPr>
            <w:tcW w:w="1400" w:type="dxa"/>
            <w:vAlign w:val="bottom"/>
            <w:gridSpan w:val="2"/>
          </w:tcPr>
          <w:p>
            <w:pPr>
              <w:ind w:left="160"/>
              <w:spacing w:after="0" w:line="137" w:lineRule="exact"/>
              <w:rPr>
                <w:sz w:val="20"/>
                <w:szCs w:val="20"/>
                <w:color w:val="auto"/>
              </w:rPr>
            </w:pPr>
            <w:r>
              <w:rPr>
                <w:rFonts w:ascii="Arial" w:cs="Arial" w:eastAsia="Arial" w:hAnsi="Arial"/>
                <w:sz w:val="15"/>
                <w:szCs w:val="15"/>
                <w:color w:val="auto"/>
              </w:rPr>
              <w:t>is not extended.</w:t>
            </w:r>
          </w:p>
        </w:tc>
        <w:tc>
          <w:tcPr>
            <w:tcW w:w="0" w:type="dxa"/>
            <w:vAlign w:val="bottom"/>
          </w:tcPr>
          <w:p>
            <w:pPr>
              <w:spacing w:after="0"/>
              <w:rPr>
                <w:sz w:val="1"/>
                <w:szCs w:val="1"/>
                <w:color w:val="auto"/>
              </w:rPr>
            </w:pPr>
          </w:p>
        </w:tc>
      </w:tr>
    </w:tbl>
    <w:p>
      <w:pPr>
        <w:ind w:right="220"/>
        <w:spacing w:after="0" w:line="187" w:lineRule="auto"/>
        <w:rPr>
          <w:sz w:val="20"/>
          <w:szCs w:val="20"/>
          <w:color w:val="auto"/>
        </w:rPr>
      </w:pPr>
      <w:r>
        <w:rPr>
          <w:rFonts w:ascii="Arial" w:cs="Arial" w:eastAsia="Arial" w:hAnsi="Arial"/>
          <w:sz w:val="18"/>
          <w:szCs w:val="18"/>
          <w:color w:val="auto"/>
        </w:rPr>
        <w:t>Offers must acknowledge receipt of this amendment prior to the hour and date specified in the solicitation or as amended, by one of the following methods: (a) By completing Items 8 and 15, and returning copies of the amendment; (b) By acknowledging receipt of this amendment on each copy of the offer submitted; or (c) By separate letter or telegram which includes a reference to the solicitation and amendment numbers. FAILURE OF YOUR ACKNOWLEGMENT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-401320</wp:posOffset>
            </wp:positionV>
            <wp:extent cx="114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-401320</wp:posOffset>
            </wp:positionV>
            <wp:extent cx="114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-195580</wp:posOffset>
            </wp:positionV>
            <wp:extent cx="171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jc w:val="both"/>
        <w:ind w:right="140"/>
        <w:spacing w:after="0" w:line="187" w:lineRule="auto"/>
        <w:rPr>
          <w:sz w:val="20"/>
          <w:szCs w:val="20"/>
          <w:color w:val="auto"/>
        </w:rPr>
      </w:pPr>
      <w:r>
        <w:rPr>
          <w:rFonts w:ascii="Arial" w:cs="Arial" w:eastAsia="Arial" w:hAnsi="Arial"/>
          <w:sz w:val="18"/>
          <w:szCs w:val="18"/>
          <w:color w:val="auto"/>
        </w:rPr>
        <w:t>TO BE RECEIVED AT THE PLACE DESIGNATED FOR THE RECEIPT OF OFFERS PRIOR TO THE HOUR AND DATE SPECIFIED MAY RESULT IN REJECTION OF YOUR OFFER. If by virtue of this amendment you desire to change an offer already submitted, such change may be made by telegram or letter,</w:t>
      </w:r>
    </w:p>
    <w:p>
      <w:pPr>
        <w:spacing w:after="0" w:line="218" w:lineRule="auto"/>
        <w:rPr>
          <w:sz w:val="20"/>
          <w:szCs w:val="20"/>
          <w:color w:val="auto"/>
        </w:rPr>
      </w:pPr>
      <w:r>
        <w:rPr>
          <w:rFonts w:ascii="Arial" w:cs="Arial" w:eastAsia="Arial" w:hAnsi="Arial"/>
          <w:sz w:val="17"/>
          <w:szCs w:val="17"/>
          <w:color w:val="auto"/>
        </w:rPr>
        <w:t>provided each telegram or letter makes reference to the solicitation and this amendment, and is received prior to the opening hour and date specified.</w:t>
      </w:r>
    </w:p>
    <w:p>
      <w:pPr>
        <w:ind w:right="6640" w:firstLine="8"/>
        <w:spacing w:after="0" w:line="214" w:lineRule="auto"/>
        <w:tabs>
          <w:tab w:leader="none" w:pos="2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ACCOUNTING AND APPROPRIATION DATA </w:t>
      </w:r>
      <w:r>
        <w:rPr>
          <w:rFonts w:ascii="Arial" w:cs="Arial" w:eastAsia="Arial" w:hAnsi="Arial"/>
          <w:sz w:val="17"/>
          <w:szCs w:val="17"/>
          <w:i w:val="1"/>
          <w:iCs w:val="1"/>
          <w:color w:val="auto"/>
        </w:rPr>
        <w:t>(If required)</w:t>
      </w:r>
      <w:r>
        <w:rPr>
          <w:rFonts w:ascii="Arial" w:cs="Arial" w:eastAsia="Arial" w:hAnsi="Arial"/>
          <w:sz w:val="17"/>
          <w:szCs w:val="17"/>
          <w:color w:val="auto"/>
        </w:rPr>
        <w:t xml:space="preserve"> 939ZWUX 2642 2018 75-X-0956 5664711101 Increase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40" w:type="dxa"/>
            <w:vAlign w:val="bottom"/>
            <w:tcBorders>
              <w:top w:val="single" w:sz="8" w:color="auto"/>
            </w:tcBorders>
          </w:tcPr>
          <w:p>
            <w:pPr>
              <w:jc w:val="center"/>
              <w:ind w:right="1097"/>
              <w:spacing w:after="0" w:line="142" w:lineRule="exact"/>
              <w:rPr>
                <w:sz w:val="20"/>
                <w:szCs w:val="20"/>
                <w:color w:val="auto"/>
              </w:rPr>
            </w:pPr>
            <w:r>
              <w:rPr>
                <w:rFonts w:ascii="Arial" w:cs="Arial" w:eastAsia="Arial" w:hAnsi="Arial"/>
                <w:sz w:val="16"/>
                <w:szCs w:val="16"/>
                <w:color w:val="auto"/>
              </w:rPr>
              <w:t>(Ö)</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40" w:type="dxa"/>
            <w:vAlign w:val="bottom"/>
          </w:tcPr>
          <w:p>
            <w:pPr>
              <w:jc w:val="center"/>
              <w:ind w:right="1077"/>
              <w:spacing w:after="0" w:line="176" w:lineRule="exact"/>
              <w:rPr>
                <w:sz w:val="20"/>
                <w:szCs w:val="20"/>
                <w:color w:val="auto"/>
              </w:rPr>
            </w:pPr>
            <w:r>
              <w:rPr>
                <w:rFonts w:ascii="Arial" w:cs="Arial" w:eastAsia="Arial" w:hAnsi="Arial"/>
                <w:sz w:val="18"/>
                <w:szCs w:val="18"/>
                <w:color w:val="auto"/>
                <w:w w:val="95"/>
              </w:rPr>
              <w:t>13. THIS ITEM APPLIES ONLY TO MODIFICATIONS OF CONTRACTS/ORDERS,</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40" w:type="dxa"/>
            <w:vAlign w:val="bottom"/>
            <w:tcBorders>
              <w:bottom w:val="single" w:sz="8" w:color="auto"/>
            </w:tcBorders>
          </w:tcPr>
          <w:p>
            <w:pPr>
              <w:jc w:val="center"/>
              <w:ind w:right="1077"/>
              <w:spacing w:after="0" w:line="202" w:lineRule="exact"/>
              <w:rPr>
                <w:sz w:val="20"/>
                <w:szCs w:val="20"/>
                <w:color w:val="auto"/>
              </w:rPr>
            </w:pPr>
            <w:r>
              <w:rPr>
                <w:rFonts w:ascii="Arial" w:cs="Arial" w:eastAsia="Arial" w:hAnsi="Arial"/>
                <w:sz w:val="18"/>
                <w:szCs w:val="18"/>
                <w:color w:val="auto"/>
                <w:w w:val="96"/>
              </w:rPr>
              <w:t>IT MODIFIES THE CONTRACT/ORDER NO. AS DESCRIBED IN ITEM 14.</w:t>
            </w:r>
          </w:p>
        </w:tc>
      </w:tr>
      <w:tr>
        <w:trPr>
          <w:trHeight w:val="122"/>
        </w:trPr>
        <w:tc>
          <w:tcPr>
            <w:tcW w:w="2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4"/>
                <w:szCs w:val="14"/>
                <w:color w:val="auto"/>
              </w:rPr>
              <w:t>ITEM</w:t>
            </w:r>
          </w:p>
        </w:tc>
        <w:tc>
          <w:tcPr>
            <w:tcW w:w="640" w:type="dxa"/>
            <w:vAlign w:val="bottom"/>
          </w:tcPr>
          <w:p>
            <w:pPr>
              <w:ind w:left="100"/>
              <w:spacing w:after="0" w:line="122" w:lineRule="exact"/>
              <w:rPr>
                <w:sz w:val="20"/>
                <w:szCs w:val="20"/>
                <w:color w:val="auto"/>
              </w:rPr>
            </w:pPr>
            <w:r>
              <w:rPr>
                <w:rFonts w:ascii="Arial" w:cs="Arial" w:eastAsia="Arial" w:hAnsi="Arial"/>
                <w:sz w:val="14"/>
                <w:szCs w:val="14"/>
                <w:color w:val="auto"/>
              </w:rPr>
              <w:t>A.</w:t>
            </w:r>
          </w:p>
        </w:tc>
        <w:tc>
          <w:tcPr>
            <w:tcW w:w="10240" w:type="dxa"/>
            <w:vAlign w:val="bottom"/>
          </w:tcPr>
          <w:p>
            <w:pPr>
              <w:ind w:left="360"/>
              <w:spacing w:after="0" w:line="122" w:lineRule="exact"/>
              <w:rPr>
                <w:sz w:val="20"/>
                <w:szCs w:val="20"/>
                <w:color w:val="auto"/>
              </w:rPr>
            </w:pPr>
            <w:r>
              <w:rPr>
                <w:rFonts w:ascii="Arial" w:cs="Arial" w:eastAsia="Arial" w:hAnsi="Arial"/>
                <w:sz w:val="14"/>
                <w:szCs w:val="14"/>
                <w:color w:val="auto"/>
              </w:rPr>
              <w:t xml:space="preserve">THIS CHANGE ORDER IS ISSUED PURSUANT TO: </w:t>
            </w:r>
            <w:r>
              <w:rPr>
                <w:rFonts w:ascii="Arial" w:cs="Arial" w:eastAsia="Arial" w:hAnsi="Arial"/>
                <w:sz w:val="14"/>
                <w:szCs w:val="14"/>
                <w:i w:val="1"/>
                <w:iCs w:val="1"/>
                <w:color w:val="auto"/>
              </w:rPr>
              <w:t>(Specify authority)</w:t>
            </w:r>
            <w:r>
              <w:rPr>
                <w:rFonts w:ascii="Arial" w:cs="Arial" w:eastAsia="Arial" w:hAnsi="Arial"/>
                <w:sz w:val="14"/>
                <w:szCs w:val="14"/>
                <w:color w:val="auto"/>
              </w:rPr>
              <w:t xml:space="preserve"> THE CHANGES SET FORTH IN ITEM 14 ARE MADE</w:t>
            </w:r>
          </w:p>
        </w:tc>
      </w:tr>
      <w:tr>
        <w:trPr>
          <w:trHeight w:val="243"/>
        </w:trPr>
        <w:tc>
          <w:tcPr>
            <w:tcW w:w="540" w:type="dxa"/>
            <w:vAlign w:val="bottom"/>
            <w:gridSpan w:val="2"/>
          </w:tcPr>
          <w:p>
            <w:pPr>
              <w:spacing w:after="0"/>
              <w:rPr>
                <w:sz w:val="20"/>
                <w:szCs w:val="20"/>
                <w:color w:val="auto"/>
              </w:rPr>
            </w:pPr>
            <w:r>
              <w:rPr>
                <w:rFonts w:ascii="Arial" w:cs="Arial" w:eastAsia="Arial" w:hAnsi="Arial"/>
                <w:sz w:val="18"/>
                <w:szCs w:val="18"/>
                <w:color w:val="auto"/>
              </w:rPr>
              <w:t>10A.</w:t>
            </w:r>
          </w:p>
        </w:tc>
        <w:tc>
          <w:tcPr>
            <w:tcW w:w="10880" w:type="dxa"/>
            <w:vAlign w:val="bottom"/>
            <w:gridSpan w:val="2"/>
          </w:tcPr>
          <w:p>
            <w:pPr>
              <w:ind w:left="100"/>
              <w:spacing w:after="0"/>
              <w:rPr>
                <w:sz w:val="20"/>
                <w:szCs w:val="20"/>
                <w:color w:val="auto"/>
              </w:rPr>
            </w:pPr>
            <w:r>
              <w:rPr>
                <w:rFonts w:ascii="Arial" w:cs="Arial" w:eastAsia="Arial" w:hAnsi="Arial"/>
                <w:sz w:val="18"/>
                <w:szCs w:val="18"/>
                <w:color w:val="auto"/>
              </w:rPr>
              <w:t>IN THE CONTRACT ORDER NO.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157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157605"/>
                    </a:xfrm>
                    <a:prstGeom prst="rect">
                      <a:avLst/>
                    </a:prstGeom>
                    <a:noFill/>
                  </pic:spPr>
                </pic:pic>
              </a:graphicData>
            </a:graphic>
          </wp:anchor>
        </w:drawing>
      </w:r>
    </w:p>
    <w:p>
      <w:pPr>
        <w:spacing w:after="0" w:line="166" w:lineRule="exact"/>
        <w:rPr>
          <w:sz w:val="20"/>
          <w:szCs w:val="20"/>
          <w:color w:val="auto"/>
        </w:rPr>
      </w:pPr>
    </w:p>
    <w:p>
      <w:pPr>
        <w:ind w:left="1520" w:hanging="877"/>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ABOVE NUMBERED CONTRACT/ORDER IS MODIFIED TO REFLECT THE ADMINISTRATIVE CHANGES </w:t>
      </w:r>
      <w:r>
        <w:rPr>
          <w:rFonts w:ascii="Arial" w:cs="Arial" w:eastAsia="Arial" w:hAnsi="Arial"/>
          <w:sz w:val="18"/>
          <w:szCs w:val="18"/>
          <w:i w:val="1"/>
          <w:iCs w:val="1"/>
          <w:color w:val="auto"/>
        </w:rPr>
        <w:t>(such as</w:t>
      </w:r>
    </w:p>
    <w:p>
      <w:pPr>
        <w:ind w:left="640"/>
        <w:spacing w:after="0"/>
        <w:tabs>
          <w:tab w:leader="none" w:pos="4080" w:val="left"/>
        </w:tabs>
        <w:rPr>
          <w:sz w:val="20"/>
          <w:szCs w:val="20"/>
          <w:color w:val="auto"/>
        </w:rPr>
      </w:pPr>
      <w:r>
        <w:rPr>
          <w:rFonts w:ascii="Arial" w:cs="Arial" w:eastAsia="Arial" w:hAnsi="Arial"/>
          <w:sz w:val="18"/>
          <w:szCs w:val="18"/>
          <w:i w:val="1"/>
          <w:iCs w:val="1"/>
          <w:color w:val="auto"/>
        </w:rPr>
        <w:t>changes in paying office, appropriation date,</w:t>
      </w:r>
      <w:r>
        <w:rPr>
          <w:sz w:val="20"/>
          <w:szCs w:val="20"/>
          <w:color w:val="auto"/>
        </w:rPr>
        <w:tab/>
      </w:r>
      <w:r>
        <w:rPr>
          <w:rFonts w:ascii="Arial" w:cs="Arial" w:eastAsia="Arial" w:hAnsi="Arial"/>
          <w:sz w:val="17"/>
          <w:szCs w:val="17"/>
          <w:i w:val="1"/>
          <w:iCs w:val="1"/>
          <w:color w:val="auto"/>
        </w:rPr>
        <w:t xml:space="preserve">etc.) </w:t>
      </w:r>
      <w:r>
        <w:rPr>
          <w:rFonts w:ascii="Arial" w:cs="Arial" w:eastAsia="Arial" w:hAnsi="Arial"/>
          <w:sz w:val="17"/>
          <w:szCs w:val="17"/>
          <w:color w:val="auto"/>
        </w:rPr>
        <w:t>SET FORTH IN ITEM 14, PURSUANT TO THE AUTHORITY OF FAR 43.103(b).</w:t>
      </w:r>
    </w:p>
    <w:p>
      <w:pPr>
        <w:spacing w:after="0" w:line="7"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color w:val="auto"/>
        </w:rPr>
        <w:t>THIS SUPPLEMENTAL AGREEMENT IS ENTERED INTO PURSUANT TO AUTHORITY OF:</w:t>
      </w:r>
    </w:p>
    <w:p>
      <w:pPr>
        <w:ind w:left="760"/>
        <w:spacing w:after="0" w:line="216" w:lineRule="auto"/>
        <w:rPr>
          <w:sz w:val="20"/>
          <w:szCs w:val="20"/>
          <w:color w:val="auto"/>
        </w:rPr>
      </w:pPr>
      <w:r>
        <w:rPr>
          <w:rFonts w:ascii="Arial" w:cs="Arial" w:eastAsia="Arial" w:hAnsi="Arial"/>
          <w:sz w:val="18"/>
          <w:szCs w:val="18"/>
          <w:color w:val="auto"/>
        </w:rPr>
        <w:t>52.217-7 Option for Increased Quantity—Separately Priced Line Item.</w:t>
      </w:r>
    </w:p>
    <w:p>
      <w:pPr>
        <w:ind w:left="1540" w:hanging="897"/>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(Specify type of modification and authority)</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 IMPORTANT: Contractor is not, Xis required to sign this document and return 1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-12700</wp:posOffset>
            </wp:positionV>
            <wp:extent cx="228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580" w:firstLine="8"/>
        <w:spacing w:after="0" w:line="182"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w:t>
      </w:r>
      <w:r>
        <w:rPr>
          <w:rFonts w:ascii="Arial" w:cs="Arial" w:eastAsia="Arial" w:hAnsi="Arial"/>
          <w:sz w:val="17"/>
          <w:szCs w:val="17"/>
          <w:i w:val="1"/>
          <w:iCs w:val="1"/>
          <w:color w:val="auto"/>
        </w:rPr>
        <w:t>(Organized by UCF section headings, including solicitation/contract subject matter where</w:t>
      </w:r>
      <w:r>
        <w:rPr>
          <w:rFonts w:ascii="Arial" w:cs="Arial" w:eastAsia="Arial" w:hAnsi="Arial"/>
          <w:sz w:val="17"/>
          <w:szCs w:val="17"/>
          <w:color w:val="auto"/>
        </w:rPr>
        <w:t xml:space="preserve"> </w:t>
      </w:r>
      <w:r>
        <w:rPr>
          <w:rFonts w:ascii="Arial" w:cs="Arial" w:eastAsia="Arial" w:hAnsi="Arial"/>
          <w:sz w:val="17"/>
          <w:szCs w:val="17"/>
          <w:i w:val="1"/>
          <w:iCs w:val="1"/>
          <w:color w:val="auto"/>
        </w:rPr>
        <w:t>feasible.)</w:t>
      </w:r>
    </w:p>
    <w:p>
      <w:pPr>
        <w:spacing w:after="0" w:line="219" w:lineRule="auto"/>
        <w:rPr>
          <w:rFonts w:ascii="Arial" w:cs="Arial" w:eastAsia="Arial" w:hAnsi="Arial"/>
          <w:sz w:val="17"/>
          <w:szCs w:val="17"/>
          <w:color w:val="auto"/>
        </w:rPr>
      </w:pPr>
      <w:r>
        <w:rPr>
          <w:rFonts w:ascii="Arial" w:cs="Arial" w:eastAsia="Arial" w:hAnsi="Arial"/>
          <w:sz w:val="18"/>
          <w:szCs w:val="18"/>
          <w:color w:val="auto"/>
        </w:rPr>
        <w:t>This modification is issued to:</w:t>
      </w:r>
    </w:p>
    <w:p>
      <w:pPr>
        <w:ind w:left="400" w:hanging="295"/>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Exercise alternate SubCLIN 2004 from Optional CLIN 0002;</w:t>
      </w:r>
    </w:p>
    <w:p>
      <w:pPr>
        <w:spacing w:after="0" w:line="7" w:lineRule="exact"/>
        <w:rPr>
          <w:rFonts w:ascii="Arial" w:cs="Arial" w:eastAsia="Arial" w:hAnsi="Arial"/>
          <w:sz w:val="18"/>
          <w:szCs w:val="18"/>
          <w:color w:val="auto"/>
        </w:rPr>
      </w:pPr>
    </w:p>
    <w:p>
      <w:pPr>
        <w:ind w:left="400" w:hanging="295"/>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and fund [**] doses on CLIN 2004 in the amount of $[**];</w:t>
      </w:r>
    </w:p>
    <w:p>
      <w:pPr>
        <w:spacing w:after="0" w:line="9" w:lineRule="exact"/>
        <w:rPr>
          <w:rFonts w:ascii="Arial" w:cs="Arial" w:eastAsia="Arial" w:hAnsi="Arial"/>
          <w:sz w:val="18"/>
          <w:szCs w:val="18"/>
          <w:color w:val="auto"/>
        </w:rPr>
      </w:pPr>
    </w:p>
    <w:p>
      <w:pPr>
        <w:ind w:left="400" w:hanging="295"/>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fundng for this contract has increased by $[**] from $[**]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the same.</w:t>
      </w:r>
    </w:p>
    <w:p>
      <w:pPr>
        <w:ind w:right="400"/>
        <w:spacing w:after="0" w:line="182" w:lineRule="auto"/>
        <w:rPr>
          <w:sz w:val="20"/>
          <w:szCs w:val="20"/>
          <w:color w:val="auto"/>
        </w:rPr>
      </w:pPr>
      <w:r>
        <w:rPr>
          <w:rFonts w:ascii="Arial" w:cs="Arial" w:eastAsia="Arial" w:hAnsi="Arial"/>
          <w:sz w:val="17"/>
          <w:szCs w:val="17"/>
          <w:color w:val="auto"/>
        </w:rPr>
        <w:t>Except as provided herein, all terms and conditions of the document referenced in Item 9A or 10A, as heretofore changed, remains unchanged and in full force and effect.</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40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1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right w:val="single" w:sz="8" w:color="auto"/>
            </w:tcBorders>
          </w:tcPr>
          <w:p>
            <w:pPr>
              <w:spacing w:after="0"/>
              <w:rPr>
                <w:sz w:val="12"/>
                <w:szCs w:val="12"/>
                <w:color w:val="auto"/>
              </w:rPr>
            </w:pPr>
          </w:p>
        </w:tc>
        <w:tc>
          <w:tcPr>
            <w:tcW w:w="366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6"/>
                <w:szCs w:val="16"/>
                <w:color w:val="auto"/>
              </w:rPr>
              <w:t>16A. NAME OF CONTRACTING OFFICER</w:t>
            </w: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20" w:type="dxa"/>
            <w:vAlign w:val="bottom"/>
            <w:gridSpan w:val="4"/>
          </w:tcPr>
          <w:p>
            <w:pPr>
              <w:spacing w:after="0"/>
              <w:rPr>
                <w:sz w:val="20"/>
                <w:szCs w:val="20"/>
                <w:color w:val="auto"/>
              </w:rPr>
            </w:pPr>
            <w:r>
              <w:rPr>
                <w:rFonts w:ascii="Arial" w:cs="Arial" w:eastAsia="Arial" w:hAnsi="Arial"/>
                <w:sz w:val="18"/>
                <w:szCs w:val="18"/>
                <w:color w:val="auto"/>
              </w:rPr>
              <w:t>Robert G. Kramer/President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Sherrie N Randall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00" w:type="dxa"/>
            <w:vAlign w:val="bottom"/>
            <w:tcBorders>
              <w:right w:val="single" w:sz="8" w:color="auto"/>
            </w:tcBorders>
            <w:gridSpan w:val="3"/>
          </w:tcPr>
          <w:p>
            <w:pPr>
              <w:spacing w:after="0" w:line="122" w:lineRule="exact"/>
              <w:rPr>
                <w:sz w:val="20"/>
                <w:szCs w:val="20"/>
                <w:color w:val="auto"/>
              </w:rPr>
            </w:pPr>
            <w:r>
              <w:rPr>
                <w:rFonts w:ascii="Arial" w:cs="Arial" w:eastAsia="Arial" w:hAnsi="Arial"/>
                <w:sz w:val="14"/>
                <w:szCs w:val="14"/>
                <w:color w:val="auto"/>
              </w:rPr>
              <w:t>15B. CONTRACTOR/OFFEROR</w:t>
            </w:r>
          </w:p>
        </w:tc>
        <w:tc>
          <w:tcPr>
            <w:tcW w:w="1580" w:type="dxa"/>
            <w:vAlign w:val="bottom"/>
            <w:tcBorders>
              <w:right w:val="single" w:sz="8" w:color="auto"/>
            </w:tcBorders>
          </w:tcPr>
          <w:p>
            <w:pPr>
              <w:spacing w:after="0" w:line="122" w:lineRule="exact"/>
              <w:rPr>
                <w:sz w:val="20"/>
                <w:szCs w:val="20"/>
                <w:color w:val="auto"/>
              </w:rPr>
            </w:pPr>
            <w:r>
              <w:rPr>
                <w:rFonts w:ascii="Arial" w:cs="Arial" w:eastAsia="Arial" w:hAnsi="Arial"/>
                <w:sz w:val="14"/>
                <w:szCs w:val="14"/>
                <w:color w:val="auto"/>
              </w:rPr>
              <w:t>15C. DATE</w:t>
            </w:r>
          </w:p>
        </w:tc>
        <w:tc>
          <w:tcPr>
            <w:tcW w:w="4280" w:type="dxa"/>
            <w:vAlign w:val="bottom"/>
            <w:tcBorders>
              <w:right w:val="single" w:sz="8" w:color="auto"/>
            </w:tcBorders>
            <w:gridSpan w:val="4"/>
          </w:tcPr>
          <w:p>
            <w:pPr>
              <w:spacing w:after="0" w:line="122" w:lineRule="exact"/>
              <w:rPr>
                <w:sz w:val="20"/>
                <w:szCs w:val="20"/>
                <w:color w:val="auto"/>
              </w:rPr>
            </w:pPr>
            <w:r>
              <w:rPr>
                <w:rFonts w:ascii="Arial" w:cs="Arial" w:eastAsia="Arial" w:hAnsi="Arial"/>
                <w:sz w:val="14"/>
                <w:szCs w:val="14"/>
                <w:color w:val="auto"/>
              </w:rPr>
              <w:t>16B. UNITED STATES OF AMERICA</w:t>
            </w:r>
          </w:p>
        </w:tc>
        <w:tc>
          <w:tcPr>
            <w:tcW w:w="1140" w:type="dxa"/>
            <w:vAlign w:val="bottom"/>
          </w:tcPr>
          <w:p>
            <w:pPr>
              <w:spacing w:after="0" w:line="122" w:lineRule="exact"/>
              <w:rPr>
                <w:sz w:val="20"/>
                <w:szCs w:val="20"/>
                <w:color w:val="auto"/>
              </w:rPr>
            </w:pPr>
            <w:r>
              <w:rPr>
                <w:rFonts w:ascii="Arial" w:cs="Arial" w:eastAsia="Arial" w:hAnsi="Arial"/>
                <w:sz w:val="14"/>
                <w:szCs w:val="14"/>
                <w:color w:val="auto"/>
              </w:rPr>
              <w:t>16C. DATE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____/s/ Robert G. Kramer_______________________</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SIGNED</w:t>
            </w:r>
          </w:p>
        </w:tc>
        <w:tc>
          <w:tcPr>
            <w:tcW w:w="42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BY /s/ Sherrie N. Randall__________________________</w:t>
            </w:r>
          </w:p>
        </w:tc>
        <w:tc>
          <w:tcPr>
            <w:tcW w:w="1140" w:type="dxa"/>
            <w:vAlign w:val="bottom"/>
          </w:tcPr>
          <w:p>
            <w:pPr>
              <w:spacing w:after="0"/>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42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vMerge w:val="restart"/>
          </w:tcPr>
          <w:p>
            <w:pPr>
              <w:ind w:left="420"/>
              <w:spacing w:after="0"/>
              <w:rPr>
                <w:sz w:val="20"/>
                <w:szCs w:val="20"/>
                <w:color w:val="auto"/>
              </w:rPr>
            </w:pPr>
            <w:r>
              <w:rPr>
                <w:rFonts w:ascii="Arial" w:cs="Arial" w:eastAsia="Arial" w:hAnsi="Arial"/>
                <w:sz w:val="18"/>
                <w:szCs w:val="18"/>
                <w:color w:val="auto"/>
              </w:rPr>
              <w:t>18 Jun 18</w:t>
            </w:r>
          </w:p>
        </w:tc>
        <w:tc>
          <w:tcPr>
            <w:tcW w:w="32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8"/>
                <w:szCs w:val="18"/>
                <w:color w:val="auto"/>
              </w:rPr>
              <w:t>06/18/2018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940" w:type="dxa"/>
            <w:vAlign w:val="bottom"/>
            <w:tcBorders>
              <w:bottom w:val="single" w:sz="8" w:color="auto"/>
              <w:right w:val="single" w:sz="8" w:color="auto"/>
            </w:tcBorders>
            <w:gridSpan w:val="2"/>
          </w:tcPr>
          <w:p>
            <w:pPr>
              <w:ind w:left="280"/>
              <w:spacing w:after="0" w:line="202" w:lineRule="exact"/>
              <w:rPr>
                <w:sz w:val="20"/>
                <w:szCs w:val="20"/>
                <w:color w:val="auto"/>
              </w:rPr>
            </w:pPr>
            <w:r>
              <w:rPr>
                <w:rFonts w:ascii="Arial" w:cs="Arial" w:eastAsia="Arial" w:hAnsi="Arial"/>
                <w:sz w:val="18"/>
                <w:szCs w:val="18"/>
                <w:i w:val="1"/>
                <w:iCs w:val="1"/>
                <w:color w:val="auto"/>
              </w:rPr>
              <w:t>(Signature of person authorized to sign)</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400"/>
              <w:spacing w:after="0" w:line="202" w:lineRule="exact"/>
              <w:rPr>
                <w:sz w:val="20"/>
                <w:szCs w:val="20"/>
                <w:color w:val="auto"/>
              </w:rPr>
            </w:pPr>
            <w:r>
              <w:rPr>
                <w:rFonts w:ascii="Arial" w:cs="Arial" w:eastAsia="Arial" w:hAnsi="Arial"/>
                <w:sz w:val="18"/>
                <w:szCs w:val="18"/>
                <w:i w:val="1"/>
                <w:iCs w:val="1"/>
                <w:color w:val="auto"/>
              </w:rPr>
              <w:t>(Signature of Contracting Officer)</w:t>
            </w: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gridSpan w:val="3"/>
          </w:tcPr>
          <w:p>
            <w:pPr>
              <w:ind w:left="120"/>
              <w:spacing w:after="0" w:line="135" w:lineRule="exact"/>
              <w:rPr>
                <w:sz w:val="20"/>
                <w:szCs w:val="20"/>
                <w:color w:val="auto"/>
              </w:rPr>
            </w:pPr>
            <w:r>
              <w:rPr>
                <w:rFonts w:ascii="Arial" w:cs="Arial" w:eastAsia="Arial" w:hAnsi="Arial"/>
                <w:sz w:val="15"/>
                <w:szCs w:val="15"/>
                <w:color w:val="auto"/>
              </w:rPr>
              <w:t>NSN 7540-01-152-8070</w:t>
            </w: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540" w:type="dxa"/>
            <w:vAlign w:val="bottom"/>
            <w:gridSpan w:val="2"/>
          </w:tcPr>
          <w:p>
            <w:pPr>
              <w:jc w:val="right"/>
              <w:ind w:right="377"/>
              <w:spacing w:after="0" w:line="135" w:lineRule="exact"/>
              <w:rPr>
                <w:sz w:val="20"/>
                <w:szCs w:val="20"/>
                <w:color w:val="auto"/>
              </w:rPr>
            </w:pPr>
            <w:r>
              <w:rPr>
                <w:rFonts w:ascii="Arial" w:cs="Arial" w:eastAsia="Arial" w:hAnsi="Arial"/>
                <w:sz w:val="15"/>
                <w:szCs w:val="15"/>
                <w:color w:val="auto"/>
              </w:rPr>
              <w:t>STANDARD</w:t>
            </w:r>
          </w:p>
        </w:tc>
        <w:tc>
          <w:tcPr>
            <w:tcW w:w="0" w:type="dxa"/>
            <w:vAlign w:val="bottom"/>
          </w:tcPr>
          <w:p>
            <w:pPr>
              <w:spacing w:after="0"/>
              <w:rPr>
                <w:sz w:val="1"/>
                <w:szCs w:val="1"/>
                <w:color w:val="auto"/>
              </w:rPr>
            </w:pPr>
          </w:p>
        </w:tc>
      </w:tr>
      <w:tr>
        <w:trPr>
          <w:trHeight w:val="176"/>
        </w:trPr>
        <w:tc>
          <w:tcPr>
            <w:tcW w:w="4420" w:type="dxa"/>
            <w:vAlign w:val="bottom"/>
            <w:gridSpan w:val="4"/>
          </w:tcPr>
          <w:p>
            <w:pPr>
              <w:spacing w:after="0" w:line="176" w:lineRule="exact"/>
              <w:rPr>
                <w:sz w:val="20"/>
                <w:szCs w:val="20"/>
                <w:color w:val="auto"/>
              </w:rPr>
            </w:pPr>
            <w:r>
              <w:rPr>
                <w:rFonts w:ascii="Arial" w:cs="Arial" w:eastAsia="Arial" w:hAnsi="Arial"/>
                <w:sz w:val="18"/>
                <w:szCs w:val="18"/>
                <w:color w:val="auto"/>
              </w:rPr>
              <w:t>FORM 30 (REV. 10-83)</w:t>
            </w:r>
          </w:p>
        </w:tc>
        <w:tc>
          <w:tcPr>
            <w:tcW w:w="1580" w:type="dxa"/>
            <w:vAlign w:val="bottom"/>
          </w:tcPr>
          <w:p>
            <w:pPr>
              <w:spacing w:after="0"/>
              <w:rPr>
                <w:sz w:val="15"/>
                <w:szCs w:val="15"/>
                <w:color w:val="auto"/>
              </w:rPr>
            </w:pPr>
          </w:p>
        </w:tc>
        <w:tc>
          <w:tcPr>
            <w:tcW w:w="4280" w:type="dxa"/>
            <w:vAlign w:val="bottom"/>
            <w:gridSpan w:val="4"/>
            <w:vMerge w:val="restart"/>
          </w:tcPr>
          <w:p>
            <w:pPr>
              <w:jc w:val="right"/>
              <w:ind w:right="2025"/>
              <w:spacing w:after="0"/>
              <w:rPr>
                <w:sz w:val="20"/>
                <w:szCs w:val="20"/>
                <w:color w:val="auto"/>
              </w:rPr>
            </w:pPr>
            <w:r>
              <w:rPr>
                <w:rFonts w:ascii="Arial" w:cs="Arial" w:eastAsia="Arial" w:hAnsi="Arial"/>
                <w:sz w:val="18"/>
                <w:szCs w:val="18"/>
                <w:color w:val="auto"/>
              </w:rPr>
              <w:t>30-105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PREVIOUS EDITION UNUSABLE</w:t>
            </w:r>
          </w:p>
        </w:tc>
        <w:tc>
          <w:tcPr>
            <w:tcW w:w="1580" w:type="dxa"/>
            <w:vAlign w:val="bottom"/>
          </w:tcPr>
          <w:p>
            <w:pPr>
              <w:spacing w:after="0"/>
              <w:rPr>
                <w:sz w:val="14"/>
                <w:szCs w:val="14"/>
                <w:color w:val="auto"/>
              </w:rPr>
            </w:pPr>
          </w:p>
        </w:tc>
        <w:tc>
          <w:tcPr>
            <w:tcW w:w="4280" w:type="dxa"/>
            <w:vAlign w:val="bottom"/>
            <w:gridSpan w:val="4"/>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5"/>
          <w:szCs w:val="15"/>
          <w:color w:val="auto"/>
        </w:rPr>
        <w:t>Prescribed by GSA</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ind w:left="60"/>
        <w:spacing w:after="0"/>
        <w:rPr>
          <w:sz w:val="20"/>
          <w:szCs w:val="20"/>
          <w:color w:val="auto"/>
        </w:rPr>
      </w:pPr>
      <w:r>
        <w:rPr>
          <w:rFonts w:ascii="Arial" w:cs="Arial" w:eastAsia="Arial" w:hAnsi="Arial"/>
          <w:sz w:val="25"/>
          <w:szCs w:val="25"/>
          <w:b w:val="1"/>
          <w:bCs w:val="1"/>
          <w:color w:val="auto"/>
        </w:rPr>
        <w:t>Section B – Supplies/Services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Option 1 Items:</w:t>
            </w:r>
          </w:p>
        </w:tc>
        <w:tc>
          <w:tcPr>
            <w:tcW w:w="3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3"/>
        </w:trPr>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172"/>
        </w:trPr>
        <w:tc>
          <w:tcPr>
            <w:tcW w:w="1260" w:type="dxa"/>
            <w:vAlign w:val="bottom"/>
            <w:tcBorders>
              <w:right w:val="single" w:sz="8" w:color="auto"/>
            </w:tcBorders>
            <w:gridSpan w:val="2"/>
          </w:tcPr>
          <w:p>
            <w:pPr>
              <w:spacing w:after="0" w:line="172"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72"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72"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4"/>
                <w:szCs w:val="14"/>
                <w:color w:val="auto"/>
              </w:rPr>
            </w:pPr>
          </w:p>
        </w:tc>
        <w:tc>
          <w:tcPr>
            <w:tcW w:w="1020" w:type="dxa"/>
            <w:vAlign w:val="bottom"/>
          </w:tcPr>
          <w:p>
            <w:pPr>
              <w:spacing w:after="0" w:line="172"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gridSpan w:val="2"/>
          </w:tcPr>
          <w:p>
            <w:pPr>
              <w:ind w:left="80"/>
              <w:spacing w:after="0" w:line="172" w:lineRule="exact"/>
              <w:rPr>
                <w:sz w:val="20"/>
                <w:szCs w:val="20"/>
                <w:color w:val="auto"/>
              </w:rPr>
            </w:pPr>
            <w:r>
              <w:rPr>
                <w:rFonts w:ascii="Arial" w:cs="Arial" w:eastAsia="Arial" w:hAnsi="Arial"/>
                <w:sz w:val="18"/>
                <w:szCs w:val="18"/>
                <w:color w:val="auto"/>
              </w:rPr>
              <w:t>EXTENDED</w:t>
            </w:r>
          </w:p>
        </w:tc>
        <w:tc>
          <w:tcPr>
            <w:tcW w:w="1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r>
      <w:tr>
        <w:trPr>
          <w:trHeight w:val="224"/>
        </w:trPr>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30"/>
        </w:trPr>
        <w:tc>
          <w:tcPr>
            <w:tcW w:w="11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r>
      <w:tr>
        <w:trPr>
          <w:trHeight w:val="405"/>
        </w:trPr>
        <w:tc>
          <w:tcPr>
            <w:tcW w:w="110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r>
      <w:tr>
        <w:trPr>
          <w:trHeight w:val="377"/>
        </w:trPr>
        <w:tc>
          <w:tcPr>
            <w:tcW w:w="110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Delivery to be [**] from the date of exercise of</w:t>
            </w:r>
          </w:p>
        </w:tc>
        <w:tc>
          <w:tcPr>
            <w:tcW w:w="36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r>
      <w:tr>
        <w:trPr>
          <w:trHeight w:val="217"/>
        </w:trPr>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0002</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w:t>
            </w:r>
          </w:p>
        </w:tc>
        <w:tc>
          <w:tcPr>
            <w:tcW w:w="360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580" w:type="dxa"/>
            <w:vAlign w:val="bottom"/>
            <w:tcBorders>
              <w:right w:val="single" w:sz="8" w:color="auto"/>
            </w:tcBorders>
            <w:shd w:val="clear" w:color="auto" w:fill="CCEEFF"/>
          </w:tcPr>
          <w:p>
            <w:pPr>
              <w:spacing w:after="0"/>
              <w:rPr>
                <w:sz w:val="2"/>
                <w:szCs w:val="2"/>
                <w:color w:val="auto"/>
              </w:rPr>
            </w:pPr>
          </w:p>
        </w:tc>
        <w:tc>
          <w:tcPr>
            <w:tcW w:w="36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643255</wp:posOffset>
            </wp:positionV>
            <wp:extent cx="17145" cy="1998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145" cy="19983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643255</wp:posOffset>
            </wp:positionV>
            <wp:extent cx="17145" cy="1998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7145" cy="199834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643255</wp:posOffset>
            </wp:positionV>
            <wp:extent cx="17145" cy="1998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ITEM</w:t>
            </w:r>
          </w:p>
        </w:tc>
        <w:tc>
          <w:tcPr>
            <w:tcW w:w="2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SUPPLIES / SERVICES</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QTY / UNIT</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 PRICE</w:t>
            </w: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EXTENDED</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2004</w:t>
            </w:r>
          </w:p>
        </w:tc>
        <w:tc>
          <w:tcPr>
            <w:tcW w:w="25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BioThrax [**] product</w:t>
            </w: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Doses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shd w:val="clear" w:color="auto" w:fill="CCEEFF"/>
          </w:tcPr>
          <w:p>
            <w:pPr>
              <w:spacing w:after="0"/>
              <w:rPr>
                <w:sz w:val="13"/>
                <w:szCs w:val="13"/>
                <w:color w:val="auto"/>
              </w:rPr>
            </w:pPr>
          </w:p>
        </w:tc>
        <w:tc>
          <w:tcPr>
            <w:tcW w:w="2460" w:type="dxa"/>
            <w:vAlign w:val="bottom"/>
            <w:tcBorders>
              <w:right w:val="single" w:sz="8" w:color="auto"/>
            </w:tcBorders>
            <w:shd w:val="clear" w:color="auto" w:fill="CCEEFF"/>
          </w:tcPr>
          <w:p>
            <w:pPr>
              <w:spacing w:after="0"/>
              <w:rPr>
                <w:sz w:val="13"/>
                <w:szCs w:val="13"/>
                <w:color w:val="auto"/>
              </w:rPr>
            </w:pPr>
          </w:p>
        </w:tc>
        <w:tc>
          <w:tcPr>
            <w:tcW w:w="2560" w:type="dxa"/>
            <w:vAlign w:val="bottom"/>
            <w:tcBorders>
              <w:right w:val="single" w:sz="8" w:color="auto"/>
            </w:tcBorders>
            <w:vMerge w:val="continue"/>
            <w:shd w:val="clear" w:color="auto" w:fill="CCEEFF"/>
          </w:tcPr>
          <w:p>
            <w:pPr>
              <w:spacing w:after="0"/>
              <w:rPr>
                <w:sz w:val="13"/>
                <w:szCs w:val="13"/>
                <w:color w:val="auto"/>
              </w:rPr>
            </w:pPr>
          </w:p>
        </w:tc>
        <w:tc>
          <w:tcPr>
            <w:tcW w:w="3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shd w:val="clear" w:color="auto" w:fill="CCEEFF"/>
          </w:tcPr>
          <w:p>
            <w:pPr>
              <w:spacing w:after="0"/>
              <w:rPr>
                <w:sz w:val="17"/>
                <w:szCs w:val="17"/>
                <w:color w:val="auto"/>
              </w:rPr>
            </w:pPr>
          </w:p>
        </w:tc>
        <w:tc>
          <w:tcPr>
            <w:tcW w:w="246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shd w:val="clear" w:color="auto" w:fill="CCEEFF"/>
          </w:tcPr>
          <w:p>
            <w:pPr>
              <w:spacing w:after="0"/>
              <w:rPr>
                <w:sz w:val="17"/>
                <w:szCs w:val="17"/>
                <w:color w:val="auto"/>
              </w:rPr>
            </w:pPr>
          </w:p>
        </w:tc>
        <w:tc>
          <w:tcPr>
            <w:tcW w:w="2460" w:type="dxa"/>
            <w:vAlign w:val="bottom"/>
            <w:tcBorders>
              <w:right w:val="single" w:sz="8" w:color="auto"/>
            </w:tcBorders>
            <w:shd w:val="clear" w:color="auto" w:fill="CCEEFF"/>
          </w:tcPr>
          <w:p>
            <w:pPr>
              <w:spacing w:after="0"/>
              <w:rPr>
                <w:sz w:val="17"/>
                <w:szCs w:val="17"/>
                <w:color w:val="auto"/>
              </w:rPr>
            </w:pPr>
          </w:p>
        </w:tc>
        <w:tc>
          <w:tcPr>
            <w:tcW w:w="256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w:t>
            </w:r>
          </w:p>
        </w:tc>
        <w:tc>
          <w:tcPr>
            <w:tcW w:w="36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 w:type="dxa"/>
            <w:vAlign w:val="bottom"/>
            <w:tcBorders>
              <w:right w:val="single" w:sz="8" w:color="CCEEFF"/>
            </w:tcBorders>
            <w:shd w:val="clear" w:color="auto" w:fill="CCEEFF"/>
          </w:tcPr>
          <w:p>
            <w:pPr>
              <w:spacing w:after="0"/>
              <w:rPr>
                <w:sz w:val="24"/>
                <w:szCs w:val="24"/>
                <w:color w:val="auto"/>
              </w:rPr>
            </w:pPr>
          </w:p>
        </w:tc>
        <w:tc>
          <w:tcPr>
            <w:tcW w:w="246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w:t>
            </w:r>
          </w:p>
        </w:tc>
        <w:tc>
          <w:tcPr>
            <w:tcW w:w="36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362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Borders>
              <w:right w:val="single" w:sz="8" w:color="CCEEFF"/>
            </w:tcBorders>
            <w:shd w:val="clear" w:color="auto" w:fill="CCEEFF"/>
          </w:tcPr>
          <w:p>
            <w:pPr>
              <w:spacing w:after="0"/>
              <w:rPr>
                <w:sz w:val="24"/>
                <w:szCs w:val="24"/>
                <w:color w:val="auto"/>
              </w:rPr>
            </w:pPr>
          </w:p>
        </w:tc>
        <w:tc>
          <w:tcPr>
            <w:tcW w:w="2460" w:type="dxa"/>
            <w:vAlign w:val="bottom"/>
            <w:tcBorders>
              <w:right w:val="single" w:sz="8" w:color="auto"/>
            </w:tcBorders>
            <w:shd w:val="clear" w:color="auto" w:fill="CCEEFF"/>
          </w:tcPr>
          <w:p>
            <w:pPr>
              <w:spacing w:after="0"/>
              <w:rPr>
                <w:sz w:val="24"/>
                <w:szCs w:val="24"/>
                <w:color w:val="auto"/>
              </w:rPr>
            </w:pP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to be NLT [**]</w:t>
            </w:r>
          </w:p>
        </w:tc>
        <w:tc>
          <w:tcPr>
            <w:tcW w:w="3620" w:type="dxa"/>
            <w:vAlign w:val="bottom"/>
            <w:tcBorders>
              <w:right w:val="single" w:sz="8" w:color="CCEEFF"/>
            </w:tcBorders>
            <w:shd w:val="clear" w:color="auto" w:fill="CCEEFF"/>
          </w:tcPr>
          <w:p>
            <w:pPr>
              <w:spacing w:after="0"/>
              <w:rPr>
                <w:sz w:val="24"/>
                <w:szCs w:val="24"/>
                <w:color w:val="auto"/>
              </w:rPr>
            </w:pPr>
          </w:p>
        </w:tc>
        <w:tc>
          <w:tcPr>
            <w:tcW w:w="120" w:type="dxa"/>
            <w:vAlign w:val="bottom"/>
            <w:gridSpan w:val="2"/>
            <w:vMerge w:val="restart"/>
            <w:shd w:val="clear" w:color="auto" w:fill="CCEEFF"/>
          </w:tcPr>
          <w:p>
            <w:pPr>
              <w:spacing w:after="0"/>
              <w:rPr>
                <w:sz w:val="24"/>
                <w:szCs w:val="24"/>
                <w:color w:val="auto"/>
              </w:rPr>
            </w:pPr>
          </w:p>
        </w:tc>
        <w:tc>
          <w:tcPr>
            <w:tcW w:w="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0" w:type="dxa"/>
            <w:vAlign w:val="bottom"/>
            <w:tcBorders>
              <w:right w:val="single" w:sz="8" w:color="CCEEFF"/>
            </w:tcBorders>
            <w:shd w:val="clear" w:color="auto" w:fill="CCEEFF"/>
          </w:tcPr>
          <w:p>
            <w:pPr>
              <w:spacing w:after="0"/>
              <w:rPr>
                <w:sz w:val="16"/>
                <w:szCs w:val="16"/>
                <w:color w:val="auto"/>
              </w:rPr>
            </w:pPr>
          </w:p>
        </w:tc>
        <w:tc>
          <w:tcPr>
            <w:tcW w:w="2460" w:type="dxa"/>
            <w:vAlign w:val="bottom"/>
            <w:tcBorders>
              <w:right w:val="single" w:sz="8" w:color="auto"/>
            </w:tcBorders>
            <w:shd w:val="clear" w:color="auto" w:fill="CCEEFF"/>
          </w:tcPr>
          <w:p>
            <w:pPr>
              <w:spacing w:after="0"/>
              <w:rPr>
                <w:sz w:val="16"/>
                <w:szCs w:val="16"/>
                <w:color w:val="auto"/>
              </w:rPr>
            </w:pPr>
          </w:p>
        </w:tc>
        <w:tc>
          <w:tcPr>
            <w:tcW w:w="2560" w:type="dxa"/>
            <w:vAlign w:val="bottom"/>
            <w:tcBorders>
              <w:right w:val="single" w:sz="8" w:color="auto"/>
            </w:tcBorders>
            <w:shd w:val="clear" w:color="auto" w:fill="CCEEFF"/>
          </w:tcPr>
          <w:p>
            <w:pPr>
              <w:spacing w:after="0"/>
              <w:rPr>
                <w:sz w:val="16"/>
                <w:szCs w:val="16"/>
                <w:color w:val="auto"/>
              </w:rPr>
            </w:pPr>
          </w:p>
        </w:tc>
        <w:tc>
          <w:tcPr>
            <w:tcW w:w="362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60" w:type="dxa"/>
            <w:vAlign w:val="bottom"/>
            <w:tcBorders>
              <w:right w:val="single" w:sz="8" w:color="CCEEFF"/>
            </w:tcBorders>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CCEEFF"/>
            </w:tcBorders>
            <w:shd w:val="clear" w:color="auto" w:fill="CCEEFF"/>
          </w:tcPr>
          <w:p>
            <w:pPr>
              <w:spacing w:after="0"/>
              <w:rPr>
                <w:sz w:val="2"/>
                <w:szCs w:val="2"/>
                <w:color w:val="auto"/>
              </w:rPr>
            </w:pPr>
          </w:p>
        </w:tc>
        <w:tc>
          <w:tcPr>
            <w:tcW w:w="2460" w:type="dxa"/>
            <w:vAlign w:val="bottom"/>
            <w:tcBorders>
              <w:right w:val="single" w:sz="8" w:color="auto"/>
            </w:tcBorders>
            <w:shd w:val="clear" w:color="auto" w:fill="CCEEFF"/>
          </w:tcPr>
          <w:p>
            <w:pPr>
              <w:spacing w:after="0"/>
              <w:rPr>
                <w:sz w:val="2"/>
                <w:szCs w:val="2"/>
                <w:color w:val="auto"/>
              </w:rPr>
            </w:pPr>
          </w:p>
        </w:tc>
        <w:tc>
          <w:tcPr>
            <w:tcW w:w="2560" w:type="dxa"/>
            <w:vAlign w:val="bottom"/>
            <w:tcBorders>
              <w:right w:val="single" w:sz="8" w:color="auto"/>
            </w:tcBorders>
            <w:shd w:val="clear" w:color="auto" w:fill="CCEEFF"/>
          </w:tcPr>
          <w:p>
            <w:pPr>
              <w:spacing w:after="0"/>
              <w:rPr>
                <w:sz w:val="2"/>
                <w:szCs w:val="2"/>
                <w:color w:val="auto"/>
              </w:rPr>
            </w:pPr>
          </w:p>
        </w:tc>
        <w:tc>
          <w:tcPr>
            <w:tcW w:w="36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-1448435</wp:posOffset>
            </wp:positionV>
            <wp:extent cx="17145" cy="172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7145" cy="172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3198495" cy="1706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198495" cy="170688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-1448435</wp:posOffset>
            </wp:positionV>
            <wp:extent cx="17145" cy="172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145" cy="1724025"/>
                    </a:xfrm>
                    <a:prstGeom prst="rect">
                      <a:avLst/>
                    </a:prstGeom>
                    <a:noFill/>
                  </pic:spPr>
                </pic:pic>
              </a:graphicData>
            </a:graphic>
          </wp:anchor>
        </w:drawing>
      </w:r>
    </w:p>
    <w:p>
      <w:pPr>
        <w:ind w:left="40"/>
        <w:spacing w:after="0" w:line="236" w:lineRule="auto"/>
        <w:rPr>
          <w:sz w:val="20"/>
          <w:szCs w:val="20"/>
          <w:color w:val="auto"/>
        </w:rPr>
      </w:pPr>
      <w:r>
        <w:rPr>
          <w:rFonts w:ascii="Arial" w:cs="Arial" w:eastAsia="Arial" w:hAnsi="Arial"/>
          <w:sz w:val="18"/>
          <w:szCs w:val="18"/>
          <w:color w:val="auto"/>
        </w:rPr>
        <w:t>Line(s) Of Accounting: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939ZWUX 2642 2018 75-X-0956 5664711101 $[**]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-3175</wp:posOffset>
            </wp:positionV>
            <wp:extent cx="14922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ectPr>
          <w:pgSz w:w="11900" w:h="16838" w:orient="portrait"/>
          <w:cols w:equalWidth="0" w:num="1">
            <w:col w:w="11420"/>
          </w:cols>
          <w:pgMar w:left="240" w:top="7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80" w:type="dxa"/>
            <w:vAlign w:val="bottom"/>
            <w:gridSpan w:val="5"/>
            <w:vMerge w:val="restart"/>
          </w:tcPr>
          <w:p>
            <w:pPr>
              <w:spacing w:after="0"/>
              <w:rPr>
                <w:sz w:val="20"/>
                <w:szCs w:val="20"/>
                <w:color w:val="auto"/>
              </w:rPr>
            </w:pPr>
            <w:r>
              <w:rPr>
                <w:rFonts w:ascii="Arial" w:cs="Arial" w:eastAsia="Arial" w:hAnsi="Arial"/>
                <w:sz w:val="18"/>
                <w:szCs w:val="18"/>
                <w:color w:val="auto"/>
              </w:rPr>
              <w:t>Confidential Materials omitted and filed separately with the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22"/>
                <w:szCs w:val="22"/>
                <w:b w:val="1"/>
                <w:bCs w:val="1"/>
                <w:color w:val="auto"/>
              </w:rPr>
              <w:t>EXHIBIT 10.4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8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120" w:type="dxa"/>
            <w:vAlign w:val="bottom"/>
            <w:gridSpan w:val="6"/>
          </w:tcPr>
          <w:p>
            <w:pPr>
              <w:ind w:left="200"/>
              <w:spacing w:after="0"/>
              <w:rPr>
                <w:sz w:val="20"/>
                <w:szCs w:val="20"/>
                <w:color w:val="auto"/>
              </w:rPr>
            </w:pPr>
            <w:r>
              <w:rPr>
                <w:rFonts w:ascii="Arial" w:cs="Arial" w:eastAsia="Arial" w:hAnsi="Arial"/>
                <w:sz w:val="18"/>
                <w:szCs w:val="18"/>
                <w:color w:val="auto"/>
                <w:w w:val="98"/>
              </w:rPr>
              <w:t>Securities and Exchange Commission. Double asterisks denote omissions.</w:t>
            </w: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740" w:type="dxa"/>
            <w:vAlign w:val="bottom"/>
            <w:tcBorders>
              <w:bottom w:val="single" w:sz="8" w:color="auto"/>
            </w:tcBorders>
            <w:gridSpan w:val="5"/>
          </w:tcPr>
          <w:p>
            <w:pPr>
              <w:spacing w:after="0"/>
              <w:rPr>
                <w:sz w:val="24"/>
                <w:szCs w:val="24"/>
                <w:color w:val="auto"/>
              </w:rPr>
            </w:pPr>
          </w:p>
        </w:tc>
        <w:tc>
          <w:tcPr>
            <w:tcW w:w="2300" w:type="dxa"/>
            <w:vAlign w:val="bottom"/>
            <w:tcBorders>
              <w:bottom w:val="single" w:sz="8" w:color="auto"/>
            </w:tcBorders>
            <w:gridSpan w:val="4"/>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tcBorders>
              <w:right w:val="single" w:sz="8" w:color="auto"/>
            </w:tcBorders>
            <w:gridSpan w:val="5"/>
          </w:tcPr>
          <w:p>
            <w:pPr>
              <w:ind w:left="1000"/>
              <w:spacing w:after="0" w:line="162"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2300" w:type="dxa"/>
            <w:vAlign w:val="bottom"/>
            <w:gridSpan w:val="4"/>
          </w:tcPr>
          <w:p>
            <w:pPr>
              <w:spacing w:after="0" w:line="162" w:lineRule="exact"/>
              <w:rPr>
                <w:sz w:val="20"/>
                <w:szCs w:val="20"/>
                <w:color w:val="auto"/>
              </w:rPr>
            </w:pPr>
            <w:r>
              <w:rPr>
                <w:rFonts w:ascii="Arial" w:cs="Arial" w:eastAsia="Arial" w:hAnsi="Arial"/>
                <w:sz w:val="18"/>
                <w:szCs w:val="18"/>
                <w:color w:val="auto"/>
              </w:rPr>
              <w:t>1. CONTRACT ID CODE</w:t>
            </w:r>
          </w:p>
        </w:tc>
        <w:tc>
          <w:tcPr>
            <w:tcW w:w="460" w:type="dxa"/>
            <w:vAlign w:val="bottom"/>
            <w:tcBorders>
              <w:right w:val="single" w:sz="8" w:color="auto"/>
            </w:tcBorders>
          </w:tcPr>
          <w:p>
            <w:pPr>
              <w:spacing w:after="0"/>
              <w:rPr>
                <w:sz w:val="14"/>
                <w:szCs w:val="14"/>
                <w:color w:val="auto"/>
              </w:rPr>
            </w:pPr>
          </w:p>
        </w:tc>
        <w:tc>
          <w:tcPr>
            <w:tcW w:w="900" w:type="dxa"/>
            <w:vAlign w:val="bottom"/>
          </w:tcPr>
          <w:p>
            <w:pPr>
              <w:jc w:val="center"/>
              <w:ind w:right="360"/>
              <w:spacing w:after="0" w:line="162" w:lineRule="exact"/>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900" w:type="dxa"/>
            <w:vAlign w:val="bottom"/>
          </w:tcPr>
          <w:p>
            <w:pPr>
              <w:spacing w:after="0" w:line="95" w:lineRule="exact"/>
              <w:rPr>
                <w:sz w:val="20"/>
                <w:szCs w:val="20"/>
                <w:color w:val="auto"/>
              </w:rPr>
            </w:pPr>
            <w:r>
              <w:rPr>
                <w:rFonts w:ascii="Arial" w:cs="Arial" w:eastAsia="Arial" w:hAnsi="Arial"/>
                <w:sz w:val="10"/>
                <w:szCs w:val="10"/>
                <w:color w:val="auto"/>
              </w:rPr>
              <w:t>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00" w:type="dxa"/>
            <w:vAlign w:val="bottom"/>
          </w:tcPr>
          <w:p>
            <w:pPr>
              <w:spacing w:after="0" w:line="135" w:lineRule="exact"/>
              <w:rPr>
                <w:sz w:val="20"/>
                <w:szCs w:val="20"/>
                <w:color w:val="auto"/>
              </w:rPr>
            </w:pPr>
            <w:r>
              <w:rPr>
                <w:rFonts w:ascii="Arial" w:cs="Arial" w:eastAsia="Arial" w:hAnsi="Arial"/>
                <w:sz w:val="15"/>
                <w:szCs w:val="15"/>
                <w:color w:val="auto"/>
              </w:rPr>
              <w:t>PAGES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900" w:type="dxa"/>
            <w:vAlign w:val="bottom"/>
          </w:tcPr>
          <w:p>
            <w:pPr>
              <w:jc w:val="center"/>
              <w:ind w:right="3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2. AMENDMENT/MODIFICATION NO.</w:t>
            </w:r>
          </w:p>
        </w:tc>
        <w:tc>
          <w:tcPr>
            <w:tcW w:w="178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3. EFFECTIVE DATE</w:t>
            </w:r>
          </w:p>
        </w:tc>
        <w:tc>
          <w:tcPr>
            <w:tcW w:w="3600" w:type="dxa"/>
            <w:vAlign w:val="bottom"/>
            <w:gridSpan w:val="3"/>
          </w:tcPr>
          <w:p>
            <w:pPr>
              <w:spacing w:after="0" w:line="122" w:lineRule="exact"/>
              <w:rPr>
                <w:sz w:val="20"/>
                <w:szCs w:val="20"/>
                <w:color w:val="auto"/>
              </w:rPr>
            </w:pPr>
            <w:r>
              <w:rPr>
                <w:rFonts w:ascii="Arial" w:cs="Arial" w:eastAsia="Arial" w:hAnsi="Arial"/>
                <w:sz w:val="14"/>
                <w:szCs w:val="14"/>
                <w:color w:val="auto"/>
              </w:rPr>
              <w:t>4. REQUISITION/PURCHASE REQ. NO.</w:t>
            </w:r>
          </w:p>
        </w:tc>
        <w:tc>
          <w:tcPr>
            <w:tcW w:w="440" w:type="dxa"/>
            <w:vAlign w:val="bottom"/>
            <w:tcBorders>
              <w:right w:val="single" w:sz="8" w:color="auto"/>
            </w:tcBorders>
          </w:tcPr>
          <w:p>
            <w:pPr>
              <w:spacing w:after="0"/>
              <w:rPr>
                <w:sz w:val="10"/>
                <w:szCs w:val="10"/>
                <w:color w:val="auto"/>
              </w:rPr>
            </w:pPr>
          </w:p>
        </w:tc>
        <w:tc>
          <w:tcPr>
            <w:tcW w:w="2020" w:type="dxa"/>
            <w:vAlign w:val="bottom"/>
            <w:gridSpan w:val="3"/>
          </w:tcPr>
          <w:p>
            <w:pPr>
              <w:spacing w:after="0" w:line="122" w:lineRule="exact"/>
              <w:rPr>
                <w:sz w:val="20"/>
                <w:szCs w:val="20"/>
                <w:color w:val="auto"/>
              </w:rPr>
            </w:pPr>
            <w:r>
              <w:rPr>
                <w:rFonts w:ascii="Arial" w:cs="Arial" w:eastAsia="Arial" w:hAnsi="Arial"/>
                <w:sz w:val="14"/>
                <w:szCs w:val="14"/>
                <w:color w:val="auto"/>
              </w:rPr>
              <w:t xml:space="preserve">5. PROJECT NO. </w:t>
            </w:r>
            <w:r>
              <w:rPr>
                <w:rFonts w:ascii="Arial" w:cs="Arial" w:eastAsia="Arial" w:hAnsi="Arial"/>
                <w:sz w:val="14"/>
                <w:szCs w:val="14"/>
                <w:i w:val="1"/>
                <w:iCs w:val="1"/>
                <w:color w:val="auto"/>
              </w:rPr>
              <w:t>(If</w:t>
            </w:r>
          </w:p>
        </w:tc>
        <w:tc>
          <w:tcPr>
            <w:tcW w:w="0" w:type="dxa"/>
            <w:vAlign w:val="bottom"/>
          </w:tcPr>
          <w:p>
            <w:pPr>
              <w:spacing w:after="0"/>
              <w:rPr>
                <w:sz w:val="1"/>
                <w:szCs w:val="1"/>
                <w:color w:val="auto"/>
              </w:rPr>
            </w:pPr>
          </w:p>
        </w:tc>
      </w:tr>
      <w:tr>
        <w:trPr>
          <w:trHeight w:val="230"/>
        </w:trPr>
        <w:tc>
          <w:tcPr>
            <w:tcW w:w="2840" w:type="dxa"/>
            <w:vAlign w:val="bottom"/>
            <w:gridSpan w:val="2"/>
          </w:tcPr>
          <w:p>
            <w:pPr>
              <w:ind w:left="1560"/>
              <w:spacing w:after="0"/>
              <w:rPr>
                <w:sz w:val="20"/>
                <w:szCs w:val="20"/>
                <w:color w:val="auto"/>
              </w:rPr>
            </w:pPr>
            <w:r>
              <w:rPr>
                <w:rFonts w:ascii="Arial" w:cs="Arial" w:eastAsia="Arial" w:hAnsi="Arial"/>
                <w:sz w:val="18"/>
                <w:szCs w:val="18"/>
                <w:color w:val="auto"/>
              </w:rPr>
              <w:t>00011</w:t>
            </w:r>
          </w:p>
        </w:tc>
        <w:tc>
          <w:tcPr>
            <w:tcW w:w="7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06/20/2018</w:t>
            </w:r>
          </w:p>
        </w:tc>
        <w:tc>
          <w:tcPr>
            <w:tcW w:w="3600" w:type="dxa"/>
            <w:vAlign w:val="bottom"/>
            <w:gridSpan w:val="3"/>
          </w:tcPr>
          <w:p>
            <w:pPr>
              <w:ind w:left="1120"/>
              <w:spacing w:after="0"/>
              <w:rPr>
                <w:sz w:val="20"/>
                <w:szCs w:val="20"/>
                <w:color w:val="auto"/>
              </w:rPr>
            </w:pPr>
            <w:r>
              <w:rPr>
                <w:rFonts w:ascii="Arial" w:cs="Arial" w:eastAsia="Arial" w:hAnsi="Arial"/>
                <w:sz w:val="18"/>
                <w:szCs w:val="18"/>
                <w:color w:val="auto"/>
              </w:rPr>
              <w:t>0000HCGE-2018-25835</w:t>
            </w:r>
          </w:p>
        </w:tc>
        <w:tc>
          <w:tcPr>
            <w:tcW w:w="440" w:type="dxa"/>
            <w:vAlign w:val="bottom"/>
            <w:tcBorders>
              <w:right w:val="single" w:sz="8" w:color="auto"/>
            </w:tcBorders>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i w:val="1"/>
                <w:iCs w:val="1"/>
                <w:color w:val="auto"/>
              </w:rPr>
              <w:t>applicable)</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gridSpan w:val="2"/>
          </w:tcPr>
          <w:p>
            <w:pPr>
              <w:spacing w:after="0"/>
              <w:rPr>
                <w:sz w:val="8"/>
                <w:szCs w:val="8"/>
                <w:color w:val="auto"/>
              </w:rPr>
            </w:pPr>
          </w:p>
        </w:tc>
        <w:tc>
          <w:tcPr>
            <w:tcW w:w="3600" w:type="dxa"/>
            <w:vAlign w:val="bottom"/>
            <w:tcBorders>
              <w:bottom w:val="single" w:sz="8" w:color="auto"/>
            </w:tcBorders>
            <w:gridSpan w:val="3"/>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7"/>
                <w:szCs w:val="17"/>
                <w:color w:val="auto"/>
              </w:rPr>
              <w:t>6. ISSUED BY</w:t>
            </w:r>
          </w:p>
        </w:tc>
        <w:tc>
          <w:tcPr>
            <w:tcW w:w="740" w:type="dxa"/>
            <w:vAlign w:val="bottom"/>
            <w:tcBorders>
              <w:right w:val="single" w:sz="8" w:color="auto"/>
            </w:tcBorders>
          </w:tcPr>
          <w:p>
            <w:pPr>
              <w:ind w:left="240"/>
              <w:spacing w:after="0" w:line="149" w:lineRule="exact"/>
              <w:rPr>
                <w:sz w:val="20"/>
                <w:szCs w:val="20"/>
                <w:color w:val="auto"/>
              </w:rPr>
            </w:pPr>
            <w:r>
              <w:rPr>
                <w:rFonts w:ascii="Arial" w:cs="Arial" w:eastAsia="Arial" w:hAnsi="Arial"/>
                <w:sz w:val="17"/>
                <w:szCs w:val="17"/>
                <w:color w:val="auto"/>
                <w:w w:val="93"/>
              </w:rPr>
              <w:t>CODE</w:t>
            </w:r>
          </w:p>
        </w:tc>
        <w:tc>
          <w:tcPr>
            <w:tcW w:w="178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7"/>
                <w:szCs w:val="17"/>
                <w:color w:val="auto"/>
              </w:rPr>
              <w:t>2543</w:t>
            </w:r>
          </w:p>
        </w:tc>
        <w:tc>
          <w:tcPr>
            <w:tcW w:w="3600" w:type="dxa"/>
            <w:vAlign w:val="bottom"/>
            <w:gridSpan w:val="3"/>
          </w:tcPr>
          <w:p>
            <w:pPr>
              <w:spacing w:after="0" w:line="149" w:lineRule="exact"/>
              <w:rPr>
                <w:sz w:val="20"/>
                <w:szCs w:val="20"/>
                <w:color w:val="auto"/>
              </w:rPr>
            </w:pPr>
            <w:r>
              <w:rPr>
                <w:rFonts w:ascii="Arial" w:cs="Arial" w:eastAsia="Arial" w:hAnsi="Arial"/>
                <w:sz w:val="17"/>
                <w:szCs w:val="17"/>
                <w:color w:val="auto"/>
              </w:rPr>
              <w:t xml:space="preserve">7. ADMINISTERED BY </w:t>
            </w:r>
            <w:r>
              <w:rPr>
                <w:rFonts w:ascii="Arial" w:cs="Arial" w:eastAsia="Arial" w:hAnsi="Arial"/>
                <w:sz w:val="17"/>
                <w:szCs w:val="17"/>
                <w:i w:val="1"/>
                <w:iCs w:val="1"/>
                <w:color w:val="auto"/>
              </w:rPr>
              <w:t>(If other than Item 6)</w:t>
            </w:r>
          </w:p>
        </w:tc>
        <w:tc>
          <w:tcPr>
            <w:tcW w:w="440" w:type="dxa"/>
            <w:vAlign w:val="bottom"/>
          </w:tcPr>
          <w:p>
            <w:pPr>
              <w:spacing w:after="0"/>
              <w:rPr>
                <w:sz w:val="12"/>
                <w:szCs w:val="12"/>
                <w:color w:val="auto"/>
              </w:rPr>
            </w:pPr>
          </w:p>
        </w:tc>
        <w:tc>
          <w:tcPr>
            <w:tcW w:w="1120" w:type="dxa"/>
            <w:vAlign w:val="bottom"/>
            <w:tcBorders>
              <w:right w:val="single" w:sz="8" w:color="auto"/>
            </w:tcBorders>
            <w:gridSpan w:val="2"/>
          </w:tcPr>
          <w:p>
            <w:pPr>
              <w:ind w:left="620"/>
              <w:spacing w:after="0" w:line="149" w:lineRule="exact"/>
              <w:rPr>
                <w:sz w:val="20"/>
                <w:szCs w:val="20"/>
                <w:color w:val="auto"/>
              </w:rPr>
            </w:pPr>
            <w:r>
              <w:rPr>
                <w:rFonts w:ascii="Arial" w:cs="Arial" w:eastAsia="Arial" w:hAnsi="Arial"/>
                <w:sz w:val="17"/>
                <w:szCs w:val="17"/>
                <w:color w:val="auto"/>
                <w:w w:val="93"/>
              </w:rPr>
              <w:t>CODE</w:t>
            </w:r>
          </w:p>
        </w:tc>
        <w:tc>
          <w:tcPr>
            <w:tcW w:w="900" w:type="dxa"/>
            <w:vAlign w:val="bottom"/>
          </w:tcPr>
          <w:p>
            <w:pPr>
              <w:spacing w:after="0" w:line="149" w:lineRule="exact"/>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34"/>
        </w:trPr>
        <w:tc>
          <w:tcPr>
            <w:tcW w:w="2840" w:type="dxa"/>
            <w:vAlign w:val="bottom"/>
            <w:gridSpan w:val="2"/>
            <w:vMerge w:val="restart"/>
          </w:tcPr>
          <w:p>
            <w:pPr>
              <w:ind w:left="2540"/>
              <w:spacing w:after="0" w:line="189" w:lineRule="exact"/>
              <w:rPr>
                <w:sz w:val="20"/>
                <w:szCs w:val="20"/>
                <w:color w:val="auto"/>
              </w:rPr>
            </w:pPr>
            <w:r>
              <w:rPr>
                <w:rFonts w:ascii="Arial" w:cs="Arial" w:eastAsia="Arial" w:hAnsi="Arial"/>
                <w:sz w:val="18"/>
                <w:szCs w:val="18"/>
                <w:color w:val="auto"/>
              </w:rPr>
              <w:t>(Ö)</w:t>
            </w:r>
          </w:p>
        </w:tc>
        <w:tc>
          <w:tcPr>
            <w:tcW w:w="740" w:type="dxa"/>
            <w:vAlign w:val="bottom"/>
            <w:tcBorders>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3600" w:type="dxa"/>
            <w:vAlign w:val="bottom"/>
            <w:gridSpan w:val="3"/>
            <w:vMerge w:val="restart"/>
          </w:tcPr>
          <w:p>
            <w:pPr>
              <w:spacing w:after="0" w:line="189" w:lineRule="exact"/>
              <w:rPr>
                <w:sz w:val="20"/>
                <w:szCs w:val="20"/>
                <w:color w:val="auto"/>
              </w:rPr>
            </w:pPr>
            <w:r>
              <w:rPr>
                <w:rFonts w:ascii="Arial" w:cs="Arial" w:eastAsia="Arial" w:hAnsi="Arial"/>
                <w:sz w:val="18"/>
                <w:szCs w:val="18"/>
                <w:color w:val="auto"/>
              </w:rPr>
              <w:t>Centers for Disease Control and Prevention</w:t>
            </w: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8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80" w:type="dxa"/>
            <w:vAlign w:val="bottom"/>
            <w:gridSpan w:val="3"/>
          </w:tcPr>
          <w:p>
            <w:pPr>
              <w:spacing w:after="0" w:line="176" w:lineRule="exact"/>
              <w:rPr>
                <w:sz w:val="20"/>
                <w:szCs w:val="20"/>
                <w:color w:val="auto"/>
              </w:rPr>
            </w:pPr>
            <w:r>
              <w:rPr>
                <w:rFonts w:ascii="Arial" w:cs="Arial" w:eastAsia="Arial" w:hAnsi="Arial"/>
                <w:sz w:val="18"/>
                <w:szCs w:val="18"/>
                <w:color w:val="auto"/>
              </w:rPr>
              <w:t>Centers for Disease Control and Prevention</w:t>
            </w:r>
          </w:p>
        </w:tc>
        <w:tc>
          <w:tcPr>
            <w:tcW w:w="4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3600" w:type="dxa"/>
            <w:vAlign w:val="bottom"/>
            <w:gridSpan w:val="3"/>
          </w:tcPr>
          <w:p>
            <w:pPr>
              <w:spacing w:after="0" w:line="176" w:lineRule="exact"/>
              <w:rPr>
                <w:sz w:val="20"/>
                <w:szCs w:val="20"/>
                <w:color w:val="auto"/>
              </w:rPr>
            </w:pPr>
            <w:r>
              <w:rPr>
                <w:rFonts w:ascii="Arial" w:cs="Arial" w:eastAsia="Arial" w:hAnsi="Arial"/>
                <w:sz w:val="18"/>
                <w:szCs w:val="18"/>
                <w:color w:val="auto"/>
              </w:rPr>
              <w:t>Office of Acquisition Services (OAS)</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8"/>
                <w:szCs w:val="18"/>
                <w:color w:val="auto"/>
                <w:w w:val="97"/>
              </w:rPr>
              <w:t>Office of Acquisition Services (OAS)</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400" w:type="dxa"/>
            <w:vAlign w:val="bottom"/>
          </w:tcPr>
          <w:p>
            <w:pPr>
              <w:spacing w:after="0" w:line="176" w:lineRule="exact"/>
              <w:rPr>
                <w:sz w:val="20"/>
                <w:szCs w:val="20"/>
                <w:color w:val="auto"/>
              </w:rPr>
            </w:pPr>
            <w:r>
              <w:rPr>
                <w:rFonts w:ascii="Arial" w:cs="Arial" w:eastAsia="Arial" w:hAnsi="Arial"/>
                <w:sz w:val="18"/>
                <w:szCs w:val="18"/>
                <w:color w:val="auto"/>
                <w:w w:val="94"/>
              </w:rPr>
              <w:t>2920 Brandywine Rd, RM 3000</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line="176" w:lineRule="exact"/>
              <w:rPr>
                <w:sz w:val="20"/>
                <w:szCs w:val="20"/>
                <w:color w:val="auto"/>
              </w:rPr>
            </w:pPr>
            <w:r>
              <w:rPr>
                <w:rFonts w:ascii="Arial" w:cs="Arial" w:eastAsia="Arial" w:hAnsi="Arial"/>
                <w:sz w:val="18"/>
                <w:szCs w:val="18"/>
                <w:color w:val="auto"/>
              </w:rPr>
              <w:t>2920 Brandywine Rd, RM 3000</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400" w:type="dxa"/>
            <w:vAlign w:val="bottom"/>
          </w:tcPr>
          <w:p>
            <w:pPr>
              <w:spacing w:after="0" w:line="176" w:lineRule="exact"/>
              <w:rPr>
                <w:sz w:val="20"/>
                <w:szCs w:val="20"/>
                <w:color w:val="auto"/>
              </w:rPr>
            </w:pPr>
            <w:r>
              <w:rPr>
                <w:rFonts w:ascii="Arial" w:cs="Arial" w:eastAsia="Arial" w:hAnsi="Arial"/>
                <w:sz w:val="18"/>
                <w:szCs w:val="18"/>
                <w:color w:val="auto"/>
              </w:rPr>
              <w:t>Atlanta, GA 30341-5539</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Atlanta, GA 30341-5539</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3560" w:type="dxa"/>
            <w:vAlign w:val="bottom"/>
            <w:tcBorders>
              <w:bottom w:val="single" w:sz="8" w:color="auto"/>
            </w:tcBorders>
            <w:gridSpan w:val="2"/>
          </w:tcPr>
          <w:p>
            <w:pPr>
              <w:spacing w:after="0"/>
              <w:rPr>
                <w:sz w:val="12"/>
                <w:szCs w:val="12"/>
                <w:color w:val="auto"/>
              </w:rPr>
            </w:pPr>
          </w:p>
        </w:tc>
        <w:tc>
          <w:tcPr>
            <w:tcW w:w="1780" w:type="dxa"/>
            <w:vAlign w:val="bottom"/>
            <w:tcBorders>
              <w:bottom w:val="single" w:sz="8" w:color="auto"/>
              <w:right w:val="single" w:sz="8" w:color="auto"/>
            </w:tcBorders>
            <w:gridSpan w:val="2"/>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740" w:type="dxa"/>
            <w:vAlign w:val="bottom"/>
            <w:tcBorders>
              <w:right w:val="single" w:sz="8" w:color="auto"/>
            </w:tcBorders>
            <w:gridSpan w:val="5"/>
          </w:tcPr>
          <w:p>
            <w:pPr>
              <w:spacing w:after="0" w:line="122" w:lineRule="exact"/>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4"/>
                <w:szCs w:val="14"/>
                <w:i w:val="1"/>
                <w:iCs w:val="1"/>
                <w:color w:val="auto"/>
              </w:rPr>
              <w:t>(No., street, county, State and ZIP Code)</w:t>
            </w:r>
          </w:p>
        </w:tc>
        <w:tc>
          <w:tcPr>
            <w:tcW w:w="320" w:type="dxa"/>
            <w:vAlign w:val="bottom"/>
            <w:tcBorders>
              <w:right w:val="single" w:sz="8" w:color="auto"/>
            </w:tcBorders>
          </w:tcPr>
          <w:p>
            <w:pPr>
              <w:spacing w:after="0"/>
              <w:rPr>
                <w:sz w:val="10"/>
                <w:szCs w:val="10"/>
                <w:color w:val="auto"/>
              </w:rPr>
            </w:pPr>
          </w:p>
        </w:tc>
        <w:tc>
          <w:tcPr>
            <w:tcW w:w="3340" w:type="dxa"/>
            <w:vAlign w:val="bottom"/>
            <w:gridSpan w:val="5"/>
          </w:tcPr>
          <w:p>
            <w:pPr>
              <w:spacing w:after="0" w:line="122" w:lineRule="exact"/>
              <w:rPr>
                <w:sz w:val="20"/>
                <w:szCs w:val="20"/>
                <w:color w:val="auto"/>
              </w:rPr>
            </w:pPr>
            <w:r>
              <w:rPr>
                <w:rFonts w:ascii="Arial" w:cs="Arial" w:eastAsia="Arial" w:hAnsi="Arial"/>
                <w:sz w:val="14"/>
                <w:szCs w:val="14"/>
                <w:color w:val="auto"/>
              </w:rPr>
              <w:t>9A. AMENDMENT OF SOLICITATION</w:t>
            </w:r>
          </w:p>
        </w:tc>
        <w:tc>
          <w:tcPr>
            <w:tcW w:w="0" w:type="dxa"/>
            <w:vAlign w:val="bottom"/>
          </w:tcPr>
          <w:p>
            <w:pPr>
              <w:spacing w:after="0"/>
              <w:rPr>
                <w:sz w:val="1"/>
                <w:szCs w:val="1"/>
                <w:color w:val="auto"/>
              </w:rPr>
            </w:pPr>
          </w:p>
        </w:tc>
      </w:tr>
      <w:tr>
        <w:trPr>
          <w:trHeight w:val="162"/>
        </w:trPr>
        <w:tc>
          <w:tcPr>
            <w:tcW w:w="5360" w:type="dxa"/>
            <w:vAlign w:val="bottom"/>
            <w:gridSpan w:val="5"/>
          </w:tcPr>
          <w:p>
            <w:pPr>
              <w:spacing w:after="0" w:line="162" w:lineRule="exact"/>
              <w:rPr>
                <w:sz w:val="20"/>
                <w:szCs w:val="20"/>
                <w:color w:val="auto"/>
              </w:rPr>
            </w:pPr>
            <w:r>
              <w:rPr>
                <w:rFonts w:ascii="Arial" w:cs="Arial" w:eastAsia="Arial" w:hAnsi="Arial"/>
                <w:sz w:val="18"/>
                <w:szCs w:val="18"/>
                <w:color w:val="auto"/>
              </w:rPr>
              <w:t>EMERGENT BIODEFENSE OPERATIONS LANSING LLC</w:t>
            </w:r>
          </w:p>
        </w:tc>
        <w:tc>
          <w:tcPr>
            <w:tcW w:w="24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80" w:type="dxa"/>
            <w:vAlign w:val="bottom"/>
          </w:tcPr>
          <w:p>
            <w:pPr>
              <w:spacing w:after="0" w:line="162" w:lineRule="exact"/>
              <w:rPr>
                <w:sz w:val="20"/>
                <w:szCs w:val="20"/>
                <w:color w:val="auto"/>
              </w:rPr>
            </w:pPr>
            <w:r>
              <w:rPr>
                <w:rFonts w:ascii="Arial" w:cs="Arial" w:eastAsia="Arial" w:hAnsi="Arial"/>
                <w:sz w:val="18"/>
                <w:szCs w:val="18"/>
                <w:color w:val="auto"/>
              </w:rPr>
              <w:t>NO.</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3500 N MARTIN LUTHER KING JR BLVD</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980" w:type="dxa"/>
            <w:vAlign w:val="bottom"/>
            <w:gridSpan w:val="3"/>
            <w:vMerge w:val="restart"/>
          </w:tcPr>
          <w:p>
            <w:pPr>
              <w:spacing w:after="0"/>
              <w:rPr>
                <w:sz w:val="20"/>
                <w:szCs w:val="20"/>
                <w:color w:val="auto"/>
              </w:rPr>
            </w:pPr>
            <w:r>
              <w:rPr>
                <w:rFonts w:ascii="Arial" w:cs="Arial" w:eastAsia="Arial" w:hAnsi="Arial"/>
                <w:sz w:val="18"/>
                <w:szCs w:val="18"/>
                <w:color w:val="auto"/>
                <w:w w:val="94"/>
              </w:rPr>
              <w:t xml:space="preserve">9B. DATED </w:t>
            </w:r>
            <w:r>
              <w:rPr>
                <w:rFonts w:ascii="Arial" w:cs="Arial" w:eastAsia="Arial" w:hAnsi="Arial"/>
                <w:sz w:val="18"/>
                <w:szCs w:val="18"/>
                <w:i w:val="1"/>
                <w:iCs w:val="1"/>
                <w:color w:val="auto"/>
                <w:w w:val="94"/>
              </w:rPr>
              <w:t>(See Item 11)</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color w:val="auto"/>
              </w:rPr>
              <w:t>LANSING, MI 48906-2933</w:t>
            </w: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w w:val="96"/>
              </w:rPr>
              <w:t>10A. MODIFICATION OF</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980" w:type="dxa"/>
            <w:vAlign w:val="bottom"/>
            <w:gridSpan w:val="3"/>
          </w:tcPr>
          <w:p>
            <w:pPr>
              <w:spacing w:after="0" w:line="135" w:lineRule="exact"/>
              <w:rPr>
                <w:sz w:val="20"/>
                <w:szCs w:val="20"/>
                <w:color w:val="auto"/>
              </w:rPr>
            </w:pPr>
            <w:r>
              <w:rPr>
                <w:rFonts w:ascii="Arial" w:cs="Arial" w:eastAsia="Arial" w:hAnsi="Arial"/>
                <w:sz w:val="15"/>
                <w:szCs w:val="15"/>
                <w:color w:val="auto"/>
              </w:rPr>
              <w:t>CONTRACT/ORDER NO.</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20" w:type="dxa"/>
            <w:vAlign w:val="bottom"/>
            <w:gridSpan w:val="2"/>
          </w:tcPr>
          <w:p>
            <w:pPr>
              <w:spacing w:after="0" w:line="162" w:lineRule="exact"/>
              <w:rPr>
                <w:sz w:val="20"/>
                <w:szCs w:val="20"/>
                <w:color w:val="auto"/>
              </w:rPr>
            </w:pPr>
            <w:r>
              <w:rPr>
                <w:rFonts w:ascii="Arial" w:cs="Arial" w:eastAsia="Arial" w:hAnsi="Arial"/>
                <w:sz w:val="18"/>
                <w:szCs w:val="18"/>
                <w:color w:val="auto"/>
                <w:w w:val="96"/>
              </w:rPr>
              <w:t>200-2017-92634</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auto"/>
              </w:rPr>
              <w:t xml:space="preserve">10B. DATED </w:t>
            </w:r>
            <w:r>
              <w:rPr>
                <w:rFonts w:ascii="Arial" w:cs="Arial" w:eastAsia="Arial" w:hAnsi="Arial"/>
                <w:sz w:val="18"/>
                <w:szCs w:val="18"/>
                <w:i w:val="1"/>
                <w:iCs w:val="1"/>
                <w:color w:val="auto"/>
              </w:rPr>
              <w:t>(See Item 13)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X</w:t>
            </w:r>
          </w:p>
        </w:tc>
        <w:tc>
          <w:tcPr>
            <w:tcW w:w="880" w:type="dxa"/>
            <w:vAlign w:val="bottom"/>
            <w:vMerge w:val="restart"/>
          </w:tcPr>
          <w:p>
            <w:pPr>
              <w:spacing w:after="0"/>
              <w:rPr>
                <w:sz w:val="20"/>
                <w:szCs w:val="20"/>
                <w:color w:val="auto"/>
              </w:rPr>
            </w:pPr>
            <w:r>
              <w:rPr>
                <w:rFonts w:ascii="Arial" w:cs="Arial" w:eastAsia="Arial" w:hAnsi="Arial"/>
                <w:sz w:val="18"/>
                <w:szCs w:val="18"/>
                <w:color w:val="auto"/>
                <w:w w:val="95"/>
              </w:rPr>
              <w:t>12/08/2016</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CODE   026489018</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FACILITY CODE</w:t>
            </w:r>
          </w:p>
        </w:tc>
        <w:tc>
          <w:tcPr>
            <w:tcW w:w="3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6"/>
          </w:tcPr>
          <w:p>
            <w:pPr>
              <w:ind w:left="40"/>
              <w:spacing w:after="0" w:line="176" w:lineRule="exact"/>
              <w:rPr>
                <w:sz w:val="20"/>
                <w:szCs w:val="20"/>
                <w:color w:val="auto"/>
              </w:rPr>
            </w:pPr>
            <w:r>
              <w:rPr>
                <w:rFonts w:ascii="Arial" w:cs="Arial" w:eastAsia="Arial" w:hAnsi="Arial"/>
                <w:sz w:val="18"/>
                <w:szCs w:val="18"/>
                <w:color w:val="auto"/>
              </w:rPr>
              <w:t>11. THIS ITEM ONLY APPLIES TO AMENDMENTS OF SOLICITATIONS</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940" w:type="dxa"/>
            <w:vAlign w:val="bottom"/>
            <w:gridSpan w:val="7"/>
          </w:tcPr>
          <w:p>
            <w:pPr>
              <w:ind w:left="260"/>
              <w:spacing w:after="0" w:line="137" w:lineRule="exact"/>
              <w:rPr>
                <w:sz w:val="20"/>
                <w:szCs w:val="20"/>
                <w:color w:val="auto"/>
              </w:rPr>
            </w:pPr>
            <w:r>
              <w:rPr>
                <w:rFonts w:ascii="Arial" w:cs="Arial" w:eastAsia="Arial" w:hAnsi="Arial"/>
                <w:sz w:val="15"/>
                <w:szCs w:val="15"/>
                <w:color w:val="auto"/>
              </w:rPr>
              <w:t>The above numbered solicitation is amended as set forth in Item 14. The hour and date specified for receipt of Offers</w:t>
            </w:r>
          </w:p>
        </w:tc>
        <w:tc>
          <w:tcPr>
            <w:tcW w:w="1100" w:type="dxa"/>
            <w:vAlign w:val="bottom"/>
            <w:gridSpan w:val="2"/>
          </w:tcPr>
          <w:p>
            <w:pPr>
              <w:ind w:left="60"/>
              <w:spacing w:after="0" w:line="137" w:lineRule="exact"/>
              <w:rPr>
                <w:sz w:val="20"/>
                <w:szCs w:val="20"/>
                <w:color w:val="auto"/>
              </w:rPr>
            </w:pPr>
            <w:r>
              <w:rPr>
                <w:rFonts w:ascii="Arial" w:cs="Arial" w:eastAsia="Arial" w:hAnsi="Arial"/>
                <w:sz w:val="15"/>
                <w:szCs w:val="15"/>
                <w:color w:val="auto"/>
              </w:rPr>
              <w:t>is extended,</w:t>
            </w:r>
          </w:p>
        </w:tc>
        <w:tc>
          <w:tcPr>
            <w:tcW w:w="1360" w:type="dxa"/>
            <w:vAlign w:val="bottom"/>
            <w:gridSpan w:val="2"/>
          </w:tcPr>
          <w:p>
            <w:pPr>
              <w:jc w:val="center"/>
              <w:spacing w:after="0" w:line="137" w:lineRule="exact"/>
              <w:rPr>
                <w:sz w:val="20"/>
                <w:szCs w:val="20"/>
                <w:color w:val="auto"/>
              </w:rPr>
            </w:pPr>
            <w:r>
              <w:rPr>
                <w:rFonts w:ascii="Arial" w:cs="Arial" w:eastAsia="Arial" w:hAnsi="Arial"/>
                <w:sz w:val="15"/>
                <w:szCs w:val="15"/>
                <w:color w:val="auto"/>
              </w:rPr>
              <w:t>is not extended.</w:t>
            </w:r>
          </w:p>
        </w:tc>
        <w:tc>
          <w:tcPr>
            <w:tcW w:w="0" w:type="dxa"/>
            <w:vAlign w:val="bottom"/>
          </w:tcPr>
          <w:p>
            <w:pPr>
              <w:spacing w:after="0"/>
              <w:rPr>
                <w:sz w:val="1"/>
                <w:szCs w:val="1"/>
                <w:color w:val="auto"/>
              </w:rPr>
            </w:pPr>
          </w:p>
        </w:tc>
      </w:tr>
    </w:tbl>
    <w:p>
      <w:pPr>
        <w:ind w:right="220"/>
        <w:spacing w:after="0" w:line="187" w:lineRule="auto"/>
        <w:rPr>
          <w:sz w:val="20"/>
          <w:szCs w:val="20"/>
          <w:color w:val="auto"/>
        </w:rPr>
      </w:pPr>
      <w:r>
        <w:rPr>
          <w:rFonts w:ascii="Arial" w:cs="Arial" w:eastAsia="Arial" w:hAnsi="Arial"/>
          <w:sz w:val="18"/>
          <w:szCs w:val="18"/>
          <w:color w:val="auto"/>
        </w:rPr>
        <w:t>Offers must acknowledge receipt of this amendment prior to the hour and date specified in the solicitation or as amended, by one of the following methods: (a) By completing Items 8 and 15, and returning copies of the amendment; (b) By acknowledging receipt of this amendment on each copy of the offer submitted; or (c) By separate letter or telegram which includes a reference to the solicitation and amendment numbers. FAILURE OF YOUR ACKNOWLEGMENT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-401320</wp:posOffset>
            </wp:positionV>
            <wp:extent cx="114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-401320</wp:posOffset>
            </wp:positionV>
            <wp:extent cx="1143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-195580</wp:posOffset>
            </wp:positionV>
            <wp:extent cx="171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jc w:val="both"/>
        <w:ind w:right="140"/>
        <w:spacing w:after="0" w:line="187" w:lineRule="auto"/>
        <w:rPr>
          <w:sz w:val="20"/>
          <w:szCs w:val="20"/>
          <w:color w:val="auto"/>
        </w:rPr>
      </w:pPr>
      <w:r>
        <w:rPr>
          <w:rFonts w:ascii="Arial" w:cs="Arial" w:eastAsia="Arial" w:hAnsi="Arial"/>
          <w:sz w:val="18"/>
          <w:szCs w:val="18"/>
          <w:color w:val="auto"/>
        </w:rPr>
        <w:t>TO BE RECEIVED AT THE PLACE DESIGNATED FOR THE RECEIPT OF OFFERS PRIOR TO THE HOUR AND DATE SPECIFIED MAY RESULT IN REJECTION OF YOUR OFFER. If by virtue of this amendment you desire to change an offer already submitted, such change may be made by telegram or letter,</w:t>
      </w:r>
    </w:p>
    <w:p>
      <w:pPr>
        <w:spacing w:after="0" w:line="218" w:lineRule="auto"/>
        <w:rPr>
          <w:sz w:val="20"/>
          <w:szCs w:val="20"/>
          <w:color w:val="auto"/>
        </w:rPr>
      </w:pPr>
      <w:r>
        <w:rPr>
          <w:rFonts w:ascii="Arial" w:cs="Arial" w:eastAsia="Arial" w:hAnsi="Arial"/>
          <w:sz w:val="17"/>
          <w:szCs w:val="17"/>
          <w:color w:val="auto"/>
        </w:rPr>
        <w:t>provided each telegram or letter makes reference to the solicitation and this amendment, and is received prior to the opening hour and date specified.</w:t>
      </w:r>
    </w:p>
    <w:p>
      <w:pPr>
        <w:ind w:right="6640" w:firstLine="8"/>
        <w:spacing w:after="0" w:line="202"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xml:space="preserve"> See Section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40" w:type="dxa"/>
            <w:vAlign w:val="bottom"/>
            <w:tcBorders>
              <w:top w:val="single" w:sz="8" w:color="auto"/>
            </w:tcBorders>
          </w:tcPr>
          <w:p>
            <w:pPr>
              <w:jc w:val="center"/>
              <w:ind w:right="1097"/>
              <w:spacing w:after="0" w:line="142" w:lineRule="exact"/>
              <w:rPr>
                <w:sz w:val="20"/>
                <w:szCs w:val="20"/>
                <w:color w:val="auto"/>
              </w:rPr>
            </w:pPr>
            <w:r>
              <w:rPr>
                <w:rFonts w:ascii="Arial" w:cs="Arial" w:eastAsia="Arial" w:hAnsi="Arial"/>
                <w:sz w:val="16"/>
                <w:szCs w:val="16"/>
                <w:color w:val="auto"/>
              </w:rPr>
              <w:t>(Ö)</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40" w:type="dxa"/>
            <w:vAlign w:val="bottom"/>
          </w:tcPr>
          <w:p>
            <w:pPr>
              <w:jc w:val="center"/>
              <w:ind w:right="1077"/>
              <w:spacing w:after="0" w:line="176" w:lineRule="exact"/>
              <w:rPr>
                <w:sz w:val="20"/>
                <w:szCs w:val="20"/>
                <w:color w:val="auto"/>
              </w:rPr>
            </w:pPr>
            <w:r>
              <w:rPr>
                <w:rFonts w:ascii="Arial" w:cs="Arial" w:eastAsia="Arial" w:hAnsi="Arial"/>
                <w:sz w:val="18"/>
                <w:szCs w:val="18"/>
                <w:color w:val="auto"/>
                <w:w w:val="95"/>
              </w:rPr>
              <w:t>13. THIS ITEM APPLIES ONLY TO MODIFICATIONS OF CONTRACTS/ORDERS,</w:t>
            </w:r>
          </w:p>
        </w:tc>
      </w:tr>
      <w:tr>
        <w:trPr>
          <w:trHeight w:val="210"/>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40" w:type="dxa"/>
            <w:vAlign w:val="bottom"/>
            <w:tcBorders>
              <w:bottom w:val="single" w:sz="8" w:color="auto"/>
            </w:tcBorders>
          </w:tcPr>
          <w:p>
            <w:pPr>
              <w:jc w:val="center"/>
              <w:ind w:right="1077"/>
              <w:spacing w:after="0" w:line="202" w:lineRule="exact"/>
              <w:rPr>
                <w:sz w:val="20"/>
                <w:szCs w:val="20"/>
                <w:color w:val="auto"/>
              </w:rPr>
            </w:pPr>
            <w:r>
              <w:rPr>
                <w:rFonts w:ascii="Arial" w:cs="Arial" w:eastAsia="Arial" w:hAnsi="Arial"/>
                <w:sz w:val="18"/>
                <w:szCs w:val="18"/>
                <w:color w:val="auto"/>
                <w:w w:val="96"/>
              </w:rPr>
              <w:t>IT MODIFIES THE CONTRACT/ORDER NO. AS DESCRIBED IN ITEM 14.</w:t>
            </w:r>
          </w:p>
        </w:tc>
      </w:tr>
      <w:tr>
        <w:trPr>
          <w:trHeight w:val="122"/>
        </w:trPr>
        <w:tc>
          <w:tcPr>
            <w:tcW w:w="2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4"/>
                <w:szCs w:val="14"/>
                <w:color w:val="auto"/>
              </w:rPr>
              <w:t>ITEM</w:t>
            </w:r>
          </w:p>
        </w:tc>
        <w:tc>
          <w:tcPr>
            <w:tcW w:w="640" w:type="dxa"/>
            <w:vAlign w:val="bottom"/>
          </w:tcPr>
          <w:p>
            <w:pPr>
              <w:ind w:left="100"/>
              <w:spacing w:after="0" w:line="122" w:lineRule="exact"/>
              <w:rPr>
                <w:sz w:val="20"/>
                <w:szCs w:val="20"/>
                <w:color w:val="auto"/>
              </w:rPr>
            </w:pPr>
            <w:r>
              <w:rPr>
                <w:rFonts w:ascii="Arial" w:cs="Arial" w:eastAsia="Arial" w:hAnsi="Arial"/>
                <w:sz w:val="14"/>
                <w:szCs w:val="14"/>
                <w:color w:val="auto"/>
              </w:rPr>
              <w:t>A.</w:t>
            </w:r>
          </w:p>
        </w:tc>
        <w:tc>
          <w:tcPr>
            <w:tcW w:w="10240" w:type="dxa"/>
            <w:vAlign w:val="bottom"/>
          </w:tcPr>
          <w:p>
            <w:pPr>
              <w:ind w:left="360"/>
              <w:spacing w:after="0" w:line="122" w:lineRule="exact"/>
              <w:rPr>
                <w:sz w:val="20"/>
                <w:szCs w:val="20"/>
                <w:color w:val="auto"/>
              </w:rPr>
            </w:pPr>
            <w:r>
              <w:rPr>
                <w:rFonts w:ascii="Arial" w:cs="Arial" w:eastAsia="Arial" w:hAnsi="Arial"/>
                <w:sz w:val="14"/>
                <w:szCs w:val="14"/>
                <w:color w:val="auto"/>
              </w:rPr>
              <w:t xml:space="preserve">THIS CHANGE ORDER IS ISSUED PURSUANT TO: </w:t>
            </w:r>
            <w:r>
              <w:rPr>
                <w:rFonts w:ascii="Arial" w:cs="Arial" w:eastAsia="Arial" w:hAnsi="Arial"/>
                <w:sz w:val="14"/>
                <w:szCs w:val="14"/>
                <w:i w:val="1"/>
                <w:iCs w:val="1"/>
                <w:color w:val="auto"/>
              </w:rPr>
              <w:t>(Specify authority)</w:t>
            </w:r>
            <w:r>
              <w:rPr>
                <w:rFonts w:ascii="Arial" w:cs="Arial" w:eastAsia="Arial" w:hAnsi="Arial"/>
                <w:sz w:val="14"/>
                <w:szCs w:val="14"/>
                <w:color w:val="auto"/>
              </w:rPr>
              <w:t xml:space="preserve"> THE CHANGES SET FORTH IN ITEM 14 ARE MADE</w:t>
            </w:r>
          </w:p>
        </w:tc>
      </w:tr>
      <w:tr>
        <w:trPr>
          <w:trHeight w:val="243"/>
        </w:trPr>
        <w:tc>
          <w:tcPr>
            <w:tcW w:w="540" w:type="dxa"/>
            <w:vAlign w:val="bottom"/>
            <w:gridSpan w:val="2"/>
          </w:tcPr>
          <w:p>
            <w:pPr>
              <w:spacing w:after="0"/>
              <w:rPr>
                <w:sz w:val="20"/>
                <w:szCs w:val="20"/>
                <w:color w:val="auto"/>
              </w:rPr>
            </w:pPr>
            <w:r>
              <w:rPr>
                <w:rFonts w:ascii="Arial" w:cs="Arial" w:eastAsia="Arial" w:hAnsi="Arial"/>
                <w:sz w:val="18"/>
                <w:szCs w:val="18"/>
                <w:color w:val="auto"/>
              </w:rPr>
              <w:t>10A.</w:t>
            </w:r>
          </w:p>
        </w:tc>
        <w:tc>
          <w:tcPr>
            <w:tcW w:w="10880" w:type="dxa"/>
            <w:vAlign w:val="bottom"/>
            <w:gridSpan w:val="2"/>
          </w:tcPr>
          <w:p>
            <w:pPr>
              <w:ind w:left="100"/>
              <w:spacing w:after="0"/>
              <w:rPr>
                <w:sz w:val="20"/>
                <w:szCs w:val="20"/>
                <w:color w:val="auto"/>
              </w:rPr>
            </w:pPr>
            <w:r>
              <w:rPr>
                <w:rFonts w:ascii="Arial" w:cs="Arial" w:eastAsia="Arial" w:hAnsi="Arial"/>
                <w:sz w:val="18"/>
                <w:szCs w:val="18"/>
                <w:color w:val="auto"/>
              </w:rPr>
              <w:t>IN THE CONTRACT ORDER NO.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157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157605"/>
                    </a:xfrm>
                    <a:prstGeom prst="rect">
                      <a:avLst/>
                    </a:prstGeom>
                    <a:noFill/>
                  </pic:spPr>
                </pic:pic>
              </a:graphicData>
            </a:graphic>
          </wp:anchor>
        </w:drawing>
      </w:r>
    </w:p>
    <w:p>
      <w:pPr>
        <w:spacing w:after="0" w:line="166" w:lineRule="exact"/>
        <w:rPr>
          <w:sz w:val="20"/>
          <w:szCs w:val="20"/>
          <w:color w:val="auto"/>
        </w:rPr>
      </w:pPr>
    </w:p>
    <w:p>
      <w:pPr>
        <w:ind w:left="1520" w:hanging="877"/>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ABOVE NUMBERED CONTRACT/ORDER IS MODIFIED TO REFLECT THE ADMINISTRATIVE CHANGES </w:t>
      </w:r>
      <w:r>
        <w:rPr>
          <w:rFonts w:ascii="Arial" w:cs="Arial" w:eastAsia="Arial" w:hAnsi="Arial"/>
          <w:sz w:val="18"/>
          <w:szCs w:val="18"/>
          <w:i w:val="1"/>
          <w:iCs w:val="1"/>
          <w:color w:val="auto"/>
        </w:rPr>
        <w:t>(such as</w:t>
      </w:r>
    </w:p>
    <w:p>
      <w:pPr>
        <w:ind w:left="640"/>
        <w:spacing w:after="0"/>
        <w:tabs>
          <w:tab w:leader="none" w:pos="4080" w:val="left"/>
        </w:tabs>
        <w:rPr>
          <w:sz w:val="20"/>
          <w:szCs w:val="20"/>
          <w:color w:val="auto"/>
        </w:rPr>
      </w:pPr>
      <w:r>
        <w:rPr>
          <w:rFonts w:ascii="Arial" w:cs="Arial" w:eastAsia="Arial" w:hAnsi="Arial"/>
          <w:sz w:val="18"/>
          <w:szCs w:val="18"/>
          <w:i w:val="1"/>
          <w:iCs w:val="1"/>
          <w:color w:val="auto"/>
        </w:rPr>
        <w:t>changes in paying office, appropriation date,</w:t>
      </w:r>
      <w:r>
        <w:rPr>
          <w:sz w:val="20"/>
          <w:szCs w:val="20"/>
          <w:color w:val="auto"/>
        </w:rPr>
        <w:tab/>
      </w:r>
      <w:r>
        <w:rPr>
          <w:rFonts w:ascii="Arial" w:cs="Arial" w:eastAsia="Arial" w:hAnsi="Arial"/>
          <w:sz w:val="17"/>
          <w:szCs w:val="17"/>
          <w:i w:val="1"/>
          <w:iCs w:val="1"/>
          <w:color w:val="auto"/>
        </w:rPr>
        <w:t xml:space="preserve">etc.) </w:t>
      </w:r>
      <w:r>
        <w:rPr>
          <w:rFonts w:ascii="Arial" w:cs="Arial" w:eastAsia="Arial" w:hAnsi="Arial"/>
          <w:sz w:val="17"/>
          <w:szCs w:val="17"/>
          <w:color w:val="auto"/>
        </w:rPr>
        <w:t>SET FORTH IN ITEM 14, PURSUANT TO THE AUTHORITY OF FAR 43.103(b).</w:t>
      </w:r>
    </w:p>
    <w:p>
      <w:pPr>
        <w:spacing w:after="0" w:line="7"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color w:val="auto"/>
        </w:rPr>
        <w:t>THIS SUPPLEMENTAL AGREEMENT IS ENTERED INTO PURSUANT TO AUTHORITY OF:</w:t>
      </w:r>
    </w:p>
    <w:p>
      <w:pPr>
        <w:ind w:left="760"/>
        <w:spacing w:after="0" w:line="216" w:lineRule="auto"/>
        <w:rPr>
          <w:sz w:val="20"/>
          <w:szCs w:val="20"/>
          <w:color w:val="auto"/>
        </w:rPr>
      </w:pPr>
      <w:r>
        <w:rPr>
          <w:rFonts w:ascii="Arial" w:cs="Arial" w:eastAsia="Arial" w:hAnsi="Arial"/>
          <w:sz w:val="18"/>
          <w:szCs w:val="18"/>
          <w:color w:val="auto"/>
        </w:rPr>
        <w:t>52.217-7 Option for Increased Quantity—Separately Priced Line Item.</w:t>
      </w:r>
    </w:p>
    <w:p>
      <w:pPr>
        <w:ind w:left="1540" w:hanging="897"/>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(Specify type of modification and authority)</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 IMPORTANT: Contractor is not, Xis required to sign this document and return 1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6536690</wp:posOffset>
            </wp:positionH>
            <wp:positionV relativeFrom="paragraph">
              <wp:posOffset>-12700</wp:posOffset>
            </wp:positionV>
            <wp:extent cx="228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ind w:right="580" w:firstLine="8"/>
        <w:spacing w:after="0" w:line="182" w:lineRule="auto"/>
        <w:tabs>
          <w:tab w:leader="none" w:pos="27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DESCRIPTION OF AMENDMENT/MODIFICATION </w:t>
      </w:r>
      <w:r>
        <w:rPr>
          <w:rFonts w:ascii="Arial" w:cs="Arial" w:eastAsia="Arial" w:hAnsi="Arial"/>
          <w:sz w:val="17"/>
          <w:szCs w:val="17"/>
          <w:i w:val="1"/>
          <w:iCs w:val="1"/>
          <w:color w:val="auto"/>
        </w:rPr>
        <w:t>(Organized by UCF section headings, including solicitation/contract subject matter where</w:t>
      </w:r>
      <w:r>
        <w:rPr>
          <w:rFonts w:ascii="Arial" w:cs="Arial" w:eastAsia="Arial" w:hAnsi="Arial"/>
          <w:sz w:val="17"/>
          <w:szCs w:val="17"/>
          <w:color w:val="auto"/>
        </w:rPr>
        <w:t xml:space="preserve"> </w:t>
      </w:r>
      <w:r>
        <w:rPr>
          <w:rFonts w:ascii="Arial" w:cs="Arial" w:eastAsia="Arial" w:hAnsi="Arial"/>
          <w:sz w:val="17"/>
          <w:szCs w:val="17"/>
          <w:i w:val="1"/>
          <w:iCs w:val="1"/>
          <w:color w:val="auto"/>
        </w:rPr>
        <w:t>feasible.)</w:t>
      </w:r>
    </w:p>
    <w:p>
      <w:pPr>
        <w:spacing w:after="0"/>
        <w:rPr>
          <w:rFonts w:ascii="Arial" w:cs="Arial" w:eastAsia="Arial" w:hAnsi="Arial"/>
          <w:sz w:val="17"/>
          <w:szCs w:val="17"/>
          <w:color w:val="auto"/>
        </w:rPr>
      </w:pPr>
      <w:r>
        <w:rPr>
          <w:rFonts w:ascii="Arial" w:cs="Arial" w:eastAsia="Arial" w:hAnsi="Arial"/>
          <w:sz w:val="18"/>
          <w:szCs w:val="18"/>
          <w:color w:val="auto"/>
        </w:rPr>
        <w:t>This modification is issued to:</w:t>
      </w:r>
    </w:p>
    <w:p>
      <w:pPr>
        <w:spacing w:after="0" w:line="141" w:lineRule="exact"/>
        <w:rPr>
          <w:rFonts w:ascii="Arial" w:cs="Arial" w:eastAsia="Arial" w:hAnsi="Arial"/>
          <w:sz w:val="17"/>
          <w:szCs w:val="17"/>
          <w:color w:val="auto"/>
        </w:rPr>
      </w:pPr>
    </w:p>
    <w:p>
      <w:pPr>
        <w:ind w:left="400" w:hanging="295"/>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Correct the line of accounting for SubCLIN 2004</w:t>
      </w:r>
    </w:p>
    <w:p>
      <w:pPr>
        <w:spacing w:after="0" w:line="23" w:lineRule="exact"/>
        <w:rPr>
          <w:rFonts w:ascii="Arial" w:cs="Arial" w:eastAsia="Arial" w:hAnsi="Arial"/>
          <w:sz w:val="18"/>
          <w:szCs w:val="18"/>
          <w:color w:val="auto"/>
        </w:rPr>
      </w:pPr>
    </w:p>
    <w:p>
      <w:pPr>
        <w:ind w:left="400" w:hanging="295"/>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Exercise alternate SubCLIN 2005 from Optional CLIN 0002 and buy an additional [**] doses</w:t>
      </w:r>
    </w:p>
    <w:p>
      <w:pPr>
        <w:spacing w:after="0" w:line="9" w:lineRule="exact"/>
        <w:rPr>
          <w:rFonts w:ascii="Arial" w:cs="Arial" w:eastAsia="Arial" w:hAnsi="Arial"/>
          <w:sz w:val="18"/>
          <w:szCs w:val="18"/>
          <w:color w:val="auto"/>
        </w:rPr>
      </w:pPr>
    </w:p>
    <w:p>
      <w:pPr>
        <w:ind w:left="400" w:hanging="295"/>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and fund [**] doses on CLIN 2005 in the amount of $[**]</w:t>
      </w:r>
    </w:p>
    <w:p>
      <w:pPr>
        <w:spacing w:after="0" w:line="9" w:lineRule="exact"/>
        <w:rPr>
          <w:rFonts w:ascii="Arial" w:cs="Arial" w:eastAsia="Arial" w:hAnsi="Arial"/>
          <w:sz w:val="18"/>
          <w:szCs w:val="18"/>
          <w:color w:val="auto"/>
        </w:rPr>
      </w:pPr>
    </w:p>
    <w:p>
      <w:pPr>
        <w:ind w:left="400" w:hanging="295"/>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funding for this contract has increased by $[**] from $[**]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the same.</w:t>
      </w:r>
    </w:p>
    <w:p>
      <w:pPr>
        <w:ind w:right="400"/>
        <w:spacing w:after="0" w:line="182" w:lineRule="auto"/>
        <w:rPr>
          <w:sz w:val="20"/>
          <w:szCs w:val="20"/>
          <w:color w:val="auto"/>
        </w:rPr>
      </w:pPr>
      <w:r>
        <w:rPr>
          <w:rFonts w:ascii="Arial" w:cs="Arial" w:eastAsia="Arial" w:hAnsi="Arial"/>
          <w:sz w:val="17"/>
          <w:szCs w:val="17"/>
          <w:color w:val="auto"/>
        </w:rPr>
        <w:t>Except as provided herein, all terms and conditions of the document referenced in Item 9A or 10A, as heretofore changed, remains unchanged and in full force and effect.</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52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1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444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6"/>
                <w:szCs w:val="16"/>
                <w:color w:val="auto"/>
              </w:rPr>
              <w:t>16A. NAME OF CONTRACTING OFFICER</w:t>
            </w:r>
          </w:p>
        </w:tc>
        <w:tc>
          <w:tcPr>
            <w:tcW w:w="0" w:type="dxa"/>
            <w:vAlign w:val="bottom"/>
          </w:tcPr>
          <w:p>
            <w:pPr>
              <w:spacing w:after="0"/>
              <w:rPr>
                <w:sz w:val="1"/>
                <w:szCs w:val="1"/>
                <w:color w:val="auto"/>
              </w:rPr>
            </w:pPr>
          </w:p>
        </w:tc>
      </w:tr>
      <w:tr>
        <w:trPr>
          <w:trHeight w:val="230"/>
        </w:trPr>
        <w:tc>
          <w:tcPr>
            <w:tcW w:w="4540" w:type="dxa"/>
            <w:vAlign w:val="bottom"/>
            <w:gridSpan w:val="4"/>
          </w:tcPr>
          <w:p>
            <w:pPr>
              <w:spacing w:after="0"/>
              <w:rPr>
                <w:sz w:val="20"/>
                <w:szCs w:val="20"/>
                <w:color w:val="auto"/>
              </w:rPr>
            </w:pPr>
            <w:r>
              <w:rPr>
                <w:rFonts w:ascii="Arial" w:cs="Arial" w:eastAsia="Arial" w:hAnsi="Arial"/>
                <w:sz w:val="18"/>
                <w:szCs w:val="18"/>
                <w:color w:val="auto"/>
              </w:rPr>
              <w:t>Michael Mann/Sr. Manager for Commerical Operations</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Sherrie N Randall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520" w:type="dxa"/>
            <w:vAlign w:val="bottom"/>
            <w:tcBorders>
              <w:right w:val="single" w:sz="8" w:color="auto"/>
            </w:tcBorders>
            <w:gridSpan w:val="3"/>
          </w:tcPr>
          <w:p>
            <w:pPr>
              <w:spacing w:after="0" w:line="122" w:lineRule="exact"/>
              <w:rPr>
                <w:sz w:val="20"/>
                <w:szCs w:val="20"/>
                <w:color w:val="auto"/>
              </w:rPr>
            </w:pPr>
            <w:r>
              <w:rPr>
                <w:rFonts w:ascii="Arial" w:cs="Arial" w:eastAsia="Arial" w:hAnsi="Arial"/>
                <w:sz w:val="14"/>
                <w:szCs w:val="14"/>
                <w:color w:val="auto"/>
              </w:rPr>
              <w:t>15B. CONTRACTOR/OFFEROR</w:t>
            </w:r>
          </w:p>
        </w:tc>
        <w:tc>
          <w:tcPr>
            <w:tcW w:w="1660" w:type="dxa"/>
            <w:vAlign w:val="bottom"/>
            <w:tcBorders>
              <w:right w:val="single" w:sz="8" w:color="auto"/>
            </w:tcBorders>
          </w:tcPr>
          <w:p>
            <w:pPr>
              <w:spacing w:after="0" w:line="122" w:lineRule="exact"/>
              <w:rPr>
                <w:sz w:val="20"/>
                <w:szCs w:val="20"/>
                <w:color w:val="auto"/>
              </w:rPr>
            </w:pPr>
            <w:r>
              <w:rPr>
                <w:rFonts w:ascii="Arial" w:cs="Arial" w:eastAsia="Arial" w:hAnsi="Arial"/>
                <w:sz w:val="14"/>
                <w:szCs w:val="14"/>
                <w:color w:val="auto"/>
              </w:rPr>
              <w:t>15C. DATE SIGNED</w:t>
            </w:r>
          </w:p>
        </w:tc>
        <w:tc>
          <w:tcPr>
            <w:tcW w:w="4080" w:type="dxa"/>
            <w:vAlign w:val="bottom"/>
            <w:tcBorders>
              <w:right w:val="single" w:sz="8" w:color="auto"/>
            </w:tcBorders>
            <w:gridSpan w:val="4"/>
          </w:tcPr>
          <w:p>
            <w:pPr>
              <w:spacing w:after="0" w:line="122" w:lineRule="exact"/>
              <w:rPr>
                <w:sz w:val="20"/>
                <w:szCs w:val="20"/>
                <w:color w:val="auto"/>
              </w:rPr>
            </w:pPr>
            <w:r>
              <w:rPr>
                <w:rFonts w:ascii="Arial" w:cs="Arial" w:eastAsia="Arial" w:hAnsi="Arial"/>
                <w:sz w:val="14"/>
                <w:szCs w:val="14"/>
                <w:color w:val="auto"/>
              </w:rPr>
              <w:t>16B. UNITED STATES OF AMERICA</w:t>
            </w:r>
          </w:p>
        </w:tc>
        <w:tc>
          <w:tcPr>
            <w:tcW w:w="1140" w:type="dxa"/>
            <w:vAlign w:val="bottom"/>
          </w:tcPr>
          <w:p>
            <w:pPr>
              <w:spacing w:after="0" w:line="122" w:lineRule="exact"/>
              <w:rPr>
                <w:sz w:val="20"/>
                <w:szCs w:val="20"/>
                <w:color w:val="auto"/>
              </w:rPr>
            </w:pPr>
            <w:r>
              <w:rPr>
                <w:rFonts w:ascii="Arial" w:cs="Arial" w:eastAsia="Arial" w:hAnsi="Arial"/>
                <w:sz w:val="14"/>
                <w:szCs w:val="14"/>
                <w:color w:val="auto"/>
              </w:rPr>
              <w:t>16C. DATE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_/s/ J. Michael Mann II________________________</w:t>
            </w:r>
          </w:p>
        </w:tc>
        <w:tc>
          <w:tcPr>
            <w:tcW w:w="166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BY ___/s/ Sherrie N. Randall____________________</w:t>
            </w:r>
          </w:p>
        </w:tc>
        <w:tc>
          <w:tcPr>
            <w:tcW w:w="1140" w:type="dxa"/>
            <w:vAlign w:val="bottom"/>
          </w:tcPr>
          <w:p>
            <w:pPr>
              <w:spacing w:after="0"/>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i w:val="1"/>
                <w:iCs w:val="1"/>
                <w:color w:val="auto"/>
              </w:rPr>
              <w:t>person authorized to sign)</w:t>
            </w:r>
          </w:p>
        </w:tc>
        <w:tc>
          <w:tcPr>
            <w:tcW w:w="166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8"/>
                <w:szCs w:val="18"/>
                <w:color w:val="auto"/>
              </w:rPr>
              <w:t>06/20/2018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i w:val="1"/>
                <w:iCs w:val="1"/>
                <w:color w:val="auto"/>
                <w:w w:val="93"/>
              </w:rPr>
              <w:t>(Signature of</w:t>
            </w:r>
          </w:p>
        </w:tc>
        <w:tc>
          <w:tcPr>
            <w:tcW w:w="2740" w:type="dxa"/>
            <w:vAlign w:val="bottom"/>
            <w:tcBorders>
              <w:bottom w:val="single" w:sz="8" w:color="auto"/>
              <w:right w:val="single" w:sz="8" w:color="auto"/>
            </w:tcBorders>
            <w:vMerge w:val="continue"/>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2"/>
          </w:tcPr>
          <w:p>
            <w:pPr>
              <w:ind w:left="140"/>
              <w:spacing w:after="0" w:line="202" w:lineRule="exact"/>
              <w:rPr>
                <w:sz w:val="20"/>
                <w:szCs w:val="20"/>
                <w:color w:val="auto"/>
              </w:rPr>
            </w:pPr>
            <w:r>
              <w:rPr>
                <w:rFonts w:ascii="Arial" w:cs="Arial" w:eastAsia="Arial" w:hAnsi="Arial"/>
                <w:sz w:val="18"/>
                <w:szCs w:val="18"/>
                <w:i w:val="1"/>
                <w:iCs w:val="1"/>
                <w:color w:val="auto"/>
              </w:rPr>
              <w:t>(Signature of Contracting Officer)</w:t>
            </w: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20" w:type="dxa"/>
            <w:vAlign w:val="bottom"/>
            <w:gridSpan w:val="3"/>
          </w:tcPr>
          <w:p>
            <w:pPr>
              <w:ind w:left="120"/>
              <w:spacing w:after="0" w:line="135" w:lineRule="exact"/>
              <w:rPr>
                <w:sz w:val="20"/>
                <w:szCs w:val="20"/>
                <w:color w:val="auto"/>
              </w:rPr>
            </w:pPr>
            <w:r>
              <w:rPr>
                <w:rFonts w:ascii="Arial" w:cs="Arial" w:eastAsia="Arial" w:hAnsi="Arial"/>
                <w:sz w:val="15"/>
                <w:szCs w:val="15"/>
                <w:color w:val="auto"/>
              </w:rPr>
              <w:t>NSN 7540-01-152-8070</w:t>
            </w: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60" w:type="dxa"/>
            <w:vAlign w:val="bottom"/>
            <w:gridSpan w:val="2"/>
          </w:tcPr>
          <w:p>
            <w:pPr>
              <w:jc w:val="right"/>
              <w:ind w:right="377"/>
              <w:spacing w:after="0" w:line="135" w:lineRule="exact"/>
              <w:rPr>
                <w:sz w:val="20"/>
                <w:szCs w:val="20"/>
                <w:color w:val="auto"/>
              </w:rPr>
            </w:pPr>
            <w:r>
              <w:rPr>
                <w:rFonts w:ascii="Arial" w:cs="Arial" w:eastAsia="Arial" w:hAnsi="Arial"/>
                <w:sz w:val="15"/>
                <w:szCs w:val="15"/>
                <w:color w:val="auto"/>
              </w:rPr>
              <w:t>STANDARD</w:t>
            </w:r>
          </w:p>
        </w:tc>
        <w:tc>
          <w:tcPr>
            <w:tcW w:w="0" w:type="dxa"/>
            <w:vAlign w:val="bottom"/>
          </w:tcPr>
          <w:p>
            <w:pPr>
              <w:spacing w:after="0"/>
              <w:rPr>
                <w:sz w:val="1"/>
                <w:szCs w:val="1"/>
                <w:color w:val="auto"/>
              </w:rPr>
            </w:pPr>
          </w:p>
        </w:tc>
      </w:tr>
      <w:tr>
        <w:trPr>
          <w:trHeight w:val="176"/>
        </w:trPr>
        <w:tc>
          <w:tcPr>
            <w:tcW w:w="4540" w:type="dxa"/>
            <w:vAlign w:val="bottom"/>
            <w:gridSpan w:val="4"/>
          </w:tcPr>
          <w:p>
            <w:pPr>
              <w:spacing w:after="0" w:line="176" w:lineRule="exact"/>
              <w:rPr>
                <w:sz w:val="20"/>
                <w:szCs w:val="20"/>
                <w:color w:val="auto"/>
              </w:rPr>
            </w:pPr>
            <w:r>
              <w:rPr>
                <w:rFonts w:ascii="Arial" w:cs="Arial" w:eastAsia="Arial" w:hAnsi="Arial"/>
                <w:sz w:val="18"/>
                <w:szCs w:val="18"/>
                <w:color w:val="auto"/>
              </w:rPr>
              <w:t>FORM 30 (REV. 10-83)</w:t>
            </w:r>
          </w:p>
        </w:tc>
        <w:tc>
          <w:tcPr>
            <w:tcW w:w="3820" w:type="dxa"/>
            <w:vAlign w:val="bottom"/>
            <w:gridSpan w:val="4"/>
            <w:vMerge w:val="restart"/>
          </w:tcPr>
          <w:p>
            <w:pPr>
              <w:jc w:val="right"/>
              <w:ind w:right="93"/>
              <w:spacing w:after="0"/>
              <w:rPr>
                <w:sz w:val="20"/>
                <w:szCs w:val="20"/>
                <w:color w:val="auto"/>
              </w:rPr>
            </w:pPr>
            <w:r>
              <w:rPr>
                <w:rFonts w:ascii="Arial" w:cs="Arial" w:eastAsia="Arial" w:hAnsi="Arial"/>
                <w:sz w:val="18"/>
                <w:szCs w:val="18"/>
                <w:color w:val="auto"/>
              </w:rPr>
              <w:t>30-105</w:t>
            </w:r>
          </w:p>
        </w:tc>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PREVIOUS EDITION UNUSABLE</w:t>
            </w:r>
          </w:p>
        </w:tc>
        <w:tc>
          <w:tcPr>
            <w:tcW w:w="3820" w:type="dxa"/>
            <w:vAlign w:val="bottom"/>
            <w:gridSpan w:val="4"/>
            <w:vMerge w:val="continue"/>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5"/>
          <w:szCs w:val="15"/>
          <w:color w:val="auto"/>
        </w:rPr>
        <w:t>Prescribed by GSA</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840" w:type="dxa"/>
            <w:vAlign w:val="bottom"/>
            <w:gridSpan w:val="6"/>
          </w:tcPr>
          <w:p>
            <w:pPr>
              <w:spacing w:after="0"/>
              <w:rPr>
                <w:sz w:val="20"/>
                <w:szCs w:val="20"/>
                <w:color w:val="auto"/>
              </w:rPr>
            </w:pPr>
            <w:r>
              <w:rPr>
                <w:rFonts w:ascii="Arial" w:cs="Arial" w:eastAsia="Arial" w:hAnsi="Arial"/>
                <w:sz w:val="18"/>
                <w:szCs w:val="18"/>
                <w:b w:val="1"/>
                <w:bCs w:val="1"/>
                <w:color w:val="auto"/>
              </w:rPr>
              <w:t>Section B – Supplies/Services</w:t>
            </w: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Option 1 Items:</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26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gridSpan w:val="2"/>
          </w:tcPr>
          <w:p>
            <w:pPr>
              <w:spacing w:after="0" w:line="172"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4"/>
                <w:szCs w:val="14"/>
                <w:color w:val="auto"/>
              </w:rPr>
            </w:pPr>
          </w:p>
        </w:tc>
        <w:tc>
          <w:tcPr>
            <w:tcW w:w="1020" w:type="dxa"/>
            <w:vAlign w:val="bottom"/>
            <w:gridSpan w:val="3"/>
          </w:tcPr>
          <w:p>
            <w:pPr>
              <w:spacing w:after="0" w:line="172"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100" w:type="dxa"/>
            <w:vAlign w:val="bottom"/>
            <w:gridSpan w:val="3"/>
          </w:tcPr>
          <w:p>
            <w:pPr>
              <w:ind w:left="80"/>
              <w:spacing w:after="0" w:line="172" w:lineRule="exact"/>
              <w:rPr>
                <w:sz w:val="20"/>
                <w:szCs w:val="20"/>
                <w:color w:val="auto"/>
              </w:rPr>
            </w:pPr>
            <w:r>
              <w:rPr>
                <w:rFonts w:ascii="Arial" w:cs="Arial" w:eastAsia="Arial" w:hAnsi="Arial"/>
                <w:sz w:val="18"/>
                <w:szCs w:val="18"/>
                <w:color w:val="auto"/>
              </w:rPr>
              <w:t>EXTENDED</w:t>
            </w:r>
          </w:p>
        </w:tc>
        <w:tc>
          <w:tcPr>
            <w:tcW w:w="1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60" w:type="dxa"/>
            <w:vAlign w:val="bottom"/>
            <w:tcBorders>
              <w:right w:val="single" w:sz="8" w:color="auto"/>
            </w:tcBorders>
            <w:shd w:val="clear" w:color="auto" w:fill="000000"/>
          </w:tcPr>
          <w:p>
            <w:pPr>
              <w:spacing w:after="0"/>
              <w:rPr>
                <w:sz w:val="16"/>
                <w:szCs w:val="16"/>
                <w:color w:val="auto"/>
              </w:rPr>
            </w:pPr>
          </w:p>
        </w:tc>
        <w:tc>
          <w:tcPr>
            <w:tcW w:w="3600" w:type="dxa"/>
            <w:vAlign w:val="bottom"/>
            <w:tcBorders>
              <w:right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[**]Doses</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60" w:type="dxa"/>
            <w:vAlign w:val="bottom"/>
            <w:tcBorders>
              <w:right w:val="single" w:sz="8" w:color="auto"/>
            </w:tcBorders>
            <w:shd w:val="clear" w:color="auto" w:fill="000000"/>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3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product at a unit price of $[**]</w:t>
            </w:r>
          </w:p>
        </w:tc>
        <w:tc>
          <w:tcPr>
            <w:tcW w:w="60" w:type="dxa"/>
            <w:vAlign w:val="bottom"/>
            <w:tcBorders>
              <w:right w:val="single" w:sz="8" w:color="auto"/>
            </w:tcBorders>
            <w:shd w:val="clear" w:color="auto" w:fill="000000"/>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336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 w:type="dxa"/>
            <w:vAlign w:val="bottom"/>
            <w:tcBorders>
              <w:right w:val="single" w:sz="8" w:color="CCEEFF"/>
            </w:tcBorders>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Delivery Address: Contractor's Facility</w:t>
            </w:r>
          </w:p>
        </w:tc>
        <w:tc>
          <w:tcPr>
            <w:tcW w:w="60" w:type="dxa"/>
            <w:vAlign w:val="bottom"/>
            <w:tcBorders>
              <w:right w:val="single" w:sz="8" w:color="auto"/>
            </w:tcBorders>
            <w:shd w:val="clear" w:color="auto" w:fill="000000"/>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3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0" w:type="dxa"/>
            <w:vAlign w:val="bottom"/>
            <w:tcBorders>
              <w:right w:val="single" w:sz="8" w:color="CCEEFF"/>
            </w:tcBorders>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Delivery to be [**] from the date of exercise of</w:t>
            </w:r>
          </w:p>
        </w:tc>
        <w:tc>
          <w:tcPr>
            <w:tcW w:w="60" w:type="dxa"/>
            <w:vAlign w:val="bottom"/>
            <w:tcBorders>
              <w:right w:val="single" w:sz="8" w:color="auto"/>
            </w:tcBorders>
            <w:shd w:val="clear" w:color="auto" w:fill="000000"/>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3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0002</w:t>
            </w: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w:t>
            </w:r>
          </w:p>
        </w:tc>
        <w:tc>
          <w:tcPr>
            <w:tcW w:w="60" w:type="dxa"/>
            <w:vAlign w:val="bottom"/>
            <w:tcBorders>
              <w:right w:val="single" w:sz="8" w:color="auto"/>
            </w:tcBorders>
            <w:shd w:val="clear" w:color="auto" w:fill="000000"/>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3360" w:type="dxa"/>
            <w:vAlign w:val="bottom"/>
            <w:tcBorders>
              <w:right w:val="single" w:sz="8" w:color="auto"/>
            </w:tcBorders>
            <w:shd w:val="clear" w:color="auto" w:fill="CCEEFF"/>
          </w:tcPr>
          <w:p>
            <w:pPr>
              <w:spacing w:after="0"/>
              <w:rPr>
                <w:sz w:val="19"/>
                <w:szCs w:val="19"/>
                <w:color w:val="auto"/>
              </w:rPr>
            </w:pPr>
          </w:p>
        </w:tc>
        <w:tc>
          <w:tcPr>
            <w:tcW w:w="2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1280" w:type="dxa"/>
            <w:vAlign w:val="bottom"/>
            <w:tcBorders>
              <w:top w:val="single" w:sz="8" w:color="CCEEFF"/>
              <w:bottom w:val="single" w:sz="8" w:color="auto"/>
            </w:tcBorders>
          </w:tcPr>
          <w:p>
            <w:pPr>
              <w:spacing w:after="0"/>
              <w:rPr>
                <w:sz w:val="19"/>
                <w:szCs w:val="19"/>
                <w:color w:val="auto"/>
              </w:rPr>
            </w:pPr>
          </w:p>
        </w:tc>
        <w:tc>
          <w:tcPr>
            <w:tcW w:w="2240" w:type="dxa"/>
            <w:vAlign w:val="bottom"/>
            <w:tcBorders>
              <w:top w:val="single" w:sz="8" w:color="CCEEFF"/>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336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spacing w:after="0"/>
              <w:rPr>
                <w:sz w:val="19"/>
                <w:szCs w:val="19"/>
                <w:color w:val="auto"/>
              </w:rPr>
            </w:pPr>
          </w:p>
        </w:tc>
        <w:tc>
          <w:tcPr>
            <w:tcW w:w="30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spacing w:after="0"/>
              <w:rPr>
                <w:sz w:val="19"/>
                <w:szCs w:val="19"/>
                <w:color w:val="auto"/>
              </w:rPr>
            </w:pPr>
          </w:p>
        </w:tc>
        <w:tc>
          <w:tcPr>
            <w:tcW w:w="28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tcPr>
          <w:p>
            <w:pPr>
              <w:spacing w:after="0"/>
              <w:rPr>
                <w:sz w:val="14"/>
                <w:szCs w:val="14"/>
                <w:color w:val="auto"/>
              </w:rPr>
            </w:pPr>
          </w:p>
        </w:tc>
        <w:tc>
          <w:tcPr>
            <w:tcW w:w="1200" w:type="dxa"/>
            <w:vAlign w:val="bottom"/>
            <w:gridSpan w:val="2"/>
          </w:tcPr>
          <w:p>
            <w:pPr>
              <w:spacing w:after="0" w:line="172" w:lineRule="exact"/>
              <w:rPr>
                <w:sz w:val="20"/>
                <w:szCs w:val="20"/>
                <w:color w:val="auto"/>
              </w:rPr>
            </w:pPr>
            <w:r>
              <w:rPr>
                <w:rFonts w:ascii="Arial" w:cs="Arial" w:eastAsia="Arial" w:hAnsi="Arial"/>
                <w:sz w:val="18"/>
                <w:szCs w:val="18"/>
                <w:color w:val="auto"/>
              </w:rPr>
              <w:t>ITEM</w:t>
            </w:r>
          </w:p>
        </w:tc>
        <w:tc>
          <w:tcPr>
            <w:tcW w:w="1280" w:type="dxa"/>
            <w:vAlign w:val="bottom"/>
            <w:tcBorders>
              <w:right w:val="single" w:sz="8" w:color="auto"/>
            </w:tcBorders>
          </w:tcPr>
          <w:p>
            <w:pPr>
              <w:spacing w:after="0"/>
              <w:rPr>
                <w:sz w:val="14"/>
                <w:szCs w:val="14"/>
                <w:color w:val="auto"/>
              </w:rPr>
            </w:pPr>
          </w:p>
        </w:tc>
        <w:tc>
          <w:tcPr>
            <w:tcW w:w="2300" w:type="dxa"/>
            <w:vAlign w:val="bottom"/>
            <w:gridSpan w:val="2"/>
          </w:tcPr>
          <w:p>
            <w:pPr>
              <w:spacing w:after="0" w:line="172" w:lineRule="exact"/>
              <w:rPr>
                <w:sz w:val="20"/>
                <w:szCs w:val="20"/>
                <w:color w:val="auto"/>
              </w:rPr>
            </w:pPr>
            <w:r>
              <w:rPr>
                <w:rFonts w:ascii="Arial" w:cs="Arial" w:eastAsia="Arial" w:hAnsi="Arial"/>
                <w:sz w:val="18"/>
                <w:szCs w:val="18"/>
                <w:color w:val="auto"/>
              </w:rPr>
              <w:t>SUPPLIES / SERVICES</w:t>
            </w:r>
          </w:p>
        </w:tc>
        <w:tc>
          <w:tcPr>
            <w:tcW w:w="240" w:type="dxa"/>
            <w:vAlign w:val="bottom"/>
            <w:tcBorders>
              <w:right w:val="single" w:sz="8" w:color="auto"/>
            </w:tcBorders>
          </w:tcPr>
          <w:p>
            <w:pPr>
              <w:spacing w:after="0"/>
              <w:rPr>
                <w:sz w:val="14"/>
                <w:szCs w:val="14"/>
                <w:color w:val="auto"/>
              </w:rPr>
            </w:pPr>
          </w:p>
        </w:tc>
        <w:tc>
          <w:tcPr>
            <w:tcW w:w="3360" w:type="dxa"/>
            <w:vAlign w:val="bottom"/>
          </w:tcPr>
          <w:p>
            <w:pPr>
              <w:spacing w:after="0" w:line="172"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8"/>
                <w:szCs w:val="18"/>
                <w:color w:val="auto"/>
              </w:rPr>
              <w:t>UNIT PRICE</w:t>
            </w:r>
          </w:p>
        </w:tc>
        <w:tc>
          <w:tcPr>
            <w:tcW w:w="60" w:type="dxa"/>
            <w:vAlign w:val="bottom"/>
          </w:tcPr>
          <w:p>
            <w:pPr>
              <w:spacing w:after="0"/>
              <w:rPr>
                <w:sz w:val="14"/>
                <w:szCs w:val="14"/>
                <w:color w:val="auto"/>
              </w:rPr>
            </w:pPr>
          </w:p>
        </w:tc>
        <w:tc>
          <w:tcPr>
            <w:tcW w:w="122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EXTENDED</w:t>
            </w:r>
          </w:p>
        </w:tc>
        <w:tc>
          <w:tcPr>
            <w:tcW w:w="0" w:type="dxa"/>
            <w:vAlign w:val="bottom"/>
          </w:tcPr>
          <w:p>
            <w:pPr>
              <w:spacing w:after="0"/>
              <w:rPr>
                <w:sz w:val="1"/>
                <w:szCs w:val="1"/>
                <w:color w:val="auto"/>
              </w:rPr>
            </w:pPr>
          </w:p>
        </w:tc>
      </w:tr>
      <w:tr>
        <w:trPr>
          <w:trHeight w:val="224"/>
        </w:trPr>
        <w:tc>
          <w:tcPr>
            <w:tcW w:w="6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BioThrax [**] product</w:t>
            </w: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[**]Doses</w:t>
            </w: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80" w:type="dxa"/>
            <w:vAlign w:val="bottom"/>
            <w:tcBorders>
              <w:right w:val="single" w:sz="8" w:color="auto"/>
            </w:tcBorders>
            <w:shd w:val="clear" w:color="auto" w:fill="CCEEFF"/>
          </w:tcPr>
          <w:p>
            <w:pPr>
              <w:spacing w:after="0"/>
              <w:rPr>
                <w:sz w:val="13"/>
                <w:szCs w:val="13"/>
                <w:color w:val="auto"/>
              </w:rPr>
            </w:pPr>
          </w:p>
        </w:tc>
        <w:tc>
          <w:tcPr>
            <w:tcW w:w="2300" w:type="dxa"/>
            <w:vAlign w:val="bottom"/>
            <w:tcBorders>
              <w:right w:val="single" w:sz="8" w:color="CCEEFF"/>
            </w:tcBorders>
            <w:gridSpan w:val="2"/>
            <w:vMerge w:val="continue"/>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33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30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30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w:t>
            </w: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80" w:type="dxa"/>
            <w:vAlign w:val="bottom"/>
            <w:tcBorders>
              <w:right w:val="single" w:sz="8" w:color="auto"/>
            </w:tcBorders>
            <w:shd w:val="clear" w:color="auto" w:fill="CCEEFF"/>
          </w:tcPr>
          <w:p>
            <w:pPr>
              <w:spacing w:after="0"/>
              <w:rPr>
                <w:sz w:val="24"/>
                <w:szCs w:val="24"/>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Delivery Address: Contractor's</w:t>
            </w:r>
          </w:p>
        </w:tc>
        <w:tc>
          <w:tcPr>
            <w:tcW w:w="240" w:type="dxa"/>
            <w:vAlign w:val="bottom"/>
            <w:tcBorders>
              <w:right w:val="single" w:sz="8" w:color="auto"/>
            </w:tcBorders>
            <w:shd w:val="clear" w:color="auto" w:fill="CCEEFF"/>
          </w:tcPr>
          <w:p>
            <w:pPr>
              <w:spacing w:after="0"/>
              <w:rPr>
                <w:sz w:val="24"/>
                <w:szCs w:val="24"/>
                <w:color w:val="auto"/>
              </w:rPr>
            </w:pPr>
          </w:p>
        </w:tc>
        <w:tc>
          <w:tcPr>
            <w:tcW w:w="33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Facility</w:t>
            </w: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80" w:type="dxa"/>
            <w:vAlign w:val="bottom"/>
            <w:tcBorders>
              <w:right w:val="single" w:sz="8" w:color="auto"/>
            </w:tcBorders>
            <w:shd w:val="clear" w:color="auto" w:fill="CCEEFF"/>
          </w:tcPr>
          <w:p>
            <w:pPr>
              <w:spacing w:after="0"/>
              <w:rPr>
                <w:sz w:val="24"/>
                <w:szCs w:val="24"/>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Delivery to be NLT [**]</w:t>
            </w:r>
          </w:p>
        </w:tc>
        <w:tc>
          <w:tcPr>
            <w:tcW w:w="240" w:type="dxa"/>
            <w:vAlign w:val="bottom"/>
            <w:tcBorders>
              <w:right w:val="single" w:sz="8" w:color="auto"/>
            </w:tcBorders>
            <w:shd w:val="clear" w:color="auto" w:fill="CCEEFF"/>
          </w:tcPr>
          <w:p>
            <w:pPr>
              <w:spacing w:after="0"/>
              <w:rPr>
                <w:sz w:val="24"/>
                <w:szCs w:val="24"/>
                <w:color w:val="auto"/>
              </w:rPr>
            </w:pPr>
          </w:p>
        </w:tc>
        <w:tc>
          <w:tcPr>
            <w:tcW w:w="33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80" w:type="dxa"/>
            <w:vAlign w:val="bottom"/>
            <w:vMerge w:val="restart"/>
            <w:shd w:val="clear" w:color="auto" w:fill="CCEEFF"/>
          </w:tcPr>
          <w:p>
            <w:pPr>
              <w:spacing w:after="0"/>
              <w:rPr>
                <w:sz w:val="24"/>
                <w:szCs w:val="24"/>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auto"/>
            </w:tcBorders>
            <w:gridSpan w:val="2"/>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0" w:type="dxa"/>
            <w:vAlign w:val="bottom"/>
            <w:tcBorders>
              <w:right w:val="single" w:sz="8" w:color="auto"/>
            </w:tcBorders>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80" w:type="dxa"/>
            <w:vAlign w:val="bottom"/>
            <w:tcBorders>
              <w:right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480" w:type="dxa"/>
            <w:vAlign w:val="bottom"/>
            <w:tcBorders>
              <w:top w:val="single" w:sz="8" w:color="CCEEFF"/>
            </w:tcBorders>
            <w:gridSpan w:val="3"/>
          </w:tcPr>
          <w:p>
            <w:pPr>
              <w:spacing w:after="0" w:line="189" w:lineRule="exact"/>
              <w:rPr>
                <w:sz w:val="20"/>
                <w:szCs w:val="20"/>
                <w:color w:val="auto"/>
              </w:rPr>
            </w:pPr>
            <w:r>
              <w:rPr>
                <w:rFonts w:ascii="Arial" w:cs="Arial" w:eastAsia="Arial" w:hAnsi="Arial"/>
                <w:sz w:val="18"/>
                <w:szCs w:val="18"/>
                <w:color w:val="auto"/>
              </w:rPr>
              <w:t>Line(s) Of Accounting:</w:t>
            </w:r>
          </w:p>
        </w:tc>
        <w:tc>
          <w:tcPr>
            <w:tcW w:w="230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right w:val="single" w:sz="8" w:color="auto"/>
            </w:tcBorders>
          </w:tcPr>
          <w:p>
            <w:pPr>
              <w:spacing w:after="0"/>
              <w:rPr>
                <w:sz w:val="16"/>
                <w:szCs w:val="16"/>
                <w:color w:val="auto"/>
              </w:rPr>
            </w:pPr>
          </w:p>
        </w:tc>
        <w:tc>
          <w:tcPr>
            <w:tcW w:w="33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4780" w:type="dxa"/>
            <w:vAlign w:val="bottom"/>
            <w:gridSpan w:val="5"/>
          </w:tcPr>
          <w:p>
            <w:pPr>
              <w:spacing w:after="0" w:line="202" w:lineRule="exact"/>
              <w:rPr>
                <w:sz w:val="20"/>
                <w:szCs w:val="20"/>
                <w:color w:val="auto"/>
              </w:rPr>
            </w:pPr>
            <w:r>
              <w:rPr>
                <w:rFonts w:ascii="Arial" w:cs="Arial" w:eastAsia="Arial" w:hAnsi="Arial"/>
                <w:sz w:val="18"/>
                <w:szCs w:val="18"/>
                <w:color w:val="auto"/>
              </w:rPr>
              <w:t>9390AX3 2642 2018 75-18-0943 5623RF1101 $[**]</w:t>
            </w:r>
          </w:p>
        </w:tc>
        <w:tc>
          <w:tcPr>
            <w:tcW w:w="240" w:type="dxa"/>
            <w:vAlign w:val="bottom"/>
            <w:tcBorders>
              <w:right w:val="single" w:sz="8" w:color="auto"/>
            </w:tcBorders>
          </w:tcPr>
          <w:p>
            <w:pPr>
              <w:spacing w:after="0"/>
              <w:rPr>
                <w:sz w:val="17"/>
                <w:szCs w:val="17"/>
                <w:color w:val="auto"/>
              </w:rPr>
            </w:pP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4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939ZWUX 2642 2018 75-X-0956 5664711101 ($[**]</w:t>
            </w:r>
          </w:p>
        </w:tc>
        <w:tc>
          <w:tcPr>
            <w:tcW w:w="240" w:type="dxa"/>
            <w:vAlign w:val="bottom"/>
            <w:tcBorders>
              <w:bottom w:val="single" w:sz="8" w:color="auto"/>
              <w:right w:val="single" w:sz="8" w:color="auto"/>
            </w:tcBorders>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6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tcPr>
          <w:p>
            <w:pPr>
              <w:spacing w:after="0"/>
              <w:rPr>
                <w:sz w:val="14"/>
                <w:szCs w:val="14"/>
                <w:color w:val="auto"/>
              </w:rPr>
            </w:pPr>
          </w:p>
        </w:tc>
        <w:tc>
          <w:tcPr>
            <w:tcW w:w="1200" w:type="dxa"/>
            <w:vAlign w:val="bottom"/>
            <w:gridSpan w:val="2"/>
          </w:tcPr>
          <w:p>
            <w:pPr>
              <w:spacing w:after="0" w:line="172" w:lineRule="exact"/>
              <w:rPr>
                <w:sz w:val="20"/>
                <w:szCs w:val="20"/>
                <w:color w:val="auto"/>
              </w:rPr>
            </w:pPr>
            <w:r>
              <w:rPr>
                <w:rFonts w:ascii="Arial" w:cs="Arial" w:eastAsia="Arial" w:hAnsi="Arial"/>
                <w:sz w:val="18"/>
                <w:szCs w:val="18"/>
                <w:color w:val="auto"/>
              </w:rPr>
              <w:t>ITEM</w:t>
            </w:r>
          </w:p>
        </w:tc>
        <w:tc>
          <w:tcPr>
            <w:tcW w:w="1280" w:type="dxa"/>
            <w:vAlign w:val="bottom"/>
            <w:tcBorders>
              <w:right w:val="single" w:sz="8" w:color="auto"/>
            </w:tcBorders>
          </w:tcPr>
          <w:p>
            <w:pPr>
              <w:spacing w:after="0"/>
              <w:rPr>
                <w:sz w:val="14"/>
                <w:szCs w:val="14"/>
                <w:color w:val="auto"/>
              </w:rPr>
            </w:pPr>
          </w:p>
        </w:tc>
        <w:tc>
          <w:tcPr>
            <w:tcW w:w="2300" w:type="dxa"/>
            <w:vAlign w:val="bottom"/>
            <w:gridSpan w:val="2"/>
          </w:tcPr>
          <w:p>
            <w:pPr>
              <w:spacing w:after="0" w:line="172" w:lineRule="exact"/>
              <w:rPr>
                <w:sz w:val="20"/>
                <w:szCs w:val="20"/>
                <w:color w:val="auto"/>
              </w:rPr>
            </w:pPr>
            <w:r>
              <w:rPr>
                <w:rFonts w:ascii="Arial" w:cs="Arial" w:eastAsia="Arial" w:hAnsi="Arial"/>
                <w:sz w:val="18"/>
                <w:szCs w:val="18"/>
                <w:color w:val="auto"/>
              </w:rPr>
              <w:t>SUPPLIES / SERVICES</w:t>
            </w:r>
          </w:p>
        </w:tc>
        <w:tc>
          <w:tcPr>
            <w:tcW w:w="240" w:type="dxa"/>
            <w:vAlign w:val="bottom"/>
            <w:tcBorders>
              <w:right w:val="single" w:sz="8" w:color="auto"/>
            </w:tcBorders>
          </w:tcPr>
          <w:p>
            <w:pPr>
              <w:spacing w:after="0"/>
              <w:rPr>
                <w:sz w:val="14"/>
                <w:szCs w:val="14"/>
                <w:color w:val="auto"/>
              </w:rPr>
            </w:pPr>
          </w:p>
        </w:tc>
        <w:tc>
          <w:tcPr>
            <w:tcW w:w="3360" w:type="dxa"/>
            <w:vAlign w:val="bottom"/>
          </w:tcPr>
          <w:p>
            <w:pPr>
              <w:spacing w:after="0" w:line="172"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8"/>
                <w:szCs w:val="18"/>
                <w:color w:val="auto"/>
              </w:rPr>
              <w:t>UNIT PRICE</w:t>
            </w:r>
          </w:p>
        </w:tc>
        <w:tc>
          <w:tcPr>
            <w:tcW w:w="60" w:type="dxa"/>
            <w:vAlign w:val="bottom"/>
          </w:tcPr>
          <w:p>
            <w:pPr>
              <w:spacing w:after="0"/>
              <w:rPr>
                <w:sz w:val="14"/>
                <w:szCs w:val="14"/>
                <w:color w:val="auto"/>
              </w:rPr>
            </w:pPr>
          </w:p>
        </w:tc>
        <w:tc>
          <w:tcPr>
            <w:tcW w:w="1220" w:type="dxa"/>
            <w:vAlign w:val="bottom"/>
            <w:tcBorders>
              <w:right w:val="single" w:sz="8" w:color="auto"/>
            </w:tcBorders>
            <w:gridSpan w:val="3"/>
          </w:tcPr>
          <w:p>
            <w:pPr>
              <w:spacing w:after="0" w:line="172" w:lineRule="exact"/>
              <w:rPr>
                <w:sz w:val="20"/>
                <w:szCs w:val="20"/>
                <w:color w:val="auto"/>
              </w:rPr>
            </w:pPr>
            <w:r>
              <w:rPr>
                <w:rFonts w:ascii="Arial" w:cs="Arial" w:eastAsia="Arial" w:hAnsi="Arial"/>
                <w:sz w:val="18"/>
                <w:szCs w:val="18"/>
                <w:color w:val="auto"/>
              </w:rPr>
              <w:t>EXTENDED</w:t>
            </w:r>
          </w:p>
        </w:tc>
        <w:tc>
          <w:tcPr>
            <w:tcW w:w="0" w:type="dxa"/>
            <w:vAlign w:val="bottom"/>
          </w:tcPr>
          <w:p>
            <w:pPr>
              <w:spacing w:after="0"/>
              <w:rPr>
                <w:sz w:val="1"/>
                <w:szCs w:val="1"/>
                <w:color w:val="auto"/>
              </w:rPr>
            </w:pPr>
          </w:p>
        </w:tc>
      </w:tr>
      <w:tr>
        <w:trPr>
          <w:trHeight w:val="224"/>
        </w:trPr>
        <w:tc>
          <w:tcPr>
            <w:tcW w:w="6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BioThrax [**] product</w:t>
            </w: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80" w:type="dxa"/>
            <w:vAlign w:val="bottom"/>
            <w:tcBorders>
              <w:right w:val="single" w:sz="8" w:color="auto"/>
            </w:tcBorders>
            <w:shd w:val="clear" w:color="auto" w:fill="CCEEFF"/>
          </w:tcPr>
          <w:p>
            <w:pPr>
              <w:spacing w:after="0"/>
              <w:rPr>
                <w:sz w:val="13"/>
                <w:szCs w:val="13"/>
                <w:color w:val="auto"/>
              </w:rPr>
            </w:pPr>
          </w:p>
        </w:tc>
        <w:tc>
          <w:tcPr>
            <w:tcW w:w="2300" w:type="dxa"/>
            <w:vAlign w:val="bottom"/>
            <w:tcBorders>
              <w:right w:val="single" w:sz="8" w:color="CCEEFF"/>
            </w:tcBorders>
            <w:gridSpan w:val="2"/>
            <w:vMerge w:val="continue"/>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33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30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30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w:t>
            </w: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80" w:type="dxa"/>
            <w:vAlign w:val="bottom"/>
            <w:tcBorders>
              <w:right w:val="single" w:sz="8" w:color="auto"/>
            </w:tcBorders>
            <w:shd w:val="clear" w:color="auto" w:fill="CCEEFF"/>
          </w:tcPr>
          <w:p>
            <w:pPr>
              <w:spacing w:after="0"/>
              <w:rPr>
                <w:sz w:val="24"/>
                <w:szCs w:val="24"/>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Delivery Address: Contractor's</w:t>
            </w:r>
          </w:p>
        </w:tc>
        <w:tc>
          <w:tcPr>
            <w:tcW w:w="240" w:type="dxa"/>
            <w:vAlign w:val="bottom"/>
            <w:tcBorders>
              <w:right w:val="single" w:sz="8" w:color="auto"/>
            </w:tcBorders>
            <w:shd w:val="clear" w:color="auto" w:fill="CCEEFF"/>
          </w:tcPr>
          <w:p>
            <w:pPr>
              <w:spacing w:after="0"/>
              <w:rPr>
                <w:sz w:val="24"/>
                <w:szCs w:val="24"/>
                <w:color w:val="auto"/>
              </w:rPr>
            </w:pPr>
          </w:p>
        </w:tc>
        <w:tc>
          <w:tcPr>
            <w:tcW w:w="33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80" w:type="dxa"/>
            <w:vAlign w:val="bottom"/>
            <w:tcBorders>
              <w:right w:val="single" w:sz="8" w:color="auto"/>
            </w:tcBorders>
            <w:shd w:val="clear" w:color="auto" w:fill="CCEEFF"/>
          </w:tcPr>
          <w:p>
            <w:pPr>
              <w:spacing w:after="0"/>
              <w:rPr>
                <w:sz w:val="20"/>
                <w:szCs w:val="20"/>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Facility</w:t>
            </w:r>
          </w:p>
        </w:tc>
        <w:tc>
          <w:tcPr>
            <w:tcW w:w="240" w:type="dxa"/>
            <w:vAlign w:val="bottom"/>
            <w:tcBorders>
              <w:right w:val="single" w:sz="8" w:color="auto"/>
            </w:tcBorders>
            <w:shd w:val="clear" w:color="auto" w:fill="CCEEFF"/>
          </w:tcPr>
          <w:p>
            <w:pPr>
              <w:spacing w:after="0"/>
              <w:rPr>
                <w:sz w:val="20"/>
                <w:szCs w:val="20"/>
                <w:color w:val="auto"/>
              </w:rPr>
            </w:pPr>
          </w:p>
        </w:tc>
        <w:tc>
          <w:tcPr>
            <w:tcW w:w="33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 w:type="dxa"/>
            <w:vAlign w:val="bottom"/>
            <w:tcBorders>
              <w:right w:val="single" w:sz="8" w:color="auto"/>
            </w:tcBorders>
            <w:shd w:val="clear" w:color="auto" w:fill="000000"/>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80" w:type="dxa"/>
            <w:vAlign w:val="bottom"/>
            <w:tcBorders>
              <w:right w:val="single" w:sz="8" w:color="auto"/>
            </w:tcBorders>
            <w:shd w:val="clear" w:color="auto" w:fill="CCEEFF"/>
          </w:tcPr>
          <w:p>
            <w:pPr>
              <w:spacing w:after="0"/>
              <w:rPr>
                <w:sz w:val="24"/>
                <w:szCs w:val="24"/>
                <w:color w:val="auto"/>
              </w:rPr>
            </w:pPr>
          </w:p>
        </w:tc>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Delivery to be NLT [**]</w:t>
            </w:r>
          </w:p>
        </w:tc>
        <w:tc>
          <w:tcPr>
            <w:tcW w:w="240" w:type="dxa"/>
            <w:vAlign w:val="bottom"/>
            <w:tcBorders>
              <w:right w:val="single" w:sz="8" w:color="auto"/>
            </w:tcBorders>
            <w:shd w:val="clear" w:color="auto" w:fill="CCEEFF"/>
          </w:tcPr>
          <w:p>
            <w:pPr>
              <w:spacing w:after="0"/>
              <w:rPr>
                <w:sz w:val="24"/>
                <w:szCs w:val="24"/>
                <w:color w:val="auto"/>
              </w:rPr>
            </w:pPr>
          </w:p>
        </w:tc>
        <w:tc>
          <w:tcPr>
            <w:tcW w:w="33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auto"/>
            </w:tcBorders>
            <w:shd w:val="clear" w:color="auto" w:fill="CCEEFF"/>
          </w:tcPr>
          <w:p>
            <w:pPr>
              <w:spacing w:after="0"/>
              <w:rPr>
                <w:sz w:val="24"/>
                <w:szCs w:val="24"/>
                <w:color w:val="auto"/>
              </w:rPr>
            </w:pPr>
          </w:p>
        </w:tc>
        <w:tc>
          <w:tcPr>
            <w:tcW w:w="80" w:type="dxa"/>
            <w:vAlign w:val="bottom"/>
            <w:vMerge w:val="restart"/>
            <w:shd w:val="clear" w:color="auto" w:fill="CCEEFF"/>
          </w:tcPr>
          <w:p>
            <w:pPr>
              <w:spacing w:after="0"/>
              <w:rPr>
                <w:sz w:val="24"/>
                <w:szCs w:val="24"/>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shd w:val="clear" w:color="auto" w:fill="000000"/>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336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auto"/>
            </w:tcBorders>
            <w:gridSpan w:val="2"/>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0" w:type="dxa"/>
            <w:vAlign w:val="bottom"/>
            <w:tcBorders>
              <w:right w:val="single" w:sz="8" w:color="auto"/>
            </w:tcBorders>
            <w:gridSpan w:val="3"/>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80" w:type="dxa"/>
            <w:vAlign w:val="bottom"/>
            <w:tcBorders>
              <w:right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480" w:type="dxa"/>
            <w:vAlign w:val="bottom"/>
            <w:tcBorders>
              <w:top w:val="single" w:sz="8" w:color="CCEEFF"/>
            </w:tcBorders>
            <w:gridSpan w:val="3"/>
          </w:tcPr>
          <w:p>
            <w:pPr>
              <w:spacing w:after="0" w:line="189" w:lineRule="exact"/>
              <w:rPr>
                <w:sz w:val="20"/>
                <w:szCs w:val="20"/>
                <w:color w:val="auto"/>
              </w:rPr>
            </w:pPr>
            <w:r>
              <w:rPr>
                <w:rFonts w:ascii="Arial" w:cs="Arial" w:eastAsia="Arial" w:hAnsi="Arial"/>
                <w:sz w:val="18"/>
                <w:szCs w:val="18"/>
                <w:color w:val="auto"/>
              </w:rPr>
              <w:t>Line(s) Of Accounting:</w:t>
            </w:r>
          </w:p>
        </w:tc>
        <w:tc>
          <w:tcPr>
            <w:tcW w:w="230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right w:val="single" w:sz="8" w:color="auto"/>
            </w:tcBorders>
          </w:tcPr>
          <w:p>
            <w:pPr>
              <w:spacing w:after="0"/>
              <w:rPr>
                <w:sz w:val="16"/>
                <w:szCs w:val="16"/>
                <w:color w:val="auto"/>
              </w:rPr>
            </w:pPr>
          </w:p>
        </w:tc>
        <w:tc>
          <w:tcPr>
            <w:tcW w:w="33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4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9390AX3 2642 2018 75-18-0943 5623RF1101 $[**]</w:t>
            </w:r>
          </w:p>
        </w:tc>
        <w:tc>
          <w:tcPr>
            <w:tcW w:w="240" w:type="dxa"/>
            <w:vAlign w:val="bottom"/>
            <w:tcBorders>
              <w:bottom w:val="single" w:sz="8" w:color="auto"/>
              <w:right w:val="single" w:sz="8" w:color="auto"/>
            </w:tcBorders>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41" w:name="page42"/>
    <w:bookmarkEnd w:id="41"/>
    <w:p>
      <w:pPr>
        <w:ind w:left="10060"/>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w:t>
      </w:r>
    </w:p>
    <w:p>
      <w:pPr>
        <w:jc w:val="center"/>
        <w:spacing w:after="0"/>
        <w:rPr>
          <w:sz w:val="20"/>
          <w:szCs w:val="20"/>
          <w:color w:val="auto"/>
        </w:rPr>
      </w:pPr>
      <w:r>
        <w:rPr>
          <w:rFonts w:ascii="Arial" w:cs="Arial" w:eastAsia="Arial" w:hAnsi="Arial"/>
          <w:sz w:val="18"/>
          <w:szCs w:val="18"/>
          <w:b w:val="1"/>
          <w:bCs w:val="1"/>
          <w:color w:val="auto"/>
        </w:rPr>
        <w:t>Securities and Exchange Commission. Double asterisks denote omissions.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6200" w:type="dxa"/>
            <w:vAlign w:val="bottom"/>
            <w:tcBorders>
              <w:top w:val="single" w:sz="8" w:color="auto"/>
              <w:bottom w:val="single" w:sz="8" w:color="auto"/>
            </w:tcBorders>
            <w:gridSpan w:val="3"/>
          </w:tcPr>
          <w:p>
            <w:pPr>
              <w:spacing w:after="0"/>
              <w:rPr>
                <w:sz w:val="3"/>
                <w:szCs w:val="3"/>
                <w:color w:val="auto"/>
              </w:rPr>
            </w:pPr>
          </w:p>
        </w:tc>
        <w:tc>
          <w:tcPr>
            <w:tcW w:w="3620" w:type="dxa"/>
            <w:vAlign w:val="bottom"/>
            <w:tcBorders>
              <w:top w:val="single" w:sz="8" w:color="auto"/>
              <w:bottom w:val="single" w:sz="8" w:color="auto"/>
            </w:tcBorders>
            <w:gridSpan w:val="4"/>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0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3620" w:type="dxa"/>
            <w:vAlign w:val="bottom"/>
            <w:tcBorders>
              <w:right w:val="single" w:sz="8" w:color="auto"/>
            </w:tcBorders>
            <w:gridSpan w:val="4"/>
          </w:tcPr>
          <w:p>
            <w:pPr>
              <w:jc w:val="center"/>
              <w:ind w:right="1610"/>
              <w:spacing w:after="0" w:line="156" w:lineRule="exact"/>
              <w:rPr>
                <w:sz w:val="20"/>
                <w:szCs w:val="20"/>
                <w:color w:val="auto"/>
              </w:rPr>
            </w:pPr>
            <w:r>
              <w:rPr>
                <w:rFonts w:ascii="Arial" w:cs="Arial" w:eastAsia="Arial" w:hAnsi="Arial"/>
                <w:sz w:val="18"/>
                <w:szCs w:val="18"/>
                <w:color w:val="auto"/>
                <w:w w:val="95"/>
              </w:rPr>
              <w:t>1. CONTRACT ID CODE</w:t>
            </w:r>
          </w:p>
        </w:tc>
        <w:tc>
          <w:tcPr>
            <w:tcW w:w="640" w:type="dxa"/>
            <w:vAlign w:val="bottom"/>
            <w:tcBorders>
              <w:right w:val="single" w:sz="8" w:color="auto"/>
            </w:tcBorders>
          </w:tcPr>
          <w:p>
            <w:pPr>
              <w:jc w:val="right"/>
              <w:ind w:right="10"/>
              <w:spacing w:after="0" w:line="156" w:lineRule="exact"/>
              <w:rPr>
                <w:sz w:val="20"/>
                <w:szCs w:val="20"/>
                <w:color w:val="auto"/>
              </w:rPr>
            </w:pPr>
            <w:r>
              <w:rPr>
                <w:rFonts w:ascii="Arial" w:cs="Arial" w:eastAsia="Arial" w:hAnsi="Arial"/>
                <w:sz w:val="18"/>
                <w:szCs w:val="18"/>
                <w:color w:val="auto"/>
              </w:rPr>
              <w:t>PAGE</w:t>
            </w:r>
          </w:p>
        </w:tc>
        <w:tc>
          <w:tcPr>
            <w:tcW w:w="940" w:type="dxa"/>
            <w:vAlign w:val="bottom"/>
          </w:tcPr>
          <w:p>
            <w:pPr>
              <w:ind w:left="60"/>
              <w:spacing w:after="0" w:line="156" w:lineRule="exact"/>
              <w:rPr>
                <w:sz w:val="20"/>
                <w:szCs w:val="20"/>
                <w:color w:val="auto"/>
              </w:rPr>
            </w:pPr>
            <w:r>
              <w:rPr>
                <w:rFonts w:ascii="Arial" w:cs="Arial" w:eastAsia="Arial" w:hAnsi="Arial"/>
                <w:sz w:val="18"/>
                <w:szCs w:val="18"/>
                <w:color w:val="auto"/>
                <w:w w:val="93"/>
              </w:rPr>
              <w:t>OF PAGES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 AMENDMENT/MODIFICATION NO.</w:t>
            </w: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EFFECTIVE DATE</w:t>
            </w:r>
          </w:p>
        </w:tc>
        <w:tc>
          <w:tcPr>
            <w:tcW w:w="2820" w:type="dxa"/>
            <w:vAlign w:val="bottom"/>
            <w:gridSpan w:val="2"/>
          </w:tcPr>
          <w:p>
            <w:pPr>
              <w:spacing w:after="0"/>
              <w:rPr>
                <w:sz w:val="20"/>
                <w:szCs w:val="20"/>
                <w:color w:val="auto"/>
              </w:rPr>
            </w:pPr>
            <w:r>
              <w:rPr>
                <w:rFonts w:ascii="Arial" w:cs="Arial" w:eastAsia="Arial" w:hAnsi="Arial"/>
                <w:sz w:val="18"/>
                <w:szCs w:val="18"/>
                <w:color w:val="auto"/>
              </w:rPr>
              <w:t>4. REQUISITION/PURCHASE NO.</w:t>
            </w: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w w:val="87"/>
              </w:rPr>
              <w:t>5. PROJECT NO.</w:t>
            </w:r>
          </w:p>
        </w:tc>
        <w:tc>
          <w:tcPr>
            <w:tcW w:w="940" w:type="dxa"/>
            <w:vAlign w:val="bottom"/>
          </w:tcPr>
          <w:p>
            <w:pPr>
              <w:ind w:left="60"/>
              <w:spacing w:after="0"/>
              <w:rPr>
                <w:sz w:val="20"/>
                <w:szCs w:val="20"/>
                <w:color w:val="auto"/>
              </w:rPr>
            </w:pPr>
            <w:r>
              <w:rPr>
                <w:rFonts w:ascii="Arial" w:cs="Arial" w:eastAsia="Arial" w:hAnsi="Arial"/>
                <w:sz w:val="18"/>
                <w:szCs w:val="18"/>
                <w:i w:val="1"/>
                <w:iCs w:val="1"/>
                <w:color w:val="auto"/>
              </w:rPr>
              <w:t>(If</w:t>
            </w:r>
          </w:p>
        </w:tc>
        <w:tc>
          <w:tcPr>
            <w:tcW w:w="0" w:type="dxa"/>
            <w:vAlign w:val="bottom"/>
          </w:tcPr>
          <w:p>
            <w:pPr>
              <w:spacing w:after="0"/>
              <w:rPr>
                <w:sz w:val="1"/>
                <w:szCs w:val="1"/>
                <w:color w:val="auto"/>
              </w:rPr>
            </w:pPr>
          </w:p>
        </w:tc>
      </w:tr>
      <w:tr>
        <w:trPr>
          <w:trHeight w:val="216"/>
        </w:trPr>
        <w:tc>
          <w:tcPr>
            <w:tcW w:w="320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00012</w:t>
            </w: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06/21/2018</w:t>
            </w:r>
          </w:p>
        </w:tc>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i w:val="1"/>
                <w:iCs w:val="1"/>
                <w:color w:val="auto"/>
              </w:rPr>
              <w:t>applicable)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8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vMerge w:val="continue"/>
          </w:tcPr>
          <w:p>
            <w:pPr>
              <w:spacing w:after="0"/>
              <w:rPr>
                <w:sz w:val="4"/>
                <w:szCs w:val="4"/>
                <w:color w:val="auto"/>
              </w:rPr>
            </w:pPr>
          </w:p>
        </w:tc>
        <w:tc>
          <w:tcPr>
            <w:tcW w:w="9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4"/>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8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6. ISSUED BY</w:t>
            </w:r>
          </w:p>
        </w:tc>
        <w:tc>
          <w:tcPr>
            <w:tcW w:w="206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2543</w:t>
            </w:r>
          </w:p>
        </w:tc>
        <w:tc>
          <w:tcPr>
            <w:tcW w:w="4580" w:type="dxa"/>
            <w:vAlign w:val="bottom"/>
            <w:tcBorders>
              <w:right w:val="single" w:sz="8" w:color="auto"/>
            </w:tcBorders>
            <w:gridSpan w:val="5"/>
          </w:tcPr>
          <w:p>
            <w:pPr>
              <w:spacing w:after="0" w:line="175" w:lineRule="exact"/>
              <w:rPr>
                <w:sz w:val="20"/>
                <w:szCs w:val="20"/>
                <w:color w:val="auto"/>
              </w:rPr>
            </w:pPr>
            <w:r>
              <w:rPr>
                <w:rFonts w:ascii="Arial" w:cs="Arial" w:eastAsia="Arial" w:hAnsi="Arial"/>
                <w:sz w:val="18"/>
                <w:szCs w:val="18"/>
                <w:color w:val="auto"/>
              </w:rPr>
              <w:t xml:space="preserve">7. ADMINISTERED BY </w:t>
            </w:r>
            <w:r>
              <w:rPr>
                <w:rFonts w:ascii="Arial" w:cs="Arial" w:eastAsia="Arial" w:hAnsi="Arial"/>
                <w:sz w:val="18"/>
                <w:szCs w:val="18"/>
                <w:i w:val="1"/>
                <w:iCs w:val="1"/>
                <w:color w:val="auto"/>
              </w:rPr>
              <w:t>(If other than Item 6)</w:t>
            </w:r>
            <w:r>
              <w:rPr>
                <w:rFonts w:ascii="Arial" w:cs="Arial" w:eastAsia="Arial" w:hAnsi="Arial"/>
                <w:sz w:val="18"/>
                <w:szCs w:val="18"/>
                <w:color w:val="auto"/>
              </w:rPr>
              <w:t xml:space="preserve">   CODE</w:t>
            </w:r>
          </w:p>
        </w:tc>
        <w:tc>
          <w:tcPr>
            <w:tcW w:w="640" w:type="dxa"/>
            <w:vAlign w:val="bottom"/>
          </w:tcPr>
          <w:p>
            <w:pPr>
              <w:jc w:val="right"/>
              <w:ind w:right="190"/>
              <w:spacing w:after="0" w:line="175" w:lineRule="exact"/>
              <w:rPr>
                <w:sz w:val="20"/>
                <w:szCs w:val="20"/>
                <w:color w:val="auto"/>
              </w:rPr>
            </w:pPr>
            <w:r>
              <w:rPr>
                <w:rFonts w:ascii="Arial" w:cs="Arial" w:eastAsia="Arial" w:hAnsi="Arial"/>
                <w:sz w:val="18"/>
                <w:szCs w:val="18"/>
                <w:color w:val="auto"/>
                <w:w w:val="84"/>
              </w:rPr>
              <w:t>2543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auto"/>
              </w:rPr>
              <w:t>CODE</w:t>
            </w:r>
          </w:p>
        </w:tc>
        <w:tc>
          <w:tcPr>
            <w:tcW w:w="206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5"/>
                <w:szCs w:val="15"/>
                <w:color w:val="auto"/>
              </w:rPr>
              <w:t>Centers for Disease Control and Prevention</w:t>
            </w:r>
          </w:p>
        </w:tc>
        <w:tc>
          <w:tcPr>
            <w:tcW w:w="2060" w:type="dxa"/>
            <w:vAlign w:val="bottom"/>
            <w:tcBorders>
              <w:right w:val="single" w:sz="8" w:color="auto"/>
            </w:tcBorders>
          </w:tcPr>
          <w:p>
            <w:pPr>
              <w:spacing w:after="0"/>
              <w:rPr>
                <w:sz w:val="11"/>
                <w:szCs w:val="11"/>
                <w:color w:val="auto"/>
              </w:rPr>
            </w:pPr>
          </w:p>
        </w:tc>
        <w:tc>
          <w:tcPr>
            <w:tcW w:w="4580" w:type="dxa"/>
            <w:vAlign w:val="bottom"/>
            <w:gridSpan w:val="5"/>
          </w:tcPr>
          <w:p>
            <w:pPr>
              <w:spacing w:after="0" w:line="135" w:lineRule="exact"/>
              <w:rPr>
                <w:sz w:val="20"/>
                <w:szCs w:val="20"/>
                <w:color w:val="auto"/>
              </w:rPr>
            </w:pPr>
            <w:r>
              <w:rPr>
                <w:rFonts w:ascii="Arial" w:cs="Arial" w:eastAsia="Arial" w:hAnsi="Arial"/>
                <w:sz w:val="15"/>
                <w:szCs w:val="15"/>
                <w:color w:val="auto"/>
              </w:rPr>
              <w:t>Centers for Disease Control and Prevention</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rPr>
              <w:t>Office of Acquisition Services (OAS)</w:t>
            </w:r>
          </w:p>
        </w:tc>
        <w:tc>
          <w:tcPr>
            <w:tcW w:w="2060" w:type="dxa"/>
            <w:vAlign w:val="bottom"/>
            <w:tcBorders>
              <w:right w:val="single" w:sz="8" w:color="auto"/>
            </w:tcBorders>
          </w:tcPr>
          <w:p>
            <w:pPr>
              <w:spacing w:after="0"/>
              <w:rPr>
                <w:sz w:val="15"/>
                <w:szCs w:val="15"/>
                <w:color w:val="auto"/>
              </w:rPr>
            </w:pPr>
          </w:p>
        </w:tc>
        <w:tc>
          <w:tcPr>
            <w:tcW w:w="2820" w:type="dxa"/>
            <w:vAlign w:val="bottom"/>
            <w:gridSpan w:val="2"/>
          </w:tcPr>
          <w:p>
            <w:pPr>
              <w:spacing w:after="0" w:line="176" w:lineRule="exact"/>
              <w:rPr>
                <w:sz w:val="20"/>
                <w:szCs w:val="20"/>
                <w:color w:val="auto"/>
              </w:rPr>
            </w:pPr>
            <w:r>
              <w:rPr>
                <w:rFonts w:ascii="Arial" w:cs="Arial" w:eastAsia="Arial" w:hAnsi="Arial"/>
                <w:sz w:val="18"/>
                <w:szCs w:val="18"/>
                <w:color w:val="auto"/>
                <w:w w:val="97"/>
              </w:rPr>
              <w:t>Office of Acquisition Services (OAS)</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rPr>
              <w:t>2920 Brandywine Rd, RM 3000</w:t>
            </w:r>
          </w:p>
        </w:tc>
        <w:tc>
          <w:tcPr>
            <w:tcW w:w="2060" w:type="dxa"/>
            <w:vAlign w:val="bottom"/>
            <w:tcBorders>
              <w:right w:val="single" w:sz="8" w:color="auto"/>
            </w:tcBorders>
          </w:tcPr>
          <w:p>
            <w:pPr>
              <w:spacing w:after="0"/>
              <w:rPr>
                <w:sz w:val="15"/>
                <w:szCs w:val="15"/>
                <w:color w:val="auto"/>
              </w:rPr>
            </w:pPr>
          </w:p>
        </w:tc>
        <w:tc>
          <w:tcPr>
            <w:tcW w:w="2820" w:type="dxa"/>
            <w:vAlign w:val="bottom"/>
            <w:gridSpan w:val="2"/>
          </w:tcPr>
          <w:p>
            <w:pPr>
              <w:spacing w:after="0" w:line="176" w:lineRule="exact"/>
              <w:rPr>
                <w:sz w:val="20"/>
                <w:szCs w:val="20"/>
                <w:color w:val="auto"/>
              </w:rPr>
            </w:pPr>
            <w:r>
              <w:rPr>
                <w:rFonts w:ascii="Arial" w:cs="Arial" w:eastAsia="Arial" w:hAnsi="Arial"/>
                <w:sz w:val="18"/>
                <w:szCs w:val="18"/>
                <w:color w:val="auto"/>
              </w:rPr>
              <w:t>2920 Brandywine Rd, RM 3000</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Atlanta, GA 30341-5539</w:t>
            </w:r>
          </w:p>
        </w:tc>
        <w:tc>
          <w:tcPr>
            <w:tcW w:w="2060" w:type="dxa"/>
            <w:vAlign w:val="bottom"/>
            <w:tcBorders>
              <w:right w:val="single" w:sz="8" w:color="auto"/>
            </w:tcBorders>
          </w:tcPr>
          <w:p>
            <w:pPr>
              <w:spacing w:after="0"/>
              <w:rPr>
                <w:sz w:val="17"/>
                <w:szCs w:val="17"/>
                <w:color w:val="auto"/>
              </w:rPr>
            </w:pPr>
          </w:p>
        </w:tc>
        <w:tc>
          <w:tcPr>
            <w:tcW w:w="2820" w:type="dxa"/>
            <w:vAlign w:val="bottom"/>
            <w:gridSpan w:val="2"/>
          </w:tcPr>
          <w:p>
            <w:pPr>
              <w:spacing w:after="0" w:line="202" w:lineRule="exact"/>
              <w:rPr>
                <w:sz w:val="20"/>
                <w:szCs w:val="20"/>
                <w:color w:val="auto"/>
              </w:rPr>
            </w:pPr>
            <w:r>
              <w:rPr>
                <w:rFonts w:ascii="Arial" w:cs="Arial" w:eastAsia="Arial" w:hAnsi="Arial"/>
                <w:sz w:val="18"/>
                <w:szCs w:val="18"/>
                <w:color w:val="auto"/>
              </w:rPr>
              <w:t>Atlanta, GA 30341-5539</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Borders>
              <w:right w:val="single" w:sz="8" w:color="auto"/>
            </w:tcBorders>
            <w:shd w:val="clear" w:color="auto" w:fill="000000"/>
          </w:tcPr>
          <w:p>
            <w:pPr>
              <w:spacing w:after="0"/>
              <w:rPr>
                <w:sz w:val="2"/>
                <w:szCs w:val="2"/>
                <w:color w:val="auto"/>
              </w:rPr>
            </w:pPr>
          </w:p>
        </w:tc>
        <w:tc>
          <w:tcPr>
            <w:tcW w:w="2060" w:type="dxa"/>
            <w:vAlign w:val="bottom"/>
            <w:tcBorders>
              <w:right w:val="single" w:sz="8" w:color="auto"/>
            </w:tcBorders>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220" w:type="dxa"/>
            <w:vAlign w:val="bottom"/>
            <w:gridSpan w:val="4"/>
            <w:vMerge w:val="restart"/>
          </w:tcPr>
          <w:p>
            <w:pPr>
              <w:spacing w:after="0"/>
              <w:rPr>
                <w:sz w:val="20"/>
                <w:szCs w:val="20"/>
                <w:color w:val="auto"/>
              </w:rPr>
            </w:pPr>
            <w:r>
              <w:rPr>
                <w:rFonts w:ascii="Arial" w:cs="Arial" w:eastAsia="Arial" w:hAnsi="Arial"/>
                <w:sz w:val="18"/>
                <w:szCs w:val="18"/>
                <w:color w:val="auto"/>
                <w:w w:val="94"/>
              </w:rPr>
              <w:t xml:space="preserve">8.  NAME AND ADDRESS OF CONTRACTOR </w:t>
            </w:r>
            <w:r>
              <w:rPr>
                <w:rFonts w:ascii="Arial" w:cs="Arial" w:eastAsia="Arial" w:hAnsi="Arial"/>
                <w:sz w:val="18"/>
                <w:szCs w:val="18"/>
                <w:i w:val="1"/>
                <w:iCs w:val="1"/>
                <w:color w:val="auto"/>
                <w:w w:val="94"/>
              </w:rPr>
              <w:t>(No., Street, county, State and ZIP</w:t>
            </w:r>
          </w:p>
        </w:tc>
        <w:tc>
          <w:tcPr>
            <w:tcW w:w="1860" w:type="dxa"/>
            <w:vAlign w:val="bottom"/>
          </w:tcPr>
          <w:p>
            <w:pPr>
              <w:jc w:val="center"/>
              <w:spacing w:after="0" w:line="122" w:lineRule="exact"/>
              <w:rPr>
                <w:sz w:val="20"/>
                <w:szCs w:val="20"/>
                <w:color w:val="auto"/>
              </w:rPr>
            </w:pPr>
            <w:r>
              <w:rPr>
                <w:rFonts w:ascii="MS PGothic" w:cs="MS PGothic" w:eastAsia="MS PGothic" w:hAnsi="MS PGothic"/>
                <w:sz w:val="16"/>
                <w:szCs w:val="16"/>
                <w:color w:val="auto"/>
                <w:w w:val="99"/>
              </w:rPr>
              <w:t>☑</w:t>
            </w:r>
          </w:p>
        </w:tc>
        <w:tc>
          <w:tcPr>
            <w:tcW w:w="40" w:type="dxa"/>
            <w:vAlign w:val="bottom"/>
          </w:tcPr>
          <w:p>
            <w:pPr>
              <w:spacing w:after="0"/>
              <w:rPr>
                <w:sz w:val="10"/>
                <w:szCs w:val="10"/>
                <w:color w:val="auto"/>
              </w:rPr>
            </w:pPr>
          </w:p>
        </w:tc>
        <w:tc>
          <w:tcPr>
            <w:tcW w:w="3300" w:type="dxa"/>
            <w:vAlign w:val="bottom"/>
            <w:gridSpan w:val="4"/>
          </w:tcPr>
          <w:p>
            <w:pPr>
              <w:spacing w:after="0" w:line="122" w:lineRule="exact"/>
              <w:rPr>
                <w:sz w:val="20"/>
                <w:szCs w:val="20"/>
                <w:color w:val="auto"/>
              </w:rPr>
            </w:pPr>
            <w:r>
              <w:rPr>
                <w:rFonts w:ascii="Arial" w:cs="Arial" w:eastAsia="Arial" w:hAnsi="Arial"/>
                <w:sz w:val="14"/>
                <w:szCs w:val="14"/>
                <w:color w:val="auto"/>
              </w:rPr>
              <w:t>9A. AMENDMENT OF SOLICITATION</w:t>
            </w:r>
          </w:p>
        </w:tc>
        <w:tc>
          <w:tcPr>
            <w:tcW w:w="0" w:type="dxa"/>
            <w:vAlign w:val="bottom"/>
          </w:tcPr>
          <w:p>
            <w:pPr>
              <w:spacing w:after="0"/>
              <w:rPr>
                <w:sz w:val="1"/>
                <w:szCs w:val="1"/>
                <w:color w:val="auto"/>
              </w:rPr>
            </w:pPr>
          </w:p>
        </w:tc>
      </w:tr>
      <w:tr>
        <w:trPr>
          <w:trHeight w:val="135"/>
        </w:trPr>
        <w:tc>
          <w:tcPr>
            <w:tcW w:w="622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2"/>
          </w:tcPr>
          <w:p>
            <w:pPr>
              <w:spacing w:after="0" w:line="135" w:lineRule="exact"/>
              <w:rPr>
                <w:sz w:val="20"/>
                <w:szCs w:val="20"/>
                <w:color w:val="auto"/>
              </w:rPr>
            </w:pPr>
            <w:r>
              <w:rPr>
                <w:rFonts w:ascii="Arial" w:cs="Arial" w:eastAsia="Arial" w:hAnsi="Arial"/>
                <w:sz w:val="15"/>
                <w:szCs w:val="15"/>
                <w:color w:val="auto"/>
              </w:rPr>
              <w:t>NO.</w:t>
            </w: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Code)</w:t>
            </w: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00" w:type="dxa"/>
            <w:vAlign w:val="bottom"/>
            <w:tcBorders>
              <w:bottom w:val="single" w:sz="8" w:color="auto"/>
            </w:tcBorders>
            <w:gridSpan w:val="2"/>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gridSpan w:val="3"/>
          </w:tcPr>
          <w:p>
            <w:pPr>
              <w:spacing w:after="0" w:line="202" w:lineRule="exact"/>
              <w:rPr>
                <w:sz w:val="20"/>
                <w:szCs w:val="20"/>
                <w:color w:val="auto"/>
              </w:rPr>
            </w:pPr>
            <w:r>
              <w:rPr>
                <w:rFonts w:ascii="Arial" w:cs="Arial" w:eastAsia="Arial" w:hAnsi="Arial"/>
                <w:sz w:val="18"/>
                <w:szCs w:val="18"/>
                <w:color w:val="auto"/>
              </w:rPr>
              <w:t>EMERGENT BIODEFENSE OPERATIONS LANSING LLC</w:t>
            </w:r>
          </w:p>
        </w:tc>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spacing w:after="0" w:line="203" w:lineRule="exact"/>
              <w:rPr>
                <w:sz w:val="20"/>
                <w:szCs w:val="20"/>
                <w:color w:val="auto"/>
              </w:rPr>
            </w:pPr>
            <w:r>
              <w:rPr>
                <w:rFonts w:ascii="Arial" w:cs="Arial" w:eastAsia="Arial" w:hAnsi="Arial"/>
                <w:sz w:val="18"/>
                <w:szCs w:val="18"/>
                <w:color w:val="auto"/>
              </w:rPr>
              <w:t>3500 N MARTIN LUTHER KING JR BLVD</w:t>
            </w:r>
          </w:p>
        </w:tc>
        <w:tc>
          <w:tcPr>
            <w:tcW w:w="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9B. DATED </w:t>
            </w:r>
            <w:r>
              <w:rPr>
                <w:rFonts w:ascii="Arial" w:cs="Arial" w:eastAsia="Arial" w:hAnsi="Arial"/>
                <w:sz w:val="18"/>
                <w:szCs w:val="18"/>
                <w:i w:val="1"/>
                <w:iCs w:val="1"/>
                <w:color w:val="auto"/>
              </w:rPr>
              <w:t>(SEE ITEM 11)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LANSING, MI 48906-2933</w:t>
            </w: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60" w:type="dxa"/>
            <w:vAlign w:val="bottom"/>
            <w:gridSpan w:val="3"/>
          </w:tcPr>
          <w:p>
            <w:pPr>
              <w:spacing w:after="0" w:line="135" w:lineRule="exact"/>
              <w:rPr>
                <w:sz w:val="20"/>
                <w:szCs w:val="20"/>
                <w:color w:val="auto"/>
              </w:rPr>
            </w:pPr>
            <w:r>
              <w:rPr>
                <w:rFonts w:ascii="Arial" w:cs="Arial" w:eastAsia="Arial" w:hAnsi="Arial"/>
                <w:sz w:val="15"/>
                <w:szCs w:val="15"/>
                <w:color w:val="auto"/>
              </w:rPr>
              <w:t>10A. MODIFICATION OF</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60" w:type="dxa"/>
            <w:vAlign w:val="bottom"/>
            <w:gridSpan w:val="3"/>
          </w:tcPr>
          <w:p>
            <w:pPr>
              <w:spacing w:after="0" w:line="122" w:lineRule="exact"/>
              <w:rPr>
                <w:sz w:val="20"/>
                <w:szCs w:val="20"/>
                <w:color w:val="auto"/>
              </w:rPr>
            </w:pPr>
            <w:r>
              <w:rPr>
                <w:rFonts w:ascii="Arial" w:cs="Arial" w:eastAsia="Arial" w:hAnsi="Arial"/>
                <w:sz w:val="14"/>
                <w:szCs w:val="14"/>
                <w:color w:val="auto"/>
              </w:rPr>
              <w:t>CONTRACT/ORDER NO.</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200-2017-92634</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10B. DATED </w:t>
            </w:r>
            <w:r>
              <w:rPr>
                <w:rFonts w:ascii="Arial" w:cs="Arial" w:eastAsia="Arial" w:hAnsi="Arial"/>
                <w:sz w:val="18"/>
                <w:szCs w:val="18"/>
                <w:i w:val="1"/>
                <w:iCs w:val="1"/>
                <w:color w:val="auto"/>
              </w:rPr>
              <w:t>(SEE ITEM 13)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CODE  026489018</w:t>
            </w:r>
          </w:p>
        </w:tc>
        <w:tc>
          <w:tcPr>
            <w:tcW w:w="2060" w:type="dxa"/>
            <w:vAlign w:val="bottom"/>
          </w:tcPr>
          <w:p>
            <w:pPr>
              <w:spacing w:after="0"/>
              <w:rPr>
                <w:sz w:val="20"/>
                <w:szCs w:val="20"/>
                <w:color w:val="auto"/>
              </w:rPr>
            </w:pPr>
            <w:r>
              <w:rPr>
                <w:rFonts w:ascii="Arial" w:cs="Arial" w:eastAsia="Arial" w:hAnsi="Arial"/>
                <w:sz w:val="18"/>
                <w:szCs w:val="18"/>
                <w:color w:val="auto"/>
              </w:rPr>
              <w:t>FACILITY CODE</w:t>
            </w:r>
          </w:p>
        </w:tc>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12/08/2016</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-1510030</wp:posOffset>
            </wp:positionV>
            <wp:extent cx="7246620" cy="15176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517650"/>
                    </a:xfrm>
                    <a:prstGeom prst="rect">
                      <a:avLst/>
                    </a:prstGeom>
                    <a:noFill/>
                  </pic:spPr>
                </pic:pic>
              </a:graphicData>
            </a:graphic>
          </wp:anchor>
        </w:drawing>
      </w:r>
    </w:p>
    <w:p>
      <w:pPr>
        <w:jc w:val="center"/>
        <w:spacing w:after="0" w:line="203" w:lineRule="auto"/>
        <w:rPr>
          <w:sz w:val="20"/>
          <w:szCs w:val="20"/>
          <w:color w:val="auto"/>
        </w:rPr>
      </w:pPr>
      <w:r>
        <w:rPr>
          <w:rFonts w:ascii="Arial" w:cs="Arial" w:eastAsia="Arial" w:hAnsi="Arial"/>
          <w:sz w:val="18"/>
          <w:szCs w:val="18"/>
          <w:color w:val="auto"/>
        </w:rPr>
        <w:t>11. THIS ITEM ONLY APPLIES TO AMENDMENTS OF SOLICITATIONS</w:t>
      </w:r>
    </w:p>
    <w:tbl>
      <w:tblPr>
        <w:tblLayout w:type="fixed"/>
        <w:tblInd w:w="0" w:type="dxa"/>
        <w:tblCellMar>
          <w:top w:w="0" w:type="dxa"/>
          <w:left w:w="0" w:type="dxa"/>
          <w:bottom w:w="0" w:type="dxa"/>
          <w:right w:w="0" w:type="dxa"/>
        </w:tblCellMar>
      </w:tblPr>
      <w:tr>
        <w:trPr>
          <w:trHeight w:val="141"/>
        </w:trPr>
        <w:tc>
          <w:tcPr>
            <w:tcW w:w="1142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6"/>
                <w:szCs w:val="16"/>
                <w:color w:val="auto"/>
              </w:rPr>
              <w:t>The above numbered solicitation is amended as set forth in Item 14. The hour and date specified for receipt of Offers  is extended, is not extended.</w:t>
            </w:r>
          </w:p>
        </w:tc>
      </w:tr>
      <w:tr>
        <w:trPr>
          <w:trHeight w:val="135"/>
        </w:trPr>
        <w:tc>
          <w:tcPr>
            <w:tcW w:w="11420" w:type="dxa"/>
            <w:vAlign w:val="bottom"/>
            <w:gridSpan w:val="2"/>
          </w:tcPr>
          <w:p>
            <w:pPr>
              <w:spacing w:after="0" w:line="135" w:lineRule="exact"/>
              <w:rPr>
                <w:sz w:val="20"/>
                <w:szCs w:val="20"/>
                <w:color w:val="auto"/>
              </w:rPr>
            </w:pPr>
            <w:r>
              <w:rPr>
                <w:rFonts w:ascii="Arial" w:cs="Arial" w:eastAsia="Arial" w:hAnsi="Arial"/>
                <w:sz w:val="15"/>
                <w:szCs w:val="15"/>
                <w:color w:val="auto"/>
              </w:rPr>
              <w:t>Offers must acknowledge receipt of this amendment prior to the hour and date specified in the solicitation or as amended, by one of the following methods:</w:t>
            </w:r>
          </w:p>
        </w:tc>
      </w:tr>
      <w:tr>
        <w:trPr>
          <w:trHeight w:val="135"/>
        </w:trPr>
        <w:tc>
          <w:tcPr>
            <w:tcW w:w="4120" w:type="dxa"/>
            <w:vAlign w:val="bottom"/>
          </w:tcPr>
          <w:p>
            <w:pPr>
              <w:spacing w:after="0" w:line="135" w:lineRule="exact"/>
              <w:rPr>
                <w:sz w:val="20"/>
                <w:szCs w:val="20"/>
                <w:color w:val="auto"/>
              </w:rPr>
            </w:pPr>
            <w:r>
              <w:rPr>
                <w:rFonts w:ascii="Arial" w:cs="Arial" w:eastAsia="Arial" w:hAnsi="Arial"/>
                <w:sz w:val="15"/>
                <w:szCs w:val="15"/>
                <w:color w:val="auto"/>
              </w:rPr>
              <w:t>(a) By completing Items 8 and 15, and returning</w:t>
            </w:r>
          </w:p>
        </w:tc>
        <w:tc>
          <w:tcPr>
            <w:tcW w:w="7300" w:type="dxa"/>
            <w:vAlign w:val="bottom"/>
          </w:tcPr>
          <w:p>
            <w:pPr>
              <w:ind w:left="620"/>
              <w:spacing w:after="0" w:line="135" w:lineRule="exact"/>
              <w:rPr>
                <w:sz w:val="20"/>
                <w:szCs w:val="20"/>
                <w:color w:val="auto"/>
              </w:rPr>
            </w:pPr>
            <w:r>
              <w:rPr>
                <w:rFonts w:ascii="Arial" w:cs="Arial" w:eastAsia="Arial" w:hAnsi="Arial"/>
                <w:sz w:val="15"/>
                <w:szCs w:val="15"/>
                <w:color w:val="auto"/>
              </w:rPr>
              <w:t>copies of the amendment; (b) By acknowledging receipt of this amendment on each copy of</w:t>
            </w:r>
          </w:p>
        </w:tc>
      </w:tr>
      <w:tr>
        <w:trPr>
          <w:trHeight w:val="110"/>
        </w:trPr>
        <w:tc>
          <w:tcPr>
            <w:tcW w:w="4120" w:type="dxa"/>
            <w:vAlign w:val="bottom"/>
          </w:tcPr>
          <w:p>
            <w:pPr>
              <w:spacing w:after="0" w:line="110" w:lineRule="exact"/>
              <w:rPr>
                <w:sz w:val="20"/>
                <w:szCs w:val="20"/>
                <w:color w:val="auto"/>
              </w:rPr>
            </w:pPr>
            <w:r>
              <w:rPr>
                <w:rFonts w:ascii="Arial" w:cs="Arial" w:eastAsia="Arial" w:hAnsi="Arial"/>
                <w:sz w:val="12"/>
                <w:szCs w:val="12"/>
                <w:color w:val="auto"/>
              </w:rPr>
              <w:t>the offer submitted; or</w:t>
            </w:r>
          </w:p>
        </w:tc>
        <w:tc>
          <w:tcPr>
            <w:tcW w:w="7300" w:type="dxa"/>
            <w:vAlign w:val="bottom"/>
          </w:tcPr>
          <w:p>
            <w:pPr>
              <w:spacing w:after="0"/>
              <w:rPr>
                <w:sz w:val="9"/>
                <w:szCs w:val="9"/>
                <w:color w:val="auto"/>
              </w:rPr>
            </w:pPr>
          </w:p>
        </w:tc>
      </w:tr>
    </w:tbl>
    <w:p>
      <w:pPr>
        <w:ind w:right="80"/>
        <w:spacing w:after="0" w:line="189" w:lineRule="auto"/>
        <w:rPr>
          <w:sz w:val="20"/>
          <w:szCs w:val="20"/>
          <w:color w:val="auto"/>
        </w:rPr>
      </w:pPr>
      <w:r>
        <w:rPr>
          <w:rFonts w:ascii="Arial" w:cs="Arial" w:eastAsia="Arial" w:hAnsi="Arial"/>
          <w:sz w:val="16"/>
          <w:szCs w:val="16"/>
          <w:color w:val="auto"/>
        </w:rPr>
        <w:t>(c) 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6640" w:firstLine="8"/>
        <w:spacing w:after="0" w:line="211"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xml:space="preserve"> See Section B</w:t>
      </w:r>
    </w:p>
    <w:p>
      <w:pPr>
        <w:ind w:left="2900" w:right="2520" w:hanging="366"/>
        <w:spacing w:after="0" w:line="215" w:lineRule="auto"/>
        <w:tabs>
          <w:tab w:leader="none" w:pos="2807" w:val="left"/>
        </w:tabs>
        <w:numPr>
          <w:ilvl w:val="3"/>
          <w:numId w:val="55"/>
        </w:numPr>
        <w:rPr>
          <w:rFonts w:ascii="Arial" w:cs="Arial" w:eastAsia="Arial" w:hAnsi="Arial"/>
          <w:sz w:val="17"/>
          <w:szCs w:val="17"/>
          <w:color w:val="auto"/>
        </w:rPr>
      </w:pPr>
      <w:r>
        <w:rPr>
          <w:rFonts w:ascii="Arial" w:cs="Arial" w:eastAsia="Arial" w:hAnsi="Arial"/>
          <w:sz w:val="17"/>
          <w:szCs w:val="17"/>
          <w:color w:val="auto"/>
        </w:rPr>
        <w:t>THIS ITEM APPLIES ONLY TO MODIFICATIONS OF CONTRACTS/ORDERS, IT MODIFIES THE CONTRACT/ORDER NO. AS DESCRIBED IN ITEM 14.</w:t>
      </w:r>
    </w:p>
    <w:p>
      <w:pPr>
        <w:ind w:left="920" w:right="140" w:hanging="622"/>
        <w:spacing w:after="0" w:line="185" w:lineRule="auto"/>
        <w:tabs>
          <w:tab w:leader="none" w:pos="774" w:val="left"/>
        </w:tabs>
        <w:numPr>
          <w:ilvl w:val="1"/>
          <w:numId w:val="55"/>
        </w:numPr>
        <w:rPr>
          <w:rFonts w:ascii="MS PGothic" w:cs="MS PGothic" w:eastAsia="MS PGothic" w:hAnsi="MS PGothic"/>
          <w:sz w:val="28"/>
          <w:szCs w:val="28"/>
          <w:color w:val="auto"/>
          <w:vertAlign w:val="subscript"/>
        </w:rPr>
      </w:pPr>
      <w:r>
        <w:rPr>
          <w:rFonts w:ascii="Arial" w:cs="Arial" w:eastAsia="Arial" w:hAnsi="Arial"/>
          <w:sz w:val="15"/>
          <w:szCs w:val="15"/>
          <w:color w:val="auto"/>
        </w:rPr>
        <w:t xml:space="preserve">A. THIS CHANGE ORDER IS ISSUED PURSUANT TO: </w:t>
      </w:r>
      <w:r>
        <w:rPr>
          <w:rFonts w:ascii="Arial" w:cs="Arial" w:eastAsia="Arial" w:hAnsi="Arial"/>
          <w:sz w:val="15"/>
          <w:szCs w:val="15"/>
          <w:i w:val="1"/>
          <w:iCs w:val="1"/>
          <w:color w:val="auto"/>
        </w:rPr>
        <w:t>(Specify authority)</w:t>
      </w:r>
      <w:r>
        <w:rPr>
          <w:rFonts w:ascii="Arial" w:cs="Arial" w:eastAsia="Arial" w:hAnsi="Arial"/>
          <w:sz w:val="15"/>
          <w:szCs w:val="15"/>
          <w:color w:val="auto"/>
        </w:rPr>
        <w:t xml:space="preserve"> THE CHANGES SET FORTH IN ITEM 14 ARE MADE IN THE CONTRACT ORDER NO. IN ITEM 10A.</w:t>
      </w:r>
    </w:p>
    <w:p>
      <w:pPr>
        <w:spacing w:after="0" w:line="76" w:lineRule="exact"/>
        <w:rPr>
          <w:rFonts w:ascii="MS PGothic" w:cs="MS PGothic" w:eastAsia="MS PGothic" w:hAnsi="MS PGothic"/>
          <w:sz w:val="28"/>
          <w:szCs w:val="28"/>
          <w:color w:val="auto"/>
          <w:vertAlign w:val="subscript"/>
        </w:rPr>
      </w:pPr>
    </w:p>
    <w:p>
      <w:pPr>
        <w:ind w:left="980" w:hanging="202"/>
        <w:spacing w:after="0"/>
        <w:tabs>
          <w:tab w:leader="none" w:pos="9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 xml:space="preserve">THE ABOVE NUMBERED CONTRACT/ORDER IS MODIFIED TO REFLECT THE ADMINISTRATIVE CHANGES </w:t>
      </w:r>
      <w:r>
        <w:rPr>
          <w:rFonts w:ascii="Arial" w:cs="Arial" w:eastAsia="Arial" w:hAnsi="Arial"/>
          <w:sz w:val="17"/>
          <w:szCs w:val="17"/>
          <w:i w:val="1"/>
          <w:iCs w:val="1"/>
          <w:color w:val="auto"/>
        </w:rPr>
        <w:t>(such as changes in</w:t>
      </w:r>
    </w:p>
    <w:p>
      <w:pPr>
        <w:ind w:left="920" w:right="680" w:hanging="609"/>
        <w:spacing w:after="0" w:line="182" w:lineRule="auto"/>
        <w:rPr>
          <w:rFonts w:ascii="Arial" w:cs="Arial" w:eastAsia="Arial" w:hAnsi="Arial"/>
          <w:sz w:val="17"/>
          <w:szCs w:val="17"/>
          <w:color w:val="auto"/>
        </w:rPr>
      </w:pPr>
      <w:r>
        <w:rPr>
          <w:rFonts w:ascii="Arial" w:cs="Arial" w:eastAsia="Arial" w:hAnsi="Arial"/>
          <w:sz w:val="18"/>
          <w:szCs w:val="18"/>
          <w:color w:val="auto"/>
        </w:rPr>
        <w:t>X</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appropriation data</w:t>
      </w:r>
    </w:p>
    <w:p>
      <w:pPr>
        <w:ind w:left="980" w:hanging="202"/>
        <w:spacing w:after="0"/>
        <w:tabs>
          <w:tab w:leader="none" w:pos="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THIS SUPPLEMENTAL AGREEMENT IS ENTERED INTO PURSUANT TO AUTHORITY OF:</w:t>
      </w:r>
    </w:p>
    <w:p>
      <w:pPr>
        <w:spacing w:after="0" w:line="74" w:lineRule="exact"/>
        <w:rPr>
          <w:rFonts w:ascii="Arial" w:cs="Arial" w:eastAsia="Arial" w:hAnsi="Arial"/>
          <w:sz w:val="18"/>
          <w:szCs w:val="18"/>
          <w:color w:val="auto"/>
        </w:rPr>
      </w:pPr>
    </w:p>
    <w:p>
      <w:pPr>
        <w:ind w:left="1000" w:hanging="222"/>
        <w:spacing w:after="0"/>
        <w:tabs>
          <w:tab w:leader="none" w:pos="10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(Specify type of modification and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977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977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is required to sign this document and return ________ copies to the issuing office.</w:t>
      </w:r>
    </w:p>
    <w:p>
      <w:pPr>
        <w:spacing w:after="0" w:line="17" w:lineRule="exact"/>
        <w:rPr>
          <w:sz w:val="20"/>
          <w:szCs w:val="20"/>
          <w:color w:val="auto"/>
        </w:rPr>
      </w:pPr>
    </w:p>
    <w:p>
      <w:pPr>
        <w:ind w:right="580" w:firstLine="8"/>
        <w:spacing w:after="0"/>
        <w:tabs>
          <w:tab w:leader="none" w:pos="27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DESCRIPTION OF AMENDMENT/MODIFICATION </w:t>
      </w:r>
      <w:r>
        <w:rPr>
          <w:rFonts w:ascii="Arial" w:cs="Arial" w:eastAsia="Arial" w:hAnsi="Arial"/>
          <w:sz w:val="15"/>
          <w:szCs w:val="15"/>
          <w:i w:val="1"/>
          <w:iCs w:val="1"/>
          <w:color w:val="auto"/>
        </w:rPr>
        <w:t>(Organized by UCF section headings, including solicitation/contract subject matter where</w:t>
      </w:r>
      <w:r>
        <w:rPr>
          <w:rFonts w:ascii="Arial" w:cs="Arial" w:eastAsia="Arial" w:hAnsi="Arial"/>
          <w:sz w:val="15"/>
          <w:szCs w:val="15"/>
          <w:color w:val="auto"/>
        </w:rPr>
        <w:t xml:space="preserve"> </w:t>
      </w:r>
      <w:r>
        <w:rPr>
          <w:rFonts w:ascii="Arial" w:cs="Arial" w:eastAsia="Arial" w:hAnsi="Arial"/>
          <w:sz w:val="15"/>
          <w:szCs w:val="15"/>
          <w:i w:val="1"/>
          <w:iCs w:val="1"/>
          <w:color w:val="auto"/>
        </w:rPr>
        <w:t>feasible.)</w:t>
      </w:r>
    </w:p>
    <w:p>
      <w:pPr>
        <w:spacing w:after="0" w:line="97" w:lineRule="exact"/>
        <w:rPr>
          <w:rFonts w:ascii="Arial" w:cs="Arial" w:eastAsia="Arial" w:hAnsi="Arial"/>
          <w:sz w:val="15"/>
          <w:szCs w:val="15"/>
          <w:color w:val="auto"/>
        </w:rPr>
      </w:pPr>
    </w:p>
    <w:p>
      <w:pPr>
        <w:spacing w:after="0" w:line="182" w:lineRule="auto"/>
        <w:rPr>
          <w:rFonts w:ascii="Arial" w:cs="Arial" w:eastAsia="Arial" w:hAnsi="Arial"/>
          <w:sz w:val="15"/>
          <w:szCs w:val="15"/>
          <w:color w:val="auto"/>
        </w:rPr>
      </w:pPr>
      <w:r>
        <w:rPr>
          <w:rFonts w:ascii="Arial" w:cs="Arial" w:eastAsia="Arial" w:hAnsi="Arial"/>
          <w:sz w:val="17"/>
          <w:szCs w:val="17"/>
          <w:color w:val="auto"/>
        </w:rPr>
        <w:t>The purpose of this modification is to correct appropriation data.</w:t>
      </w:r>
    </w:p>
    <w:p>
      <w:pPr>
        <w:ind w:right="400"/>
        <w:spacing w:after="0" w:line="183" w:lineRule="auto"/>
        <w:rPr>
          <w:rFonts w:ascii="Arial" w:cs="Arial" w:eastAsia="Arial" w:hAnsi="Arial"/>
          <w:sz w:val="15"/>
          <w:szCs w:val="15"/>
          <w:color w:val="auto"/>
        </w:rPr>
      </w:pPr>
      <w:r>
        <w:rPr>
          <w:rFonts w:ascii="Arial" w:cs="Arial" w:eastAsia="Arial" w:hAnsi="Arial"/>
          <w:sz w:val="16"/>
          <w:szCs w:val="16"/>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40" w:type="dxa"/>
            <w:vAlign w:val="bottom"/>
            <w:tcBorders>
              <w:top w:val="single" w:sz="8" w:color="auto"/>
              <w:right w:val="single" w:sz="8" w:color="auto"/>
            </w:tcBorders>
            <w:gridSpan w:val="2"/>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6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 xml:space="preserve">16A. NAME AND TITLE OF CONTRACTING OFFICER </w:t>
            </w:r>
            <w:r>
              <w:rPr>
                <w:rFonts w:ascii="Arial" w:cs="Arial" w:eastAsia="Arial" w:hAnsi="Arial"/>
                <w:sz w:val="16"/>
                <w:szCs w:val="16"/>
                <w:i w:val="1"/>
                <w:iCs w:val="1"/>
                <w:color w:val="auto"/>
              </w:rPr>
              <w:t>(Type or print)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36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Christine N Godfrey</w:t>
            </w:r>
          </w:p>
        </w:tc>
        <w:tc>
          <w:tcPr>
            <w:tcW w:w="8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15B. CONTRACTOR/OFFEROR</w:t>
            </w:r>
          </w:p>
        </w:tc>
        <w:tc>
          <w:tcPr>
            <w:tcW w:w="14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3660" w:type="dxa"/>
            <w:vAlign w:val="bottom"/>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860" w:type="dxa"/>
            <w:vAlign w:val="bottom"/>
            <w:tcBorders>
              <w:right w:val="single" w:sz="8" w:color="auto"/>
            </w:tcBorders>
          </w:tcPr>
          <w:p>
            <w:pPr>
              <w:spacing w:after="0"/>
              <w:rPr>
                <w:sz w:val="11"/>
                <w:szCs w:val="11"/>
                <w:color w:val="auto"/>
              </w:rPr>
            </w:pPr>
          </w:p>
        </w:tc>
        <w:tc>
          <w:tcPr>
            <w:tcW w:w="1640" w:type="dxa"/>
            <w:vAlign w:val="bottom"/>
          </w:tcPr>
          <w:p>
            <w:pPr>
              <w:jc w:val="right"/>
              <w:ind w:right="15"/>
              <w:spacing w:after="0" w:line="135" w:lineRule="exact"/>
              <w:rPr>
                <w:sz w:val="20"/>
                <w:szCs w:val="20"/>
                <w:color w:val="auto"/>
              </w:rPr>
            </w:pPr>
            <w:r>
              <w:rPr>
                <w:rFonts w:ascii="Arial" w:cs="Arial" w:eastAsia="Arial" w:hAnsi="Arial"/>
                <w:sz w:val="15"/>
                <w:szCs w:val="15"/>
                <w:color w:val="auto"/>
              </w:rPr>
              <w:t>16C. DATE SIGNED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SIGNED</w:t>
            </w:r>
          </w:p>
        </w:tc>
        <w:tc>
          <w:tcPr>
            <w:tcW w:w="3660" w:type="dxa"/>
            <w:vAlign w:val="bottom"/>
          </w:tcPr>
          <w:p>
            <w:pPr>
              <w:spacing w:after="0" w:line="162" w:lineRule="exact"/>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Christine N Godfrey</w:t>
            </w:r>
          </w:p>
        </w:tc>
        <w:tc>
          <w:tcPr>
            <w:tcW w:w="860" w:type="dxa"/>
            <w:vAlign w:val="bottom"/>
            <w:tcBorders>
              <w:right w:val="single" w:sz="8" w:color="auto"/>
            </w:tcBorders>
          </w:tcPr>
          <w:p>
            <w:pPr>
              <w:spacing w:after="0"/>
              <w:rPr>
                <w:sz w:val="14"/>
                <w:szCs w:val="14"/>
                <w:color w:val="auto"/>
              </w:rPr>
            </w:pPr>
          </w:p>
        </w:tc>
        <w:tc>
          <w:tcPr>
            <w:tcW w:w="1640" w:type="dxa"/>
            <w:vAlign w:val="bottom"/>
            <w:vMerge w:val="restart"/>
          </w:tcPr>
          <w:p>
            <w:pPr>
              <w:jc w:val="right"/>
              <w:ind w:right="335"/>
              <w:spacing w:after="0"/>
              <w:rPr>
                <w:sz w:val="20"/>
                <w:szCs w:val="20"/>
                <w:color w:val="auto"/>
              </w:rPr>
            </w:pPr>
            <w:r>
              <w:rPr>
                <w:rFonts w:ascii="Arial" w:cs="Arial" w:eastAsia="Arial" w:hAnsi="Arial"/>
                <w:sz w:val="18"/>
                <w:szCs w:val="18"/>
                <w:color w:val="auto"/>
              </w:rPr>
              <w:t>06/21/2018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3660" w:type="dxa"/>
            <w:vAlign w:val="bottom"/>
          </w:tcPr>
          <w:p>
            <w:pPr>
              <w:ind w:left="1000"/>
              <w:spacing w:after="0"/>
              <w:rPr>
                <w:sz w:val="20"/>
                <w:szCs w:val="20"/>
                <w:color w:val="auto"/>
              </w:rPr>
            </w:pPr>
            <w:r>
              <w:rPr>
                <w:rFonts w:ascii="Arial" w:cs="Arial" w:eastAsia="Arial" w:hAnsi="Arial"/>
                <w:sz w:val="18"/>
                <w:szCs w:val="18"/>
                <w:i w:val="1"/>
                <w:iCs w:val="1"/>
                <w:color w:val="auto"/>
                <w:w w:val="99"/>
              </w:rPr>
              <w:t>(Signature of Contracting Officer)</w:t>
            </w:r>
          </w:p>
        </w:tc>
        <w:tc>
          <w:tcPr>
            <w:tcW w:w="860" w:type="dxa"/>
            <w:vAlign w:val="bottom"/>
            <w:tcBorders>
              <w:right w:val="single" w:sz="8" w:color="auto"/>
            </w:tcBorders>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i w:val="1"/>
                <w:iCs w:val="1"/>
                <w:color w:val="auto"/>
              </w:rPr>
              <w:t>(Signature of person authorized to sign)</w:t>
            </w:r>
          </w:p>
        </w:tc>
        <w:tc>
          <w:tcPr>
            <w:tcW w:w="142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Pr>
          <w:p>
            <w:pPr>
              <w:spacing w:after="0" w:line="164" w:lineRule="exact"/>
              <w:rPr>
                <w:sz w:val="20"/>
                <w:szCs w:val="20"/>
                <w:color w:val="auto"/>
              </w:rPr>
            </w:pPr>
            <w:r>
              <w:rPr>
                <w:rFonts w:ascii="Arial" w:cs="Arial" w:eastAsia="Arial" w:hAnsi="Arial"/>
                <w:sz w:val="18"/>
                <w:szCs w:val="18"/>
                <w:b w:val="1"/>
                <w:bCs w:val="1"/>
                <w:color w:val="auto"/>
              </w:rPr>
              <w:t>NSN 7540-01-152-8070</w:t>
            </w:r>
          </w:p>
        </w:tc>
        <w:tc>
          <w:tcPr>
            <w:tcW w:w="1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gridSpan w:val="2"/>
          </w:tcPr>
          <w:p>
            <w:pPr>
              <w:jc w:val="right"/>
              <w:spacing w:after="0" w:line="164" w:lineRule="exact"/>
              <w:rPr>
                <w:sz w:val="20"/>
                <w:szCs w:val="20"/>
                <w:color w:val="auto"/>
              </w:rPr>
            </w:pPr>
            <w:r>
              <w:rPr>
                <w:rFonts w:ascii="Arial" w:cs="Arial" w:eastAsia="Arial" w:hAnsi="Arial"/>
                <w:sz w:val="18"/>
                <w:szCs w:val="18"/>
                <w:b w:val="1"/>
                <w:bCs w:val="1"/>
                <w:color w:val="auto"/>
              </w:rPr>
              <w:t>STANDARD FORM 30 (Rev.</w:t>
            </w: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rPr>
              <w:t>10-83)</w:t>
            </w:r>
          </w:p>
        </w:tc>
        <w:tc>
          <w:tcPr>
            <w:tcW w:w="1420" w:type="dxa"/>
            <w:vAlign w:val="bottom"/>
          </w:tcPr>
          <w:p>
            <w:pPr>
              <w:spacing w:after="0"/>
              <w:rPr>
                <w:sz w:val="15"/>
                <w:szCs w:val="15"/>
                <w:color w:val="auto"/>
              </w:rPr>
            </w:pPr>
          </w:p>
        </w:tc>
        <w:tc>
          <w:tcPr>
            <w:tcW w:w="366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30-105</w:t>
            </w:r>
          </w:p>
        </w:tc>
        <w:tc>
          <w:tcPr>
            <w:tcW w:w="8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Prescribed</w:t>
            </w:r>
          </w:p>
        </w:tc>
        <w:tc>
          <w:tcPr>
            <w:tcW w:w="0" w:type="dxa"/>
            <w:vAlign w:val="bottom"/>
          </w:tcPr>
          <w:p>
            <w:pPr>
              <w:spacing w:after="0"/>
              <w:rPr>
                <w:sz w:val="1"/>
                <w:szCs w:val="1"/>
                <w:color w:val="auto"/>
              </w:rPr>
            </w:pPr>
          </w:p>
        </w:tc>
      </w:tr>
      <w:tr>
        <w:trPr>
          <w:trHeight w:val="21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PREVIOUS EDITION UNUSABLE</w:t>
            </w:r>
          </w:p>
        </w:tc>
        <w:tc>
          <w:tcPr>
            <w:tcW w:w="14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b w:val="1"/>
          <w:bCs w:val="1"/>
          <w:color w:val="auto"/>
        </w:rPr>
        <w:t>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7"/>
        </w:trPr>
        <w:tc>
          <w:tcPr>
            <w:tcW w:w="40" w:type="dxa"/>
            <w:vAlign w:val="bottom"/>
            <w:tcBorders>
              <w:right w:val="single" w:sz="8" w:color="auto"/>
            </w:tcBorders>
          </w:tcPr>
          <w:p>
            <w:pPr>
              <w:spacing w:after="0"/>
              <w:rPr>
                <w:sz w:val="22"/>
                <w:szCs w:val="22"/>
                <w:color w:val="auto"/>
              </w:rPr>
            </w:pP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ITEM</w:t>
            </w:r>
          </w:p>
        </w:tc>
        <w:tc>
          <w:tcPr>
            <w:tcW w:w="2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SUPPLIES / SERVICES</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QTY / UNIT</w:t>
            </w: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 PRICE</w:t>
            </w: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EXTENDED</w:t>
            </w:r>
          </w:p>
        </w:tc>
      </w:tr>
      <w:tr>
        <w:trPr>
          <w:trHeight w:val="263"/>
        </w:trPr>
        <w:tc>
          <w:tcPr>
            <w:tcW w:w="40" w:type="dxa"/>
            <w:vAlign w:val="bottom"/>
            <w:tcBorders>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w:t>
            </w: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r>
      <w:tr>
        <w:trPr>
          <w:trHeight w:val="237"/>
        </w:trPr>
        <w:tc>
          <w:tcPr>
            <w:tcW w:w="40" w:type="dxa"/>
            <w:vAlign w:val="bottom"/>
            <w:tcBorders>
              <w:right w:val="single" w:sz="8" w:color="CCEEFF"/>
            </w:tcBorders>
            <w:shd w:val="clear" w:color="auto" w:fill="CCEEFF"/>
          </w:tcPr>
          <w:p>
            <w:pPr>
              <w:spacing w:after="0"/>
              <w:rPr>
                <w:sz w:val="20"/>
                <w:szCs w:val="20"/>
                <w:color w:val="auto"/>
              </w:rPr>
            </w:pPr>
          </w:p>
        </w:tc>
        <w:tc>
          <w:tcPr>
            <w:tcW w:w="24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2004</w:t>
            </w:r>
          </w:p>
        </w:tc>
        <w:tc>
          <w:tcPr>
            <w:tcW w:w="25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Biothrax/AVA</w:t>
            </w: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Doses</w:t>
            </w:r>
          </w:p>
        </w:tc>
        <w:tc>
          <w:tcPr>
            <w:tcW w:w="120" w:type="dxa"/>
            <w:vAlign w:val="bottom"/>
            <w:gridSpan w:val="2"/>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33"/>
        </w:trPr>
        <w:tc>
          <w:tcPr>
            <w:tcW w:w="40" w:type="dxa"/>
            <w:vAlign w:val="bottom"/>
            <w:tcBorders>
              <w:right w:val="single" w:sz="8" w:color="CCEEFF"/>
            </w:tcBorders>
            <w:shd w:val="clear" w:color="auto" w:fill="CCEEFF"/>
          </w:tcPr>
          <w:p>
            <w:pPr>
              <w:spacing w:after="0"/>
              <w:rPr>
                <w:sz w:val="2"/>
                <w:szCs w:val="2"/>
                <w:color w:val="auto"/>
              </w:rPr>
            </w:pPr>
          </w:p>
        </w:tc>
        <w:tc>
          <w:tcPr>
            <w:tcW w:w="2460" w:type="dxa"/>
            <w:vAlign w:val="bottom"/>
            <w:tcBorders>
              <w:right w:val="single" w:sz="8" w:color="auto"/>
            </w:tcBorders>
            <w:shd w:val="clear" w:color="auto" w:fill="CCEEFF"/>
          </w:tcPr>
          <w:p>
            <w:pPr>
              <w:spacing w:after="0"/>
              <w:rPr>
                <w:sz w:val="2"/>
                <w:szCs w:val="2"/>
                <w:color w:val="auto"/>
              </w:rPr>
            </w:pPr>
          </w:p>
        </w:tc>
        <w:tc>
          <w:tcPr>
            <w:tcW w:w="2560" w:type="dxa"/>
            <w:vAlign w:val="bottom"/>
            <w:tcBorders>
              <w:right w:val="single" w:sz="8" w:color="auto"/>
            </w:tcBorders>
            <w:shd w:val="clear" w:color="auto" w:fill="CCEEFF"/>
          </w:tcPr>
          <w:p>
            <w:pPr>
              <w:spacing w:after="0"/>
              <w:rPr>
                <w:sz w:val="2"/>
                <w:szCs w:val="2"/>
                <w:color w:val="auto"/>
              </w:rPr>
            </w:pPr>
          </w:p>
        </w:tc>
        <w:tc>
          <w:tcPr>
            <w:tcW w:w="36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5671820</wp:posOffset>
            </wp:positionH>
            <wp:positionV relativeFrom="page">
              <wp:posOffset>380365</wp:posOffset>
            </wp:positionV>
            <wp:extent cx="17145" cy="130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7145" cy="1303655"/>
                    </a:xfrm>
                    <a:prstGeom prst="rect">
                      <a:avLst/>
                    </a:prstGeom>
                    <a:noFill/>
                  </pic:spPr>
                </pic:pic>
              </a:graphicData>
            </a:graphic>
          </wp:anchor>
        </w:drawing>
        <w:drawing>
          <wp:anchor simplePos="0" relativeHeight="251657728" behindDoc="1" locked="0" layoutInCell="0" allowOverlap="1">
            <wp:simplePos x="0" y="0"/>
            <wp:positionH relativeFrom="page">
              <wp:posOffset>6555105</wp:posOffset>
            </wp:positionH>
            <wp:positionV relativeFrom="page">
              <wp:posOffset>380365</wp:posOffset>
            </wp:positionV>
            <wp:extent cx="17145" cy="130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7145" cy="1303655"/>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380365</wp:posOffset>
            </wp:positionV>
            <wp:extent cx="17145" cy="130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7145" cy="13036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-187960</wp:posOffset>
            </wp:positionV>
            <wp:extent cx="17145" cy="977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7145" cy="977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3207385" cy="960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07385" cy="9607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-187960</wp:posOffset>
            </wp:positionV>
            <wp:extent cx="17145" cy="977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145" cy="977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Line(s) Of Accounting:</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9390AX3 2642 2018 75-18-0943</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5623RF1101 ($[**]</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939ZWUX 2642 2018 75-X-0956</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5664711101 $[**]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4922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3" w:name="page44"/>
    <w:bookmarkEnd w:id="43"/>
    <w:p>
      <w:pPr>
        <w:ind w:left="10220"/>
        <w:spacing w:after="0"/>
        <w:rPr>
          <w:sz w:val="20"/>
          <w:szCs w:val="20"/>
          <w:color w:val="auto"/>
        </w:rPr>
      </w:pPr>
      <w:r>
        <w:rPr>
          <w:rFonts w:ascii="Arial" w:cs="Arial" w:eastAsia="Arial" w:hAnsi="Arial"/>
          <w:sz w:val="22"/>
          <w:szCs w:val="22"/>
          <w:b w:val="1"/>
          <w:bCs w:val="1"/>
          <w:color w:val="auto"/>
        </w:rPr>
        <w:t>EXHIBIT 12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646464"/>
            </w:tcBorders>
            <w:gridSpan w:val="2"/>
          </w:tcPr>
          <w:p>
            <w:pPr>
              <w:spacing w:after="0"/>
              <w:rPr>
                <w:sz w:val="2"/>
                <w:szCs w:val="2"/>
                <w:color w:val="auto"/>
              </w:rPr>
            </w:pPr>
          </w:p>
        </w:tc>
        <w:tc>
          <w:tcPr>
            <w:tcW w:w="120" w:type="dxa"/>
            <w:vAlign w:val="bottom"/>
            <w:tcBorders>
              <w:bottom w:val="single" w:sz="8" w:color="646464"/>
            </w:tcBorders>
          </w:tcPr>
          <w:p>
            <w:pPr>
              <w:spacing w:after="0"/>
              <w:rPr>
                <w:sz w:val="2"/>
                <w:szCs w:val="2"/>
                <w:color w:val="auto"/>
              </w:rPr>
            </w:pPr>
          </w:p>
        </w:tc>
        <w:tc>
          <w:tcPr>
            <w:tcW w:w="220" w:type="dxa"/>
            <w:vAlign w:val="bottom"/>
            <w:tcBorders>
              <w:bottom w:val="single" w:sz="8" w:color="646464"/>
            </w:tcBorders>
          </w:tcPr>
          <w:p>
            <w:pPr>
              <w:spacing w:after="0"/>
              <w:rPr>
                <w:sz w:val="2"/>
                <w:szCs w:val="2"/>
                <w:color w:val="auto"/>
              </w:rPr>
            </w:pPr>
          </w:p>
        </w:tc>
        <w:tc>
          <w:tcPr>
            <w:tcW w:w="960" w:type="dxa"/>
            <w:vAlign w:val="bottom"/>
            <w:tcBorders>
              <w:bottom w:val="single" w:sz="8" w:color="646464"/>
            </w:tcBorders>
          </w:tcPr>
          <w:p>
            <w:pPr>
              <w:spacing w:after="0"/>
              <w:rPr>
                <w:sz w:val="2"/>
                <w:szCs w:val="2"/>
                <w:color w:val="auto"/>
              </w:rPr>
            </w:pPr>
          </w:p>
        </w:tc>
        <w:tc>
          <w:tcPr>
            <w:tcW w:w="140" w:type="dxa"/>
            <w:vAlign w:val="bottom"/>
            <w:tcBorders>
              <w:bottom w:val="single" w:sz="8" w:color="646464"/>
            </w:tcBorders>
          </w:tcPr>
          <w:p>
            <w:pPr>
              <w:spacing w:after="0"/>
              <w:rPr>
                <w:sz w:val="2"/>
                <w:szCs w:val="2"/>
                <w:color w:val="auto"/>
              </w:rPr>
            </w:pPr>
          </w:p>
        </w:tc>
        <w:tc>
          <w:tcPr>
            <w:tcW w:w="220" w:type="dxa"/>
            <w:vAlign w:val="bottom"/>
            <w:tcBorders>
              <w:bottom w:val="single" w:sz="8" w:color="646464"/>
            </w:tcBorders>
          </w:tcPr>
          <w:p>
            <w:pPr>
              <w:spacing w:after="0"/>
              <w:rPr>
                <w:sz w:val="2"/>
                <w:szCs w:val="2"/>
                <w:color w:val="auto"/>
              </w:rPr>
            </w:pPr>
          </w:p>
        </w:tc>
        <w:tc>
          <w:tcPr>
            <w:tcW w:w="920" w:type="dxa"/>
            <w:vAlign w:val="bottom"/>
            <w:tcBorders>
              <w:bottom w:val="single" w:sz="8" w:color="646464"/>
            </w:tcBorders>
          </w:tcPr>
          <w:p>
            <w:pPr>
              <w:spacing w:after="0"/>
              <w:rPr>
                <w:sz w:val="2"/>
                <w:szCs w:val="2"/>
                <w:color w:val="auto"/>
              </w:rPr>
            </w:pPr>
          </w:p>
        </w:tc>
        <w:tc>
          <w:tcPr>
            <w:tcW w:w="140" w:type="dxa"/>
            <w:vAlign w:val="bottom"/>
            <w:tcBorders>
              <w:bottom w:val="single" w:sz="8" w:color="646464"/>
            </w:tcBorders>
          </w:tcPr>
          <w:p>
            <w:pPr>
              <w:spacing w:after="0"/>
              <w:rPr>
                <w:sz w:val="2"/>
                <w:szCs w:val="2"/>
                <w:color w:val="auto"/>
              </w:rPr>
            </w:pPr>
          </w:p>
        </w:tc>
        <w:tc>
          <w:tcPr>
            <w:tcW w:w="220" w:type="dxa"/>
            <w:vAlign w:val="bottom"/>
            <w:tcBorders>
              <w:bottom w:val="single" w:sz="8" w:color="646464"/>
            </w:tcBorders>
          </w:tcPr>
          <w:p>
            <w:pPr>
              <w:spacing w:after="0"/>
              <w:rPr>
                <w:sz w:val="2"/>
                <w:szCs w:val="2"/>
                <w:color w:val="auto"/>
              </w:rPr>
            </w:pPr>
          </w:p>
        </w:tc>
        <w:tc>
          <w:tcPr>
            <w:tcW w:w="920" w:type="dxa"/>
            <w:vAlign w:val="bottom"/>
            <w:tcBorders>
              <w:bottom w:val="single" w:sz="8" w:color="646464"/>
            </w:tcBorders>
          </w:tcPr>
          <w:p>
            <w:pPr>
              <w:spacing w:after="0"/>
              <w:rPr>
                <w:sz w:val="2"/>
                <w:szCs w:val="2"/>
                <w:color w:val="auto"/>
              </w:rPr>
            </w:pPr>
          </w:p>
        </w:tc>
        <w:tc>
          <w:tcPr>
            <w:tcW w:w="120" w:type="dxa"/>
            <w:vAlign w:val="bottom"/>
            <w:tcBorders>
              <w:bottom w:val="single" w:sz="8" w:color="646464"/>
            </w:tcBorders>
          </w:tcPr>
          <w:p>
            <w:pPr>
              <w:spacing w:after="0"/>
              <w:rPr>
                <w:sz w:val="2"/>
                <w:szCs w:val="2"/>
                <w:color w:val="auto"/>
              </w:rPr>
            </w:pPr>
          </w:p>
        </w:tc>
        <w:tc>
          <w:tcPr>
            <w:tcW w:w="220" w:type="dxa"/>
            <w:vAlign w:val="bottom"/>
            <w:tcBorders>
              <w:bottom w:val="single" w:sz="8" w:color="646464"/>
            </w:tcBorders>
          </w:tcPr>
          <w:p>
            <w:pPr>
              <w:spacing w:after="0"/>
              <w:rPr>
                <w:sz w:val="2"/>
                <w:szCs w:val="2"/>
                <w:color w:val="auto"/>
              </w:rPr>
            </w:pPr>
          </w:p>
        </w:tc>
        <w:tc>
          <w:tcPr>
            <w:tcW w:w="920" w:type="dxa"/>
            <w:vAlign w:val="bottom"/>
            <w:tcBorders>
              <w:bottom w:val="single" w:sz="8" w:color="646464"/>
            </w:tcBorders>
          </w:tcPr>
          <w:p>
            <w:pPr>
              <w:spacing w:after="0"/>
              <w:rPr>
                <w:sz w:val="2"/>
                <w:szCs w:val="2"/>
                <w:color w:val="auto"/>
              </w:rPr>
            </w:pPr>
          </w:p>
        </w:tc>
        <w:tc>
          <w:tcPr>
            <w:tcW w:w="120" w:type="dxa"/>
            <w:vAlign w:val="bottom"/>
            <w:tcBorders>
              <w:bottom w:val="single" w:sz="8" w:color="646464"/>
            </w:tcBorders>
          </w:tcPr>
          <w:p>
            <w:pPr>
              <w:spacing w:after="0"/>
              <w:rPr>
                <w:sz w:val="2"/>
                <w:szCs w:val="2"/>
                <w:color w:val="auto"/>
              </w:rPr>
            </w:pPr>
          </w:p>
        </w:tc>
        <w:tc>
          <w:tcPr>
            <w:tcW w:w="200" w:type="dxa"/>
            <w:vAlign w:val="bottom"/>
            <w:tcBorders>
              <w:bottom w:val="single" w:sz="8" w:color="646464"/>
            </w:tcBorders>
          </w:tcPr>
          <w:p>
            <w:pPr>
              <w:spacing w:after="0"/>
              <w:rPr>
                <w:sz w:val="2"/>
                <w:szCs w:val="2"/>
                <w:color w:val="auto"/>
              </w:rPr>
            </w:pPr>
          </w:p>
        </w:tc>
        <w:tc>
          <w:tcPr>
            <w:tcW w:w="740" w:type="dxa"/>
            <w:vAlign w:val="bottom"/>
            <w:tcBorders>
              <w:bottom w:val="single" w:sz="8" w:color="64646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Year to Date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980" w:type="dxa"/>
            <w:vAlign w:val="bottom"/>
            <w:tcBorders>
              <w:bottom w:val="single" w:sz="8" w:color="646464"/>
            </w:tcBorders>
          </w:tcPr>
          <w:p>
            <w:pPr>
              <w:jc w:val="center"/>
              <w:ind w:right="17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960" w:type="dxa"/>
            <w:vAlign w:val="bottom"/>
            <w:tcBorders>
              <w:bottom w:val="single" w:sz="8" w:color="646464"/>
            </w:tcBorders>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2540" w:type="dxa"/>
            <w:vAlign w:val="bottom"/>
            <w:tcBorders>
              <w:bottom w:val="single" w:sz="8" w:color="646464"/>
            </w:tcBorders>
            <w:gridSpan w:val="6"/>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20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398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646464"/>
            </w:tcBorders>
          </w:tcPr>
          <w:p>
            <w:pPr>
              <w:spacing w:after="0"/>
              <w:rPr>
                <w:sz w:val="24"/>
                <w:szCs w:val="24"/>
                <w:color w:val="auto"/>
              </w:rPr>
            </w:pPr>
          </w:p>
        </w:tc>
        <w:tc>
          <w:tcPr>
            <w:tcW w:w="980" w:type="dxa"/>
            <w:vAlign w:val="bottom"/>
            <w:tcBorders>
              <w:top w:val="single" w:sz="8" w:color="646464"/>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646464"/>
            </w:tcBorders>
          </w:tcPr>
          <w:p>
            <w:pPr>
              <w:spacing w:after="0"/>
              <w:rPr>
                <w:sz w:val="24"/>
                <w:szCs w:val="24"/>
                <w:color w:val="auto"/>
              </w:rPr>
            </w:pPr>
          </w:p>
        </w:tc>
        <w:tc>
          <w:tcPr>
            <w:tcW w:w="96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646464"/>
            </w:tcBorders>
          </w:tcPr>
          <w:p>
            <w:pPr>
              <w:spacing w:after="0"/>
              <w:rPr>
                <w:sz w:val="24"/>
                <w:szCs w:val="24"/>
                <w:color w:val="auto"/>
              </w:rPr>
            </w:pPr>
          </w:p>
        </w:tc>
        <w:tc>
          <w:tcPr>
            <w:tcW w:w="92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646464"/>
            </w:tcBorders>
          </w:tcPr>
          <w:p>
            <w:pPr>
              <w:spacing w:after="0"/>
              <w:rPr>
                <w:sz w:val="24"/>
                <w:szCs w:val="24"/>
                <w:color w:val="auto"/>
              </w:rPr>
            </w:pPr>
          </w:p>
        </w:tc>
        <w:tc>
          <w:tcPr>
            <w:tcW w:w="920" w:type="dxa"/>
            <w:vAlign w:val="bottom"/>
            <w:tcBorders>
              <w:top w:val="single" w:sz="8" w:color="646464"/>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646464"/>
            </w:tcBorders>
          </w:tcPr>
          <w:p>
            <w:pPr>
              <w:spacing w:after="0"/>
              <w:rPr>
                <w:sz w:val="24"/>
                <w:szCs w:val="24"/>
                <w:color w:val="auto"/>
              </w:rPr>
            </w:pPr>
          </w:p>
        </w:tc>
        <w:tc>
          <w:tcPr>
            <w:tcW w:w="920" w:type="dxa"/>
            <w:vAlign w:val="bottom"/>
            <w:tcBorders>
              <w:top w:val="single" w:sz="8" w:color="646464"/>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646464"/>
            </w:tcBorders>
          </w:tcPr>
          <w:p>
            <w:pPr>
              <w:spacing w:after="0"/>
              <w:rPr>
                <w:sz w:val="24"/>
                <w:szCs w:val="24"/>
                <w:color w:val="auto"/>
              </w:rPr>
            </w:pPr>
          </w:p>
        </w:tc>
        <w:tc>
          <w:tcPr>
            <w:tcW w:w="740" w:type="dxa"/>
            <w:vAlign w:val="bottom"/>
            <w:tcBorders>
              <w:top w:val="single" w:sz="8" w:color="646464"/>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99,221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135,716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84,194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646464"/>
            </w:tcBorders>
            <w:shd w:val="clear" w:color="auto" w:fill="CCEEFF"/>
          </w:tcPr>
          <w:p>
            <w:pPr>
              <w:spacing w:after="0"/>
              <w:rPr>
                <w:sz w:val="21"/>
                <w:szCs w:val="21"/>
                <w:color w:val="auto"/>
              </w:rPr>
            </w:pPr>
          </w:p>
        </w:tc>
        <w:tc>
          <w:tcPr>
            <w:tcW w:w="98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646464"/>
            </w:tcBorders>
            <w:shd w:val="clear" w:color="auto" w:fill="CCEEFF"/>
          </w:tcPr>
          <w:p>
            <w:pPr>
              <w:spacing w:after="0"/>
              <w:rPr>
                <w:sz w:val="21"/>
                <w:szCs w:val="21"/>
                <w:color w:val="auto"/>
              </w:rPr>
            </w:pPr>
          </w:p>
        </w:tc>
        <w:tc>
          <w:tcPr>
            <w:tcW w:w="960" w:type="dxa"/>
            <w:vAlign w:val="bottom"/>
            <w:tcBorders>
              <w:bottom w:val="single" w:sz="8" w:color="646464"/>
            </w:tcBorders>
            <w:shd w:val="clear" w:color="auto" w:fill="CCEEFF"/>
          </w:tcPr>
          <w:p>
            <w:pPr>
              <w:jc w:val="right"/>
              <w:ind w:right="50"/>
              <w:spacing w:after="0"/>
              <w:rPr>
                <w:sz w:val="20"/>
                <w:szCs w:val="20"/>
                <w:color w:val="auto"/>
              </w:rPr>
            </w:pPr>
            <w:r>
              <w:rPr>
                <w:rFonts w:ascii="Arial" w:cs="Arial" w:eastAsia="Arial" w:hAnsi="Arial"/>
                <w:sz w:val="18"/>
                <w:szCs w:val="18"/>
                <w:color w:val="auto"/>
              </w:rPr>
              <w:t>1,759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646464"/>
            </w:tcBorders>
            <w:shd w:val="clear" w:color="auto" w:fill="CCEEFF"/>
          </w:tcPr>
          <w:p>
            <w:pPr>
              <w:spacing w:after="0"/>
              <w:rPr>
                <w:sz w:val="21"/>
                <w:szCs w:val="21"/>
                <w:color w:val="auto"/>
              </w:rPr>
            </w:pPr>
          </w:p>
        </w:tc>
        <w:tc>
          <w:tcPr>
            <w:tcW w:w="92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646464"/>
            </w:tcBorders>
            <w:shd w:val="clear" w:color="auto" w:fill="CCEEFF"/>
          </w:tcPr>
          <w:p>
            <w:pPr>
              <w:spacing w:after="0"/>
              <w:rPr>
                <w:sz w:val="21"/>
                <w:szCs w:val="21"/>
                <w:color w:val="auto"/>
              </w:rPr>
            </w:pPr>
          </w:p>
        </w:tc>
        <w:tc>
          <w:tcPr>
            <w:tcW w:w="92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646464"/>
            </w:tcBorders>
            <w:shd w:val="clear" w:color="auto" w:fill="CCEEFF"/>
          </w:tcPr>
          <w:p>
            <w:pPr>
              <w:spacing w:after="0"/>
              <w:rPr>
                <w:sz w:val="21"/>
                <w:szCs w:val="21"/>
                <w:color w:val="auto"/>
              </w:rPr>
            </w:pPr>
          </w:p>
        </w:tc>
        <w:tc>
          <w:tcPr>
            <w:tcW w:w="92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646464"/>
            </w:tcBorders>
            <w:shd w:val="clear" w:color="auto" w:fill="CCEEFF"/>
          </w:tcPr>
          <w:p>
            <w:pPr>
              <w:spacing w:after="0"/>
              <w:rPr>
                <w:sz w:val="21"/>
                <w:szCs w:val="21"/>
                <w:color w:val="auto"/>
              </w:rPr>
            </w:pPr>
          </w:p>
        </w:tc>
        <w:tc>
          <w:tcPr>
            <w:tcW w:w="740" w:type="dxa"/>
            <w:vAlign w:val="bottom"/>
            <w:tcBorders>
              <w:bottom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fixed charges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 in pretax income (3)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((1) + (2) -(3) -(4))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125,223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106,838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142,239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211"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211"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232" w:lineRule="auto"/>
        <w:rPr>
          <w:sz w:val="20"/>
          <w:szCs w:val="20"/>
          <w:color w:val="auto"/>
        </w:rPr>
      </w:pPr>
      <w:r>
        <w:rPr>
          <w:rFonts w:ascii="Arial" w:cs="Arial" w:eastAsia="Arial" w:hAnsi="Arial"/>
          <w:sz w:val="18"/>
          <w:szCs w:val="18"/>
          <w:color w:val="auto"/>
        </w:rPr>
        <w:t>Richard S. Lindahl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2018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2018 as filed with the Securities and Exchange Commission on the date hereof (the "Report"), the undersigned, Richard S. Lindahl, Chief Financial Officer of the Company, hereby certifies, pursuant to 18 U.S.C. Section 1350, that:</w:t>
      </w:r>
    </w:p>
    <w:p>
      <w:pPr>
        <w:spacing w:after="0" w:line="208"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0" w:firstLine="8"/>
        <w:spacing w:after="0" w:line="516" w:lineRule="auto"/>
        <w:tabs>
          <w:tab w:leader="none" w:pos="3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232" w:lineRule="auto"/>
        <w:rPr>
          <w:sz w:val="20"/>
          <w:szCs w:val="20"/>
          <w:color w:val="auto"/>
        </w:rPr>
      </w:pPr>
      <w:r>
        <w:rPr>
          <w:rFonts w:ascii="Arial" w:cs="Arial" w:eastAsia="Arial" w:hAnsi="Arial"/>
          <w:sz w:val="18"/>
          <w:szCs w:val="18"/>
          <w:color w:val="auto"/>
        </w:rPr>
        <w:t>Richard S. Lindahl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606"/>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4"/>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lowerRoman"/>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2"/>
    </w:lvl>
  </w:abstractNum>
  <w:abstractNum w:abstractNumId="37">
    <w:nsid w:val="75C6C33A"/>
    <w:multiLevelType w:val="hybridMultilevel"/>
    <w:lvl w:ilvl="0">
      <w:lvlJc w:val="left"/>
      <w:lvlText w:val="%1."/>
      <w:numFmt w:val="upperLetter"/>
      <w:start w:val="2"/>
    </w:lvl>
  </w:abstractNum>
  <w:abstractNum w:abstractNumId="38">
    <w:nsid w:val="12E685FB"/>
    <w:multiLevelType w:val="hybridMultilevel"/>
    <w:lvl w:ilvl="0">
      <w:lvlJc w:val="left"/>
      <w:lvlText w:val="X"/>
      <w:numFmt w:val="bullet"/>
      <w:start w:val="1"/>
    </w:lvl>
  </w:abstractNum>
  <w:abstractNum w:abstractNumId="39">
    <w:nsid w:val="70C6A529"/>
    <w:multiLevelType w:val="hybridMultilevel"/>
    <w:lvl w:ilvl="0">
      <w:lvlJc w:val="left"/>
      <w:lvlText w:val="%1."/>
      <w:numFmt w:val="upperLetter"/>
      <w:start w:val="4"/>
    </w:lvl>
  </w:abstractNum>
  <w:abstractNum w:abstractNumId="40">
    <w:nsid w:val="520EEDD1"/>
    <w:multiLevelType w:val="hybridMultilevel"/>
    <w:lvl w:ilvl="0">
      <w:lvlJc w:val="left"/>
      <w:lvlText w:val="%1."/>
      <w:numFmt w:val="decimal"/>
      <w:start w:val="14"/>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2"/>
    </w:lvl>
  </w:abstractNum>
  <w:abstractNum w:abstractNumId="43">
    <w:nsid w:val="23F9C13C"/>
    <w:multiLevelType w:val="hybridMultilevel"/>
    <w:lvl w:ilvl="0">
      <w:lvlJc w:val="left"/>
      <w:lvlText w:val="%1."/>
      <w:numFmt w:val="upperLetter"/>
      <w:start w:val="2"/>
    </w:lvl>
  </w:abstractNum>
  <w:abstractNum w:abstractNumId="44">
    <w:nsid w:val="649BB77C"/>
    <w:multiLevelType w:val="hybridMultilevel"/>
    <w:lvl w:ilvl="0">
      <w:lvlJc w:val="left"/>
      <w:lvlText w:val="X"/>
      <w:numFmt w:val="bullet"/>
      <w:start w:val="1"/>
    </w:lvl>
  </w:abstractNum>
  <w:abstractNum w:abstractNumId="45">
    <w:nsid w:val="275AC794"/>
    <w:multiLevelType w:val="hybridMultilevel"/>
    <w:lvl w:ilvl="0">
      <w:lvlJc w:val="left"/>
      <w:lvlText w:val="%1."/>
      <w:numFmt w:val="upperLetter"/>
      <w:start w:val="4"/>
    </w:lvl>
  </w:abstractNum>
  <w:abstractNum w:abstractNumId="46">
    <w:nsid w:val="39386575"/>
    <w:multiLevelType w:val="hybridMultilevel"/>
    <w:lvl w:ilvl="0">
      <w:lvlJc w:val="left"/>
      <w:lvlText w:val="%1."/>
      <w:numFmt w:val="decimal"/>
      <w:start w:val="14"/>
    </w:lvl>
    <w:lvl w:ilvl="1">
      <w:lvlJc w:val="left"/>
      <w:lvlText w:val="%2"/>
      <w:numFmt w:val="decimal"/>
      <w:start w:val="1"/>
    </w:lvl>
  </w:abstractNum>
  <w:abstractNum w:abstractNumId="47">
    <w:nsid w:val="1CF10FD8"/>
    <w:multiLevelType w:val="hybridMultilevel"/>
    <w:lvl w:ilvl="0">
      <w:lvlJc w:val="left"/>
      <w:lvlText w:val="%1."/>
      <w:numFmt w:val="decimal"/>
      <w:start w:val="1"/>
    </w:lvl>
    <w:lvl w:ilvl="1">
      <w:lvlJc w:val="left"/>
      <w:lvlText w:val="%2"/>
      <w:numFmt w:val="decimal"/>
      <w:start w:val="1"/>
    </w:lvl>
  </w:abstractNum>
  <w:abstractNum w:abstractNumId="48">
    <w:nsid w:val="180115BE"/>
    <w:multiLevelType w:val="hybridMultilevel"/>
    <w:lvl w:ilvl="0">
      <w:lvlJc w:val="left"/>
      <w:lvlText w:val="%1."/>
      <w:numFmt w:val="decimal"/>
      <w:start w:val="12"/>
    </w:lvl>
  </w:abstractNum>
  <w:abstractNum w:abstractNumId="49">
    <w:nsid w:val="235BA861"/>
    <w:multiLevelType w:val="hybridMultilevel"/>
    <w:lvl w:ilvl="0">
      <w:lvlJc w:val="left"/>
      <w:lvlText w:val="%1."/>
      <w:numFmt w:val="upperLetter"/>
      <w:start w:val="2"/>
    </w:lvl>
  </w:abstractNum>
  <w:abstractNum w:abstractNumId="50">
    <w:nsid w:val="47398C89"/>
    <w:multiLevelType w:val="hybridMultilevel"/>
    <w:lvl w:ilvl="0">
      <w:lvlJc w:val="left"/>
      <w:lvlText w:val="X"/>
      <w:numFmt w:val="bullet"/>
      <w:start w:val="1"/>
    </w:lvl>
  </w:abstractNum>
  <w:abstractNum w:abstractNumId="51">
    <w:nsid w:val="354FE9F9"/>
    <w:multiLevelType w:val="hybridMultilevel"/>
    <w:lvl w:ilvl="0">
      <w:lvlJc w:val="left"/>
      <w:lvlText w:val="%1."/>
      <w:numFmt w:val="upperLetter"/>
      <w:start w:val="4"/>
    </w:lvl>
  </w:abstractNum>
  <w:abstractNum w:abstractNumId="52">
    <w:nsid w:val="15B5AF5C"/>
    <w:multiLevelType w:val="hybridMultilevel"/>
    <w:lvl w:ilvl="0">
      <w:lvlJc w:val="left"/>
      <w:lvlText w:val="%1."/>
      <w:numFmt w:val="decimal"/>
      <w:start w:val="14"/>
    </w:lvl>
    <w:lvl w:ilvl="1">
      <w:lvlJc w:val="left"/>
      <w:lvlText w:val="%2"/>
      <w:numFmt w:val="decimal"/>
      <w:start w:val="1"/>
    </w:lvl>
  </w:abstractNum>
  <w:abstractNum w:abstractNumId="53">
    <w:nsid w:val="741226BB"/>
    <w:multiLevelType w:val="hybridMultilevel"/>
    <w:lvl w:ilvl="0">
      <w:lvlJc w:val="left"/>
      <w:lvlText w:val="%1."/>
      <w:numFmt w:val="decimal"/>
      <w:start w:val="1"/>
    </w:lvl>
    <w:lvl w:ilvl="1">
      <w:lvlJc w:val="left"/>
      <w:lvlText w:val="%2"/>
      <w:numFmt w:val="decimal"/>
      <w:start w:val="1"/>
    </w:lvl>
  </w:abstractNum>
  <w:abstractNum w:abstractNumId="54">
    <w:nsid w:val="D34B6A8"/>
    <w:multiLevelType w:val="hybridMultilevel"/>
    <w:lvl w:ilvl="0">
      <w:lvlJc w:val="left"/>
      <w:lvlText w:val="%1."/>
      <w:numFmt w:val="decimal"/>
      <w:start w:val="12"/>
    </w:lvl>
    <w:lvl w:ilvl="1">
      <w:lvlJc w:val="left"/>
      <w:lvlText w:val="☑"/>
      <w:numFmt w:val="bullet"/>
      <w:start w:val="1"/>
    </w:lvl>
    <w:lvl w:ilvl="2">
      <w:lvlJc w:val="left"/>
      <w:lvlText w:val="%3."/>
      <w:numFmt w:val="upperLetter"/>
      <w:start w:val="2"/>
    </w:lvl>
    <w:lvl w:ilvl="3">
      <w:lvlJc w:val="left"/>
      <w:lvlText w:val="%4."/>
      <w:numFmt w:val="decimal"/>
      <w:start w:val="13"/>
    </w:lvl>
  </w:abstractNum>
  <w:abstractNum w:abstractNumId="55">
    <w:nsid w:val="10233C99"/>
    <w:multiLevelType w:val="hybridMultilevel"/>
    <w:lvl w:ilvl="0">
      <w:lvlJc w:val="left"/>
      <w:lvlText w:val="%1."/>
      <w:numFmt w:val="decimal"/>
      <w:start w:val="14"/>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decimal"/>
      <w:start w:val="5"/>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5"/>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19" Type="http://schemas.openxmlformats.org/officeDocument/2006/relationships/hyperlink" Target="http://www.sec.gov/Archives/edgar/data/1367644/000136764418000027/exhibit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2019-12-28T20:32:32Z</dcterms:created>
  <dcterms:modified xsi:type="dcterms:W3CDTF">2019-12-28T20:32:32Z</dcterms:modified>
</cp:coreProperties>
</file>