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SARAN ATUL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1000"/>
        <w:spacing w:after="0" w:line="305" w:lineRule="auto"/>
        <w:rPr>
          <w:sz w:val="20"/>
          <w:szCs w:val="20"/>
          <w:color w:val="auto"/>
        </w:rPr>
      </w:pPr>
      <w:r>
        <w:rPr>
          <w:rFonts w:ascii="Arial" w:cs="Arial" w:eastAsia="Arial" w:hAnsi="Arial"/>
          <w:sz w:val="17"/>
          <w:szCs w:val="17"/>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20"/>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02/24/2021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80"/>
        <w:spacing w:after="0"/>
        <w:rPr>
          <w:sz w:val="20"/>
          <w:szCs w:val="20"/>
          <w:color w:val="auto"/>
        </w:rPr>
      </w:pPr>
      <w:r>
        <w:rPr>
          <w:rFonts w:ascii="Arial" w:cs="Arial" w:eastAsia="Arial" w:hAnsi="Arial"/>
          <w:sz w:val="16"/>
          <w:szCs w:val="16"/>
          <w:color w:val="0000FF"/>
        </w:rPr>
        <w:t>EVP, Corp Dev, GC &amp; Secretary</w:t>
      </w:r>
    </w:p>
    <w:p>
      <w:pPr>
        <w:spacing w:after="0" w:line="442"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9"/>
          </w:tcPr>
          <w:p>
            <w:pPr>
              <w:jc w:val="center"/>
              <w:ind w:right="25"/>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40" w:type="dxa"/>
            <w:vAlign w:val="bottom"/>
            <w:gridSpan w:val="11"/>
          </w:tcPr>
          <w:p>
            <w:pPr>
              <w:ind w:left="30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GAITHERSBURG MD</w:t>
            </w:r>
          </w:p>
        </w:tc>
        <w:tc>
          <w:tcPr>
            <w:tcW w:w="1140" w:type="dxa"/>
            <w:vAlign w:val="bottom"/>
            <w:vMerge w:val="restart"/>
          </w:tcPr>
          <w:p>
            <w:pPr>
              <w:ind w:left="100"/>
              <w:spacing w:after="0"/>
              <w:rPr>
                <w:sz w:val="20"/>
                <w:szCs w:val="20"/>
                <w:color w:val="auto"/>
              </w:rPr>
            </w:pPr>
            <w:r>
              <w:rPr>
                <w:rFonts w:ascii="Arial" w:cs="Arial" w:eastAsia="Arial" w:hAnsi="Arial"/>
                <w:sz w:val="17"/>
                <w:szCs w:val="17"/>
                <w:color w:val="0000FF"/>
              </w:rPr>
              <w:t>20879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jc w:val="center"/>
              <w:ind w:left="58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89"/>
              <w:spacing w:after="0"/>
              <w:rPr>
                <w:sz w:val="20"/>
                <w:szCs w:val="20"/>
                <w:color w:val="auto"/>
              </w:rPr>
            </w:pPr>
            <w:r>
              <w:rPr>
                <w:rFonts w:ascii="Arial" w:cs="Arial" w:eastAsia="Arial" w:hAnsi="Arial"/>
                <w:sz w:val="17"/>
                <w:szCs w:val="17"/>
                <w:color w:val="0000FF"/>
                <w:w w:val="89"/>
              </w:rPr>
              <w:t>02/24/2021</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3,744</w:t>
            </w:r>
            <w:r>
              <w:rPr>
                <w:rFonts w:ascii="Arial" w:cs="Arial" w:eastAsia="Arial" w:hAnsi="Arial"/>
                <w:sz w:val="21"/>
                <w:szCs w:val="21"/>
                <w:color w:val="008000"/>
                <w:vertAlign w:val="superscript"/>
              </w:rPr>
              <w:t>(1)</w:t>
            </w: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43,466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89"/>
              <w:spacing w:after="0"/>
              <w:rPr>
                <w:sz w:val="20"/>
                <w:szCs w:val="20"/>
                <w:color w:val="auto"/>
              </w:rPr>
            </w:pPr>
            <w:r>
              <w:rPr>
                <w:rFonts w:ascii="Arial" w:cs="Arial" w:eastAsia="Arial" w:hAnsi="Arial"/>
                <w:sz w:val="17"/>
                <w:szCs w:val="17"/>
                <w:color w:val="0000FF"/>
                <w:w w:val="89"/>
              </w:rPr>
              <w:t>02/24/2021</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3,744</w:t>
            </w:r>
            <w:r>
              <w:rPr>
                <w:rFonts w:ascii="Arial" w:cs="Arial" w:eastAsia="Arial" w:hAnsi="Arial"/>
                <w:sz w:val="21"/>
                <w:szCs w:val="21"/>
                <w:color w:val="008000"/>
                <w:vertAlign w:val="superscript"/>
              </w:rPr>
              <w:t>(2)</w:t>
            </w: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47,210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89"/>
              <w:spacing w:after="0"/>
              <w:rPr>
                <w:sz w:val="20"/>
                <w:szCs w:val="20"/>
                <w:color w:val="auto"/>
              </w:rPr>
            </w:pPr>
            <w:r>
              <w:rPr>
                <w:rFonts w:ascii="Arial" w:cs="Arial" w:eastAsia="Arial" w:hAnsi="Arial"/>
                <w:sz w:val="17"/>
                <w:szCs w:val="17"/>
                <w:color w:val="0000FF"/>
                <w:w w:val="89"/>
              </w:rPr>
              <w:t>02/24/2021</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887</w:t>
            </w: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93.49</w:t>
            </w: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46,323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89"/>
              <w:spacing w:after="0"/>
              <w:rPr>
                <w:sz w:val="20"/>
                <w:szCs w:val="20"/>
                <w:color w:val="auto"/>
              </w:rPr>
            </w:pPr>
            <w:r>
              <w:rPr>
                <w:rFonts w:ascii="Arial" w:cs="Arial" w:eastAsia="Arial" w:hAnsi="Arial"/>
                <w:sz w:val="17"/>
                <w:szCs w:val="17"/>
                <w:color w:val="0000FF"/>
                <w:w w:val="89"/>
              </w:rPr>
              <w:t>02/26/2021</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764</w:t>
            </w: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97.15</w:t>
            </w: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45,559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89"/>
              <w:spacing w:after="0"/>
              <w:rPr>
                <w:sz w:val="20"/>
                <w:szCs w:val="20"/>
                <w:color w:val="auto"/>
              </w:rPr>
            </w:pPr>
            <w:r>
              <w:rPr>
                <w:rFonts w:ascii="Arial" w:cs="Arial" w:eastAsia="Arial" w:hAnsi="Arial"/>
                <w:sz w:val="17"/>
                <w:szCs w:val="17"/>
                <w:color w:val="0000FF"/>
                <w:w w:val="89"/>
              </w:rPr>
              <w:t>02/26/2021</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799</w:t>
            </w: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97.15</w:t>
            </w: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44,760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2"/>
          </w:tcPr>
          <w:p>
            <w:pPr>
              <w:jc w:val="center"/>
              <w:ind w:left="56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41"/>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vMerge w:val="restart"/>
          </w:tcPr>
          <w:p>
            <w:pPr>
              <w:spacing w:after="0"/>
              <w:rPr>
                <w:sz w:val="20"/>
                <w:szCs w:val="20"/>
                <w:color w:val="auto"/>
              </w:rPr>
            </w:pPr>
            <w:r>
              <w:rPr>
                <w:rFonts w:ascii="Arial" w:cs="Arial" w:eastAsia="Arial" w:hAnsi="Arial"/>
                <w:sz w:val="17"/>
                <w:szCs w:val="17"/>
                <w:color w:val="0000FF"/>
                <w:w w:val="92"/>
              </w:rPr>
              <w:t>14,973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Options</w:t>
            </w:r>
          </w:p>
        </w:tc>
        <w:tc>
          <w:tcPr>
            <w:tcW w:w="780" w:type="dxa"/>
            <w:vAlign w:val="bottom"/>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93.49</w:t>
            </w:r>
          </w:p>
        </w:tc>
        <w:tc>
          <w:tcPr>
            <w:tcW w:w="1040" w:type="dxa"/>
            <w:vAlign w:val="bottom"/>
          </w:tcPr>
          <w:p>
            <w:pPr>
              <w:ind w:left="260"/>
              <w:spacing w:after="0" w:line="125" w:lineRule="exact"/>
              <w:rPr>
                <w:sz w:val="20"/>
                <w:szCs w:val="20"/>
                <w:color w:val="auto"/>
              </w:rPr>
            </w:pPr>
            <w:r>
              <w:rPr>
                <w:rFonts w:ascii="Arial" w:cs="Arial" w:eastAsia="Arial" w:hAnsi="Arial"/>
                <w:sz w:val="13"/>
                <w:szCs w:val="13"/>
                <w:color w:val="0000FF"/>
              </w:rPr>
              <w:t>02/24/2021</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14,973</w:t>
            </w:r>
          </w:p>
        </w:tc>
        <w:tc>
          <w:tcPr>
            <w:tcW w:w="3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20" w:type="dxa"/>
            <w:vAlign w:val="bottom"/>
            <w:gridSpan w:val="2"/>
          </w:tcPr>
          <w:p>
            <w:pPr>
              <w:ind w:left="60"/>
              <w:spacing w:after="0" w:line="125" w:lineRule="exact"/>
              <w:rPr>
                <w:sz w:val="20"/>
                <w:szCs w:val="20"/>
                <w:color w:val="auto"/>
              </w:rPr>
            </w:pPr>
            <w:r>
              <w:rPr>
                <w:rFonts w:ascii="Arial" w:cs="Arial" w:eastAsia="Arial" w:hAnsi="Arial"/>
                <w:sz w:val="13"/>
                <w:szCs w:val="13"/>
                <w:color w:val="0000FF"/>
                <w:w w:val="98"/>
              </w:rPr>
              <w:t>02/23/2028</w:t>
            </w:r>
          </w:p>
        </w:tc>
        <w:tc>
          <w:tcPr>
            <w:tcW w:w="68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93.49</w:t>
            </w:r>
          </w:p>
        </w:tc>
        <w:tc>
          <w:tcPr>
            <w:tcW w:w="600" w:type="dxa"/>
            <w:vAlign w:val="bottom"/>
          </w:tcPr>
          <w:p>
            <w:pPr>
              <w:ind w:left="240"/>
              <w:spacing w:after="0" w:line="125" w:lineRule="exact"/>
              <w:rPr>
                <w:sz w:val="20"/>
                <w:szCs w:val="20"/>
                <w:color w:val="auto"/>
              </w:rPr>
            </w:pPr>
            <w:r>
              <w:rPr>
                <w:rFonts w:ascii="Arial" w:cs="Arial" w:eastAsia="Arial" w:hAnsi="Arial"/>
                <w:sz w:val="13"/>
                <w:szCs w:val="13"/>
                <w:color w:val="0000FF"/>
                <w:w w:val="85"/>
              </w:rPr>
              <w:t>14,973</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-3987800</wp:posOffset>
            </wp:positionV>
            <wp:extent cx="7033895" cy="4126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412686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2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company's Stock Incentive Plan. These restricted stock units vest in three equal annual installments beginning on the day prior to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32" w:lineRule="exact"/>
        <w:rPr>
          <w:rFonts w:ascii="Arial" w:cs="Arial" w:eastAsia="Arial" w:hAnsi="Arial"/>
          <w:sz w:val="13"/>
          <w:szCs w:val="13"/>
          <w:color w:val="008000"/>
        </w:rPr>
      </w:pPr>
    </w:p>
    <w:p>
      <w:pPr>
        <w:ind w:left="40" w:right="2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performance stock units granted under the Emergent BioSolutions Inc. Stock Incentive Plan. Each PSU represents a right to receive one share of common stock. The PSUs vest upon achievement with respect to adjusted EBITDA margin calculated on a cumulative basis over the three-year period beginning January 1, 2021 and ending December 31, 2023, as certified by the Compensation Committee following the performance period. The amount reported is based on the target performance payout factor, or 100%.</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withheld to pay taxes.</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beginning on the day prior to the anniversary date of the grant.</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Scott Lieberman,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02/26/2021</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Arial" w:cs="Arial" w:eastAsia="Arial" w:hAnsi="Arial"/>
                <w:sz w:val="17"/>
                <w:szCs w:val="17"/>
                <w:color w:val="0000FF"/>
                <w:w w:val="90"/>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91070"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2021-02-26T17:53:48Z</dcterms:created>
  <dcterms:modified xsi:type="dcterms:W3CDTF">2021-02-26T17:53:48Z</dcterms:modified>
</cp:coreProperties>
</file>