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11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149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567"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DeGolyer Donald W</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Emergent BioSolutions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567"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47"/>
              <w:spacing w:after="0"/>
              <w:rPr>
                <w:sz w:val="20"/>
                <w:szCs w:val="20"/>
                <w:color w:val="auto"/>
              </w:rPr>
            </w:pPr>
            <w:r>
              <w:rPr>
                <w:rFonts w:ascii="Times New Roman" w:cs="Times New Roman" w:eastAsia="Times New Roman" w:hAnsi="Times New Roman"/>
                <w:sz w:val="17"/>
                <w:szCs w:val="17"/>
                <w:color w:val="0000FF"/>
              </w:rPr>
              <w:t>20879</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5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25,344</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145,202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14,527</w:t>
            </w:r>
            <w:r>
              <w:rPr>
                <w:rFonts w:ascii="Times New Roman" w:cs="Times New Roman" w:eastAsia="Times New Roman" w:hAnsi="Times New Roman"/>
                <w:sz w:val="21"/>
                <w:szCs w:val="21"/>
                <w:color w:val="008000"/>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8.36</w:t>
            </w:r>
            <w:r>
              <w:rPr>
                <w:rFonts w:ascii="Times New Roman" w:cs="Times New Roman" w:eastAsia="Times New Roman" w:hAnsi="Times New Roman"/>
                <w:sz w:val="21"/>
                <w:szCs w:val="21"/>
                <w:color w:val="008000"/>
                <w:w w:val="89"/>
                <w:vertAlign w:val="superscript"/>
              </w:rPr>
              <w:t>(3)</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130,675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954</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8.96</w:t>
            </w:r>
            <w:r>
              <w:rPr>
                <w:rFonts w:ascii="Times New Roman" w:cs="Times New Roman" w:eastAsia="Times New Roman" w:hAnsi="Times New Roman"/>
                <w:sz w:val="21"/>
                <w:szCs w:val="21"/>
                <w:color w:val="008000"/>
                <w:w w:val="89"/>
                <w:vertAlign w:val="superscript"/>
              </w:rPr>
              <w:t>(4)</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129,721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jc w:val="right"/>
              <w:ind w:right="102"/>
              <w:spacing w:after="0"/>
              <w:rPr>
                <w:sz w:val="20"/>
                <w:szCs w:val="20"/>
                <w:color w:val="auto"/>
              </w:rPr>
            </w:pPr>
            <w:r>
              <w:rPr>
                <w:rFonts w:ascii="Arial" w:cs="Arial" w:eastAsia="Arial" w:hAnsi="Arial"/>
                <w:sz w:val="11"/>
                <w:szCs w:val="11"/>
                <w:b w:val="1"/>
                <w:bCs w:val="1"/>
                <w:color w:val="auto"/>
                <w:w w:val="81"/>
              </w:rPr>
              <w:t>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11,296</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3"/>
                <w:szCs w:val="13"/>
                <w:color w:val="0000FF"/>
              </w:rPr>
              <w:t>04/30/2033</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0000FF"/>
                <w:w w:val="98"/>
              </w:rPr>
              <w:t>11,296</w:t>
            </w:r>
            <w:r>
              <w:rPr>
                <w:rFonts w:ascii="Times New Roman" w:cs="Times New Roman" w:eastAsia="Times New Roman" w:hAnsi="Times New Roman"/>
                <w:sz w:val="21"/>
                <w:szCs w:val="21"/>
                <w:color w:val="008000"/>
                <w:w w:val="98"/>
                <w:vertAlign w:val="superscript"/>
              </w:rPr>
              <w:t>(6)</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11,296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p>
      <w:pPr>
        <w:spacing w:after="0" w:line="27"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Shares were sold pursuant to a Rule 10b5-1 trading plan, dated August 11, 2025, for the purpose of satisfying tax obligations relating to the vesting of RSUs on April 29,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$7.78 to</w:t>
      </w:r>
    </w:p>
    <w:p>
      <w:pPr>
        <w:spacing w:after="0" w:line="5" w:lineRule="exact"/>
        <w:rPr>
          <w:sz w:val="24"/>
          <w:szCs w:val="24"/>
          <w:color w:val="auto"/>
        </w:rPr>
      </w:pPr>
    </w:p>
    <w:p>
      <w:pPr>
        <w:ind w:left="40" w:right="340"/>
        <w:spacing w:after="0" w:line="234" w:lineRule="auto"/>
        <w:rPr>
          <w:sz w:val="20"/>
          <w:szCs w:val="20"/>
          <w:color w:val="auto"/>
        </w:rPr>
      </w:pPr>
      <w:r>
        <w:rPr>
          <w:rFonts w:ascii="Times New Roman" w:cs="Times New Roman" w:eastAsia="Times New Roman" w:hAnsi="Times New Roman"/>
          <w:sz w:val="13"/>
          <w:szCs w:val="13"/>
          <w:color w:val="008000"/>
        </w:rPr>
        <w:t>$8.64,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sz w:val="24"/>
          <w:szCs w:val="24"/>
          <w:color w:val="auto"/>
        </w:rPr>
      </w:pPr>
    </w:p>
    <w:p>
      <w:pPr>
        <w:jc w:val="both"/>
        <w:ind w:left="40" w:right="340"/>
        <w:spacing w:after="0" w:line="238"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$8.80 to $8.99,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options granted was determined by multiplying 25% of the total non-employee director compensation value, and then dividing by the Black-Scholes value of a single option calculated as of the date of the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Richard S. Lindahl,</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3098"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2026-05-04T16:39:55Z</dcterms:created>
  <dcterms:modified xsi:type="dcterms:W3CDTF">2026-05-04T16:39:55Z</dcterms:modified>
</cp:coreProperties>
</file>