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65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654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Kramer Robert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2273 RESEARCH BLVD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03/12/2013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1"/>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560" w:type="dxa"/>
            <w:vAlign w:val="bottom"/>
            <w:gridSpan w:val="7"/>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ROCKVILLE</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MD</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20850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560" w:type="dxa"/>
            <w:vAlign w:val="bottom"/>
            <w:gridSpan w:val="7"/>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60" w:type="dxa"/>
            <w:vAlign w:val="bottom"/>
            <w:gridSpan w:val="8"/>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03/12/2013</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3,940</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80" w:type="dxa"/>
            <w:vAlign w:val="bottom"/>
            <w:tcBorders>
              <w:bottom w:val="single" w:sz="8" w:color="2C2C2C"/>
            </w:tcBorders>
            <w:gridSpan w:val="4"/>
          </w:tcPr>
          <w:p>
            <w:pPr>
              <w:jc w:val="right"/>
              <w:ind w:right="359"/>
              <w:spacing w:after="0"/>
              <w:rPr>
                <w:sz w:val="20"/>
                <w:szCs w:val="20"/>
                <w:color w:val="auto"/>
              </w:rPr>
            </w:pPr>
            <w:r>
              <w:rPr>
                <w:rFonts w:ascii="Arial" w:cs="Arial" w:eastAsia="Arial" w:hAnsi="Arial"/>
                <w:sz w:val="18"/>
                <w:szCs w:val="18"/>
                <w:color w:val="0000FF"/>
              </w:rPr>
              <w:t>29,311</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94"/>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gridSpan w:val="4"/>
          </w:tcPr>
          <w:p>
            <w:pPr>
              <w:jc w:val="right"/>
              <w:ind w:right="319"/>
              <w:spacing w:after="0"/>
              <w:rPr>
                <w:sz w:val="20"/>
                <w:szCs w:val="20"/>
                <w:color w:val="auto"/>
              </w:rPr>
            </w:pPr>
            <w:r>
              <w:rPr>
                <w:rFonts w:ascii="Arial" w:cs="Arial" w:eastAsia="Arial" w:hAnsi="Arial"/>
                <w:sz w:val="18"/>
                <w:szCs w:val="18"/>
                <w:color w:val="0000FF"/>
              </w:rPr>
              <w:t>856,043</w:t>
            </w:r>
          </w:p>
        </w:tc>
        <w:tc>
          <w:tcPr>
            <w:tcW w:w="32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BioPharm,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8"/>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11"/>
          </w:tcPr>
          <w:p>
            <w:pPr>
              <w:jc w:val="center"/>
              <w:ind w:left="5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20" w:type="dxa"/>
            <w:vAlign w:val="bottom"/>
            <w:vMerge w:val="restart"/>
          </w:tcPr>
          <w:p>
            <w:pPr>
              <w:ind w:left="60"/>
              <w:spacing w:after="0"/>
              <w:rPr>
                <w:sz w:val="20"/>
                <w:szCs w:val="20"/>
                <w:color w:val="auto"/>
              </w:rPr>
            </w:pPr>
            <w:r>
              <w:rPr>
                <w:rFonts w:ascii="Arial" w:cs="Arial" w:eastAsia="Arial" w:hAnsi="Arial"/>
                <w:sz w:val="18"/>
                <w:szCs w:val="18"/>
                <w:color w:val="0000FF"/>
                <w:w w:val="97"/>
              </w:rPr>
              <w:t>7,879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14.67</w:t>
            </w: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03/12/2013</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200" w:type="dxa"/>
            <w:vAlign w:val="bottom"/>
          </w:tcPr>
          <w:p>
            <w:pPr>
              <w:spacing w:after="0"/>
              <w:rPr>
                <w:sz w:val="5"/>
                <w:szCs w:val="5"/>
                <w:color w:val="auto"/>
              </w:rPr>
            </w:pP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7,879</w:t>
            </w:r>
          </w:p>
        </w:tc>
        <w:tc>
          <w:tcPr>
            <w:tcW w:w="3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restart"/>
          </w:tcPr>
          <w:p>
            <w:pPr>
              <w:jc w:val="right"/>
              <w:ind w:right="75"/>
              <w:spacing w:after="0" w:line="149" w:lineRule="exact"/>
              <w:rPr>
                <w:sz w:val="20"/>
                <w:szCs w:val="20"/>
                <w:color w:val="auto"/>
              </w:rPr>
            </w:pPr>
            <w:r>
              <w:rPr>
                <w:rFonts w:ascii="Arial" w:cs="Arial" w:eastAsia="Arial" w:hAnsi="Arial"/>
                <w:sz w:val="14"/>
                <w:szCs w:val="14"/>
                <w:color w:val="0000FF"/>
                <w:w w:val="85"/>
              </w:rPr>
              <w:t>03/11/2020</w:t>
            </w: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gridSpan w:val="3"/>
            <w:vMerge w:val="restart"/>
          </w:tcPr>
          <w:p>
            <w:pPr>
              <w:jc w:val="right"/>
              <w:ind w:right="2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ind w:left="280"/>
              <w:spacing w:after="0" w:line="149" w:lineRule="exact"/>
              <w:rPr>
                <w:sz w:val="20"/>
                <w:szCs w:val="20"/>
                <w:color w:val="auto"/>
              </w:rPr>
            </w:pPr>
            <w:r>
              <w:rPr>
                <w:rFonts w:ascii="Arial" w:cs="Arial" w:eastAsia="Arial" w:hAnsi="Arial"/>
                <w:sz w:val="14"/>
                <w:szCs w:val="14"/>
                <w:color w:val="0000FF"/>
              </w:rPr>
              <w:t>7,879</w:t>
            </w:r>
          </w:p>
        </w:tc>
        <w:tc>
          <w:tcPr>
            <w:tcW w:w="5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color w:val="0000FF"/>
              </w:rPr>
              <w:t>Stock</w:t>
            </w:r>
          </w:p>
        </w:tc>
        <w:tc>
          <w:tcPr>
            <w:tcW w:w="520" w:type="dxa"/>
            <w:vAlign w:val="bottom"/>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Kramer's direct holdings include restricted stock units granted under the Second Amended and Restated Emergent BioSolutions Inc. 2006 Stock Incentive Plan and shares distributed from BioPharm, L.L.C. to Mr. Kramer through RKRAMER L.L.C.</w:t>
      </w:r>
    </w:p>
    <w:p>
      <w:pPr>
        <w:spacing w:after="0" w:line="30" w:lineRule="exact"/>
        <w:rPr>
          <w:rFonts w:ascii="Arial" w:cs="Arial" w:eastAsia="Arial" w:hAnsi="Arial"/>
          <w:sz w:val="14"/>
          <w:szCs w:val="14"/>
          <w:color w:val="008000"/>
        </w:rPr>
      </w:pPr>
    </w:p>
    <w:p>
      <w:pPr>
        <w:ind w:left="40" w:right="2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restricted stock units vest in three equal annual installments beginning on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Vests in three equal installments on March 11, 2014, March 11, 2015 and March 11, 2016.</w:t>
      </w:r>
    </w:p>
    <w:p>
      <w:pPr>
        <w:spacing w:after="0" w:line="41" w:lineRule="exact"/>
        <w:rPr>
          <w:rFonts w:ascii="Arial" w:cs="Arial" w:eastAsia="Arial" w:hAnsi="Arial"/>
          <w:sz w:val="14"/>
          <w:szCs w:val="14"/>
          <w:color w:val="008000"/>
        </w:rPr>
      </w:pPr>
    </w:p>
    <w:p>
      <w:pPr>
        <w:ind w:left="40" w:right="3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Kramer is the general manager of RKRAMER, L.L.C., which holds 21.01% of the equity interest in BioPharm, L.L.C. BioPharm, L.L.C. is the direct owner of 856,043 shares of Common Stock. Mr. Kramer disclaims beneficial ownership of these shares for purposes of Section 16, except to the extent of his pecuniary interest in 181,746 units in BioPharm L.L.C. held directly through RKRAMER L.L.C.</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/s/Jay G. Reilly,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03/12/2013</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956"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2019-12-17T05:41:00Z</dcterms:created>
  <dcterms:modified xsi:type="dcterms:W3CDTF">2019-12-17T05:41:00Z</dcterms:modified>
</cp:coreProperties>
</file>