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87"/>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87"/>
        <w:spacing w:after="0"/>
        <w:rPr>
          <w:sz w:val="20"/>
          <w:szCs w:val="20"/>
          <w:color w:val="auto"/>
        </w:rPr>
      </w:pPr>
      <w:r>
        <w:rPr>
          <w:rFonts w:ascii="Arial" w:cs="Arial" w:eastAsia="Arial" w:hAnsi="Arial"/>
          <w:sz w:val="12"/>
          <w:szCs w:val="12"/>
          <w:b w:val="1"/>
          <w:bCs w:val="1"/>
          <w:color w:val="auto"/>
        </w:rPr>
        <w:t>WASHINGTON, D.C. 20549</w:t>
      </w:r>
    </w:p>
    <w:p>
      <w:pPr>
        <w:spacing w:after="0" w:line="131" w:lineRule="exact"/>
        <w:rPr>
          <w:sz w:val="24"/>
          <w:szCs w:val="24"/>
          <w:color w:val="auto"/>
        </w:rPr>
      </w:pPr>
    </w:p>
    <w:p>
      <w:pPr>
        <w:jc w:val="center"/>
        <w:ind w:right="-87"/>
        <w:spacing w:after="0"/>
        <w:rPr>
          <w:sz w:val="20"/>
          <w:szCs w:val="20"/>
          <w:color w:val="auto"/>
        </w:rPr>
      </w:pPr>
      <w:r>
        <w:rPr>
          <w:rFonts w:ascii="Arial" w:cs="Arial" w:eastAsia="Arial" w:hAnsi="Arial"/>
          <w:sz w:val="22"/>
          <w:szCs w:val="22"/>
          <w:b w:val="1"/>
          <w:bCs w:val="1"/>
          <w:color w:val="auto"/>
        </w:rPr>
        <w:t>FORM 8-K</w:t>
      </w:r>
    </w:p>
    <w:p>
      <w:pPr>
        <w:spacing w:after="0" w:line="152" w:lineRule="exact"/>
        <w:rPr>
          <w:sz w:val="24"/>
          <w:szCs w:val="24"/>
          <w:color w:val="auto"/>
        </w:rPr>
      </w:pPr>
    </w:p>
    <w:p>
      <w:pPr>
        <w:jc w:val="center"/>
        <w:ind w:right="-87"/>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jc w:val="center"/>
        <w:ind w:right="-87"/>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166" w:lineRule="exact"/>
        <w:rPr>
          <w:sz w:val="24"/>
          <w:szCs w:val="24"/>
          <w:color w:val="auto"/>
        </w:rPr>
      </w:pPr>
    </w:p>
    <w:p>
      <w:pPr>
        <w:jc w:val="center"/>
        <w:ind w:right="-87"/>
        <w:spacing w:after="0"/>
        <w:rPr>
          <w:sz w:val="20"/>
          <w:szCs w:val="20"/>
          <w:color w:val="auto"/>
        </w:rPr>
      </w:pPr>
      <w:r>
        <w:rPr>
          <w:rFonts w:ascii="Arial" w:cs="Arial" w:eastAsia="Arial" w:hAnsi="Arial"/>
          <w:sz w:val="12"/>
          <w:szCs w:val="12"/>
          <w:color w:val="auto"/>
        </w:rPr>
        <w:t>Date of Report (Date of earliest event reported): January 13, 2020</w:t>
      </w:r>
    </w:p>
    <w:p>
      <w:pPr>
        <w:spacing w:after="0" w:line="141" w:lineRule="exact"/>
        <w:rPr>
          <w:sz w:val="24"/>
          <w:szCs w:val="24"/>
          <w:color w:val="auto"/>
        </w:rPr>
      </w:pPr>
    </w:p>
    <w:p>
      <w:pPr>
        <w:jc w:val="center"/>
        <w:ind w:right="-87"/>
        <w:spacing w:after="0"/>
        <w:rPr>
          <w:sz w:val="20"/>
          <w:szCs w:val="20"/>
          <w:color w:val="auto"/>
        </w:rPr>
      </w:pPr>
      <w:r>
        <w:rPr>
          <w:rFonts w:ascii="Arial" w:cs="Arial" w:eastAsia="Arial" w:hAnsi="Arial"/>
          <w:sz w:val="22"/>
          <w:szCs w:val="22"/>
          <w:b w:val="1"/>
          <w:bCs w:val="1"/>
          <w:color w:val="auto"/>
        </w:rPr>
        <w:t>EMERGENT BIOSOLUTIONS INC.</w:t>
      </w:r>
    </w:p>
    <w:p>
      <w:pPr>
        <w:spacing w:after="0" w:line="19" w:lineRule="exact"/>
        <w:rPr>
          <w:sz w:val="24"/>
          <w:szCs w:val="24"/>
          <w:color w:val="auto"/>
        </w:rPr>
      </w:pPr>
    </w:p>
    <w:p>
      <w:pPr>
        <w:jc w:val="center"/>
        <w:ind w:right="-87"/>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388"/>
          </w:cols>
          <w:pgMar w:left="212" w:top="481" w:right="299" w:bottom="1440" w:gutter="0" w:footer="0" w:header="0"/>
        </w:sectPr>
      </w:pPr>
    </w:p>
    <w:p>
      <w:pPr>
        <w:spacing w:after="0" w:line="244" w:lineRule="exact"/>
        <w:rPr>
          <w:sz w:val="24"/>
          <w:szCs w:val="24"/>
          <w:color w:val="auto"/>
        </w:rPr>
      </w:pPr>
    </w:p>
    <w:p>
      <w:pPr>
        <w:ind w:left="192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2300"/>
        <w:spacing w:after="0"/>
        <w:rPr>
          <w:sz w:val="20"/>
          <w:szCs w:val="20"/>
          <w:color w:val="auto"/>
        </w:rPr>
      </w:pPr>
      <w:r>
        <w:rPr>
          <w:rFonts w:ascii="Arial" w:cs="Arial" w:eastAsia="Arial" w:hAnsi="Arial"/>
          <w:sz w:val="10"/>
          <w:szCs w:val="10"/>
          <w:b w:val="1"/>
          <w:bCs w:val="1"/>
          <w:color w:val="auto"/>
        </w:rPr>
        <w:t>001-33137</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14-1902018</w:t>
      </w:r>
    </w:p>
    <w:p>
      <w:pPr>
        <w:spacing w:after="0" w:line="69" w:lineRule="exact"/>
        <w:rPr>
          <w:sz w:val="24"/>
          <w:szCs w:val="24"/>
          <w:color w:val="auto"/>
        </w:rPr>
      </w:pPr>
    </w:p>
    <w:p>
      <w:pPr>
        <w:sectPr>
          <w:pgSz w:w="11900" w:h="16838" w:orient="portrait"/>
          <w:cols w:equalWidth="0" w:num="3">
            <w:col w:w="4768" w:space="720"/>
            <w:col w:w="2820" w:space="720"/>
            <w:col w:w="2360"/>
          </w:cols>
          <w:pgMar w:left="212" w:top="481" w:right="299" w:bottom="1440" w:gutter="0" w:footer="0" w:header="0"/>
          <w:type w:val="continuous"/>
        </w:sectPr>
      </w:pPr>
    </w:p>
    <w:p>
      <w:pPr>
        <w:jc w:val="center"/>
        <w:ind w:right="12"/>
        <w:spacing w:after="0"/>
        <w:rPr>
          <w:sz w:val="20"/>
          <w:szCs w:val="20"/>
          <w:color w:val="auto"/>
        </w:rPr>
      </w:pPr>
      <w:r>
        <w:rPr>
          <w:rFonts w:ascii="Arial" w:cs="Arial" w:eastAsia="Arial" w:hAnsi="Arial"/>
          <w:sz w:val="11"/>
          <w:szCs w:val="11"/>
          <w:color w:val="auto"/>
        </w:rPr>
        <w:t>(State or other jurisdiction</w:t>
      </w:r>
    </w:p>
    <w:p>
      <w:pPr>
        <w:spacing w:after="0" w:line="54"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of incorporation)</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jc w:val="center"/>
        <w:ind w:right="1620"/>
        <w:spacing w:after="0"/>
        <w:rPr>
          <w:sz w:val="20"/>
          <w:szCs w:val="20"/>
          <w:color w:val="auto"/>
        </w:rPr>
      </w:pPr>
      <w:r>
        <w:rPr>
          <w:rFonts w:ascii="Arial" w:cs="Arial" w:eastAsia="Arial" w:hAnsi="Arial"/>
          <w:sz w:val="12"/>
          <w:szCs w:val="12"/>
          <w:color w:val="auto"/>
        </w:rPr>
        <w:t>(IRS Employer</w:t>
      </w:r>
    </w:p>
    <w:p>
      <w:pPr>
        <w:spacing w:after="0" w:line="42" w:lineRule="exact"/>
        <w:rPr>
          <w:sz w:val="24"/>
          <w:szCs w:val="24"/>
          <w:color w:val="auto"/>
        </w:rPr>
      </w:pPr>
    </w:p>
    <w:p>
      <w:pPr>
        <w:jc w:val="center"/>
        <w:ind w:right="1620"/>
        <w:spacing w:after="0"/>
        <w:rPr>
          <w:sz w:val="20"/>
          <w:szCs w:val="20"/>
          <w:color w:val="auto"/>
        </w:rPr>
      </w:pPr>
      <w:r>
        <w:rPr>
          <w:rFonts w:ascii="Arial" w:cs="Arial" w:eastAsia="Arial" w:hAnsi="Arial"/>
          <w:sz w:val="11"/>
          <w:szCs w:val="11"/>
          <w:color w:val="auto"/>
        </w:rPr>
        <w:t>Identification No.)</w:t>
      </w:r>
    </w:p>
    <w:p>
      <w:pPr>
        <w:spacing w:after="0" w:line="35" w:lineRule="exact"/>
        <w:rPr>
          <w:sz w:val="24"/>
          <w:szCs w:val="24"/>
          <w:color w:val="auto"/>
        </w:rPr>
      </w:pPr>
    </w:p>
    <w:p>
      <w:pPr>
        <w:sectPr>
          <w:pgSz w:w="11900" w:h="16838" w:orient="portrait"/>
          <w:cols w:equalWidth="0" w:num="3">
            <w:col w:w="4368" w:space="720"/>
            <w:col w:w="3060" w:space="720"/>
            <w:col w:w="2520"/>
          </w:cols>
          <w:pgMar w:left="212" w:top="481" w:right="299" w:bottom="1440" w:gutter="0" w:footer="0" w:header="0"/>
          <w:type w:val="continuous"/>
        </w:sectPr>
      </w:pPr>
    </w:p>
    <w:p>
      <w:pPr>
        <w:ind w:left="4728"/>
        <w:spacing w:after="0"/>
        <w:rPr>
          <w:sz w:val="20"/>
          <w:szCs w:val="20"/>
          <w:color w:val="auto"/>
        </w:rPr>
      </w:pPr>
      <w:r>
        <w:rPr>
          <w:rFonts w:ascii="Arial" w:cs="Arial" w:eastAsia="Arial" w:hAnsi="Arial"/>
          <w:sz w:val="14"/>
          <w:szCs w:val="14"/>
          <w:b w:val="1"/>
          <w:bCs w:val="1"/>
          <w:color w:val="auto"/>
        </w:rPr>
        <w:t>400 Professional Drive, Suite 400,</w:t>
      </w:r>
    </w:p>
    <w:p>
      <w:pPr>
        <w:spacing w:after="0" w:line="25" w:lineRule="exact"/>
        <w:rPr>
          <w:sz w:val="24"/>
          <w:szCs w:val="24"/>
          <w:color w:val="auto"/>
        </w:rPr>
      </w:pPr>
    </w:p>
    <w:p>
      <w:pPr>
        <w:ind w:left="4788"/>
        <w:spacing w:after="0"/>
        <w:rPr>
          <w:sz w:val="20"/>
          <w:szCs w:val="20"/>
          <w:color w:val="auto"/>
        </w:rPr>
      </w:pPr>
      <w:r>
        <w:rPr>
          <w:rFonts w:ascii="Arial" w:cs="Arial" w:eastAsia="Arial" w:hAnsi="Arial"/>
          <w:sz w:val="14"/>
          <w:szCs w:val="14"/>
          <w:b w:val="1"/>
          <w:bCs w:val="1"/>
          <w:color w:val="auto"/>
        </w:rPr>
        <w:t>Gaithersburg, Maryland 20879</w:t>
      </w:r>
    </w:p>
    <w:p>
      <w:pPr>
        <w:spacing w:after="0" w:line="58" w:lineRule="exact"/>
        <w:rPr>
          <w:sz w:val="24"/>
          <w:szCs w:val="24"/>
          <w:color w:val="auto"/>
        </w:rPr>
      </w:pPr>
    </w:p>
    <w:p>
      <w:pPr>
        <w:jc w:val="center"/>
        <w:ind w:right="-87"/>
        <w:spacing w:after="0"/>
        <w:rPr>
          <w:sz w:val="20"/>
          <w:szCs w:val="20"/>
          <w:color w:val="auto"/>
        </w:rPr>
      </w:pPr>
      <w:r>
        <w:rPr>
          <w:rFonts w:ascii="Arial" w:cs="Arial" w:eastAsia="Arial" w:hAnsi="Arial"/>
          <w:sz w:val="11"/>
          <w:szCs w:val="11"/>
          <w:color w:val="auto"/>
        </w:rPr>
        <w:t>(Address of principal executive offices, including zip code)</w:t>
      </w:r>
    </w:p>
    <w:p>
      <w:pPr>
        <w:spacing w:after="0" w:line="158" w:lineRule="exact"/>
        <w:rPr>
          <w:sz w:val="24"/>
          <w:szCs w:val="24"/>
          <w:color w:val="auto"/>
        </w:rPr>
      </w:pPr>
    </w:p>
    <w:p>
      <w:pPr>
        <w:jc w:val="center"/>
        <w:ind w:right="-87"/>
        <w:spacing w:after="0"/>
        <w:rPr>
          <w:sz w:val="20"/>
          <w:szCs w:val="20"/>
          <w:color w:val="auto"/>
        </w:rPr>
      </w:pPr>
      <w:r>
        <w:rPr>
          <w:rFonts w:ascii="Arial" w:cs="Arial" w:eastAsia="Arial" w:hAnsi="Arial"/>
          <w:sz w:val="12"/>
          <w:szCs w:val="12"/>
          <w:b w:val="1"/>
          <w:bCs w:val="1"/>
          <w:color w:val="auto"/>
        </w:rPr>
        <w:t>(240) 631-3200</w:t>
      </w:r>
    </w:p>
    <w:p>
      <w:pPr>
        <w:spacing w:after="0" w:line="19" w:lineRule="exact"/>
        <w:rPr>
          <w:sz w:val="24"/>
          <w:szCs w:val="24"/>
          <w:color w:val="auto"/>
        </w:rPr>
      </w:pPr>
    </w:p>
    <w:p>
      <w:pPr>
        <w:jc w:val="center"/>
        <w:ind w:right="-87"/>
        <w:spacing w:after="0"/>
        <w:rPr>
          <w:sz w:val="20"/>
          <w:szCs w:val="20"/>
          <w:color w:val="auto"/>
        </w:rPr>
      </w:pPr>
      <w:r>
        <w:rPr>
          <w:rFonts w:ascii="Arial" w:cs="Arial" w:eastAsia="Arial" w:hAnsi="Arial"/>
          <w:sz w:val="12"/>
          <w:szCs w:val="12"/>
          <w:color w:val="auto"/>
        </w:rPr>
        <w:t>(Registrant’s telephone number, including area code)</w:t>
      </w:r>
    </w:p>
    <w:p>
      <w:pPr>
        <w:sectPr>
          <w:pgSz w:w="11900" w:h="16838" w:orient="portrait"/>
          <w:cols w:equalWidth="0" w:num="1">
            <w:col w:w="11388"/>
          </w:cols>
          <w:pgMar w:left="212" w:top="481" w:right="299" w:bottom="1440" w:gutter="0" w:footer="0" w:header="0"/>
          <w:type w:val="continuous"/>
        </w:sectPr>
      </w:pPr>
    </w:p>
    <w:p>
      <w:pPr>
        <w:spacing w:after="0" w:line="137"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41"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94" w:lineRule="exact"/>
        <w:rPr>
          <w:sz w:val="24"/>
          <w:szCs w:val="24"/>
          <w:color w:val="auto"/>
        </w:rPr>
      </w:pPr>
    </w:p>
    <w:p>
      <w:pPr>
        <w:ind w:left="8" w:right="24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
        <w:spacing w:after="0" w:line="138" w:lineRule="exact"/>
        <w:tabs>
          <w:tab w:leader="none" w:pos="1448"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3"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4" w:lineRule="exact"/>
        <w:rPr>
          <w:sz w:val="24"/>
          <w:szCs w:val="24"/>
          <w:color w:val="auto"/>
        </w:rPr>
      </w:pPr>
    </w:p>
    <w:p>
      <w:pPr>
        <w:ind w:left="8"/>
        <w:spacing w:after="0"/>
        <w:rPr>
          <w:sz w:val="20"/>
          <w:szCs w:val="20"/>
          <w:color w:val="auto"/>
        </w:rPr>
      </w:pPr>
      <w:r>
        <w:rPr>
          <w:rFonts w:ascii="Arial" w:cs="Arial" w:eastAsia="Arial" w:hAnsi="Arial"/>
          <w:sz w:val="12"/>
          <w:szCs w:val="12"/>
          <w:color w:val="auto"/>
        </w:rPr>
        <w:t>Securities registered pursuant to Section 12(b) of the Act:</w:t>
      </w:r>
    </w:p>
    <w:p>
      <w:pPr>
        <w:spacing w:after="0" w:line="229" w:lineRule="exact"/>
        <w:rPr>
          <w:sz w:val="24"/>
          <w:szCs w:val="24"/>
          <w:color w:val="auto"/>
        </w:rPr>
      </w:pPr>
    </w:p>
    <w:tbl>
      <w:tblPr>
        <w:tblLayout w:type="fixed"/>
        <w:tblInd w:w="258" w:type="dxa"/>
        <w:tblCellMar>
          <w:top w:w="0" w:type="dxa"/>
          <w:left w:w="0" w:type="dxa"/>
          <w:bottom w:w="0" w:type="dxa"/>
          <w:right w:w="0" w:type="dxa"/>
        </w:tblCellMar>
      </w:tblPr>
      <w:tr>
        <w:trPr>
          <w:trHeight w:val="180"/>
        </w:trPr>
        <w:tc>
          <w:tcPr>
            <w:tcW w:w="45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Title of each class</w:t>
            </w:r>
          </w:p>
        </w:tc>
        <w:tc>
          <w:tcPr>
            <w:tcW w:w="23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Trading Symbol(s)</w:t>
            </w:r>
          </w:p>
        </w:tc>
        <w:tc>
          <w:tcPr>
            <w:tcW w:w="41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Name of each exchange on which registered</w:t>
            </w:r>
          </w:p>
        </w:tc>
      </w:tr>
      <w:tr>
        <w:trPr>
          <w:trHeight w:val="169"/>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Common Stock, Par Value $0.001 per share</w:t>
            </w: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EBS</w:t>
            </w:r>
          </w:p>
        </w:tc>
        <w:tc>
          <w:tcPr>
            <w:tcW w:w="4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New York Stock Exchange</w:t>
            </w:r>
          </w:p>
        </w:tc>
      </w:tr>
    </w:tbl>
    <w:p>
      <w:pPr>
        <w:sectPr>
          <w:pgSz w:w="11900" w:h="16838" w:orient="portrait"/>
          <w:cols w:equalWidth="0" w:num="1">
            <w:col w:w="11388"/>
          </w:cols>
          <w:pgMar w:left="212" w:top="481"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r>
        <w:rPr>
          <w:rFonts w:ascii="Arial" w:cs="Arial" w:eastAsia="Arial" w:hAnsi="Arial"/>
          <w:sz w:val="12"/>
          <w:szCs w:val="12"/>
          <w:color w:val="auto"/>
        </w:rPr>
        <w:t>.</w:t>
      </w:r>
    </w:p>
    <w:p>
      <w:pPr>
        <w:spacing w:after="0" w:line="26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January 13, 2020, Emergent BioSolutions Inc. announced preliminary unaudited financial results for 2019 and guidance for 2020. The full text of the press release issued in connection with the announcement is furnished as Exhibit 99.1 to this Current Report on Form 8-K. In addition, the sections entitled “Who we are today,” “Consistent diversified revenue growth…,” “…Driving strong profitability,” “2019 financial goals,” “Reconciliation of Net Income to Adjusted Net Income” and “Reconciliation of Net Income to EBITDA and Adjusted EBITDA” of the corporate slide deck furnished as Exhibit 99.2 are incorporated herein by reference.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89" w:lineRule="exact"/>
        <w:rPr>
          <w:sz w:val="20"/>
          <w:szCs w:val="20"/>
          <w:color w:val="auto"/>
        </w:rPr>
      </w:pPr>
    </w:p>
    <w:p>
      <w:pPr>
        <w:jc w:val="both"/>
        <w:ind w:firstLine="468"/>
        <w:spacing w:after="0" w:line="271" w:lineRule="auto"/>
        <w:rPr>
          <w:sz w:val="20"/>
          <w:szCs w:val="20"/>
          <w:color w:val="auto"/>
        </w:rPr>
      </w:pPr>
      <w:r>
        <w:rPr>
          <w:rFonts w:ascii="Arial" w:cs="Arial" w:eastAsia="Arial" w:hAnsi="Arial"/>
          <w:sz w:val="13"/>
          <w:szCs w:val="13"/>
          <w:color w:val="auto"/>
        </w:rPr>
        <w:t>During the week of January 13, 2020, representatives of the company will be attending meetings with investors, analysts and others at the J.P. Morgan Healthcare Conference in San Francisco, California and these company representatives will present the slides attached as Exhibit 99.2 to this Current Report on Form 8-K.</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00" w:type="dxa"/>
            <w:vAlign w:val="bottom"/>
            <w:gridSpan w:val="3"/>
          </w:tcPr>
          <w:p>
            <w:pPr>
              <w:spacing w:after="0"/>
              <w:rPr>
                <w:sz w:val="20"/>
                <w:szCs w:val="20"/>
                <w:color w:val="auto"/>
              </w:rPr>
            </w:pPr>
            <w:r>
              <w:rPr>
                <w:rFonts w:ascii="Arial" w:cs="Arial" w:eastAsia="Arial" w:hAnsi="Arial"/>
                <w:sz w:val="12"/>
                <w:szCs w:val="12"/>
                <w:b w:val="1"/>
                <w:bCs w:val="1"/>
                <w:color w:val="auto"/>
                <w:w w:val="98"/>
              </w:rPr>
              <w:t>Item 9.01 Financial Statements and Exhibits</w:t>
            </w:r>
            <w:r>
              <w:rPr>
                <w:rFonts w:ascii="Arial" w:cs="Arial" w:eastAsia="Arial" w:hAnsi="Arial"/>
                <w:sz w:val="12"/>
                <w:szCs w:val="12"/>
                <w:color w:val="auto"/>
                <w:w w:val="98"/>
              </w:rPr>
              <w:t>.</w:t>
            </w:r>
          </w:p>
        </w:tc>
        <w:tc>
          <w:tcPr>
            <w:tcW w:w="1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432"/>
        </w:trPr>
        <w:tc>
          <w:tcPr>
            <w:tcW w:w="2500" w:type="dxa"/>
            <w:vAlign w:val="bottom"/>
            <w:gridSpan w:val="3"/>
          </w:tcPr>
          <w:p>
            <w:pPr>
              <w:spacing w:after="0"/>
              <w:rPr>
                <w:sz w:val="20"/>
                <w:szCs w:val="20"/>
                <w:color w:val="auto"/>
              </w:rPr>
            </w:pPr>
            <w:r>
              <w:rPr>
                <w:rFonts w:ascii="Arial" w:cs="Arial" w:eastAsia="Arial" w:hAnsi="Arial"/>
                <w:sz w:val="12"/>
                <w:szCs w:val="12"/>
                <w:color w:val="auto"/>
              </w:rPr>
              <w:t>(d)  Exhibits.</w:t>
            </w: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97"/>
        </w:trPr>
        <w:tc>
          <w:tcPr>
            <w:tcW w:w="500" w:type="dxa"/>
            <w:vAlign w:val="bottom"/>
          </w:tcPr>
          <w:p>
            <w:pPr>
              <w:spacing w:after="0"/>
              <w:rPr>
                <w:sz w:val="24"/>
                <w:szCs w:val="24"/>
                <w:color w:val="auto"/>
              </w:rPr>
            </w:pPr>
          </w:p>
        </w:tc>
        <w:tc>
          <w:tcPr>
            <w:tcW w:w="1680" w:type="dxa"/>
            <w:vAlign w:val="bottom"/>
            <w:tcBorders>
              <w:bottom w:val="single" w:sz="8" w:color="auto"/>
            </w:tcBorders>
          </w:tcPr>
          <w:p>
            <w:pPr>
              <w:jc w:val="right"/>
              <w:ind w:right="1020"/>
              <w:spacing w:after="0"/>
              <w:rPr>
                <w:sz w:val="20"/>
                <w:szCs w:val="20"/>
                <w:color w:val="auto"/>
              </w:rPr>
            </w:pPr>
            <w:r>
              <w:rPr>
                <w:rFonts w:ascii="Arial" w:cs="Arial" w:eastAsia="Arial" w:hAnsi="Arial"/>
                <w:sz w:val="12"/>
                <w:szCs w:val="12"/>
                <w:b w:val="1"/>
                <w:bCs w:val="1"/>
                <w:color w:val="auto"/>
                <w:w w:val="92"/>
              </w:rPr>
              <w:t>Exhibit No.</w:t>
            </w: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ind w:left="1740"/>
              <w:spacing w:after="0"/>
              <w:rPr>
                <w:sz w:val="20"/>
                <w:szCs w:val="20"/>
                <w:color w:val="auto"/>
              </w:rPr>
            </w:pPr>
            <w:r>
              <w:rPr>
                <w:rFonts w:ascii="Arial" w:cs="Arial" w:eastAsia="Arial" w:hAnsi="Arial"/>
                <w:sz w:val="12"/>
                <w:szCs w:val="12"/>
                <w:b w:val="1"/>
                <w:bCs w:val="1"/>
                <w:color w:val="auto"/>
                <w:w w:val="84"/>
              </w:rPr>
              <w:t>Description</w:t>
            </w:r>
          </w:p>
        </w:tc>
      </w:tr>
      <w:tr>
        <w:trPr>
          <w:trHeight w:val="133"/>
        </w:trPr>
        <w:tc>
          <w:tcPr>
            <w:tcW w:w="2180" w:type="dxa"/>
            <w:vAlign w:val="bottom"/>
            <w:gridSpan w:val="2"/>
          </w:tcPr>
          <w:p>
            <w:pPr>
              <w:jc w:val="right"/>
              <w:ind w:right="680"/>
              <w:spacing w:after="0" w:line="133" w:lineRule="exact"/>
              <w:rPr>
                <w:sz w:val="20"/>
                <w:szCs w:val="20"/>
                <w:color w:val="auto"/>
              </w:rPr>
            </w:pPr>
            <w:r>
              <w:rPr>
                <w:rFonts w:ascii="Arial" w:cs="Arial" w:eastAsia="Arial" w:hAnsi="Arial"/>
                <w:sz w:val="12"/>
                <w:szCs w:val="12"/>
                <w:color w:val="auto"/>
              </w:rPr>
              <w:t>99.1</w:t>
            </w:r>
          </w:p>
        </w:tc>
        <w:tc>
          <w:tcPr>
            <w:tcW w:w="320" w:type="dxa"/>
            <w:vAlign w:val="bottom"/>
          </w:tcPr>
          <w:p>
            <w:pPr>
              <w:spacing w:after="0"/>
              <w:rPr>
                <w:sz w:val="11"/>
                <w:szCs w:val="11"/>
                <w:color w:val="auto"/>
              </w:rPr>
            </w:pPr>
          </w:p>
        </w:tc>
        <w:tc>
          <w:tcPr>
            <w:tcW w:w="4520" w:type="dxa"/>
            <w:vAlign w:val="bottom"/>
            <w:gridSpan w:val="3"/>
          </w:tcPr>
          <w:p>
            <w:pPr>
              <w:spacing w:after="0" w:line="133" w:lineRule="exact"/>
              <w:rPr>
                <w:rFonts w:ascii="Arial" w:cs="Arial" w:eastAsia="Arial" w:hAnsi="Arial"/>
                <w:sz w:val="12"/>
                <w:szCs w:val="12"/>
                <w:color w:val="0000FF"/>
              </w:rPr>
            </w:pPr>
            <w:hyperlink w:anchor="page3">
              <w:r>
                <w:rPr>
                  <w:rFonts w:ascii="Arial" w:cs="Arial" w:eastAsia="Arial" w:hAnsi="Arial"/>
                  <w:sz w:val="12"/>
                  <w:szCs w:val="12"/>
                  <w:color w:val="0000FF"/>
                </w:rPr>
                <w:t>Press release, dated January 13, 2020.</w:t>
              </w:r>
            </w:hyperlink>
          </w:p>
        </w:tc>
      </w:tr>
      <w:tr>
        <w:trPr>
          <w:trHeight w:val="20"/>
        </w:trPr>
        <w:tc>
          <w:tcPr>
            <w:tcW w:w="2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60"/>
        </w:trPr>
        <w:tc>
          <w:tcPr>
            <w:tcW w:w="2180" w:type="dxa"/>
            <w:vAlign w:val="bottom"/>
            <w:gridSpan w:val="2"/>
          </w:tcPr>
          <w:p>
            <w:pPr>
              <w:jc w:val="right"/>
              <w:ind w:right="680"/>
              <w:spacing w:after="0"/>
              <w:rPr>
                <w:sz w:val="20"/>
                <w:szCs w:val="20"/>
                <w:color w:val="auto"/>
              </w:rPr>
            </w:pPr>
            <w:r>
              <w:rPr>
                <w:rFonts w:ascii="Arial" w:cs="Arial" w:eastAsia="Arial" w:hAnsi="Arial"/>
                <w:sz w:val="12"/>
                <w:szCs w:val="12"/>
                <w:color w:val="auto"/>
              </w:rPr>
              <w:t>99.2</w:t>
            </w:r>
          </w:p>
        </w:tc>
        <w:tc>
          <w:tcPr>
            <w:tcW w:w="320" w:type="dxa"/>
            <w:vAlign w:val="bottom"/>
          </w:tcPr>
          <w:p>
            <w:pPr>
              <w:spacing w:after="0"/>
              <w:rPr>
                <w:sz w:val="13"/>
                <w:szCs w:val="13"/>
                <w:color w:val="auto"/>
              </w:rPr>
            </w:pPr>
          </w:p>
        </w:tc>
        <w:tc>
          <w:tcPr>
            <w:tcW w:w="4520" w:type="dxa"/>
            <w:vAlign w:val="bottom"/>
            <w:gridSpan w:val="3"/>
          </w:tcPr>
          <w:p>
            <w:pPr>
              <w:spacing w:after="0"/>
              <w:rPr>
                <w:rFonts w:ascii="Arial" w:cs="Arial" w:eastAsia="Arial" w:hAnsi="Arial"/>
                <w:sz w:val="12"/>
                <w:szCs w:val="12"/>
                <w:color w:val="0000FF"/>
              </w:rPr>
            </w:pPr>
            <w:hyperlink w:anchor="page8">
              <w:r>
                <w:rPr>
                  <w:rFonts w:ascii="Arial" w:cs="Arial" w:eastAsia="Arial" w:hAnsi="Arial"/>
                  <w:sz w:val="12"/>
                  <w:szCs w:val="12"/>
                  <w:color w:val="0000FF"/>
                </w:rPr>
                <w:t>Corporate slide deck, dated January 14, 2020.</w:t>
              </w:r>
            </w:hyperlink>
          </w:p>
        </w:tc>
      </w:tr>
      <w:tr>
        <w:trPr>
          <w:trHeight w:val="20"/>
        </w:trPr>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98" w:lineRule="exact"/>
        <w:rPr>
          <w:sz w:val="20"/>
          <w:szCs w:val="20"/>
          <w:color w:val="auto"/>
        </w:rPr>
      </w:pPr>
    </w:p>
    <w:p>
      <w:pPr>
        <w:ind w:left="5860"/>
        <w:spacing w:after="0"/>
        <w:rPr>
          <w:sz w:val="20"/>
          <w:szCs w:val="20"/>
          <w:color w:val="auto"/>
        </w:rPr>
      </w:pPr>
      <w:r>
        <w:rPr>
          <w:rFonts w:ascii="Arial" w:cs="Arial" w:eastAsia="Arial" w:hAnsi="Arial"/>
          <w:sz w:val="12"/>
          <w:szCs w:val="12"/>
          <w:b w:val="1"/>
          <w:bCs w:val="1"/>
          <w:color w:val="auto"/>
        </w:rPr>
        <w:t>EMERGENT BIOSOLUTIONS INC.</w:t>
      </w:r>
    </w:p>
    <w:p>
      <w:pPr>
        <w:spacing w:after="0" w:line="226" w:lineRule="exact"/>
        <w:rPr>
          <w:sz w:val="20"/>
          <w:szCs w:val="20"/>
          <w:color w:val="auto"/>
        </w:rPr>
      </w:pPr>
    </w:p>
    <w:p>
      <w:pPr>
        <w:ind w:left="500"/>
        <w:spacing w:after="0"/>
        <w:tabs>
          <w:tab w:leader="none" w:pos="5840" w:val="left"/>
          <w:tab w:leader="none" w:pos="6360" w:val="left"/>
        </w:tabs>
        <w:rPr>
          <w:sz w:val="20"/>
          <w:szCs w:val="20"/>
          <w:color w:val="auto"/>
        </w:rPr>
      </w:pPr>
      <w:r>
        <w:rPr>
          <w:rFonts w:ascii="Arial" w:cs="Arial" w:eastAsia="Arial" w:hAnsi="Arial"/>
          <w:sz w:val="12"/>
          <w:szCs w:val="12"/>
          <w:color w:val="auto"/>
        </w:rPr>
        <w:t>Dated: January 13,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20955</wp:posOffset>
            </wp:positionV>
            <wp:extent cx="292862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8620" cy="5715"/>
                    </a:xfrm>
                    <a:prstGeom prst="rect">
                      <a:avLst/>
                    </a:prstGeom>
                    <a:noFill/>
                  </pic:spPr>
                </pic:pic>
              </a:graphicData>
            </a:graphic>
          </wp:anchor>
        </w:drawing>
      </w:r>
    </w:p>
    <w:p>
      <w:pPr>
        <w:spacing w:after="0" w:line="31" w:lineRule="exact"/>
        <w:rPr>
          <w:sz w:val="20"/>
          <w:szCs w:val="20"/>
          <w:color w:val="auto"/>
        </w:rPr>
      </w:pPr>
    </w:p>
    <w:p>
      <w:pPr>
        <w:ind w:left="6380"/>
        <w:spacing w:after="0"/>
        <w:rPr>
          <w:sz w:val="20"/>
          <w:szCs w:val="20"/>
          <w:color w:val="auto"/>
        </w:rPr>
      </w:pPr>
      <w:r>
        <w:rPr>
          <w:rFonts w:ascii="Arial" w:cs="Arial" w:eastAsia="Arial" w:hAnsi="Arial"/>
          <w:sz w:val="12"/>
          <w:szCs w:val="12"/>
          <w:color w:val="auto"/>
        </w:rPr>
        <w:t>Name: Richard S. Lindahl</w:t>
      </w:r>
    </w:p>
    <w:p>
      <w:pPr>
        <w:spacing w:after="0" w:line="15" w:lineRule="exact"/>
        <w:rPr>
          <w:sz w:val="20"/>
          <w:szCs w:val="20"/>
          <w:color w:val="auto"/>
        </w:rPr>
      </w:pPr>
    </w:p>
    <w:p>
      <w:pPr>
        <w:ind w:left="6380"/>
        <w:spacing w:after="0"/>
        <w:rPr>
          <w:sz w:val="20"/>
          <w:szCs w:val="20"/>
          <w:color w:val="auto"/>
        </w:rPr>
      </w:pPr>
      <w:r>
        <w:rPr>
          <w:rFonts w:ascii="Arial" w:cs="Arial" w:eastAsia="Arial" w:hAnsi="Arial"/>
          <w:sz w:val="12"/>
          <w:szCs w:val="12"/>
          <w:color w:val="auto"/>
        </w:rPr>
        <w:t>Title: Executive Vice President, Chief Financial</w:t>
      </w:r>
    </w:p>
    <w:p>
      <w:pPr>
        <w:spacing w:after="0" w:line="6"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Officer and Treasurer</w:t>
      </w:r>
    </w:p>
    <w:p>
      <w:pPr>
        <w:sectPr>
          <w:pgSz w:w="11900" w:h="16838" w:orient="portrait"/>
          <w:cols w:equalWidth="0" w:num="1">
            <w:col w:w="11480"/>
          </w:cols>
          <w:pgMar w:left="220" w:top="451" w:right="199" w:bottom="1440" w:gutter="0" w:footer="0" w:header="0"/>
        </w:sectPr>
      </w:pPr>
    </w:p>
    <w:bookmarkStart w:id="2" w:name="page3"/>
    <w:bookmarkEnd w:id="2"/>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6134100</wp:posOffset>
            </wp:positionH>
            <wp:positionV relativeFrom="page">
              <wp:posOffset>180340</wp:posOffset>
            </wp:positionV>
            <wp:extent cx="1292860" cy="686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2860" cy="6864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EMERGENT BIOSOLUTIONS ANNOUNCES PRELIMINARY 2019 FINANCIAL RESULTS AND PROVIDES 2020 FINANCIAL FORECAST</w:t>
      </w:r>
    </w:p>
    <w:p>
      <w:pPr>
        <w:spacing w:after="0" w:line="167" w:lineRule="exact"/>
        <w:rPr>
          <w:sz w:val="20"/>
          <w:szCs w:val="20"/>
          <w:color w:val="auto"/>
        </w:rPr>
      </w:pPr>
    </w:p>
    <w:p>
      <w:pPr>
        <w:ind w:left="440" w:hanging="215"/>
        <w:spacing w:after="0"/>
        <w:tabs>
          <w:tab w:leader="none" w:pos="440" w:val="left"/>
        </w:tabs>
        <w:numPr>
          <w:ilvl w:val="0"/>
          <w:numId w:val="2"/>
        </w:numPr>
        <w:rPr>
          <w:rFonts w:ascii="Arial" w:cs="Arial" w:eastAsia="Arial" w:hAnsi="Arial"/>
          <w:sz w:val="12"/>
          <w:szCs w:val="12"/>
          <w:color w:val="auto"/>
        </w:rPr>
      </w:pPr>
      <w:r>
        <w:rPr>
          <w:rFonts w:ascii="Arial" w:cs="Arial" w:eastAsia="Arial" w:hAnsi="Arial"/>
          <w:sz w:val="12"/>
          <w:szCs w:val="12"/>
          <w:color w:val="auto"/>
        </w:rPr>
        <w:t>Full year 2019 preliminary revenues and adjusted profitability metrics in line with prior guidance</w:t>
      </w:r>
    </w:p>
    <w:p>
      <w:pPr>
        <w:spacing w:after="0" w:line="6" w:lineRule="exact"/>
        <w:rPr>
          <w:rFonts w:ascii="Arial" w:cs="Arial" w:eastAsia="Arial" w:hAnsi="Arial"/>
          <w:sz w:val="12"/>
          <w:szCs w:val="12"/>
          <w:color w:val="auto"/>
        </w:rPr>
      </w:pPr>
    </w:p>
    <w:p>
      <w:pPr>
        <w:ind w:left="440" w:hanging="215"/>
        <w:spacing w:after="0"/>
        <w:tabs>
          <w:tab w:leader="none" w:pos="440" w:val="left"/>
        </w:tabs>
        <w:numPr>
          <w:ilvl w:val="0"/>
          <w:numId w:val="2"/>
        </w:numPr>
        <w:rPr>
          <w:rFonts w:ascii="Arial" w:cs="Arial" w:eastAsia="Arial" w:hAnsi="Arial"/>
          <w:sz w:val="12"/>
          <w:szCs w:val="12"/>
          <w:color w:val="auto"/>
        </w:rPr>
      </w:pPr>
      <w:r>
        <w:rPr>
          <w:rFonts w:ascii="Arial" w:cs="Arial" w:eastAsia="Arial" w:hAnsi="Arial"/>
          <w:sz w:val="12"/>
          <w:szCs w:val="12"/>
          <w:color w:val="auto"/>
        </w:rPr>
        <w:t>Full year 2020 forecast reflects continued growth of core business as well as investments in key development programs and operational capabilities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GAITHERSBURG, Md., January 13, 2020</w:t>
      </w:r>
      <w:r>
        <w:rPr>
          <w:rFonts w:ascii="Arial" w:cs="Arial" w:eastAsia="Arial" w:hAnsi="Arial"/>
          <w:sz w:val="12"/>
          <w:szCs w:val="12"/>
          <w:color w:val="auto"/>
        </w:rPr>
        <w:t>—Emergent BioSolutions Inc. (NYSE: EBS) today announced selected preliminary unaudited 2019 financial results and its financial forecast for 2020.</w:t>
      </w:r>
    </w:p>
    <w:p>
      <w:pPr>
        <w:spacing w:after="0" w:line="164" w:lineRule="exact"/>
        <w:rPr>
          <w:sz w:val="20"/>
          <w:szCs w:val="20"/>
          <w:color w:val="auto"/>
        </w:rPr>
      </w:pPr>
    </w:p>
    <w:p>
      <w:pPr>
        <w:ind w:right="80"/>
        <w:spacing w:after="0" w:line="253" w:lineRule="auto"/>
        <w:rPr>
          <w:sz w:val="20"/>
          <w:szCs w:val="20"/>
          <w:color w:val="auto"/>
        </w:rPr>
      </w:pPr>
      <w:r>
        <w:rPr>
          <w:rFonts w:ascii="Arial" w:cs="Arial" w:eastAsia="Arial" w:hAnsi="Arial"/>
          <w:sz w:val="12"/>
          <w:szCs w:val="12"/>
          <w:color w:val="auto"/>
        </w:rPr>
        <w:t>Robert G. Kramer Sr., president and chief executive officer of Emergent BioSolutions Inc. stated, “Our preliminary results for 2019 reflect another strong year of execution on the part of the entire Emergent team. With total revenue of $1.1 billion, anticipated gross margin of 56% to 58%, which is a 200 to 400 basis point improvement over prior year, and margins on adjusted net income and adjusted EBITDA of 14% (</w:t>
      </w:r>
      <w:r>
        <w:rPr>
          <w:rFonts w:ascii="Arial" w:cs="Arial" w:eastAsia="Arial" w:hAnsi="Arial"/>
          <w:sz w:val="12"/>
          <w:szCs w:val="12"/>
          <w:i w:val="1"/>
          <w:iCs w:val="1"/>
          <w:color w:val="auto"/>
        </w:rPr>
        <w:t>1</w:t>
      </w:r>
      <w:r>
        <w:rPr>
          <w:rFonts w:ascii="Arial" w:cs="Arial" w:eastAsia="Arial" w:hAnsi="Arial"/>
          <w:sz w:val="12"/>
          <w:szCs w:val="12"/>
          <w:color w:val="auto"/>
        </w:rPr>
        <w:t>) and 26% (</w:t>
      </w:r>
      <w:r>
        <w:rPr>
          <w:rFonts w:ascii="Arial" w:cs="Arial" w:eastAsia="Arial" w:hAnsi="Arial"/>
          <w:sz w:val="12"/>
          <w:szCs w:val="12"/>
          <w:i w:val="1"/>
          <w:iCs w:val="1"/>
          <w:color w:val="auto"/>
        </w:rPr>
        <w:t>2</w:t>
      </w:r>
      <w:r>
        <w:rPr>
          <w:rFonts w:ascii="Arial" w:cs="Arial" w:eastAsia="Arial" w:hAnsi="Arial"/>
          <w:sz w:val="12"/>
          <w:szCs w:val="12"/>
          <w:color w:val="auto"/>
        </w:rPr>
        <w:t>), respectively, our financial performance reflects the consistency and durability of our business model and its focus on public health threat solutions. Moreover, we achieved our key operational goals for the year, which included securing over $3 billion of renewed contract value, expanding markets for our existing products and services portfolio, and continuing investments to advance our product pipeline and enhance our manufacturing infrastructure.”</w:t>
      </w:r>
    </w:p>
    <w:p>
      <w:pPr>
        <w:spacing w:after="0" w:line="137"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Continuing, Kramer stated, “As we enter 2020, we are planning for continued expansion of our business and a financial forecast that at the midpoint anticipates 11% year-over-year growth in total revenue along with strong absolute and relative gains in adjusted net income and adjusted EBITDA. We intend to achieve these outcomes while simultaneously expanding our portfolio of advanced stage product candidates that address serious global public health threats. As a result, we are confident in the strength of our business model as we pursue the sustained growth and value creation to be realized in the 2020-2024 growth strategy we announced at the Analyst &amp; Investor Day we held in November, which contemplates annual revenue in excess of $2 billion by 2024.”</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PRELIMINARY 2019 FINANCIAL RESULTS (Unaudited)</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The company is providing the following preliminary, unaudited financial results for full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153035</wp:posOffset>
            </wp:positionV>
            <wp:extent cx="6823075" cy="869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23075" cy="869315"/>
                    </a:xfrm>
                    <a:prstGeom prst="rect">
                      <a:avLst/>
                    </a:prstGeom>
                    <a:noFill/>
                  </pic:spPr>
                </pic:pic>
              </a:graphicData>
            </a:graphic>
          </wp:anchor>
        </w:drawing>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4080" w:type="dxa"/>
            <w:vAlign w:val="bottom"/>
            <w:shd w:val="clear" w:color="auto" w:fill="0E233D"/>
          </w:tcPr>
          <w:p>
            <w:pPr>
              <w:spacing w:after="0"/>
              <w:rPr>
                <w:sz w:val="12"/>
                <w:szCs w:val="12"/>
                <w:color w:val="auto"/>
              </w:rPr>
            </w:pPr>
          </w:p>
        </w:tc>
        <w:tc>
          <w:tcPr>
            <w:tcW w:w="3340" w:type="dxa"/>
            <w:vAlign w:val="bottom"/>
            <w:gridSpan w:val="2"/>
            <w:shd w:val="clear" w:color="auto" w:fill="0E233D"/>
          </w:tcPr>
          <w:p>
            <w:pPr>
              <w:jc w:val="center"/>
              <w:ind w:left="146"/>
              <w:spacing w:after="0"/>
              <w:rPr>
                <w:sz w:val="20"/>
                <w:szCs w:val="20"/>
                <w:color w:val="auto"/>
              </w:rPr>
            </w:pPr>
            <w:r>
              <w:rPr>
                <w:rFonts w:ascii="Arial" w:cs="Arial" w:eastAsia="Arial" w:hAnsi="Arial"/>
                <w:sz w:val="11"/>
                <w:szCs w:val="11"/>
                <w:b w:val="1"/>
                <w:bCs w:val="1"/>
                <w:color w:val="FFFFFF"/>
                <w:w w:val="96"/>
              </w:rPr>
              <w:t>PRELIMINARY RESULTS</w:t>
            </w:r>
          </w:p>
        </w:tc>
        <w:tc>
          <w:tcPr>
            <w:tcW w:w="3320" w:type="dxa"/>
            <w:vAlign w:val="bottom"/>
            <w:gridSpan w:val="2"/>
            <w:shd w:val="clear" w:color="auto" w:fill="0E233D"/>
          </w:tcPr>
          <w:p>
            <w:pPr>
              <w:jc w:val="center"/>
              <w:ind w:left="126"/>
              <w:spacing w:after="0"/>
              <w:rPr>
                <w:sz w:val="20"/>
                <w:szCs w:val="20"/>
                <w:color w:val="auto"/>
              </w:rPr>
            </w:pPr>
            <w:r>
              <w:rPr>
                <w:rFonts w:ascii="Arial" w:cs="Arial" w:eastAsia="Arial" w:hAnsi="Arial"/>
                <w:sz w:val="11"/>
                <w:szCs w:val="11"/>
                <w:b w:val="1"/>
                <w:bCs w:val="1"/>
                <w:color w:val="FFFFFF"/>
                <w:w w:val="97"/>
              </w:rPr>
              <w:t>PRIOR GUIDANCE</w:t>
            </w:r>
          </w:p>
        </w:tc>
      </w:tr>
      <w:tr>
        <w:trPr>
          <w:trHeight w:val="155"/>
        </w:trPr>
        <w:tc>
          <w:tcPr>
            <w:tcW w:w="4080" w:type="dxa"/>
            <w:vAlign w:val="bottom"/>
            <w:shd w:val="clear" w:color="auto" w:fill="0E233D"/>
          </w:tcPr>
          <w:p>
            <w:pPr>
              <w:ind w:left="220"/>
              <w:spacing w:after="0"/>
              <w:rPr>
                <w:sz w:val="20"/>
                <w:szCs w:val="20"/>
                <w:color w:val="auto"/>
              </w:rPr>
            </w:pPr>
            <w:r>
              <w:rPr>
                <w:rFonts w:ascii="Arial" w:cs="Arial" w:eastAsia="Arial" w:hAnsi="Arial"/>
                <w:sz w:val="11"/>
                <w:szCs w:val="11"/>
                <w:b w:val="1"/>
                <w:bCs w:val="1"/>
                <w:color w:val="FFFFFF"/>
              </w:rPr>
              <w:t>(in millions)</w:t>
            </w:r>
          </w:p>
        </w:tc>
        <w:tc>
          <w:tcPr>
            <w:tcW w:w="3340" w:type="dxa"/>
            <w:vAlign w:val="bottom"/>
            <w:gridSpan w:val="2"/>
            <w:shd w:val="clear" w:color="auto" w:fill="0E233D"/>
          </w:tcPr>
          <w:p>
            <w:pPr>
              <w:jc w:val="center"/>
              <w:ind w:left="146"/>
              <w:spacing w:after="0"/>
              <w:rPr>
                <w:sz w:val="20"/>
                <w:szCs w:val="20"/>
                <w:color w:val="auto"/>
              </w:rPr>
            </w:pPr>
            <w:r>
              <w:rPr>
                <w:rFonts w:ascii="Arial" w:cs="Arial" w:eastAsia="Arial" w:hAnsi="Arial"/>
                <w:sz w:val="11"/>
                <w:szCs w:val="11"/>
                <w:b w:val="1"/>
                <w:bCs w:val="1"/>
                <w:color w:val="FFFFFF"/>
                <w:w w:val="99"/>
              </w:rPr>
              <w:t>(As of 1/13/2020)</w:t>
            </w:r>
          </w:p>
        </w:tc>
        <w:tc>
          <w:tcPr>
            <w:tcW w:w="3320" w:type="dxa"/>
            <w:vAlign w:val="bottom"/>
            <w:gridSpan w:val="2"/>
            <w:shd w:val="clear" w:color="auto" w:fill="0E233D"/>
          </w:tcPr>
          <w:p>
            <w:pPr>
              <w:jc w:val="center"/>
              <w:ind w:left="126"/>
              <w:spacing w:after="0"/>
              <w:rPr>
                <w:sz w:val="20"/>
                <w:szCs w:val="20"/>
                <w:color w:val="auto"/>
              </w:rPr>
            </w:pPr>
            <w:r>
              <w:rPr>
                <w:rFonts w:ascii="Arial" w:cs="Arial" w:eastAsia="Arial" w:hAnsi="Arial"/>
                <w:sz w:val="11"/>
                <w:szCs w:val="11"/>
                <w:b w:val="1"/>
                <w:bCs w:val="1"/>
                <w:color w:val="FFFFFF"/>
                <w:w w:val="99"/>
              </w:rPr>
              <w:t>(As of 11/6/2019)</w:t>
            </w:r>
          </w:p>
        </w:tc>
      </w:tr>
      <w:tr>
        <w:trPr>
          <w:trHeight w:val="158"/>
        </w:trPr>
        <w:tc>
          <w:tcPr>
            <w:tcW w:w="4080" w:type="dxa"/>
            <w:vAlign w:val="bottom"/>
            <w:shd w:val="clear" w:color="auto" w:fill="D9D9D9"/>
          </w:tcPr>
          <w:p>
            <w:pPr>
              <w:ind w:left="80"/>
              <w:spacing w:after="0"/>
              <w:rPr>
                <w:sz w:val="20"/>
                <w:szCs w:val="20"/>
                <w:color w:val="auto"/>
              </w:rPr>
            </w:pPr>
            <w:r>
              <w:rPr>
                <w:rFonts w:ascii="Arial" w:cs="Arial" w:eastAsia="Arial" w:hAnsi="Arial"/>
                <w:sz w:val="11"/>
                <w:szCs w:val="11"/>
                <w:b w:val="1"/>
                <w:bCs w:val="1"/>
                <w:color w:val="auto"/>
              </w:rPr>
              <w:t>Total Revenues</w:t>
            </w:r>
          </w:p>
        </w:tc>
        <w:tc>
          <w:tcPr>
            <w:tcW w:w="1640" w:type="dxa"/>
            <w:vAlign w:val="bottom"/>
            <w:shd w:val="clear" w:color="auto" w:fill="D9D9D9"/>
          </w:tcPr>
          <w:p>
            <w:pPr>
              <w:jc w:val="right"/>
              <w:spacing w:after="0"/>
              <w:rPr>
                <w:sz w:val="20"/>
                <w:szCs w:val="20"/>
                <w:color w:val="auto"/>
              </w:rPr>
            </w:pPr>
            <w:r>
              <w:rPr>
                <w:rFonts w:ascii="Arial" w:cs="Arial" w:eastAsia="Arial" w:hAnsi="Arial"/>
                <w:sz w:val="11"/>
                <w:szCs w:val="11"/>
                <w:b w:val="1"/>
                <w:bCs w:val="1"/>
                <w:color w:val="auto"/>
              </w:rPr>
              <w:t>$1,100</w:t>
            </w:r>
          </w:p>
        </w:tc>
        <w:tc>
          <w:tcPr>
            <w:tcW w:w="1700" w:type="dxa"/>
            <w:vAlign w:val="bottom"/>
            <w:shd w:val="clear" w:color="auto" w:fill="D9D9D9"/>
          </w:tcPr>
          <w:p>
            <w:pPr>
              <w:ind w:left="20"/>
              <w:spacing w:after="0"/>
              <w:rPr>
                <w:sz w:val="20"/>
                <w:szCs w:val="20"/>
                <w:color w:val="auto"/>
              </w:rPr>
            </w:pPr>
            <w:r>
              <w:rPr>
                <w:rFonts w:ascii="Arial" w:cs="Arial" w:eastAsia="Arial" w:hAnsi="Arial"/>
                <w:sz w:val="11"/>
                <w:szCs w:val="11"/>
                <w:b w:val="1"/>
                <w:bCs w:val="1"/>
                <w:color w:val="auto"/>
              </w:rPr>
              <w:t>-- $1,105</w:t>
            </w:r>
          </w:p>
        </w:tc>
        <w:tc>
          <w:tcPr>
            <w:tcW w:w="1640" w:type="dxa"/>
            <w:vAlign w:val="bottom"/>
            <w:shd w:val="clear" w:color="auto" w:fill="D9D9D9"/>
          </w:tcPr>
          <w:p>
            <w:pPr>
              <w:jc w:val="right"/>
              <w:spacing w:after="0"/>
              <w:rPr>
                <w:sz w:val="20"/>
                <w:szCs w:val="20"/>
                <w:color w:val="auto"/>
              </w:rPr>
            </w:pPr>
            <w:r>
              <w:rPr>
                <w:rFonts w:ascii="Arial" w:cs="Arial" w:eastAsia="Arial" w:hAnsi="Arial"/>
                <w:sz w:val="11"/>
                <w:szCs w:val="11"/>
                <w:b w:val="1"/>
                <w:bCs w:val="1"/>
                <w:color w:val="auto"/>
              </w:rPr>
              <w:t>$1,060</w:t>
            </w:r>
          </w:p>
        </w:tc>
        <w:tc>
          <w:tcPr>
            <w:tcW w:w="1680" w:type="dxa"/>
            <w:vAlign w:val="bottom"/>
            <w:shd w:val="clear" w:color="auto" w:fill="D9D9D9"/>
          </w:tcPr>
          <w:p>
            <w:pPr>
              <w:spacing w:after="0"/>
              <w:rPr>
                <w:sz w:val="20"/>
                <w:szCs w:val="20"/>
                <w:color w:val="auto"/>
              </w:rPr>
            </w:pPr>
            <w:r>
              <w:rPr>
                <w:rFonts w:ascii="Arial" w:cs="Arial" w:eastAsia="Arial" w:hAnsi="Arial"/>
                <w:sz w:val="11"/>
                <w:szCs w:val="11"/>
                <w:b w:val="1"/>
                <w:bCs w:val="1"/>
                <w:color w:val="auto"/>
              </w:rPr>
              <w:t>-- $1,140</w:t>
            </w:r>
          </w:p>
        </w:tc>
      </w:tr>
      <w:tr>
        <w:trPr>
          <w:trHeight w:val="225"/>
        </w:trPr>
        <w:tc>
          <w:tcPr>
            <w:tcW w:w="4080" w:type="dxa"/>
            <w:vAlign w:val="bottom"/>
            <w:shd w:val="clear" w:color="auto" w:fill="D9D9D9"/>
          </w:tcPr>
          <w:p>
            <w:pPr>
              <w:ind w:left="80"/>
              <w:spacing w:after="0"/>
              <w:rPr>
                <w:sz w:val="20"/>
                <w:szCs w:val="20"/>
                <w:color w:val="auto"/>
              </w:rPr>
            </w:pPr>
            <w:r>
              <w:rPr>
                <w:rFonts w:ascii="Arial" w:cs="Arial" w:eastAsia="Arial" w:hAnsi="Arial"/>
                <w:sz w:val="11"/>
                <w:szCs w:val="11"/>
                <w:b w:val="1"/>
                <w:bCs w:val="1"/>
                <w:color w:val="auto"/>
              </w:rPr>
              <w:t>Net Income</w:t>
            </w:r>
          </w:p>
        </w:tc>
        <w:tc>
          <w:tcPr>
            <w:tcW w:w="1640" w:type="dxa"/>
            <w:vAlign w:val="bottom"/>
            <w:shd w:val="clear" w:color="auto" w:fill="D9D9D9"/>
          </w:tcPr>
          <w:p>
            <w:pPr>
              <w:jc w:val="right"/>
              <w:spacing w:after="0"/>
              <w:rPr>
                <w:sz w:val="20"/>
                <w:szCs w:val="20"/>
                <w:color w:val="auto"/>
              </w:rPr>
            </w:pPr>
            <w:r>
              <w:rPr>
                <w:rFonts w:ascii="Arial" w:cs="Arial" w:eastAsia="Arial" w:hAnsi="Arial"/>
                <w:sz w:val="11"/>
                <w:szCs w:val="11"/>
                <w:b w:val="1"/>
                <w:bCs w:val="1"/>
                <w:color w:val="auto"/>
              </w:rPr>
              <w:t>$53</w:t>
            </w:r>
          </w:p>
        </w:tc>
        <w:tc>
          <w:tcPr>
            <w:tcW w:w="1700" w:type="dxa"/>
            <w:vAlign w:val="bottom"/>
            <w:shd w:val="clear" w:color="auto" w:fill="D9D9D9"/>
          </w:tcPr>
          <w:p>
            <w:pPr>
              <w:ind w:left="20"/>
              <w:spacing w:after="0"/>
              <w:rPr>
                <w:sz w:val="20"/>
                <w:szCs w:val="20"/>
                <w:color w:val="auto"/>
              </w:rPr>
            </w:pPr>
            <w:r>
              <w:rPr>
                <w:rFonts w:ascii="Arial" w:cs="Arial" w:eastAsia="Arial" w:hAnsi="Arial"/>
                <w:sz w:val="11"/>
                <w:szCs w:val="11"/>
                <w:b w:val="1"/>
                <w:bCs w:val="1"/>
                <w:color w:val="auto"/>
              </w:rPr>
              <w:t>-- $63</w:t>
            </w:r>
          </w:p>
        </w:tc>
        <w:tc>
          <w:tcPr>
            <w:tcW w:w="3320" w:type="dxa"/>
            <w:vAlign w:val="bottom"/>
            <w:gridSpan w:val="2"/>
            <w:shd w:val="clear" w:color="auto" w:fill="D9D9D9"/>
          </w:tcPr>
          <w:p>
            <w:pPr>
              <w:jc w:val="right"/>
              <w:ind w:right="1306"/>
              <w:spacing w:after="0"/>
              <w:rPr>
                <w:sz w:val="20"/>
                <w:szCs w:val="20"/>
                <w:color w:val="auto"/>
              </w:rPr>
            </w:pPr>
            <w:r>
              <w:rPr>
                <w:rFonts w:ascii="Arial" w:cs="Arial" w:eastAsia="Arial" w:hAnsi="Arial"/>
                <w:sz w:val="11"/>
                <w:szCs w:val="11"/>
                <w:b w:val="1"/>
                <w:bCs w:val="1"/>
                <w:color w:val="auto"/>
              </w:rPr>
              <w:t>$80 -- $110</w:t>
            </w:r>
          </w:p>
        </w:tc>
      </w:tr>
      <w:tr>
        <w:trPr>
          <w:trHeight w:val="225"/>
        </w:trPr>
        <w:tc>
          <w:tcPr>
            <w:tcW w:w="4080" w:type="dxa"/>
            <w:vAlign w:val="bottom"/>
            <w:shd w:val="clear" w:color="auto" w:fill="D9D9D9"/>
          </w:tcPr>
          <w:p>
            <w:pPr>
              <w:ind w:left="80"/>
              <w:spacing w:after="0"/>
              <w:rPr>
                <w:sz w:val="20"/>
                <w:szCs w:val="20"/>
                <w:color w:val="auto"/>
              </w:rPr>
            </w:pPr>
            <w:r>
              <w:rPr>
                <w:rFonts w:ascii="Arial" w:cs="Arial" w:eastAsia="Arial" w:hAnsi="Arial"/>
                <w:sz w:val="11"/>
                <w:szCs w:val="11"/>
                <w:color w:val="auto"/>
              </w:rPr>
              <w:t>Adjusted Net Income (</w:t>
            </w:r>
            <w:r>
              <w:rPr>
                <w:rFonts w:ascii="Arial" w:cs="Arial" w:eastAsia="Arial" w:hAnsi="Arial"/>
                <w:sz w:val="11"/>
                <w:szCs w:val="11"/>
                <w:i w:val="1"/>
                <w:iCs w:val="1"/>
                <w:color w:val="auto"/>
              </w:rPr>
              <w:t>3</w:t>
            </w:r>
            <w:r>
              <w:rPr>
                <w:rFonts w:ascii="Arial" w:cs="Arial" w:eastAsia="Arial" w:hAnsi="Arial"/>
                <w:sz w:val="11"/>
                <w:szCs w:val="11"/>
                <w:color w:val="auto"/>
              </w:rPr>
              <w:t>)</w:t>
            </w:r>
          </w:p>
        </w:tc>
        <w:tc>
          <w:tcPr>
            <w:tcW w:w="1640" w:type="dxa"/>
            <w:vAlign w:val="bottom"/>
            <w:shd w:val="clear" w:color="auto" w:fill="D9D9D9"/>
          </w:tcPr>
          <w:p>
            <w:pPr>
              <w:jc w:val="right"/>
              <w:spacing w:after="0"/>
              <w:rPr>
                <w:sz w:val="20"/>
                <w:szCs w:val="20"/>
                <w:color w:val="auto"/>
              </w:rPr>
            </w:pPr>
            <w:r>
              <w:rPr>
                <w:rFonts w:ascii="Arial" w:cs="Arial" w:eastAsia="Arial" w:hAnsi="Arial"/>
                <w:sz w:val="11"/>
                <w:szCs w:val="11"/>
                <w:b w:val="1"/>
                <w:bCs w:val="1"/>
                <w:color w:val="auto"/>
              </w:rPr>
              <w:t>$150</w:t>
            </w:r>
          </w:p>
        </w:tc>
        <w:tc>
          <w:tcPr>
            <w:tcW w:w="1700" w:type="dxa"/>
            <w:vAlign w:val="bottom"/>
            <w:shd w:val="clear" w:color="auto" w:fill="D9D9D9"/>
          </w:tcPr>
          <w:p>
            <w:pPr>
              <w:ind w:left="20"/>
              <w:spacing w:after="0"/>
              <w:rPr>
                <w:sz w:val="20"/>
                <w:szCs w:val="20"/>
                <w:color w:val="auto"/>
              </w:rPr>
            </w:pPr>
            <w:r>
              <w:rPr>
                <w:rFonts w:ascii="Arial" w:cs="Arial" w:eastAsia="Arial" w:hAnsi="Arial"/>
                <w:sz w:val="11"/>
                <w:szCs w:val="11"/>
                <w:b w:val="1"/>
                <w:bCs w:val="1"/>
                <w:color w:val="auto"/>
              </w:rPr>
              <w:t>-- $160</w:t>
            </w:r>
          </w:p>
        </w:tc>
        <w:tc>
          <w:tcPr>
            <w:tcW w:w="1640" w:type="dxa"/>
            <w:vAlign w:val="bottom"/>
            <w:shd w:val="clear" w:color="auto" w:fill="D9D9D9"/>
          </w:tcPr>
          <w:p>
            <w:pPr>
              <w:jc w:val="right"/>
              <w:spacing w:after="0"/>
              <w:rPr>
                <w:sz w:val="20"/>
                <w:szCs w:val="20"/>
                <w:color w:val="auto"/>
              </w:rPr>
            </w:pPr>
            <w:r>
              <w:rPr>
                <w:rFonts w:ascii="Arial" w:cs="Arial" w:eastAsia="Arial" w:hAnsi="Arial"/>
                <w:sz w:val="11"/>
                <w:szCs w:val="11"/>
                <w:b w:val="1"/>
                <w:bCs w:val="1"/>
                <w:color w:val="auto"/>
              </w:rPr>
              <w:t>$150</w:t>
            </w:r>
          </w:p>
        </w:tc>
        <w:tc>
          <w:tcPr>
            <w:tcW w:w="1680" w:type="dxa"/>
            <w:vAlign w:val="bottom"/>
            <w:shd w:val="clear" w:color="auto" w:fill="D9D9D9"/>
          </w:tcPr>
          <w:p>
            <w:pPr>
              <w:spacing w:after="0"/>
              <w:rPr>
                <w:sz w:val="20"/>
                <w:szCs w:val="20"/>
                <w:color w:val="auto"/>
              </w:rPr>
            </w:pPr>
            <w:r>
              <w:rPr>
                <w:rFonts w:ascii="Arial" w:cs="Arial" w:eastAsia="Arial" w:hAnsi="Arial"/>
                <w:sz w:val="11"/>
                <w:szCs w:val="11"/>
                <w:b w:val="1"/>
                <w:bCs w:val="1"/>
                <w:color w:val="auto"/>
              </w:rPr>
              <w:t>-- $180</w:t>
            </w:r>
          </w:p>
        </w:tc>
      </w:tr>
      <w:tr>
        <w:trPr>
          <w:trHeight w:val="225"/>
        </w:trPr>
        <w:tc>
          <w:tcPr>
            <w:tcW w:w="4080" w:type="dxa"/>
            <w:vAlign w:val="bottom"/>
            <w:shd w:val="clear" w:color="auto" w:fill="D9D9D9"/>
          </w:tcPr>
          <w:p>
            <w:pPr>
              <w:ind w:left="80"/>
              <w:spacing w:after="0"/>
              <w:rPr>
                <w:sz w:val="20"/>
                <w:szCs w:val="20"/>
                <w:color w:val="auto"/>
              </w:rPr>
            </w:pPr>
            <w:r>
              <w:rPr>
                <w:rFonts w:ascii="Arial" w:cs="Arial" w:eastAsia="Arial" w:hAnsi="Arial"/>
                <w:sz w:val="11"/>
                <w:szCs w:val="11"/>
                <w:color w:val="auto"/>
              </w:rPr>
              <w:t>EBITDA (</w:t>
            </w:r>
            <w:r>
              <w:rPr>
                <w:rFonts w:ascii="Arial" w:cs="Arial" w:eastAsia="Arial" w:hAnsi="Arial"/>
                <w:sz w:val="11"/>
                <w:szCs w:val="11"/>
                <w:i w:val="1"/>
                <w:iCs w:val="1"/>
                <w:color w:val="auto"/>
              </w:rPr>
              <w:t>3</w:t>
            </w:r>
            <w:r>
              <w:rPr>
                <w:rFonts w:ascii="Arial" w:cs="Arial" w:eastAsia="Arial" w:hAnsi="Arial"/>
                <w:sz w:val="11"/>
                <w:szCs w:val="11"/>
                <w:color w:val="auto"/>
              </w:rPr>
              <w:t>)</w:t>
            </w:r>
          </w:p>
        </w:tc>
        <w:tc>
          <w:tcPr>
            <w:tcW w:w="1640" w:type="dxa"/>
            <w:vAlign w:val="bottom"/>
            <w:shd w:val="clear" w:color="auto" w:fill="D9D9D9"/>
          </w:tcPr>
          <w:p>
            <w:pPr>
              <w:jc w:val="right"/>
              <w:spacing w:after="0"/>
              <w:rPr>
                <w:sz w:val="20"/>
                <w:szCs w:val="20"/>
                <w:color w:val="auto"/>
              </w:rPr>
            </w:pPr>
            <w:r>
              <w:rPr>
                <w:rFonts w:ascii="Arial" w:cs="Arial" w:eastAsia="Arial" w:hAnsi="Arial"/>
                <w:sz w:val="11"/>
                <w:szCs w:val="11"/>
                <w:b w:val="1"/>
                <w:bCs w:val="1"/>
                <w:color w:val="auto"/>
              </w:rPr>
              <w:t>$225</w:t>
            </w:r>
          </w:p>
        </w:tc>
        <w:tc>
          <w:tcPr>
            <w:tcW w:w="1700" w:type="dxa"/>
            <w:vAlign w:val="bottom"/>
            <w:shd w:val="clear" w:color="auto" w:fill="D9D9D9"/>
          </w:tcPr>
          <w:p>
            <w:pPr>
              <w:ind w:left="20"/>
              <w:spacing w:after="0"/>
              <w:rPr>
                <w:sz w:val="20"/>
                <w:szCs w:val="20"/>
                <w:color w:val="auto"/>
              </w:rPr>
            </w:pPr>
            <w:r>
              <w:rPr>
                <w:rFonts w:ascii="Arial" w:cs="Arial" w:eastAsia="Arial" w:hAnsi="Arial"/>
                <w:sz w:val="11"/>
                <w:szCs w:val="11"/>
                <w:b w:val="1"/>
                <w:bCs w:val="1"/>
                <w:color w:val="auto"/>
              </w:rPr>
              <w:t>-- $235</w:t>
            </w:r>
          </w:p>
        </w:tc>
        <w:tc>
          <w:tcPr>
            <w:tcW w:w="1640" w:type="dxa"/>
            <w:vAlign w:val="bottom"/>
            <w:shd w:val="clear" w:color="auto" w:fill="D9D9D9"/>
          </w:tcPr>
          <w:p>
            <w:pPr>
              <w:jc w:val="right"/>
              <w:spacing w:after="0"/>
              <w:rPr>
                <w:sz w:val="20"/>
                <w:szCs w:val="20"/>
                <w:color w:val="auto"/>
              </w:rPr>
            </w:pPr>
            <w:r>
              <w:rPr>
                <w:rFonts w:ascii="Arial" w:cs="Arial" w:eastAsia="Arial" w:hAnsi="Arial"/>
                <w:sz w:val="11"/>
                <w:szCs w:val="11"/>
                <w:b w:val="1"/>
                <w:bCs w:val="1"/>
                <w:color w:val="auto"/>
              </w:rPr>
              <w:t>$250</w:t>
            </w:r>
          </w:p>
        </w:tc>
        <w:tc>
          <w:tcPr>
            <w:tcW w:w="1680" w:type="dxa"/>
            <w:vAlign w:val="bottom"/>
            <w:shd w:val="clear" w:color="auto" w:fill="D9D9D9"/>
          </w:tcPr>
          <w:p>
            <w:pPr>
              <w:spacing w:after="0"/>
              <w:rPr>
                <w:sz w:val="20"/>
                <w:szCs w:val="20"/>
                <w:color w:val="auto"/>
              </w:rPr>
            </w:pPr>
            <w:r>
              <w:rPr>
                <w:rFonts w:ascii="Arial" w:cs="Arial" w:eastAsia="Arial" w:hAnsi="Arial"/>
                <w:sz w:val="11"/>
                <w:szCs w:val="11"/>
                <w:b w:val="1"/>
                <w:bCs w:val="1"/>
                <w:color w:val="auto"/>
              </w:rPr>
              <w:t>-- $280</w:t>
            </w:r>
          </w:p>
        </w:tc>
      </w:tr>
      <w:tr>
        <w:trPr>
          <w:trHeight w:val="238"/>
        </w:trPr>
        <w:tc>
          <w:tcPr>
            <w:tcW w:w="4080" w:type="dxa"/>
            <w:vAlign w:val="bottom"/>
            <w:shd w:val="clear" w:color="auto" w:fill="D9D9D9"/>
          </w:tcPr>
          <w:p>
            <w:pPr>
              <w:ind w:left="80"/>
              <w:spacing w:after="0"/>
              <w:rPr>
                <w:sz w:val="20"/>
                <w:szCs w:val="20"/>
                <w:color w:val="auto"/>
              </w:rPr>
            </w:pPr>
            <w:r>
              <w:rPr>
                <w:rFonts w:ascii="Arial" w:cs="Arial" w:eastAsia="Arial" w:hAnsi="Arial"/>
                <w:sz w:val="11"/>
                <w:szCs w:val="11"/>
                <w:color w:val="auto"/>
              </w:rPr>
              <w:t>Adjusted EBITDA (</w:t>
            </w:r>
            <w:r>
              <w:rPr>
                <w:rFonts w:ascii="Arial" w:cs="Arial" w:eastAsia="Arial" w:hAnsi="Arial"/>
                <w:sz w:val="11"/>
                <w:szCs w:val="11"/>
                <w:i w:val="1"/>
                <w:iCs w:val="1"/>
                <w:color w:val="auto"/>
              </w:rPr>
              <w:t>3</w:t>
            </w:r>
            <w:r>
              <w:rPr>
                <w:rFonts w:ascii="Arial" w:cs="Arial" w:eastAsia="Arial" w:hAnsi="Arial"/>
                <w:sz w:val="11"/>
                <w:szCs w:val="11"/>
                <w:color w:val="auto"/>
              </w:rPr>
              <w:t>)</w:t>
            </w:r>
          </w:p>
        </w:tc>
        <w:tc>
          <w:tcPr>
            <w:tcW w:w="1640" w:type="dxa"/>
            <w:vAlign w:val="bottom"/>
            <w:shd w:val="clear" w:color="auto" w:fill="D9D9D9"/>
          </w:tcPr>
          <w:p>
            <w:pPr>
              <w:jc w:val="right"/>
              <w:spacing w:after="0"/>
              <w:rPr>
                <w:sz w:val="20"/>
                <w:szCs w:val="20"/>
                <w:color w:val="auto"/>
              </w:rPr>
            </w:pPr>
            <w:r>
              <w:rPr>
                <w:rFonts w:ascii="Arial" w:cs="Arial" w:eastAsia="Arial" w:hAnsi="Arial"/>
                <w:sz w:val="11"/>
                <w:szCs w:val="11"/>
                <w:b w:val="1"/>
                <w:bCs w:val="1"/>
                <w:color w:val="auto"/>
              </w:rPr>
              <w:t>$280</w:t>
            </w:r>
          </w:p>
        </w:tc>
        <w:tc>
          <w:tcPr>
            <w:tcW w:w="1700" w:type="dxa"/>
            <w:vAlign w:val="bottom"/>
            <w:shd w:val="clear" w:color="auto" w:fill="D9D9D9"/>
          </w:tcPr>
          <w:p>
            <w:pPr>
              <w:ind w:left="20"/>
              <w:spacing w:after="0"/>
              <w:rPr>
                <w:sz w:val="20"/>
                <w:szCs w:val="20"/>
                <w:color w:val="auto"/>
              </w:rPr>
            </w:pPr>
            <w:r>
              <w:rPr>
                <w:rFonts w:ascii="Arial" w:cs="Arial" w:eastAsia="Arial" w:hAnsi="Arial"/>
                <w:sz w:val="11"/>
                <w:szCs w:val="11"/>
                <w:b w:val="1"/>
                <w:bCs w:val="1"/>
                <w:color w:val="auto"/>
              </w:rPr>
              <w:t>-- $290</w:t>
            </w:r>
          </w:p>
        </w:tc>
        <w:tc>
          <w:tcPr>
            <w:tcW w:w="1640" w:type="dxa"/>
            <w:vAlign w:val="bottom"/>
            <w:shd w:val="clear" w:color="auto" w:fill="D9D9D9"/>
          </w:tcPr>
          <w:p>
            <w:pPr>
              <w:jc w:val="right"/>
              <w:spacing w:after="0"/>
              <w:rPr>
                <w:sz w:val="20"/>
                <w:szCs w:val="20"/>
                <w:color w:val="auto"/>
              </w:rPr>
            </w:pPr>
            <w:r>
              <w:rPr>
                <w:rFonts w:ascii="Arial" w:cs="Arial" w:eastAsia="Arial" w:hAnsi="Arial"/>
                <w:sz w:val="11"/>
                <w:szCs w:val="11"/>
                <w:b w:val="1"/>
                <w:bCs w:val="1"/>
                <w:color w:val="auto"/>
              </w:rPr>
              <w:t>$280</w:t>
            </w:r>
          </w:p>
        </w:tc>
        <w:tc>
          <w:tcPr>
            <w:tcW w:w="1680" w:type="dxa"/>
            <w:vAlign w:val="bottom"/>
            <w:shd w:val="clear" w:color="auto" w:fill="D9D9D9"/>
          </w:tcPr>
          <w:p>
            <w:pPr>
              <w:spacing w:after="0"/>
              <w:rPr>
                <w:sz w:val="20"/>
                <w:szCs w:val="20"/>
                <w:color w:val="auto"/>
              </w:rPr>
            </w:pPr>
            <w:r>
              <w:rPr>
                <w:rFonts w:ascii="Arial" w:cs="Arial" w:eastAsia="Arial" w:hAnsi="Arial"/>
                <w:sz w:val="11"/>
                <w:szCs w:val="11"/>
                <w:b w:val="1"/>
                <w:bCs w:val="1"/>
                <w:color w:val="auto"/>
              </w:rPr>
              <w:t>-- $310</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Total Revenue</w:t>
      </w:r>
    </w:p>
    <w:p>
      <w:pPr>
        <w:spacing w:after="0" w:line="38" w:lineRule="exact"/>
        <w:rPr>
          <w:sz w:val="20"/>
          <w:szCs w:val="20"/>
          <w:color w:val="auto"/>
        </w:rPr>
      </w:pPr>
    </w:p>
    <w:p>
      <w:pPr>
        <w:jc w:val="both"/>
        <w:ind w:right="80"/>
        <w:spacing w:after="0" w:line="319" w:lineRule="auto"/>
        <w:rPr>
          <w:sz w:val="20"/>
          <w:szCs w:val="20"/>
          <w:color w:val="auto"/>
        </w:rPr>
      </w:pPr>
      <w:r>
        <w:rPr>
          <w:rFonts w:ascii="Arial" w:cs="Arial" w:eastAsia="Arial" w:hAnsi="Arial"/>
          <w:sz w:val="12"/>
          <w:szCs w:val="12"/>
          <w:color w:val="auto"/>
        </w:rPr>
        <w:t xml:space="preserve">For the full year 2019, the company anticipates total revenue of $1,100 to $1,105 million, the midpoint of which represents a $320 million or 41% increase from 2018, the second year in a row of approximately 40% year-over-year growth in total revenue. This annual increase is due primarily to the contribution of sales of NARCAN® (naloxone HCl) Nasal Spray and ACAM2000® (Smallpox (Vaccinia) Vaccine, Live) in 2019 as well as higher contracts and grants revenue, offset by lower anthrax vaccine revenue (now a combination of BioThrax® (Anthrax Vaccine Adsorbed) and AV7909 (Anthrax Vaccine Adsorbed, Adjuvanted) </w:t>
      </w:r>
      <w:r>
        <w:rPr>
          <w:rFonts w:ascii="Arial" w:cs="Arial" w:eastAsia="Arial" w:hAnsi="Arial"/>
          <w:sz w:val="12"/>
          <w:szCs w:val="12"/>
          <w:i w:val="1"/>
          <w:iCs w:val="1"/>
          <w:color w:val="auto"/>
        </w:rPr>
        <w:t>(4)</w:t>
      </w:r>
      <w:r>
        <w:rPr>
          <w:rFonts w:ascii="Arial" w:cs="Arial" w:eastAsia="Arial" w:hAnsi="Arial"/>
          <w:sz w:val="12"/>
          <w:szCs w:val="12"/>
          <w:color w:val="auto"/>
        </w:rPr>
        <w:t>).</w:t>
      </w: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60"/>
          </w:cols>
          <w:pgMar w:left="320" w:top="1440" w:right="21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i w:val="1"/>
          <w:iCs w:val="1"/>
          <w:color w:val="auto"/>
        </w:rPr>
        <w:t>Net Income (GAAP and Adjusted)</w:t>
      </w:r>
    </w:p>
    <w:p>
      <w:pPr>
        <w:spacing w:after="0" w:line="20" w:lineRule="exact"/>
        <w:rPr>
          <w:sz w:val="20"/>
          <w:szCs w:val="20"/>
          <w:color w:val="auto"/>
        </w:rPr>
      </w:pPr>
    </w:p>
    <w:p>
      <w:pPr>
        <w:ind w:right="120"/>
        <w:spacing w:after="0" w:line="254" w:lineRule="auto"/>
        <w:rPr>
          <w:sz w:val="20"/>
          <w:szCs w:val="20"/>
          <w:color w:val="auto"/>
        </w:rPr>
      </w:pPr>
      <w:r>
        <w:rPr>
          <w:rFonts w:ascii="Arial" w:cs="Arial" w:eastAsia="Arial" w:hAnsi="Arial"/>
          <w:sz w:val="12"/>
          <w:szCs w:val="12"/>
          <w:color w:val="auto"/>
        </w:rPr>
        <w:t>For the full year 2019, the company anticipates net income of $53 to $63 million, which reflects the impact of two significant items, contingent consideration related to the Adapt acquisition and a non-cash impairment. The company also anticipates adjusted net income of $150 to $160 million, the midpoint of which represents a $33 million or 27% increase from 2018, reflecting the impact of both increased product sales as well as higher average margins on the products contributing to product sales in 2019. (See “Reconciliation of Net Income to Adjusted Net Income, EBITDA and Adjusted EBITDA” for a definition of terms and reconciliation tables.)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Note:</w:t>
      </w:r>
    </w:p>
    <w:p>
      <w:pPr>
        <w:spacing w:after="0" w:line="20"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b w:val="1"/>
          <w:bCs w:val="1"/>
          <w:color w:val="auto"/>
        </w:rPr>
        <w:t>The preliminary 2019 financial results are subject to revision and will be finalized upon completion of the company’s external audit, which is anticipated by late February 2020. The company's final audited financial results could differ materially from these selected preliminary results.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2020 FINANCIAL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116205</wp:posOffset>
            </wp:positionV>
            <wp:extent cx="681164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1645" cy="583565"/>
                    </a:xfrm>
                    <a:prstGeom prst="rect">
                      <a:avLst/>
                    </a:prstGeom>
                    <a:noFill/>
                  </pic:spPr>
                </pic:pic>
              </a:graphicData>
            </a:graphic>
          </wp:anchor>
        </w:drawing>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4080" w:type="dxa"/>
            <w:vAlign w:val="bottom"/>
            <w:shd w:val="clear" w:color="auto" w:fill="0E233D"/>
          </w:tcPr>
          <w:p>
            <w:pPr>
              <w:spacing w:after="0"/>
              <w:rPr>
                <w:sz w:val="12"/>
                <w:szCs w:val="12"/>
                <w:color w:val="auto"/>
              </w:rPr>
            </w:pPr>
          </w:p>
        </w:tc>
        <w:tc>
          <w:tcPr>
            <w:tcW w:w="6640" w:type="dxa"/>
            <w:vAlign w:val="bottom"/>
            <w:gridSpan w:val="2"/>
            <w:shd w:val="clear" w:color="auto" w:fill="0E233D"/>
          </w:tcPr>
          <w:p>
            <w:pPr>
              <w:ind w:left="2980"/>
              <w:spacing w:after="0"/>
              <w:rPr>
                <w:sz w:val="20"/>
                <w:szCs w:val="20"/>
                <w:color w:val="auto"/>
              </w:rPr>
            </w:pPr>
            <w:r>
              <w:rPr>
                <w:rFonts w:ascii="Arial" w:cs="Arial" w:eastAsia="Arial" w:hAnsi="Arial"/>
                <w:sz w:val="11"/>
                <w:szCs w:val="11"/>
                <w:b w:val="1"/>
                <w:bCs w:val="1"/>
                <w:color w:val="FFFFFF"/>
              </w:rPr>
              <w:t>FULL YEAR 2020</w:t>
            </w:r>
          </w:p>
        </w:tc>
      </w:tr>
      <w:tr>
        <w:trPr>
          <w:trHeight w:val="155"/>
        </w:trPr>
        <w:tc>
          <w:tcPr>
            <w:tcW w:w="4080" w:type="dxa"/>
            <w:vAlign w:val="bottom"/>
            <w:shd w:val="clear" w:color="auto" w:fill="0E233D"/>
          </w:tcPr>
          <w:p>
            <w:pPr>
              <w:ind w:left="220"/>
              <w:spacing w:after="0"/>
              <w:rPr>
                <w:sz w:val="20"/>
                <w:szCs w:val="20"/>
                <w:color w:val="auto"/>
              </w:rPr>
            </w:pPr>
            <w:r>
              <w:rPr>
                <w:rFonts w:ascii="Arial" w:cs="Arial" w:eastAsia="Arial" w:hAnsi="Arial"/>
                <w:sz w:val="11"/>
                <w:szCs w:val="11"/>
                <w:b w:val="1"/>
                <w:bCs w:val="1"/>
                <w:color w:val="FFFFFF"/>
              </w:rPr>
              <w:t>(in millions)</w:t>
            </w:r>
          </w:p>
        </w:tc>
        <w:tc>
          <w:tcPr>
            <w:tcW w:w="6640" w:type="dxa"/>
            <w:vAlign w:val="bottom"/>
            <w:gridSpan w:val="2"/>
            <w:shd w:val="clear" w:color="auto" w:fill="0E233D"/>
          </w:tcPr>
          <w:p>
            <w:pPr>
              <w:ind w:left="2980"/>
              <w:spacing w:after="0"/>
              <w:rPr>
                <w:sz w:val="20"/>
                <w:szCs w:val="20"/>
                <w:color w:val="auto"/>
              </w:rPr>
            </w:pPr>
            <w:r>
              <w:rPr>
                <w:rFonts w:ascii="Arial" w:cs="Arial" w:eastAsia="Arial" w:hAnsi="Arial"/>
                <w:sz w:val="11"/>
                <w:szCs w:val="11"/>
                <w:b w:val="1"/>
                <w:bCs w:val="1"/>
                <w:color w:val="FFFFFF"/>
              </w:rPr>
              <w:t>(As of 1/13/2020)</w:t>
            </w:r>
          </w:p>
        </w:tc>
      </w:tr>
      <w:tr>
        <w:trPr>
          <w:trHeight w:val="158"/>
        </w:trPr>
        <w:tc>
          <w:tcPr>
            <w:tcW w:w="4080" w:type="dxa"/>
            <w:vAlign w:val="bottom"/>
            <w:shd w:val="clear" w:color="auto" w:fill="D9D9D9"/>
          </w:tcPr>
          <w:p>
            <w:pPr>
              <w:ind w:left="80"/>
              <w:spacing w:after="0"/>
              <w:rPr>
                <w:sz w:val="20"/>
                <w:szCs w:val="20"/>
                <w:color w:val="auto"/>
              </w:rPr>
            </w:pPr>
            <w:r>
              <w:rPr>
                <w:rFonts w:ascii="Arial" w:cs="Arial" w:eastAsia="Arial" w:hAnsi="Arial"/>
                <w:sz w:val="11"/>
                <w:szCs w:val="11"/>
                <w:b w:val="1"/>
                <w:bCs w:val="1"/>
                <w:color w:val="auto"/>
              </w:rPr>
              <w:t>Total Revenues</w:t>
            </w:r>
          </w:p>
        </w:tc>
        <w:tc>
          <w:tcPr>
            <w:tcW w:w="3300" w:type="dxa"/>
            <w:vAlign w:val="bottom"/>
            <w:shd w:val="clear" w:color="auto" w:fill="D9D9D9"/>
          </w:tcPr>
          <w:p>
            <w:pPr>
              <w:jc w:val="right"/>
              <w:spacing w:after="0"/>
              <w:rPr>
                <w:sz w:val="20"/>
                <w:szCs w:val="20"/>
                <w:color w:val="auto"/>
              </w:rPr>
            </w:pPr>
            <w:r>
              <w:rPr>
                <w:rFonts w:ascii="Arial" w:cs="Arial" w:eastAsia="Arial" w:hAnsi="Arial"/>
                <w:sz w:val="11"/>
                <w:szCs w:val="11"/>
                <w:b w:val="1"/>
                <w:bCs w:val="1"/>
                <w:color w:val="auto"/>
              </w:rPr>
              <w:t>$1,175</w:t>
            </w:r>
          </w:p>
        </w:tc>
        <w:tc>
          <w:tcPr>
            <w:tcW w:w="3340" w:type="dxa"/>
            <w:vAlign w:val="bottom"/>
            <w:shd w:val="clear" w:color="auto" w:fill="D9D9D9"/>
          </w:tcPr>
          <w:p>
            <w:pPr>
              <w:ind w:left="20"/>
              <w:spacing w:after="0"/>
              <w:rPr>
                <w:sz w:val="20"/>
                <w:szCs w:val="20"/>
                <w:color w:val="auto"/>
              </w:rPr>
            </w:pPr>
            <w:r>
              <w:rPr>
                <w:rFonts w:ascii="Arial" w:cs="Arial" w:eastAsia="Arial" w:hAnsi="Arial"/>
                <w:sz w:val="11"/>
                <w:szCs w:val="11"/>
                <w:b w:val="1"/>
                <w:bCs w:val="1"/>
                <w:color w:val="auto"/>
              </w:rPr>
              <w:t>-- $1,275</w:t>
            </w:r>
          </w:p>
        </w:tc>
      </w:tr>
      <w:tr>
        <w:trPr>
          <w:trHeight w:val="225"/>
        </w:trPr>
        <w:tc>
          <w:tcPr>
            <w:tcW w:w="4080" w:type="dxa"/>
            <w:vAlign w:val="bottom"/>
            <w:shd w:val="clear" w:color="auto" w:fill="D9D9D9"/>
          </w:tcPr>
          <w:p>
            <w:pPr>
              <w:ind w:left="80"/>
              <w:spacing w:after="0"/>
              <w:rPr>
                <w:sz w:val="20"/>
                <w:szCs w:val="20"/>
                <w:color w:val="auto"/>
              </w:rPr>
            </w:pPr>
            <w:r>
              <w:rPr>
                <w:rFonts w:ascii="Arial" w:cs="Arial" w:eastAsia="Arial" w:hAnsi="Arial"/>
                <w:sz w:val="11"/>
                <w:szCs w:val="11"/>
                <w:b w:val="1"/>
                <w:bCs w:val="1"/>
                <w:color w:val="auto"/>
              </w:rPr>
              <w:t xml:space="preserve">Adjusted Net Income </w:t>
            </w:r>
            <w:r>
              <w:rPr>
                <w:rFonts w:ascii="Arial" w:cs="Arial" w:eastAsia="Arial" w:hAnsi="Arial"/>
                <w:sz w:val="11"/>
                <w:szCs w:val="11"/>
                <w:i w:val="1"/>
                <w:iCs w:val="1"/>
                <w:color w:val="auto"/>
              </w:rPr>
              <w:t>(3)</w:t>
            </w:r>
          </w:p>
        </w:tc>
        <w:tc>
          <w:tcPr>
            <w:tcW w:w="3300" w:type="dxa"/>
            <w:vAlign w:val="bottom"/>
            <w:shd w:val="clear" w:color="auto" w:fill="D9D9D9"/>
          </w:tcPr>
          <w:p>
            <w:pPr>
              <w:jc w:val="right"/>
              <w:spacing w:after="0"/>
              <w:rPr>
                <w:sz w:val="20"/>
                <w:szCs w:val="20"/>
                <w:color w:val="auto"/>
              </w:rPr>
            </w:pPr>
            <w:r>
              <w:rPr>
                <w:rFonts w:ascii="Arial" w:cs="Arial" w:eastAsia="Arial" w:hAnsi="Arial"/>
                <w:sz w:val="11"/>
                <w:szCs w:val="11"/>
                <w:b w:val="1"/>
                <w:bCs w:val="1"/>
                <w:color w:val="auto"/>
              </w:rPr>
              <w:t>$160</w:t>
            </w:r>
          </w:p>
        </w:tc>
        <w:tc>
          <w:tcPr>
            <w:tcW w:w="3340" w:type="dxa"/>
            <w:vAlign w:val="bottom"/>
            <w:shd w:val="clear" w:color="auto" w:fill="D9D9D9"/>
          </w:tcPr>
          <w:p>
            <w:pPr>
              <w:ind w:left="20"/>
              <w:spacing w:after="0"/>
              <w:rPr>
                <w:sz w:val="20"/>
                <w:szCs w:val="20"/>
                <w:color w:val="auto"/>
              </w:rPr>
            </w:pPr>
            <w:r>
              <w:rPr>
                <w:rFonts w:ascii="Arial" w:cs="Arial" w:eastAsia="Arial" w:hAnsi="Arial"/>
                <w:sz w:val="11"/>
                <w:szCs w:val="11"/>
                <w:b w:val="1"/>
                <w:bCs w:val="1"/>
                <w:color w:val="auto"/>
              </w:rPr>
              <w:t>-- $210</w:t>
            </w:r>
          </w:p>
        </w:tc>
      </w:tr>
      <w:tr>
        <w:trPr>
          <w:trHeight w:val="238"/>
        </w:trPr>
        <w:tc>
          <w:tcPr>
            <w:tcW w:w="4080" w:type="dxa"/>
            <w:vAlign w:val="bottom"/>
            <w:shd w:val="clear" w:color="auto" w:fill="D9D9D9"/>
          </w:tcPr>
          <w:p>
            <w:pPr>
              <w:ind w:left="80"/>
              <w:spacing w:after="0"/>
              <w:rPr>
                <w:sz w:val="20"/>
                <w:szCs w:val="20"/>
                <w:color w:val="auto"/>
              </w:rPr>
            </w:pPr>
            <w:r>
              <w:rPr>
                <w:rFonts w:ascii="Arial" w:cs="Arial" w:eastAsia="Arial" w:hAnsi="Arial"/>
                <w:sz w:val="11"/>
                <w:szCs w:val="11"/>
                <w:b w:val="1"/>
                <w:bCs w:val="1"/>
                <w:color w:val="auto"/>
              </w:rPr>
              <w:t xml:space="preserve">Adjusted EBITDA </w:t>
            </w:r>
            <w:r>
              <w:rPr>
                <w:rFonts w:ascii="Arial" w:cs="Arial" w:eastAsia="Arial" w:hAnsi="Arial"/>
                <w:sz w:val="11"/>
                <w:szCs w:val="11"/>
                <w:i w:val="1"/>
                <w:iCs w:val="1"/>
                <w:color w:val="auto"/>
              </w:rPr>
              <w:t>(3)</w:t>
            </w:r>
          </w:p>
        </w:tc>
        <w:tc>
          <w:tcPr>
            <w:tcW w:w="3300" w:type="dxa"/>
            <w:vAlign w:val="bottom"/>
            <w:shd w:val="clear" w:color="auto" w:fill="D9D9D9"/>
          </w:tcPr>
          <w:p>
            <w:pPr>
              <w:jc w:val="right"/>
              <w:spacing w:after="0"/>
              <w:rPr>
                <w:sz w:val="20"/>
                <w:szCs w:val="20"/>
                <w:color w:val="auto"/>
              </w:rPr>
            </w:pPr>
            <w:r>
              <w:rPr>
                <w:rFonts w:ascii="Arial" w:cs="Arial" w:eastAsia="Arial" w:hAnsi="Arial"/>
                <w:sz w:val="11"/>
                <w:szCs w:val="11"/>
                <w:b w:val="1"/>
                <w:bCs w:val="1"/>
                <w:color w:val="auto"/>
              </w:rPr>
              <w:t>$300</w:t>
            </w:r>
          </w:p>
        </w:tc>
        <w:tc>
          <w:tcPr>
            <w:tcW w:w="3340" w:type="dxa"/>
            <w:vAlign w:val="bottom"/>
            <w:shd w:val="clear" w:color="auto" w:fill="D9D9D9"/>
          </w:tcPr>
          <w:p>
            <w:pPr>
              <w:ind w:left="20"/>
              <w:spacing w:after="0"/>
              <w:rPr>
                <w:sz w:val="20"/>
                <w:szCs w:val="20"/>
                <w:color w:val="auto"/>
              </w:rPr>
            </w:pPr>
            <w:r>
              <w:rPr>
                <w:rFonts w:ascii="Arial" w:cs="Arial" w:eastAsia="Arial" w:hAnsi="Arial"/>
                <w:sz w:val="11"/>
                <w:szCs w:val="11"/>
                <w:b w:val="1"/>
                <w:bCs w:val="1"/>
                <w:color w:val="auto"/>
              </w:rPr>
              <w:t>-- $360</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For the full year of 2020, the company’s financial forecast includes the impact of the following items:</w:t>
      </w:r>
    </w:p>
    <w:p>
      <w:pPr>
        <w:spacing w:after="0" w:line="6" w:lineRule="exact"/>
        <w:rPr>
          <w:sz w:val="20"/>
          <w:szCs w:val="20"/>
          <w:color w:val="auto"/>
        </w:rPr>
      </w:pPr>
    </w:p>
    <w:p>
      <w:pPr>
        <w:ind w:left="440" w:hanging="215"/>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continued growth in sales of NARCAN Nasal Spray to a range of $285 -- $315 million;</w:t>
      </w:r>
    </w:p>
    <w:p>
      <w:pPr>
        <w:spacing w:after="0" w:line="6" w:lineRule="exact"/>
        <w:rPr>
          <w:rFonts w:ascii="Arial" w:cs="Arial" w:eastAsia="Arial" w:hAnsi="Arial"/>
          <w:sz w:val="12"/>
          <w:szCs w:val="12"/>
          <w:color w:val="auto"/>
        </w:rPr>
      </w:pPr>
    </w:p>
    <w:p>
      <w:pPr>
        <w:ind w:left="440" w:hanging="215"/>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combined deliveries of AV7909 </w:t>
      </w:r>
      <w:r>
        <w:rPr>
          <w:rFonts w:ascii="Arial" w:cs="Arial" w:eastAsia="Arial" w:hAnsi="Arial"/>
          <w:sz w:val="12"/>
          <w:szCs w:val="12"/>
          <w:i w:val="1"/>
          <w:iCs w:val="1"/>
          <w:color w:val="auto"/>
        </w:rPr>
        <w:t>(4)</w:t>
      </w:r>
      <w:r>
        <w:rPr>
          <w:rFonts w:ascii="Arial" w:cs="Arial" w:eastAsia="Arial" w:hAnsi="Arial"/>
          <w:sz w:val="12"/>
          <w:szCs w:val="12"/>
          <w:color w:val="auto"/>
        </w:rPr>
        <w:t xml:space="preserve"> and BioThrax to the Strategic National Stockpile (SNS) in a range of $270 -- $300 million;</w:t>
      </w:r>
    </w:p>
    <w:p>
      <w:pPr>
        <w:spacing w:after="0" w:line="6" w:lineRule="exact"/>
        <w:rPr>
          <w:rFonts w:ascii="Arial" w:cs="Arial" w:eastAsia="Arial" w:hAnsi="Arial"/>
          <w:sz w:val="12"/>
          <w:szCs w:val="12"/>
          <w:color w:val="auto"/>
        </w:rPr>
      </w:pPr>
    </w:p>
    <w:p>
      <w:pPr>
        <w:ind w:left="440" w:hanging="215"/>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deliveries of ACAM2000 in a range of $180 -- $200 million under procurement contracts with the U.S. government and other foreign governments;</w:t>
      </w:r>
    </w:p>
    <w:p>
      <w:pPr>
        <w:spacing w:after="0" w:line="6" w:lineRule="exact"/>
        <w:rPr>
          <w:rFonts w:ascii="Arial" w:cs="Arial" w:eastAsia="Arial" w:hAnsi="Arial"/>
          <w:sz w:val="12"/>
          <w:szCs w:val="12"/>
          <w:color w:val="auto"/>
        </w:rPr>
      </w:pPr>
    </w:p>
    <w:p>
      <w:pPr>
        <w:ind w:left="440" w:hanging="215"/>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deliveries of raxibacumab to the SNS under the anticipated follow-on procurement contract with the ASPR;</w:t>
      </w:r>
    </w:p>
    <w:p>
      <w:pPr>
        <w:spacing w:after="0" w:line="6" w:lineRule="exact"/>
        <w:rPr>
          <w:rFonts w:ascii="Arial" w:cs="Arial" w:eastAsia="Arial" w:hAnsi="Arial"/>
          <w:sz w:val="12"/>
          <w:szCs w:val="12"/>
          <w:color w:val="auto"/>
        </w:rPr>
      </w:pPr>
    </w:p>
    <w:p>
      <w:pPr>
        <w:ind w:left="440" w:hanging="215"/>
        <w:spacing w:after="0" w:line="234" w:lineRule="auto"/>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domestic and international sales of the other medical countermeasures that comprise Other Product sales;</w:t>
      </w:r>
    </w:p>
    <w:p>
      <w:pPr>
        <w:ind w:left="440" w:hanging="215"/>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continued expansion of CMO services revenue;</w:t>
      </w:r>
    </w:p>
    <w:p>
      <w:pPr>
        <w:spacing w:after="0" w:line="6" w:lineRule="exact"/>
        <w:rPr>
          <w:rFonts w:ascii="Arial" w:cs="Arial" w:eastAsia="Arial" w:hAnsi="Arial"/>
          <w:sz w:val="12"/>
          <w:szCs w:val="12"/>
          <w:color w:val="auto"/>
        </w:rPr>
      </w:pPr>
    </w:p>
    <w:p>
      <w:pPr>
        <w:ind w:left="440" w:hanging="215"/>
        <w:spacing w:after="0" w:line="234" w:lineRule="auto"/>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continued improvement of gross margin in a range of 200 -- 400 basis points, driven by improved product mix; and</w:t>
      </w:r>
    </w:p>
    <w:p>
      <w:pPr>
        <w:ind w:left="440" w:right="40" w:hanging="215"/>
        <w:spacing w:after="0" w:line="246" w:lineRule="auto"/>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continued investment in discretionary development projects funded by the company, most notably the anticipated Phase 3 studies for both the Chikungunya and FLU-IGIV product candidates, among other R&amp;D projects.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The outlook for 2020 does not include estimates for potential new corporate development or other M&amp;A transactions.</w:t>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PRESENTATION WEBCAST</w:t>
      </w:r>
    </w:p>
    <w:p>
      <w:pPr>
        <w:spacing w:after="0" w:line="20"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The company will provide an update on the current business and discuss preliminary 2019 financial results, the forecast and corporate goals for 2020, and long-term goals for the five-year period 2020-2024 during its presentation at the 38</w:t>
      </w:r>
      <w:r>
        <w:rPr>
          <w:rFonts w:ascii="Arial" w:cs="Arial" w:eastAsia="Arial" w:hAnsi="Arial"/>
          <w:sz w:val="7"/>
          <w:szCs w:val="7"/>
          <w:color w:val="auto"/>
        </w:rPr>
        <w:t>th</w:t>
      </w:r>
      <w:r>
        <w:rPr>
          <w:rFonts w:ascii="Arial" w:cs="Arial" w:eastAsia="Arial" w:hAnsi="Arial"/>
          <w:sz w:val="12"/>
          <w:szCs w:val="12"/>
          <w:color w:val="auto"/>
        </w:rPr>
        <w:t xml:space="preserve"> Annual J.P. Morgan Healthcare Conference on January 14, 2020 at 10:30 AM Pacific time.</w:t>
      </w:r>
    </w:p>
    <w:p>
      <w:pPr>
        <w:spacing w:after="0" w:line="140"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 xml:space="preserve">A live webcast of the presentation can be accessed through Emergent’s website. Visit </w:t>
      </w:r>
      <w:r>
        <w:rPr>
          <w:rFonts w:ascii="Arial" w:cs="Arial" w:eastAsia="Arial" w:hAnsi="Arial"/>
          <w:sz w:val="12"/>
          <w:szCs w:val="12"/>
          <w:u w:val="single" w:color="auto"/>
          <w:color w:val="0000FF"/>
        </w:rPr>
        <w:t>www.emergentbiosolutions.com</w:t>
      </w:r>
      <w:r>
        <w:rPr>
          <w:rFonts w:ascii="Arial" w:cs="Arial" w:eastAsia="Arial" w:hAnsi="Arial"/>
          <w:sz w:val="12"/>
          <w:szCs w:val="12"/>
          <w:color w:val="auto"/>
        </w:rPr>
        <w:t xml:space="preserve"> and select the “</w:t>
      </w:r>
      <w:r>
        <w:rPr>
          <w:rFonts w:ascii="Arial" w:cs="Arial" w:eastAsia="Arial" w:hAnsi="Arial"/>
          <w:sz w:val="12"/>
          <w:szCs w:val="12"/>
          <w:u w:val="single" w:color="auto"/>
          <w:color w:val="0000FF"/>
        </w:rPr>
        <w:t>Investors</w:t>
      </w:r>
      <w:r>
        <w:rPr>
          <w:rFonts w:ascii="Arial" w:cs="Arial" w:eastAsia="Arial" w:hAnsi="Arial"/>
          <w:sz w:val="12"/>
          <w:szCs w:val="12"/>
          <w:color w:val="auto"/>
        </w:rPr>
        <w:t>” section. An on-demand replay of the webcast can also be accessed in the investors section after the presentation has concluded.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FOOTNOTES</w:t>
      </w:r>
    </w:p>
    <w:p>
      <w:pPr>
        <w:spacing w:after="0" w:line="152" w:lineRule="exact"/>
        <w:rPr>
          <w:sz w:val="20"/>
          <w:szCs w:val="20"/>
          <w:color w:val="auto"/>
        </w:rPr>
      </w:pPr>
    </w:p>
    <w:p>
      <w:pPr>
        <w:ind w:left="320" w:right="120" w:hanging="212"/>
        <w:spacing w:after="0" w:line="261" w:lineRule="auto"/>
        <w:tabs>
          <w:tab w:leader="none" w:pos="320" w:val="left"/>
        </w:tabs>
        <w:numPr>
          <w:ilvl w:val="0"/>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Adjusted Net Income margin is defined as Adjusted Net Income divided by total revenues. For the 2019 Preliminary Results, we reference this metric using the midpoints of the relevant factors. Specifically: $155/$1,103 = 14%.</w:t>
      </w:r>
    </w:p>
    <w:p>
      <w:pPr>
        <w:ind w:left="320" w:right="480" w:hanging="212"/>
        <w:spacing w:after="0" w:line="250" w:lineRule="auto"/>
        <w:tabs>
          <w:tab w:leader="none" w:pos="320" w:val="left"/>
        </w:tabs>
        <w:numPr>
          <w:ilvl w:val="0"/>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Adjusted EBITDA margin is defined as Adjusted EBITDA divided by total revenues. For the 2019 Preliminary Results, we reference this metric using the midpoints of the relevant factors. Specifically: $285/$1,103 = 26%.</w:t>
      </w:r>
    </w:p>
    <w:p>
      <w:pPr>
        <w:ind w:left="320" w:hanging="212"/>
        <w:spacing w:after="0"/>
        <w:tabs>
          <w:tab w:leader="none" w:pos="320" w:val="left"/>
        </w:tabs>
        <w:numPr>
          <w:ilvl w:val="0"/>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See “Reconciliation of Net Income to Adjusted Net Income, EBITDA and Adjusted EBITDA” for a definition of terms and a reconciliation tables.</w:t>
      </w:r>
    </w:p>
    <w:p>
      <w:pPr>
        <w:sectPr>
          <w:pgSz w:w="11900" w:h="16838" w:orient="portrait"/>
          <w:cols w:equalWidth="0" w:num="1">
            <w:col w:w="11280"/>
          </w:cols>
          <w:pgMar w:left="320" w:top="269" w:right="299" w:bottom="1440" w:gutter="0" w:footer="0" w:header="0"/>
        </w:sectPr>
      </w:pPr>
    </w:p>
    <w:bookmarkStart w:id="4" w:name="page5"/>
    <w:bookmarkEnd w:id="4"/>
    <w:p>
      <w:pPr>
        <w:ind w:left="100"/>
        <w:spacing w:after="0"/>
        <w:rPr>
          <w:sz w:val="20"/>
          <w:szCs w:val="20"/>
          <w:color w:val="auto"/>
        </w:rPr>
      </w:pPr>
      <w:r>
        <w:rPr>
          <w:rFonts w:ascii="Arial" w:cs="Arial" w:eastAsia="Arial" w:hAnsi="Arial"/>
          <w:sz w:val="12"/>
          <w:szCs w:val="12"/>
          <w:i w:val="1"/>
          <w:iCs w:val="1"/>
          <w:color w:val="auto"/>
        </w:rPr>
        <w:t>(4) AV7909 is a product candidate not yet approved by the FDA or any other health regulatory agency but procured by the U.S. government under special circumstances.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RECONCILIATION OF NET INCOME TO ADJUSTED NET INCOME, EBITDA AND ADJUSTED EBITDA</w:t>
      </w:r>
    </w:p>
    <w:p>
      <w:pPr>
        <w:spacing w:after="0" w:line="78"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 xml:space="preserve">This press release contains five financial measures </w:t>
      </w:r>
      <w:r>
        <w:rPr>
          <w:rFonts w:ascii="Arial" w:cs="Arial" w:eastAsia="Arial" w:hAnsi="Arial"/>
          <w:sz w:val="12"/>
          <w:szCs w:val="12"/>
          <w:b w:val="1"/>
          <w:bCs w:val="1"/>
          <w:color w:val="auto"/>
        </w:rPr>
        <w:t>(Adjusted Net Income, Adjusted Net Income margin, EBITDA (Earnings Before Interest, Taxes, Depreciation and Amortization), Adjusted EBITDA and</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Adjusted EBITDA margin) </w:t>
      </w:r>
      <w:r>
        <w:rPr>
          <w:rFonts w:ascii="Arial" w:cs="Arial" w:eastAsia="Arial" w:hAnsi="Arial"/>
          <w:sz w:val="12"/>
          <w:szCs w:val="12"/>
          <w:color w:val="auto"/>
        </w:rPr>
        <w:t>that are considered “non-GAAP” financial measures under applicable Securities and Exchange Commission rules and regulations. These non-GAAP financial measures should be</w:t>
      </w:r>
      <w:r>
        <w:rPr>
          <w:rFonts w:ascii="Arial" w:cs="Arial" w:eastAsia="Arial" w:hAnsi="Arial"/>
          <w:sz w:val="12"/>
          <w:szCs w:val="12"/>
          <w:b w:val="1"/>
          <w:bCs w:val="1"/>
          <w:color w:val="auto"/>
        </w:rPr>
        <w:t xml:space="preserve"> </w:t>
      </w:r>
      <w:r>
        <w:rPr>
          <w:rFonts w:ascii="Arial" w:cs="Arial" w:eastAsia="Arial" w:hAnsi="Arial"/>
          <w:sz w:val="12"/>
          <w:szCs w:val="12"/>
          <w:color w:val="auto"/>
        </w:rPr>
        <w:t>considered supplemental to and not a substitute for financial information prepared in accordance with generally accepted accounting principles. The Company’s definition of these non-GAAP measures may differ from similarly titled measures used by others. Adjusted Net Income adjusts for specified items that can be highly variable or difficult to predict, or reflect the non-cash impact of charges resulting from purchase accounting. All adjustments are tax effected utilizing the federal statutory tax rate for the US, except for changes in the fair value of contingent consideration as the vast majority is non-deductible for tax purposes. Adjusted Net Income margin is defined as Adjusted Net Income divided by total revenues. EBITDA reflects net income excluding the impact of depreciation, amortization, interest expense and provision for income taxes. Adjusted EBITDA also excludes specified items that can be highly variable and the non-cash impact of certain purchase accounting adjustments. Adjusted EBITDA margin is defined as Adjusted EBITDA divided by total revenues.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Reconciliation of Net Income to Adjusted Net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93345</wp:posOffset>
            </wp:positionV>
            <wp:extent cx="6925945" cy="1955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5945" cy="1955800"/>
                    </a:xfrm>
                    <a:prstGeom prst="rect">
                      <a:avLst/>
                    </a:prstGeom>
                    <a:noFill/>
                  </pic:spPr>
                </pic:pic>
              </a:graphicData>
            </a:graphic>
          </wp:anchor>
        </w:drawing>
      </w:r>
    </w:p>
    <w:p>
      <w:pPr>
        <w:spacing w:after="0" w:line="127" w:lineRule="exact"/>
        <w:rPr>
          <w:sz w:val="20"/>
          <w:szCs w:val="20"/>
          <w:color w:val="auto"/>
        </w:rPr>
      </w:pPr>
    </w:p>
    <w:tbl>
      <w:tblPr>
        <w:tblLayout w:type="fixed"/>
        <w:tblInd w:w="100" w:type="dxa"/>
        <w:tblCellMar>
          <w:top w:w="0" w:type="dxa"/>
          <w:left w:w="0" w:type="dxa"/>
          <w:bottom w:w="0" w:type="dxa"/>
          <w:right w:w="0" w:type="dxa"/>
        </w:tblCellMar>
      </w:tblPr>
      <w:tr>
        <w:trPr>
          <w:trHeight w:val="221"/>
        </w:trPr>
        <w:tc>
          <w:tcPr>
            <w:tcW w:w="3920" w:type="dxa"/>
            <w:vAlign w:val="bottom"/>
            <w:vMerge w:val="restart"/>
            <w:shd w:val="clear" w:color="auto" w:fill="0E233D"/>
          </w:tcPr>
          <w:p>
            <w:pPr>
              <w:ind w:left="1700"/>
              <w:spacing w:after="0"/>
              <w:rPr>
                <w:sz w:val="20"/>
                <w:szCs w:val="20"/>
                <w:color w:val="auto"/>
              </w:rPr>
            </w:pPr>
            <w:r>
              <w:rPr>
                <w:rFonts w:ascii="Arial" w:cs="Arial" w:eastAsia="Arial" w:hAnsi="Arial"/>
                <w:sz w:val="11"/>
                <w:szCs w:val="11"/>
                <w:b w:val="1"/>
                <w:bCs w:val="1"/>
                <w:color w:val="FFFFFF"/>
              </w:rPr>
              <w:t>($ in millions)</w:t>
            </w:r>
          </w:p>
        </w:tc>
        <w:tc>
          <w:tcPr>
            <w:tcW w:w="1740" w:type="dxa"/>
            <w:vAlign w:val="bottom"/>
            <w:shd w:val="clear" w:color="auto" w:fill="0E233D"/>
          </w:tcPr>
          <w:p>
            <w:pPr>
              <w:spacing w:after="0"/>
              <w:rPr>
                <w:sz w:val="19"/>
                <w:szCs w:val="19"/>
                <w:color w:val="auto"/>
              </w:rPr>
            </w:pPr>
          </w:p>
        </w:tc>
        <w:tc>
          <w:tcPr>
            <w:tcW w:w="3500" w:type="dxa"/>
            <w:vAlign w:val="bottom"/>
            <w:gridSpan w:val="2"/>
            <w:shd w:val="clear" w:color="auto" w:fill="0E233D"/>
          </w:tcPr>
          <w:p>
            <w:pPr>
              <w:ind w:left="920"/>
              <w:spacing w:after="0"/>
              <w:rPr>
                <w:sz w:val="20"/>
                <w:szCs w:val="20"/>
                <w:color w:val="auto"/>
              </w:rPr>
            </w:pPr>
            <w:r>
              <w:rPr>
                <w:rFonts w:ascii="Arial" w:cs="Arial" w:eastAsia="Arial" w:hAnsi="Arial"/>
                <w:sz w:val="11"/>
                <w:szCs w:val="11"/>
                <w:b w:val="1"/>
                <w:bCs w:val="1"/>
                <w:color w:val="FFFFFF"/>
              </w:rPr>
              <w:t>Twelve Months Ended December 31,</w:t>
            </w:r>
          </w:p>
        </w:tc>
        <w:tc>
          <w:tcPr>
            <w:tcW w:w="1720" w:type="dxa"/>
            <w:vAlign w:val="bottom"/>
            <w:shd w:val="clear" w:color="auto" w:fill="0E233D"/>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920" w:type="dxa"/>
            <w:vAlign w:val="bottom"/>
            <w:vMerge w:val="continue"/>
            <w:shd w:val="clear" w:color="auto" w:fill="0E233D"/>
          </w:tcPr>
          <w:p>
            <w:pPr>
              <w:spacing w:after="0"/>
              <w:rPr>
                <w:sz w:val="5"/>
                <w:szCs w:val="5"/>
                <w:color w:val="auto"/>
              </w:rPr>
            </w:pPr>
          </w:p>
        </w:tc>
        <w:tc>
          <w:tcPr>
            <w:tcW w:w="1740" w:type="dxa"/>
            <w:vAlign w:val="bottom"/>
            <w:shd w:val="clear" w:color="auto" w:fill="0E233D"/>
          </w:tcPr>
          <w:p>
            <w:pPr>
              <w:spacing w:after="0"/>
              <w:rPr>
                <w:sz w:val="5"/>
                <w:szCs w:val="5"/>
                <w:color w:val="auto"/>
              </w:rPr>
            </w:pPr>
          </w:p>
        </w:tc>
        <w:tc>
          <w:tcPr>
            <w:tcW w:w="1760" w:type="dxa"/>
            <w:vAlign w:val="bottom"/>
            <w:shd w:val="clear" w:color="auto" w:fill="0E233D"/>
          </w:tcPr>
          <w:p>
            <w:pPr>
              <w:spacing w:after="0"/>
              <w:rPr>
                <w:sz w:val="5"/>
                <w:szCs w:val="5"/>
                <w:color w:val="auto"/>
              </w:rPr>
            </w:pPr>
          </w:p>
        </w:tc>
        <w:tc>
          <w:tcPr>
            <w:tcW w:w="1740" w:type="dxa"/>
            <w:vAlign w:val="bottom"/>
            <w:shd w:val="clear" w:color="auto" w:fill="0E233D"/>
          </w:tcPr>
          <w:p>
            <w:pPr>
              <w:spacing w:after="0"/>
              <w:rPr>
                <w:sz w:val="5"/>
                <w:szCs w:val="5"/>
                <w:color w:val="auto"/>
              </w:rPr>
            </w:pPr>
          </w:p>
        </w:tc>
        <w:tc>
          <w:tcPr>
            <w:tcW w:w="1720" w:type="dxa"/>
            <w:vAlign w:val="bottom"/>
            <w:shd w:val="clear" w:color="auto" w:fill="0E233D"/>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920" w:type="dxa"/>
            <w:vAlign w:val="bottom"/>
            <w:shd w:val="clear" w:color="auto" w:fill="0E233D"/>
          </w:tcPr>
          <w:p>
            <w:pPr>
              <w:spacing w:after="0"/>
              <w:rPr>
                <w:sz w:val="13"/>
                <w:szCs w:val="13"/>
                <w:color w:val="auto"/>
              </w:rPr>
            </w:pPr>
          </w:p>
        </w:tc>
        <w:tc>
          <w:tcPr>
            <w:tcW w:w="1740" w:type="dxa"/>
            <w:vAlign w:val="bottom"/>
            <w:shd w:val="clear" w:color="auto" w:fill="0E233D"/>
          </w:tcPr>
          <w:p>
            <w:pPr>
              <w:jc w:val="right"/>
              <w:ind w:right="586"/>
              <w:spacing w:after="0"/>
              <w:rPr>
                <w:sz w:val="20"/>
                <w:szCs w:val="20"/>
                <w:color w:val="auto"/>
              </w:rPr>
            </w:pPr>
            <w:r>
              <w:rPr>
                <w:rFonts w:ascii="Arial" w:cs="Arial" w:eastAsia="Arial" w:hAnsi="Arial"/>
                <w:sz w:val="11"/>
                <w:szCs w:val="11"/>
                <w:b w:val="1"/>
                <w:bCs w:val="1"/>
                <w:color w:val="FFFFFF"/>
              </w:rPr>
              <w:t>2020</w:t>
            </w:r>
          </w:p>
        </w:tc>
        <w:tc>
          <w:tcPr>
            <w:tcW w:w="1760" w:type="dxa"/>
            <w:vAlign w:val="bottom"/>
            <w:shd w:val="clear" w:color="auto" w:fill="0E233D"/>
          </w:tcPr>
          <w:p>
            <w:pPr>
              <w:jc w:val="right"/>
              <w:ind w:right="587"/>
              <w:spacing w:after="0"/>
              <w:rPr>
                <w:sz w:val="20"/>
                <w:szCs w:val="20"/>
                <w:color w:val="auto"/>
              </w:rPr>
            </w:pPr>
            <w:r>
              <w:rPr>
                <w:rFonts w:ascii="Arial" w:cs="Arial" w:eastAsia="Arial" w:hAnsi="Arial"/>
                <w:sz w:val="11"/>
                <w:szCs w:val="11"/>
                <w:b w:val="1"/>
                <w:bCs w:val="1"/>
                <w:color w:val="FFFFFF"/>
              </w:rPr>
              <w:t>2019</w:t>
            </w:r>
          </w:p>
        </w:tc>
        <w:tc>
          <w:tcPr>
            <w:tcW w:w="1740" w:type="dxa"/>
            <w:vAlign w:val="bottom"/>
            <w:shd w:val="clear" w:color="auto" w:fill="0E233D"/>
          </w:tcPr>
          <w:p>
            <w:pPr>
              <w:jc w:val="right"/>
              <w:ind w:right="606"/>
              <w:spacing w:after="0"/>
              <w:rPr>
                <w:sz w:val="20"/>
                <w:szCs w:val="20"/>
                <w:color w:val="auto"/>
              </w:rPr>
            </w:pPr>
            <w:r>
              <w:rPr>
                <w:rFonts w:ascii="Arial" w:cs="Arial" w:eastAsia="Arial" w:hAnsi="Arial"/>
                <w:sz w:val="11"/>
                <w:szCs w:val="11"/>
                <w:b w:val="1"/>
                <w:bCs w:val="1"/>
                <w:color w:val="FFFFFF"/>
              </w:rPr>
              <w:t>2018</w:t>
            </w:r>
          </w:p>
        </w:tc>
        <w:tc>
          <w:tcPr>
            <w:tcW w:w="1720" w:type="dxa"/>
            <w:vAlign w:val="bottom"/>
            <w:shd w:val="clear" w:color="auto" w:fill="0E233D"/>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20" w:type="dxa"/>
            <w:vAlign w:val="bottom"/>
            <w:shd w:val="clear" w:color="auto" w:fill="0E233D"/>
          </w:tcPr>
          <w:p>
            <w:pPr>
              <w:spacing w:after="0"/>
              <w:rPr>
                <w:sz w:val="13"/>
                <w:szCs w:val="13"/>
                <w:color w:val="auto"/>
              </w:rPr>
            </w:pPr>
          </w:p>
        </w:tc>
        <w:tc>
          <w:tcPr>
            <w:tcW w:w="1740" w:type="dxa"/>
            <w:vAlign w:val="bottom"/>
            <w:shd w:val="clear" w:color="auto" w:fill="0E233D"/>
          </w:tcPr>
          <w:p>
            <w:pPr>
              <w:jc w:val="center"/>
              <w:ind w:left="146"/>
              <w:spacing w:after="0"/>
              <w:rPr>
                <w:sz w:val="20"/>
                <w:szCs w:val="20"/>
                <w:color w:val="auto"/>
              </w:rPr>
            </w:pPr>
            <w:r>
              <w:rPr>
                <w:rFonts w:ascii="Arial" w:cs="Arial" w:eastAsia="Arial" w:hAnsi="Arial"/>
                <w:sz w:val="11"/>
                <w:szCs w:val="11"/>
                <w:b w:val="1"/>
                <w:bCs w:val="1"/>
                <w:color w:val="FFFFFF"/>
              </w:rPr>
              <w:t>(Forecast)</w:t>
            </w:r>
          </w:p>
        </w:tc>
        <w:tc>
          <w:tcPr>
            <w:tcW w:w="1760" w:type="dxa"/>
            <w:vAlign w:val="bottom"/>
            <w:shd w:val="clear" w:color="auto" w:fill="0E233D"/>
          </w:tcPr>
          <w:p>
            <w:pPr>
              <w:jc w:val="right"/>
              <w:ind w:right="447"/>
              <w:spacing w:after="0"/>
              <w:rPr>
                <w:sz w:val="20"/>
                <w:szCs w:val="20"/>
                <w:color w:val="auto"/>
              </w:rPr>
            </w:pPr>
            <w:r>
              <w:rPr>
                <w:rFonts w:ascii="Arial" w:cs="Arial" w:eastAsia="Arial" w:hAnsi="Arial"/>
                <w:sz w:val="11"/>
                <w:szCs w:val="11"/>
                <w:b w:val="1"/>
                <w:bCs w:val="1"/>
                <w:color w:val="FFFFFF"/>
              </w:rPr>
              <w:t>(Estimated)</w:t>
            </w:r>
          </w:p>
        </w:tc>
        <w:tc>
          <w:tcPr>
            <w:tcW w:w="1740" w:type="dxa"/>
            <w:vAlign w:val="bottom"/>
            <w:shd w:val="clear" w:color="auto" w:fill="0E233D"/>
          </w:tcPr>
          <w:p>
            <w:pPr>
              <w:jc w:val="center"/>
              <w:ind w:left="126"/>
              <w:spacing w:after="0"/>
              <w:rPr>
                <w:sz w:val="20"/>
                <w:szCs w:val="20"/>
                <w:color w:val="auto"/>
              </w:rPr>
            </w:pPr>
            <w:r>
              <w:rPr>
                <w:rFonts w:ascii="Arial" w:cs="Arial" w:eastAsia="Arial" w:hAnsi="Arial"/>
                <w:sz w:val="11"/>
                <w:szCs w:val="11"/>
                <w:b w:val="1"/>
                <w:bCs w:val="1"/>
                <w:color w:val="FFFFFF"/>
                <w:w w:val="97"/>
              </w:rPr>
              <w:t>(Actual)</w:t>
            </w:r>
          </w:p>
        </w:tc>
        <w:tc>
          <w:tcPr>
            <w:tcW w:w="1720" w:type="dxa"/>
            <w:vAlign w:val="bottom"/>
            <w:shd w:val="clear" w:color="auto" w:fill="0E233D"/>
          </w:tcPr>
          <w:p>
            <w:pPr>
              <w:ind w:left="780"/>
              <w:spacing w:after="0"/>
              <w:rPr>
                <w:sz w:val="20"/>
                <w:szCs w:val="20"/>
                <w:color w:val="auto"/>
              </w:rPr>
            </w:pPr>
            <w:r>
              <w:rPr>
                <w:rFonts w:ascii="Arial" w:cs="Arial" w:eastAsia="Arial" w:hAnsi="Arial"/>
                <w:sz w:val="11"/>
                <w:szCs w:val="11"/>
                <w:b w:val="1"/>
                <w:bCs w:val="1"/>
                <w:color w:val="FFFFFF"/>
              </w:rPr>
              <w:t>Source</w:t>
            </w:r>
          </w:p>
        </w:tc>
        <w:tc>
          <w:tcPr>
            <w:tcW w:w="0" w:type="dxa"/>
            <w:vAlign w:val="bottom"/>
          </w:tcPr>
          <w:p>
            <w:pPr>
              <w:spacing w:after="0"/>
              <w:rPr>
                <w:sz w:val="1"/>
                <w:szCs w:val="1"/>
                <w:color w:val="auto"/>
              </w:rPr>
            </w:pPr>
          </w:p>
        </w:tc>
      </w:tr>
      <w:tr>
        <w:trPr>
          <w:trHeight w:val="225"/>
        </w:trPr>
        <w:tc>
          <w:tcPr>
            <w:tcW w:w="3920" w:type="dxa"/>
            <w:vAlign w:val="bottom"/>
            <w:shd w:val="clear" w:color="auto" w:fill="ACACAC"/>
          </w:tcPr>
          <w:p>
            <w:pPr>
              <w:ind w:left="60"/>
              <w:spacing w:after="0"/>
              <w:rPr>
                <w:sz w:val="20"/>
                <w:szCs w:val="20"/>
                <w:color w:val="auto"/>
              </w:rPr>
            </w:pPr>
            <w:r>
              <w:rPr>
                <w:rFonts w:ascii="Arial" w:cs="Arial" w:eastAsia="Arial" w:hAnsi="Arial"/>
                <w:sz w:val="11"/>
                <w:szCs w:val="11"/>
                <w:b w:val="1"/>
                <w:bCs w:val="1"/>
                <w:color w:val="auto"/>
              </w:rPr>
              <w:t>Net Income</w:t>
            </w:r>
          </w:p>
        </w:tc>
        <w:tc>
          <w:tcPr>
            <w:tcW w:w="1740" w:type="dxa"/>
            <w:vAlign w:val="bottom"/>
            <w:shd w:val="clear" w:color="auto" w:fill="ACACAC"/>
          </w:tcPr>
          <w:p>
            <w:pPr>
              <w:ind w:left="500"/>
              <w:spacing w:after="0"/>
              <w:rPr>
                <w:sz w:val="20"/>
                <w:szCs w:val="20"/>
                <w:color w:val="auto"/>
              </w:rPr>
            </w:pPr>
            <w:r>
              <w:rPr>
                <w:rFonts w:ascii="Arial" w:cs="Arial" w:eastAsia="Arial" w:hAnsi="Arial"/>
                <w:sz w:val="11"/>
                <w:szCs w:val="11"/>
                <w:b w:val="1"/>
                <w:bCs w:val="1"/>
                <w:color w:val="auto"/>
              </w:rPr>
              <w:t>$105.0 to $155.0</w:t>
            </w:r>
          </w:p>
        </w:tc>
        <w:tc>
          <w:tcPr>
            <w:tcW w:w="1760" w:type="dxa"/>
            <w:vAlign w:val="bottom"/>
            <w:shd w:val="clear" w:color="auto" w:fill="ACACAC"/>
          </w:tcPr>
          <w:p>
            <w:pPr>
              <w:jc w:val="right"/>
              <w:ind w:right="447"/>
              <w:spacing w:after="0"/>
              <w:rPr>
                <w:sz w:val="20"/>
                <w:szCs w:val="20"/>
                <w:color w:val="auto"/>
              </w:rPr>
            </w:pPr>
            <w:r>
              <w:rPr>
                <w:rFonts w:ascii="Arial" w:cs="Arial" w:eastAsia="Arial" w:hAnsi="Arial"/>
                <w:sz w:val="11"/>
                <w:szCs w:val="11"/>
                <w:b w:val="1"/>
                <w:bCs w:val="1"/>
                <w:color w:val="auto"/>
              </w:rPr>
              <w:t>$53.0 to $63.0</w:t>
            </w:r>
          </w:p>
        </w:tc>
        <w:tc>
          <w:tcPr>
            <w:tcW w:w="1740" w:type="dxa"/>
            <w:vAlign w:val="bottom"/>
            <w:shd w:val="clear" w:color="auto" w:fill="ACACAC"/>
          </w:tcPr>
          <w:p>
            <w:pPr>
              <w:jc w:val="center"/>
              <w:spacing w:after="0"/>
              <w:rPr>
                <w:sz w:val="20"/>
                <w:szCs w:val="20"/>
                <w:color w:val="auto"/>
              </w:rPr>
            </w:pPr>
            <w:r>
              <w:rPr>
                <w:rFonts w:ascii="Arial" w:cs="Arial" w:eastAsia="Arial" w:hAnsi="Arial"/>
                <w:sz w:val="11"/>
                <w:szCs w:val="11"/>
                <w:b w:val="1"/>
                <w:bCs w:val="1"/>
                <w:color w:val="auto"/>
                <w:w w:val="94"/>
              </w:rPr>
              <w:t>$62.7</w:t>
            </w:r>
          </w:p>
        </w:tc>
        <w:tc>
          <w:tcPr>
            <w:tcW w:w="1720" w:type="dxa"/>
            <w:vAlign w:val="bottom"/>
            <w:shd w:val="clear" w:color="auto" w:fill="ACACAC"/>
          </w:tcPr>
          <w:p>
            <w:pPr>
              <w:jc w:val="center"/>
              <w:ind w:left="6"/>
              <w:spacing w:after="0"/>
              <w:rPr>
                <w:sz w:val="20"/>
                <w:szCs w:val="20"/>
                <w:color w:val="auto"/>
              </w:rPr>
            </w:pPr>
            <w:r>
              <w:rPr>
                <w:rFonts w:ascii="Arial" w:cs="Arial" w:eastAsia="Arial" w:hAnsi="Arial"/>
                <w:sz w:val="11"/>
                <w:szCs w:val="11"/>
                <w:b w:val="1"/>
                <w:bCs w:val="1"/>
                <w:color w:val="auto"/>
                <w:w w:val="87"/>
              </w:rPr>
              <w:t>NA</w:t>
            </w:r>
          </w:p>
        </w:tc>
        <w:tc>
          <w:tcPr>
            <w:tcW w:w="0" w:type="dxa"/>
            <w:vAlign w:val="bottom"/>
          </w:tcPr>
          <w:p>
            <w:pPr>
              <w:spacing w:after="0"/>
              <w:rPr>
                <w:sz w:val="1"/>
                <w:szCs w:val="1"/>
                <w:color w:val="auto"/>
              </w:rPr>
            </w:pPr>
          </w:p>
        </w:tc>
      </w:tr>
      <w:tr>
        <w:trPr>
          <w:trHeight w:val="212"/>
        </w:trPr>
        <w:tc>
          <w:tcPr>
            <w:tcW w:w="3920" w:type="dxa"/>
            <w:vAlign w:val="bottom"/>
            <w:shd w:val="clear" w:color="auto" w:fill="D9D9D9"/>
          </w:tcPr>
          <w:p>
            <w:pPr>
              <w:ind w:left="60"/>
              <w:spacing w:after="0"/>
              <w:rPr>
                <w:sz w:val="20"/>
                <w:szCs w:val="20"/>
                <w:color w:val="auto"/>
              </w:rPr>
            </w:pPr>
            <w:r>
              <w:rPr>
                <w:rFonts w:ascii="Arial" w:cs="Arial" w:eastAsia="Arial" w:hAnsi="Arial"/>
                <w:sz w:val="11"/>
                <w:szCs w:val="11"/>
                <w:color w:val="auto"/>
              </w:rPr>
              <w:t>Adjustments:</w:t>
            </w:r>
          </w:p>
        </w:tc>
        <w:tc>
          <w:tcPr>
            <w:tcW w:w="1740" w:type="dxa"/>
            <w:vAlign w:val="bottom"/>
            <w:shd w:val="clear" w:color="auto" w:fill="D9D9D9"/>
          </w:tcPr>
          <w:p>
            <w:pPr>
              <w:spacing w:after="0"/>
              <w:rPr>
                <w:sz w:val="18"/>
                <w:szCs w:val="18"/>
                <w:color w:val="auto"/>
              </w:rPr>
            </w:pPr>
          </w:p>
        </w:tc>
        <w:tc>
          <w:tcPr>
            <w:tcW w:w="1760" w:type="dxa"/>
            <w:vAlign w:val="bottom"/>
            <w:shd w:val="clear" w:color="auto" w:fill="D9D9D9"/>
          </w:tcPr>
          <w:p>
            <w:pPr>
              <w:spacing w:after="0"/>
              <w:rPr>
                <w:sz w:val="18"/>
                <w:szCs w:val="18"/>
                <w:color w:val="auto"/>
              </w:rPr>
            </w:pPr>
          </w:p>
        </w:tc>
        <w:tc>
          <w:tcPr>
            <w:tcW w:w="1740" w:type="dxa"/>
            <w:vAlign w:val="bottom"/>
            <w:shd w:val="clear" w:color="auto" w:fill="D9D9D9"/>
          </w:tcPr>
          <w:p>
            <w:pPr>
              <w:spacing w:after="0"/>
              <w:rPr>
                <w:sz w:val="18"/>
                <w:szCs w:val="18"/>
                <w:color w:val="auto"/>
              </w:rPr>
            </w:pPr>
          </w:p>
        </w:tc>
        <w:tc>
          <w:tcPr>
            <w:tcW w:w="172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D9D9D9"/>
          </w:tcPr>
          <w:p>
            <w:pPr>
              <w:ind w:left="60"/>
              <w:spacing w:after="0"/>
              <w:rPr>
                <w:sz w:val="20"/>
                <w:szCs w:val="20"/>
                <w:color w:val="auto"/>
              </w:rPr>
            </w:pPr>
            <w:r>
              <w:rPr>
                <w:rFonts w:ascii="Arial" w:cs="Arial" w:eastAsia="Arial" w:hAnsi="Arial"/>
                <w:sz w:val="11"/>
                <w:szCs w:val="11"/>
                <w:color w:val="auto"/>
              </w:rPr>
              <w:t>+ Non-cash amortization charges</w:t>
            </w:r>
          </w:p>
        </w:tc>
        <w:tc>
          <w:tcPr>
            <w:tcW w:w="174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3"/>
              </w:rPr>
              <w:t>64.0</w:t>
            </w:r>
          </w:p>
        </w:tc>
        <w:tc>
          <w:tcPr>
            <w:tcW w:w="1760" w:type="dxa"/>
            <w:vAlign w:val="bottom"/>
            <w:shd w:val="clear" w:color="auto" w:fill="D9D9D9"/>
          </w:tcPr>
          <w:p>
            <w:pPr>
              <w:jc w:val="center"/>
              <w:ind w:left="7"/>
              <w:spacing w:after="0"/>
              <w:rPr>
                <w:sz w:val="20"/>
                <w:szCs w:val="20"/>
                <w:color w:val="auto"/>
              </w:rPr>
            </w:pPr>
            <w:r>
              <w:rPr>
                <w:rFonts w:ascii="Arial" w:cs="Arial" w:eastAsia="Arial" w:hAnsi="Arial"/>
                <w:sz w:val="11"/>
                <w:szCs w:val="11"/>
                <w:color w:val="auto"/>
              </w:rPr>
              <w:t>61.0</w:t>
            </w:r>
          </w:p>
        </w:tc>
        <w:tc>
          <w:tcPr>
            <w:tcW w:w="1740" w:type="dxa"/>
            <w:vAlign w:val="bottom"/>
            <w:shd w:val="clear" w:color="auto" w:fill="D9D9D9"/>
          </w:tcPr>
          <w:p>
            <w:pPr>
              <w:jc w:val="center"/>
              <w:spacing w:after="0"/>
              <w:rPr>
                <w:sz w:val="20"/>
                <w:szCs w:val="20"/>
                <w:color w:val="auto"/>
              </w:rPr>
            </w:pPr>
            <w:r>
              <w:rPr>
                <w:rFonts w:ascii="Arial" w:cs="Arial" w:eastAsia="Arial" w:hAnsi="Arial"/>
                <w:sz w:val="11"/>
                <w:szCs w:val="11"/>
                <w:color w:val="auto"/>
              </w:rPr>
              <w:t>25.9</w:t>
            </w:r>
          </w:p>
        </w:tc>
        <w:tc>
          <w:tcPr>
            <w:tcW w:w="172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8"/>
              </w:rPr>
              <w:t>SG&amp;A, Other Income</w:t>
            </w:r>
          </w:p>
        </w:tc>
        <w:tc>
          <w:tcPr>
            <w:tcW w:w="0" w:type="dxa"/>
            <w:vAlign w:val="bottom"/>
          </w:tcPr>
          <w:p>
            <w:pPr>
              <w:spacing w:after="0"/>
              <w:rPr>
                <w:sz w:val="1"/>
                <w:szCs w:val="1"/>
                <w:color w:val="auto"/>
              </w:rPr>
            </w:pPr>
          </w:p>
        </w:tc>
      </w:tr>
      <w:tr>
        <w:trPr>
          <w:trHeight w:val="225"/>
        </w:trPr>
        <w:tc>
          <w:tcPr>
            <w:tcW w:w="3920" w:type="dxa"/>
            <w:vAlign w:val="bottom"/>
            <w:shd w:val="clear" w:color="auto" w:fill="D9D9D9"/>
          </w:tcPr>
          <w:p>
            <w:pPr>
              <w:ind w:left="60"/>
              <w:spacing w:after="0"/>
              <w:rPr>
                <w:sz w:val="20"/>
                <w:szCs w:val="20"/>
                <w:color w:val="auto"/>
              </w:rPr>
            </w:pPr>
            <w:r>
              <w:rPr>
                <w:rFonts w:ascii="Arial" w:cs="Arial" w:eastAsia="Arial" w:hAnsi="Arial"/>
                <w:sz w:val="11"/>
                <w:szCs w:val="11"/>
                <w:color w:val="auto"/>
              </w:rPr>
              <w:t>+ Change in fair value of contingent consideration</w:t>
            </w:r>
          </w:p>
        </w:tc>
        <w:tc>
          <w:tcPr>
            <w:tcW w:w="174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rPr>
              <w:t>1.0</w:t>
            </w:r>
          </w:p>
        </w:tc>
        <w:tc>
          <w:tcPr>
            <w:tcW w:w="1760" w:type="dxa"/>
            <w:vAlign w:val="bottom"/>
            <w:shd w:val="clear" w:color="auto" w:fill="D9D9D9"/>
          </w:tcPr>
          <w:p>
            <w:pPr>
              <w:jc w:val="center"/>
              <w:ind w:left="7"/>
              <w:spacing w:after="0"/>
              <w:rPr>
                <w:sz w:val="20"/>
                <w:szCs w:val="20"/>
                <w:color w:val="auto"/>
              </w:rPr>
            </w:pPr>
            <w:r>
              <w:rPr>
                <w:rFonts w:ascii="Arial" w:cs="Arial" w:eastAsia="Arial" w:hAnsi="Arial"/>
                <w:sz w:val="11"/>
                <w:szCs w:val="11"/>
                <w:color w:val="auto"/>
              </w:rPr>
              <w:t>24.0</w:t>
            </w:r>
          </w:p>
        </w:tc>
        <w:tc>
          <w:tcPr>
            <w:tcW w:w="174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1"/>
              </w:rPr>
              <w:t>3.1</w:t>
            </w:r>
          </w:p>
        </w:tc>
        <w:tc>
          <w:tcPr>
            <w:tcW w:w="172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w w:val="98"/>
              </w:rPr>
              <w:t>COGS</w:t>
            </w:r>
          </w:p>
        </w:tc>
        <w:tc>
          <w:tcPr>
            <w:tcW w:w="0" w:type="dxa"/>
            <w:vAlign w:val="bottom"/>
          </w:tcPr>
          <w:p>
            <w:pPr>
              <w:spacing w:after="0"/>
              <w:rPr>
                <w:sz w:val="1"/>
                <w:szCs w:val="1"/>
                <w:color w:val="auto"/>
              </w:rPr>
            </w:pPr>
          </w:p>
        </w:tc>
      </w:tr>
      <w:tr>
        <w:trPr>
          <w:trHeight w:val="225"/>
        </w:trPr>
        <w:tc>
          <w:tcPr>
            <w:tcW w:w="3920" w:type="dxa"/>
            <w:vAlign w:val="bottom"/>
            <w:shd w:val="clear" w:color="auto" w:fill="D9D9D9"/>
          </w:tcPr>
          <w:p>
            <w:pPr>
              <w:ind w:left="60"/>
              <w:spacing w:after="0"/>
              <w:rPr>
                <w:sz w:val="20"/>
                <w:szCs w:val="20"/>
                <w:color w:val="auto"/>
              </w:rPr>
            </w:pPr>
            <w:r>
              <w:rPr>
                <w:rFonts w:ascii="Arial" w:cs="Arial" w:eastAsia="Arial" w:hAnsi="Arial"/>
                <w:sz w:val="11"/>
                <w:szCs w:val="11"/>
                <w:color w:val="auto"/>
              </w:rPr>
              <w:t>+ Acquisition-related costs (transaction &amp; integration)</w:t>
            </w:r>
          </w:p>
        </w:tc>
        <w:tc>
          <w:tcPr>
            <w:tcW w:w="174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rPr>
              <w:t>4.0</w:t>
            </w:r>
          </w:p>
        </w:tc>
        <w:tc>
          <w:tcPr>
            <w:tcW w:w="1760" w:type="dxa"/>
            <w:vAlign w:val="bottom"/>
            <w:shd w:val="clear" w:color="auto" w:fill="D9D9D9"/>
          </w:tcPr>
          <w:p>
            <w:pPr>
              <w:jc w:val="center"/>
              <w:ind w:left="7"/>
              <w:spacing w:after="0"/>
              <w:rPr>
                <w:sz w:val="20"/>
                <w:szCs w:val="20"/>
                <w:color w:val="auto"/>
              </w:rPr>
            </w:pPr>
            <w:r>
              <w:rPr>
                <w:rFonts w:ascii="Arial" w:cs="Arial" w:eastAsia="Arial" w:hAnsi="Arial"/>
                <w:sz w:val="11"/>
                <w:szCs w:val="11"/>
                <w:color w:val="auto"/>
              </w:rPr>
              <w:t>13.0</w:t>
            </w:r>
          </w:p>
        </w:tc>
        <w:tc>
          <w:tcPr>
            <w:tcW w:w="1740" w:type="dxa"/>
            <w:vAlign w:val="bottom"/>
            <w:shd w:val="clear" w:color="auto" w:fill="D9D9D9"/>
          </w:tcPr>
          <w:p>
            <w:pPr>
              <w:jc w:val="center"/>
              <w:spacing w:after="0"/>
              <w:rPr>
                <w:sz w:val="20"/>
                <w:szCs w:val="20"/>
                <w:color w:val="auto"/>
              </w:rPr>
            </w:pPr>
            <w:r>
              <w:rPr>
                <w:rFonts w:ascii="Arial" w:cs="Arial" w:eastAsia="Arial" w:hAnsi="Arial"/>
                <w:sz w:val="11"/>
                <w:szCs w:val="11"/>
                <w:color w:val="auto"/>
              </w:rPr>
              <w:t>27.3</w:t>
            </w:r>
          </w:p>
        </w:tc>
        <w:tc>
          <w:tcPr>
            <w:tcW w:w="172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7"/>
              </w:rPr>
              <w:t>SG&amp;A</w:t>
            </w:r>
          </w:p>
        </w:tc>
        <w:tc>
          <w:tcPr>
            <w:tcW w:w="0" w:type="dxa"/>
            <w:vAlign w:val="bottom"/>
          </w:tcPr>
          <w:p>
            <w:pPr>
              <w:spacing w:after="0"/>
              <w:rPr>
                <w:sz w:val="1"/>
                <w:szCs w:val="1"/>
                <w:color w:val="auto"/>
              </w:rPr>
            </w:pPr>
          </w:p>
        </w:tc>
      </w:tr>
      <w:tr>
        <w:trPr>
          <w:trHeight w:val="225"/>
        </w:trPr>
        <w:tc>
          <w:tcPr>
            <w:tcW w:w="3920" w:type="dxa"/>
            <w:vAlign w:val="bottom"/>
            <w:shd w:val="clear" w:color="auto" w:fill="D9D9D9"/>
          </w:tcPr>
          <w:p>
            <w:pPr>
              <w:ind w:left="60"/>
              <w:spacing w:after="0"/>
              <w:rPr>
                <w:sz w:val="20"/>
                <w:szCs w:val="20"/>
                <w:color w:val="auto"/>
              </w:rPr>
            </w:pPr>
            <w:r>
              <w:rPr>
                <w:rFonts w:ascii="Arial" w:cs="Arial" w:eastAsia="Arial" w:hAnsi="Arial"/>
                <w:sz w:val="11"/>
                <w:szCs w:val="11"/>
                <w:color w:val="auto"/>
              </w:rPr>
              <w:t>+ IPR&amp;D intangible asset impairment</w:t>
            </w:r>
          </w:p>
        </w:tc>
        <w:tc>
          <w:tcPr>
            <w:tcW w:w="174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rPr>
              <w:t>-</w:t>
            </w:r>
          </w:p>
        </w:tc>
        <w:tc>
          <w:tcPr>
            <w:tcW w:w="1760" w:type="dxa"/>
            <w:vAlign w:val="bottom"/>
            <w:shd w:val="clear" w:color="auto" w:fill="D9D9D9"/>
          </w:tcPr>
          <w:p>
            <w:pPr>
              <w:jc w:val="center"/>
              <w:ind w:left="7"/>
              <w:spacing w:after="0"/>
              <w:rPr>
                <w:sz w:val="20"/>
                <w:szCs w:val="20"/>
                <w:color w:val="auto"/>
              </w:rPr>
            </w:pPr>
            <w:r>
              <w:rPr>
                <w:rFonts w:ascii="Arial" w:cs="Arial" w:eastAsia="Arial" w:hAnsi="Arial"/>
                <w:sz w:val="11"/>
                <w:szCs w:val="11"/>
                <w:color w:val="auto"/>
              </w:rPr>
              <w:t>12.0</w:t>
            </w:r>
          </w:p>
        </w:tc>
        <w:tc>
          <w:tcPr>
            <w:tcW w:w="174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rPr>
              <w:t>-</w:t>
            </w:r>
          </w:p>
        </w:tc>
        <w:tc>
          <w:tcPr>
            <w:tcW w:w="172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4"/>
              </w:rPr>
              <w:t>R&amp;D</w:t>
            </w:r>
          </w:p>
        </w:tc>
        <w:tc>
          <w:tcPr>
            <w:tcW w:w="0" w:type="dxa"/>
            <w:vAlign w:val="bottom"/>
          </w:tcPr>
          <w:p>
            <w:pPr>
              <w:spacing w:after="0"/>
              <w:rPr>
                <w:sz w:val="1"/>
                <w:szCs w:val="1"/>
                <w:color w:val="auto"/>
              </w:rPr>
            </w:pPr>
          </w:p>
        </w:tc>
      </w:tr>
      <w:tr>
        <w:trPr>
          <w:trHeight w:val="225"/>
        </w:trPr>
        <w:tc>
          <w:tcPr>
            <w:tcW w:w="3920" w:type="dxa"/>
            <w:vAlign w:val="bottom"/>
            <w:shd w:val="clear" w:color="auto" w:fill="D9D9D9"/>
          </w:tcPr>
          <w:p>
            <w:pPr>
              <w:ind w:left="60"/>
              <w:spacing w:after="0"/>
              <w:rPr>
                <w:sz w:val="20"/>
                <w:szCs w:val="20"/>
                <w:color w:val="auto"/>
              </w:rPr>
            </w:pPr>
            <w:r>
              <w:rPr>
                <w:rFonts w:ascii="Arial" w:cs="Arial" w:eastAsia="Arial" w:hAnsi="Arial"/>
                <w:sz w:val="11"/>
                <w:szCs w:val="11"/>
                <w:color w:val="auto"/>
              </w:rPr>
              <w:t>+ Impact of purchase accounting on inventory step-up</w:t>
            </w:r>
          </w:p>
        </w:tc>
        <w:tc>
          <w:tcPr>
            <w:tcW w:w="174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rPr>
              <w:t>-</w:t>
            </w:r>
          </w:p>
        </w:tc>
        <w:tc>
          <w:tcPr>
            <w:tcW w:w="1760" w:type="dxa"/>
            <w:vAlign w:val="bottom"/>
            <w:shd w:val="clear" w:color="auto" w:fill="D9D9D9"/>
          </w:tcPr>
          <w:p>
            <w:pPr>
              <w:jc w:val="center"/>
              <w:ind w:left="7"/>
              <w:spacing w:after="0"/>
              <w:rPr>
                <w:sz w:val="20"/>
                <w:szCs w:val="20"/>
                <w:color w:val="auto"/>
              </w:rPr>
            </w:pPr>
            <w:r>
              <w:rPr>
                <w:rFonts w:ascii="Arial" w:cs="Arial" w:eastAsia="Arial" w:hAnsi="Arial"/>
                <w:sz w:val="11"/>
                <w:szCs w:val="11"/>
                <w:color w:val="auto"/>
                <w:w w:val="91"/>
              </w:rPr>
              <w:t>6.0</w:t>
            </w:r>
          </w:p>
        </w:tc>
        <w:tc>
          <w:tcPr>
            <w:tcW w:w="1740" w:type="dxa"/>
            <w:vAlign w:val="bottom"/>
            <w:shd w:val="clear" w:color="auto" w:fill="D9D9D9"/>
          </w:tcPr>
          <w:p>
            <w:pPr>
              <w:jc w:val="center"/>
              <w:spacing w:after="0"/>
              <w:rPr>
                <w:sz w:val="20"/>
                <w:szCs w:val="20"/>
                <w:color w:val="auto"/>
              </w:rPr>
            </w:pPr>
            <w:r>
              <w:rPr>
                <w:rFonts w:ascii="Arial" w:cs="Arial" w:eastAsia="Arial" w:hAnsi="Arial"/>
                <w:sz w:val="11"/>
                <w:szCs w:val="11"/>
                <w:color w:val="auto"/>
              </w:rPr>
              <w:t>18.4</w:t>
            </w:r>
          </w:p>
        </w:tc>
        <w:tc>
          <w:tcPr>
            <w:tcW w:w="172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w w:val="98"/>
              </w:rPr>
              <w:t>COGS</w:t>
            </w:r>
          </w:p>
        </w:tc>
        <w:tc>
          <w:tcPr>
            <w:tcW w:w="0" w:type="dxa"/>
            <w:vAlign w:val="bottom"/>
          </w:tcPr>
          <w:p>
            <w:pPr>
              <w:spacing w:after="0"/>
              <w:rPr>
                <w:sz w:val="1"/>
                <w:szCs w:val="1"/>
                <w:color w:val="auto"/>
              </w:rPr>
            </w:pPr>
          </w:p>
        </w:tc>
      </w:tr>
      <w:tr>
        <w:trPr>
          <w:trHeight w:val="225"/>
        </w:trPr>
        <w:tc>
          <w:tcPr>
            <w:tcW w:w="3920" w:type="dxa"/>
            <w:vAlign w:val="bottom"/>
            <w:shd w:val="clear" w:color="auto" w:fill="D9D9D9"/>
          </w:tcPr>
          <w:p>
            <w:pPr>
              <w:ind w:left="60"/>
              <w:spacing w:after="0"/>
              <w:rPr>
                <w:sz w:val="20"/>
                <w:szCs w:val="20"/>
                <w:color w:val="auto"/>
              </w:rPr>
            </w:pPr>
            <w:r>
              <w:rPr>
                <w:rFonts w:ascii="Arial" w:cs="Arial" w:eastAsia="Arial" w:hAnsi="Arial"/>
                <w:sz w:val="11"/>
                <w:szCs w:val="11"/>
                <w:color w:val="auto"/>
              </w:rPr>
              <w:t>+ Exit and disposal costs</w:t>
            </w:r>
          </w:p>
        </w:tc>
        <w:tc>
          <w:tcPr>
            <w:tcW w:w="174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rPr>
              <w:t>-</w:t>
            </w:r>
          </w:p>
        </w:tc>
        <w:tc>
          <w:tcPr>
            <w:tcW w:w="1760" w:type="dxa"/>
            <w:vAlign w:val="bottom"/>
            <w:shd w:val="clear" w:color="auto" w:fill="D9D9D9"/>
          </w:tcPr>
          <w:p>
            <w:pPr>
              <w:jc w:val="center"/>
              <w:ind w:left="7"/>
              <w:spacing w:after="0"/>
              <w:rPr>
                <w:sz w:val="20"/>
                <w:szCs w:val="20"/>
                <w:color w:val="auto"/>
              </w:rPr>
            </w:pPr>
            <w:r>
              <w:rPr>
                <w:rFonts w:ascii="Arial" w:cs="Arial" w:eastAsia="Arial" w:hAnsi="Arial"/>
                <w:sz w:val="8"/>
                <w:szCs w:val="8"/>
                <w:color w:val="auto"/>
                <w:w w:val="73"/>
              </w:rPr>
              <w:t>-</w:t>
            </w:r>
          </w:p>
        </w:tc>
        <w:tc>
          <w:tcPr>
            <w:tcW w:w="174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1"/>
              </w:rPr>
              <w:t>0.4</w:t>
            </w:r>
          </w:p>
        </w:tc>
        <w:tc>
          <w:tcPr>
            <w:tcW w:w="172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7"/>
              </w:rPr>
              <w:t>SG&amp;A</w:t>
            </w:r>
          </w:p>
        </w:tc>
        <w:tc>
          <w:tcPr>
            <w:tcW w:w="0" w:type="dxa"/>
            <w:vAlign w:val="bottom"/>
          </w:tcPr>
          <w:p>
            <w:pPr>
              <w:spacing w:after="0"/>
              <w:rPr>
                <w:sz w:val="1"/>
                <w:szCs w:val="1"/>
                <w:color w:val="auto"/>
              </w:rPr>
            </w:pPr>
          </w:p>
        </w:tc>
      </w:tr>
      <w:tr>
        <w:trPr>
          <w:trHeight w:val="225"/>
        </w:trPr>
        <w:tc>
          <w:tcPr>
            <w:tcW w:w="3920" w:type="dxa"/>
            <w:vAlign w:val="bottom"/>
            <w:shd w:val="clear" w:color="auto" w:fill="D9D9D9"/>
          </w:tcPr>
          <w:p>
            <w:pPr>
              <w:ind w:left="60"/>
              <w:spacing w:after="0"/>
              <w:rPr>
                <w:sz w:val="20"/>
                <w:szCs w:val="20"/>
                <w:color w:val="auto"/>
              </w:rPr>
            </w:pPr>
            <w:r>
              <w:rPr>
                <w:rFonts w:ascii="Arial" w:cs="Arial" w:eastAsia="Arial" w:hAnsi="Arial"/>
                <w:sz w:val="11"/>
                <w:szCs w:val="11"/>
                <w:color w:val="auto"/>
              </w:rPr>
              <w:t>Tax effect</w:t>
            </w:r>
          </w:p>
        </w:tc>
        <w:tc>
          <w:tcPr>
            <w:tcW w:w="174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7"/>
              </w:rPr>
              <w:t>(14.0)</w:t>
            </w:r>
          </w:p>
        </w:tc>
        <w:tc>
          <w:tcPr>
            <w:tcW w:w="1760" w:type="dxa"/>
            <w:vAlign w:val="bottom"/>
            <w:shd w:val="clear" w:color="auto" w:fill="D9D9D9"/>
          </w:tcPr>
          <w:p>
            <w:pPr>
              <w:jc w:val="center"/>
              <w:ind w:left="7"/>
              <w:spacing w:after="0"/>
              <w:rPr>
                <w:sz w:val="20"/>
                <w:szCs w:val="20"/>
                <w:color w:val="auto"/>
              </w:rPr>
            </w:pPr>
            <w:r>
              <w:rPr>
                <w:rFonts w:ascii="Arial" w:cs="Arial" w:eastAsia="Arial" w:hAnsi="Arial"/>
                <w:sz w:val="11"/>
                <w:szCs w:val="11"/>
                <w:color w:val="auto"/>
              </w:rPr>
              <w:t>(19.0)</w:t>
            </w:r>
          </w:p>
        </w:tc>
        <w:tc>
          <w:tcPr>
            <w:tcW w:w="174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7"/>
              </w:rPr>
              <w:t>(15.1)</w:t>
            </w:r>
          </w:p>
        </w:tc>
        <w:tc>
          <w:tcPr>
            <w:tcW w:w="172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1"/>
              </w:rPr>
              <w:t>NA</w:t>
            </w:r>
          </w:p>
        </w:tc>
        <w:tc>
          <w:tcPr>
            <w:tcW w:w="0" w:type="dxa"/>
            <w:vAlign w:val="bottom"/>
          </w:tcPr>
          <w:p>
            <w:pPr>
              <w:spacing w:after="0"/>
              <w:rPr>
                <w:sz w:val="1"/>
                <w:szCs w:val="1"/>
                <w:color w:val="auto"/>
              </w:rPr>
            </w:pPr>
          </w:p>
        </w:tc>
      </w:tr>
      <w:tr>
        <w:trPr>
          <w:trHeight w:val="232"/>
        </w:trPr>
        <w:tc>
          <w:tcPr>
            <w:tcW w:w="3920" w:type="dxa"/>
            <w:vAlign w:val="bottom"/>
            <w:shd w:val="clear" w:color="auto" w:fill="D9D9D9"/>
          </w:tcPr>
          <w:p>
            <w:pPr>
              <w:ind w:left="60"/>
              <w:spacing w:after="0"/>
              <w:rPr>
                <w:sz w:val="20"/>
                <w:szCs w:val="20"/>
                <w:color w:val="auto"/>
              </w:rPr>
            </w:pPr>
            <w:r>
              <w:rPr>
                <w:rFonts w:ascii="Arial" w:cs="Arial" w:eastAsia="Arial" w:hAnsi="Arial"/>
                <w:sz w:val="11"/>
                <w:szCs w:val="11"/>
                <w:b w:val="1"/>
                <w:bCs w:val="1"/>
                <w:color w:val="auto"/>
              </w:rPr>
              <w:t>Total Adjustments</w:t>
            </w:r>
          </w:p>
        </w:tc>
        <w:tc>
          <w:tcPr>
            <w:tcW w:w="1740" w:type="dxa"/>
            <w:vAlign w:val="bottom"/>
            <w:shd w:val="clear" w:color="auto" w:fill="D9D9D9"/>
          </w:tcPr>
          <w:p>
            <w:pPr>
              <w:jc w:val="center"/>
              <w:ind w:left="6"/>
              <w:spacing w:after="0"/>
              <w:rPr>
                <w:sz w:val="20"/>
                <w:szCs w:val="20"/>
                <w:color w:val="auto"/>
              </w:rPr>
            </w:pPr>
            <w:r>
              <w:rPr>
                <w:rFonts w:ascii="Arial" w:cs="Arial" w:eastAsia="Arial" w:hAnsi="Arial"/>
                <w:sz w:val="11"/>
                <w:szCs w:val="11"/>
                <w:b w:val="1"/>
                <w:bCs w:val="1"/>
                <w:color w:val="auto"/>
                <w:w w:val="93"/>
              </w:rPr>
              <w:t>55.0</w:t>
            </w:r>
          </w:p>
        </w:tc>
        <w:tc>
          <w:tcPr>
            <w:tcW w:w="1760" w:type="dxa"/>
            <w:vAlign w:val="bottom"/>
            <w:shd w:val="clear" w:color="auto" w:fill="D9D9D9"/>
          </w:tcPr>
          <w:p>
            <w:pPr>
              <w:jc w:val="center"/>
              <w:ind w:left="7"/>
              <w:spacing w:after="0"/>
              <w:rPr>
                <w:sz w:val="20"/>
                <w:szCs w:val="20"/>
                <w:color w:val="auto"/>
              </w:rPr>
            </w:pPr>
            <w:r>
              <w:rPr>
                <w:rFonts w:ascii="Arial" w:cs="Arial" w:eastAsia="Arial" w:hAnsi="Arial"/>
                <w:sz w:val="11"/>
                <w:szCs w:val="11"/>
                <w:b w:val="1"/>
                <w:bCs w:val="1"/>
                <w:color w:val="auto"/>
              </w:rPr>
              <w:t>97.0</w:t>
            </w:r>
          </w:p>
        </w:tc>
        <w:tc>
          <w:tcPr>
            <w:tcW w:w="1740" w:type="dxa"/>
            <w:vAlign w:val="bottom"/>
            <w:shd w:val="clear" w:color="auto" w:fill="D9D9D9"/>
          </w:tcPr>
          <w:p>
            <w:pPr>
              <w:jc w:val="center"/>
              <w:spacing w:after="0"/>
              <w:rPr>
                <w:sz w:val="20"/>
                <w:szCs w:val="20"/>
                <w:color w:val="auto"/>
              </w:rPr>
            </w:pPr>
            <w:r>
              <w:rPr>
                <w:rFonts w:ascii="Arial" w:cs="Arial" w:eastAsia="Arial" w:hAnsi="Arial"/>
                <w:sz w:val="11"/>
                <w:szCs w:val="11"/>
                <w:b w:val="1"/>
                <w:bCs w:val="1"/>
                <w:color w:val="auto"/>
              </w:rPr>
              <w:t>60.0</w:t>
            </w:r>
          </w:p>
        </w:tc>
        <w:tc>
          <w:tcPr>
            <w:tcW w:w="1720" w:type="dxa"/>
            <w:vAlign w:val="bottom"/>
            <w:shd w:val="clear" w:color="auto" w:fill="D9D9D9"/>
          </w:tcPr>
          <w:p>
            <w:pPr>
              <w:jc w:val="center"/>
              <w:ind w:left="6"/>
              <w:spacing w:after="0"/>
              <w:rPr>
                <w:sz w:val="20"/>
                <w:szCs w:val="20"/>
                <w:color w:val="auto"/>
              </w:rPr>
            </w:pPr>
            <w:r>
              <w:rPr>
                <w:rFonts w:ascii="Arial" w:cs="Arial" w:eastAsia="Arial" w:hAnsi="Arial"/>
                <w:sz w:val="11"/>
                <w:szCs w:val="11"/>
                <w:b w:val="1"/>
                <w:bCs w:val="1"/>
                <w:color w:val="auto"/>
                <w:w w:val="87"/>
              </w:rPr>
              <w:t>NA</w:t>
            </w:r>
          </w:p>
        </w:tc>
        <w:tc>
          <w:tcPr>
            <w:tcW w:w="0" w:type="dxa"/>
            <w:vAlign w:val="bottom"/>
          </w:tcPr>
          <w:p>
            <w:pPr>
              <w:spacing w:after="0"/>
              <w:rPr>
                <w:sz w:val="1"/>
                <w:szCs w:val="1"/>
                <w:color w:val="auto"/>
              </w:rPr>
            </w:pPr>
          </w:p>
        </w:tc>
      </w:tr>
      <w:tr>
        <w:trPr>
          <w:trHeight w:val="232"/>
        </w:trPr>
        <w:tc>
          <w:tcPr>
            <w:tcW w:w="3920" w:type="dxa"/>
            <w:vAlign w:val="bottom"/>
            <w:shd w:val="clear" w:color="auto" w:fill="ACACAC"/>
          </w:tcPr>
          <w:p>
            <w:pPr>
              <w:ind w:left="60"/>
              <w:spacing w:after="0"/>
              <w:rPr>
                <w:sz w:val="20"/>
                <w:szCs w:val="20"/>
                <w:color w:val="auto"/>
              </w:rPr>
            </w:pPr>
            <w:r>
              <w:rPr>
                <w:rFonts w:ascii="Arial" w:cs="Arial" w:eastAsia="Arial" w:hAnsi="Arial"/>
                <w:sz w:val="11"/>
                <w:szCs w:val="11"/>
                <w:b w:val="1"/>
                <w:bCs w:val="1"/>
                <w:color w:val="auto"/>
              </w:rPr>
              <w:t>Adjusted Net Income</w:t>
            </w:r>
          </w:p>
        </w:tc>
        <w:tc>
          <w:tcPr>
            <w:tcW w:w="1740" w:type="dxa"/>
            <w:vAlign w:val="bottom"/>
            <w:shd w:val="clear" w:color="auto" w:fill="ACACAC"/>
          </w:tcPr>
          <w:p>
            <w:pPr>
              <w:ind w:left="500"/>
              <w:spacing w:after="0"/>
              <w:rPr>
                <w:sz w:val="20"/>
                <w:szCs w:val="20"/>
                <w:color w:val="auto"/>
              </w:rPr>
            </w:pPr>
            <w:r>
              <w:rPr>
                <w:rFonts w:ascii="Arial" w:cs="Arial" w:eastAsia="Arial" w:hAnsi="Arial"/>
                <w:sz w:val="11"/>
                <w:szCs w:val="11"/>
                <w:b w:val="1"/>
                <w:bCs w:val="1"/>
                <w:color w:val="auto"/>
              </w:rPr>
              <w:t>$160.0 to $210.0</w:t>
            </w:r>
          </w:p>
        </w:tc>
        <w:tc>
          <w:tcPr>
            <w:tcW w:w="1760" w:type="dxa"/>
            <w:vAlign w:val="bottom"/>
            <w:shd w:val="clear" w:color="auto" w:fill="ACACAC"/>
          </w:tcPr>
          <w:p>
            <w:pPr>
              <w:jc w:val="right"/>
              <w:ind w:right="387"/>
              <w:spacing w:after="0"/>
              <w:rPr>
                <w:sz w:val="20"/>
                <w:szCs w:val="20"/>
                <w:color w:val="auto"/>
              </w:rPr>
            </w:pPr>
            <w:r>
              <w:rPr>
                <w:rFonts w:ascii="Arial" w:cs="Arial" w:eastAsia="Arial" w:hAnsi="Arial"/>
                <w:sz w:val="11"/>
                <w:szCs w:val="11"/>
                <w:b w:val="1"/>
                <w:bCs w:val="1"/>
                <w:color w:val="auto"/>
              </w:rPr>
              <w:t>$150.0 to $160.0</w:t>
            </w:r>
          </w:p>
        </w:tc>
        <w:tc>
          <w:tcPr>
            <w:tcW w:w="1740" w:type="dxa"/>
            <w:vAlign w:val="bottom"/>
            <w:shd w:val="clear" w:color="auto" w:fill="ACACAC"/>
          </w:tcPr>
          <w:p>
            <w:pPr>
              <w:jc w:val="center"/>
              <w:spacing w:after="0"/>
              <w:rPr>
                <w:sz w:val="20"/>
                <w:szCs w:val="20"/>
                <w:color w:val="auto"/>
              </w:rPr>
            </w:pPr>
            <w:r>
              <w:rPr>
                <w:rFonts w:ascii="Arial" w:cs="Arial" w:eastAsia="Arial" w:hAnsi="Arial"/>
                <w:sz w:val="11"/>
                <w:szCs w:val="11"/>
                <w:b w:val="1"/>
                <w:bCs w:val="1"/>
                <w:color w:val="auto"/>
              </w:rPr>
              <w:t>$122.7</w:t>
            </w:r>
          </w:p>
        </w:tc>
        <w:tc>
          <w:tcPr>
            <w:tcW w:w="1720" w:type="dxa"/>
            <w:vAlign w:val="bottom"/>
            <w:shd w:val="clear" w:color="auto" w:fill="ACACAC"/>
          </w:tcPr>
          <w:p>
            <w:pPr>
              <w:jc w:val="center"/>
              <w:ind w:left="6"/>
              <w:spacing w:after="0"/>
              <w:rPr>
                <w:sz w:val="20"/>
                <w:szCs w:val="20"/>
                <w:color w:val="auto"/>
              </w:rPr>
            </w:pPr>
            <w:r>
              <w:rPr>
                <w:rFonts w:ascii="Arial" w:cs="Arial" w:eastAsia="Arial" w:hAnsi="Arial"/>
                <w:sz w:val="11"/>
                <w:szCs w:val="11"/>
                <w:b w:val="1"/>
                <w:bCs w:val="1"/>
                <w:color w:val="auto"/>
                <w:w w:val="87"/>
              </w:rPr>
              <w:t>NA</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60"/>
          </w:cols>
          <w:pgMar w:left="320" w:top="271" w:right="21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i w:val="1"/>
          <w:iCs w:val="1"/>
          <w:color w:val="auto"/>
        </w:rPr>
        <w:t>Reconciliation of Net Income to EBITDA and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70485</wp:posOffset>
            </wp:positionV>
            <wp:extent cx="6783070" cy="2642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3070" cy="2642235"/>
                    </a:xfrm>
                    <a:prstGeom prst="rect">
                      <a:avLst/>
                    </a:prstGeom>
                    <a:noFill/>
                  </pic:spPr>
                </pic:pic>
              </a:graphicData>
            </a:graphic>
          </wp:anchor>
        </w:drawing>
      </w:r>
    </w:p>
    <w:p>
      <w:pPr>
        <w:spacing w:after="0" w:line="91" w:lineRule="exact"/>
        <w:rPr>
          <w:sz w:val="20"/>
          <w:szCs w:val="20"/>
          <w:color w:val="auto"/>
        </w:rPr>
      </w:pPr>
    </w:p>
    <w:tbl>
      <w:tblPr>
        <w:tblLayout w:type="fixed"/>
        <w:tblInd w:w="100" w:type="dxa"/>
        <w:tblCellMar>
          <w:top w:w="0" w:type="dxa"/>
          <w:left w:w="0" w:type="dxa"/>
          <w:bottom w:w="0" w:type="dxa"/>
          <w:right w:w="0" w:type="dxa"/>
        </w:tblCellMar>
      </w:tblPr>
      <w:tr>
        <w:trPr>
          <w:trHeight w:val="221"/>
        </w:trPr>
        <w:tc>
          <w:tcPr>
            <w:tcW w:w="3940" w:type="dxa"/>
            <w:vAlign w:val="bottom"/>
            <w:vMerge w:val="restart"/>
            <w:shd w:val="clear" w:color="auto" w:fill="0E233D"/>
          </w:tcPr>
          <w:p>
            <w:pPr>
              <w:ind w:left="1720"/>
              <w:spacing w:after="0"/>
              <w:rPr>
                <w:sz w:val="20"/>
                <w:szCs w:val="20"/>
                <w:color w:val="auto"/>
              </w:rPr>
            </w:pPr>
            <w:r>
              <w:rPr>
                <w:rFonts w:ascii="Arial" w:cs="Arial" w:eastAsia="Arial" w:hAnsi="Arial"/>
                <w:sz w:val="11"/>
                <w:szCs w:val="11"/>
                <w:b w:val="1"/>
                <w:bCs w:val="1"/>
                <w:color w:val="FFFFFF"/>
              </w:rPr>
              <w:t>($ in millions)</w:t>
            </w:r>
          </w:p>
        </w:tc>
        <w:tc>
          <w:tcPr>
            <w:tcW w:w="1720" w:type="dxa"/>
            <w:vAlign w:val="bottom"/>
            <w:shd w:val="clear" w:color="auto" w:fill="0E233D"/>
          </w:tcPr>
          <w:p>
            <w:pPr>
              <w:spacing w:after="0"/>
              <w:rPr>
                <w:sz w:val="19"/>
                <w:szCs w:val="19"/>
                <w:color w:val="auto"/>
              </w:rPr>
            </w:pPr>
          </w:p>
        </w:tc>
        <w:tc>
          <w:tcPr>
            <w:tcW w:w="3300" w:type="dxa"/>
            <w:vAlign w:val="bottom"/>
            <w:gridSpan w:val="2"/>
            <w:shd w:val="clear" w:color="auto" w:fill="0E233D"/>
          </w:tcPr>
          <w:p>
            <w:pPr>
              <w:ind w:left="820"/>
              <w:spacing w:after="0"/>
              <w:rPr>
                <w:sz w:val="20"/>
                <w:szCs w:val="20"/>
                <w:color w:val="auto"/>
              </w:rPr>
            </w:pPr>
            <w:r>
              <w:rPr>
                <w:rFonts w:ascii="Arial" w:cs="Arial" w:eastAsia="Arial" w:hAnsi="Arial"/>
                <w:sz w:val="11"/>
                <w:szCs w:val="11"/>
                <w:b w:val="1"/>
                <w:bCs w:val="1"/>
                <w:color w:val="FFFFFF"/>
              </w:rPr>
              <w:t>Twelve Months Ended December 31,</w:t>
            </w:r>
          </w:p>
        </w:tc>
        <w:tc>
          <w:tcPr>
            <w:tcW w:w="1700" w:type="dxa"/>
            <w:vAlign w:val="bottom"/>
            <w:shd w:val="clear" w:color="auto" w:fill="0E233D"/>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940" w:type="dxa"/>
            <w:vAlign w:val="bottom"/>
            <w:vMerge w:val="continue"/>
            <w:shd w:val="clear" w:color="auto" w:fill="0E233D"/>
          </w:tcPr>
          <w:p>
            <w:pPr>
              <w:spacing w:after="0"/>
              <w:rPr>
                <w:sz w:val="5"/>
                <w:szCs w:val="5"/>
                <w:color w:val="auto"/>
              </w:rPr>
            </w:pPr>
          </w:p>
        </w:tc>
        <w:tc>
          <w:tcPr>
            <w:tcW w:w="1720" w:type="dxa"/>
            <w:vAlign w:val="bottom"/>
            <w:shd w:val="clear" w:color="auto" w:fill="0E233D"/>
          </w:tcPr>
          <w:p>
            <w:pPr>
              <w:spacing w:after="0"/>
              <w:rPr>
                <w:sz w:val="5"/>
                <w:szCs w:val="5"/>
                <w:color w:val="auto"/>
              </w:rPr>
            </w:pPr>
          </w:p>
        </w:tc>
        <w:tc>
          <w:tcPr>
            <w:tcW w:w="1700" w:type="dxa"/>
            <w:vAlign w:val="bottom"/>
            <w:shd w:val="clear" w:color="auto" w:fill="0E233D"/>
          </w:tcPr>
          <w:p>
            <w:pPr>
              <w:spacing w:after="0"/>
              <w:rPr>
                <w:sz w:val="5"/>
                <w:szCs w:val="5"/>
                <w:color w:val="auto"/>
              </w:rPr>
            </w:pPr>
          </w:p>
        </w:tc>
        <w:tc>
          <w:tcPr>
            <w:tcW w:w="1600" w:type="dxa"/>
            <w:vAlign w:val="bottom"/>
            <w:shd w:val="clear" w:color="auto" w:fill="0E233D"/>
          </w:tcPr>
          <w:p>
            <w:pPr>
              <w:spacing w:after="0"/>
              <w:rPr>
                <w:sz w:val="5"/>
                <w:szCs w:val="5"/>
                <w:color w:val="auto"/>
              </w:rPr>
            </w:pPr>
          </w:p>
        </w:tc>
        <w:tc>
          <w:tcPr>
            <w:tcW w:w="1700" w:type="dxa"/>
            <w:vAlign w:val="bottom"/>
            <w:shd w:val="clear" w:color="auto" w:fill="0E233D"/>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940" w:type="dxa"/>
            <w:vAlign w:val="bottom"/>
            <w:shd w:val="clear" w:color="auto" w:fill="0E233D"/>
          </w:tcPr>
          <w:p>
            <w:pPr>
              <w:spacing w:after="0"/>
              <w:rPr>
                <w:sz w:val="13"/>
                <w:szCs w:val="13"/>
                <w:color w:val="auto"/>
              </w:rPr>
            </w:pPr>
          </w:p>
        </w:tc>
        <w:tc>
          <w:tcPr>
            <w:tcW w:w="1720" w:type="dxa"/>
            <w:vAlign w:val="bottom"/>
            <w:shd w:val="clear" w:color="auto" w:fill="0E233D"/>
          </w:tcPr>
          <w:p>
            <w:pPr>
              <w:jc w:val="right"/>
              <w:ind w:right="589"/>
              <w:spacing w:after="0"/>
              <w:rPr>
                <w:sz w:val="20"/>
                <w:szCs w:val="20"/>
                <w:color w:val="auto"/>
              </w:rPr>
            </w:pPr>
            <w:r>
              <w:rPr>
                <w:rFonts w:ascii="Arial" w:cs="Arial" w:eastAsia="Arial" w:hAnsi="Arial"/>
                <w:sz w:val="11"/>
                <w:szCs w:val="11"/>
                <w:b w:val="1"/>
                <w:bCs w:val="1"/>
                <w:color w:val="FFFFFF"/>
              </w:rPr>
              <w:t>2020</w:t>
            </w:r>
          </w:p>
        </w:tc>
        <w:tc>
          <w:tcPr>
            <w:tcW w:w="1700" w:type="dxa"/>
            <w:vAlign w:val="bottom"/>
            <w:shd w:val="clear" w:color="auto" w:fill="0E233D"/>
          </w:tcPr>
          <w:p>
            <w:pPr>
              <w:jc w:val="right"/>
              <w:ind w:right="566"/>
              <w:spacing w:after="0"/>
              <w:rPr>
                <w:sz w:val="20"/>
                <w:szCs w:val="20"/>
                <w:color w:val="auto"/>
              </w:rPr>
            </w:pPr>
            <w:r>
              <w:rPr>
                <w:rFonts w:ascii="Arial" w:cs="Arial" w:eastAsia="Arial" w:hAnsi="Arial"/>
                <w:sz w:val="11"/>
                <w:szCs w:val="11"/>
                <w:b w:val="1"/>
                <w:bCs w:val="1"/>
                <w:color w:val="FFFFFF"/>
              </w:rPr>
              <w:t>2019</w:t>
            </w:r>
          </w:p>
        </w:tc>
        <w:tc>
          <w:tcPr>
            <w:tcW w:w="1600" w:type="dxa"/>
            <w:vAlign w:val="bottom"/>
            <w:shd w:val="clear" w:color="auto" w:fill="0E233D"/>
          </w:tcPr>
          <w:p>
            <w:pPr>
              <w:jc w:val="right"/>
              <w:ind w:right="526"/>
              <w:spacing w:after="0"/>
              <w:rPr>
                <w:sz w:val="20"/>
                <w:szCs w:val="20"/>
                <w:color w:val="auto"/>
              </w:rPr>
            </w:pPr>
            <w:r>
              <w:rPr>
                <w:rFonts w:ascii="Arial" w:cs="Arial" w:eastAsia="Arial" w:hAnsi="Arial"/>
                <w:sz w:val="11"/>
                <w:szCs w:val="11"/>
                <w:b w:val="1"/>
                <w:bCs w:val="1"/>
                <w:color w:val="FFFFFF"/>
              </w:rPr>
              <w:t>2018</w:t>
            </w:r>
          </w:p>
        </w:tc>
        <w:tc>
          <w:tcPr>
            <w:tcW w:w="1700" w:type="dxa"/>
            <w:vAlign w:val="bottom"/>
            <w:shd w:val="clear" w:color="auto" w:fill="0E233D"/>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40" w:type="dxa"/>
            <w:vAlign w:val="bottom"/>
            <w:shd w:val="clear" w:color="auto" w:fill="0E233D"/>
          </w:tcPr>
          <w:p>
            <w:pPr>
              <w:spacing w:after="0"/>
              <w:rPr>
                <w:sz w:val="13"/>
                <w:szCs w:val="13"/>
                <w:color w:val="auto"/>
              </w:rPr>
            </w:pPr>
          </w:p>
        </w:tc>
        <w:tc>
          <w:tcPr>
            <w:tcW w:w="1720" w:type="dxa"/>
            <w:vAlign w:val="bottom"/>
            <w:shd w:val="clear" w:color="auto" w:fill="0E233D"/>
          </w:tcPr>
          <w:p>
            <w:pPr>
              <w:jc w:val="center"/>
              <w:ind w:left="149"/>
              <w:spacing w:after="0"/>
              <w:rPr>
                <w:sz w:val="20"/>
                <w:szCs w:val="20"/>
                <w:color w:val="auto"/>
              </w:rPr>
            </w:pPr>
            <w:r>
              <w:rPr>
                <w:rFonts w:ascii="Arial" w:cs="Arial" w:eastAsia="Arial" w:hAnsi="Arial"/>
                <w:sz w:val="11"/>
                <w:szCs w:val="11"/>
                <w:b w:val="1"/>
                <w:bCs w:val="1"/>
                <w:color w:val="FFFFFF"/>
                <w:w w:val="97"/>
              </w:rPr>
              <w:t>(Forecast)</w:t>
            </w:r>
          </w:p>
        </w:tc>
        <w:tc>
          <w:tcPr>
            <w:tcW w:w="1700" w:type="dxa"/>
            <w:vAlign w:val="bottom"/>
            <w:shd w:val="clear" w:color="auto" w:fill="0E233D"/>
          </w:tcPr>
          <w:p>
            <w:pPr>
              <w:jc w:val="center"/>
              <w:ind w:left="126"/>
              <w:spacing w:after="0"/>
              <w:rPr>
                <w:sz w:val="20"/>
                <w:szCs w:val="20"/>
                <w:color w:val="auto"/>
              </w:rPr>
            </w:pPr>
            <w:r>
              <w:rPr>
                <w:rFonts w:ascii="Arial" w:cs="Arial" w:eastAsia="Arial" w:hAnsi="Arial"/>
                <w:sz w:val="11"/>
                <w:szCs w:val="11"/>
                <w:b w:val="1"/>
                <w:bCs w:val="1"/>
                <w:color w:val="FFFFFF"/>
              </w:rPr>
              <w:t>(Estimated)</w:t>
            </w:r>
          </w:p>
        </w:tc>
        <w:tc>
          <w:tcPr>
            <w:tcW w:w="1600" w:type="dxa"/>
            <w:vAlign w:val="bottom"/>
            <w:shd w:val="clear" w:color="auto" w:fill="0E233D"/>
          </w:tcPr>
          <w:p>
            <w:pPr>
              <w:jc w:val="center"/>
              <w:ind w:left="146"/>
              <w:spacing w:after="0"/>
              <w:rPr>
                <w:sz w:val="20"/>
                <w:szCs w:val="20"/>
                <w:color w:val="auto"/>
              </w:rPr>
            </w:pPr>
            <w:r>
              <w:rPr>
                <w:rFonts w:ascii="Arial" w:cs="Arial" w:eastAsia="Arial" w:hAnsi="Arial"/>
                <w:sz w:val="11"/>
                <w:szCs w:val="11"/>
                <w:b w:val="1"/>
                <w:bCs w:val="1"/>
                <w:color w:val="FFFFFF"/>
                <w:w w:val="97"/>
              </w:rPr>
              <w:t>(Actual)</w:t>
            </w:r>
          </w:p>
        </w:tc>
        <w:tc>
          <w:tcPr>
            <w:tcW w:w="1700" w:type="dxa"/>
            <w:vAlign w:val="bottom"/>
            <w:shd w:val="clear" w:color="auto" w:fill="0E233D"/>
          </w:tcPr>
          <w:p>
            <w:pPr>
              <w:ind w:left="760"/>
              <w:spacing w:after="0"/>
              <w:rPr>
                <w:sz w:val="20"/>
                <w:szCs w:val="20"/>
                <w:color w:val="auto"/>
              </w:rPr>
            </w:pPr>
            <w:r>
              <w:rPr>
                <w:rFonts w:ascii="Arial" w:cs="Arial" w:eastAsia="Arial" w:hAnsi="Arial"/>
                <w:sz w:val="11"/>
                <w:szCs w:val="11"/>
                <w:b w:val="1"/>
                <w:bCs w:val="1"/>
                <w:color w:val="FFFFFF"/>
              </w:rPr>
              <w:t>Source</w:t>
            </w:r>
          </w:p>
        </w:tc>
        <w:tc>
          <w:tcPr>
            <w:tcW w:w="0" w:type="dxa"/>
            <w:vAlign w:val="bottom"/>
          </w:tcPr>
          <w:p>
            <w:pPr>
              <w:spacing w:after="0"/>
              <w:rPr>
                <w:sz w:val="1"/>
                <w:szCs w:val="1"/>
                <w:color w:val="auto"/>
              </w:rPr>
            </w:pPr>
          </w:p>
        </w:tc>
      </w:tr>
      <w:tr>
        <w:trPr>
          <w:trHeight w:val="225"/>
        </w:trPr>
        <w:tc>
          <w:tcPr>
            <w:tcW w:w="3940" w:type="dxa"/>
            <w:vAlign w:val="bottom"/>
            <w:shd w:val="clear" w:color="auto" w:fill="ACACAC"/>
          </w:tcPr>
          <w:p>
            <w:pPr>
              <w:ind w:left="60"/>
              <w:spacing w:after="0"/>
              <w:rPr>
                <w:sz w:val="20"/>
                <w:szCs w:val="20"/>
                <w:color w:val="auto"/>
              </w:rPr>
            </w:pPr>
            <w:r>
              <w:rPr>
                <w:rFonts w:ascii="Arial" w:cs="Arial" w:eastAsia="Arial" w:hAnsi="Arial"/>
                <w:sz w:val="11"/>
                <w:szCs w:val="11"/>
                <w:b w:val="1"/>
                <w:bCs w:val="1"/>
                <w:color w:val="auto"/>
              </w:rPr>
              <w:t>Net Income</w:t>
            </w:r>
          </w:p>
        </w:tc>
        <w:tc>
          <w:tcPr>
            <w:tcW w:w="1720" w:type="dxa"/>
            <w:vAlign w:val="bottom"/>
            <w:shd w:val="clear" w:color="auto" w:fill="ACACAC"/>
          </w:tcPr>
          <w:p>
            <w:pPr>
              <w:jc w:val="center"/>
              <w:ind w:left="9"/>
              <w:spacing w:after="0"/>
              <w:rPr>
                <w:sz w:val="20"/>
                <w:szCs w:val="20"/>
                <w:color w:val="auto"/>
              </w:rPr>
            </w:pPr>
            <w:r>
              <w:rPr>
                <w:rFonts w:ascii="Arial" w:cs="Arial" w:eastAsia="Arial" w:hAnsi="Arial"/>
                <w:sz w:val="11"/>
                <w:szCs w:val="11"/>
                <w:b w:val="1"/>
                <w:bCs w:val="1"/>
                <w:color w:val="auto"/>
                <w:w w:val="97"/>
              </w:rPr>
              <w:t>$105.0 to $155.0</w:t>
            </w:r>
          </w:p>
        </w:tc>
        <w:tc>
          <w:tcPr>
            <w:tcW w:w="1700" w:type="dxa"/>
            <w:vAlign w:val="bottom"/>
            <w:shd w:val="clear" w:color="auto" w:fill="ACACAC"/>
          </w:tcPr>
          <w:p>
            <w:pPr>
              <w:jc w:val="center"/>
              <w:ind w:left="26"/>
              <w:spacing w:after="0"/>
              <w:rPr>
                <w:sz w:val="20"/>
                <w:szCs w:val="20"/>
                <w:color w:val="auto"/>
              </w:rPr>
            </w:pPr>
            <w:r>
              <w:rPr>
                <w:rFonts w:ascii="Arial" w:cs="Arial" w:eastAsia="Arial" w:hAnsi="Arial"/>
                <w:sz w:val="11"/>
                <w:szCs w:val="11"/>
                <w:b w:val="1"/>
                <w:bCs w:val="1"/>
                <w:color w:val="auto"/>
                <w:w w:val="97"/>
              </w:rPr>
              <w:t>$53.0 to $63.0</w:t>
            </w:r>
          </w:p>
        </w:tc>
        <w:tc>
          <w:tcPr>
            <w:tcW w:w="1600" w:type="dxa"/>
            <w:vAlign w:val="bottom"/>
            <w:shd w:val="clear" w:color="auto" w:fill="ACACAC"/>
          </w:tcPr>
          <w:p>
            <w:pPr>
              <w:jc w:val="center"/>
              <w:ind w:left="26"/>
              <w:spacing w:after="0"/>
              <w:rPr>
                <w:sz w:val="20"/>
                <w:szCs w:val="20"/>
                <w:color w:val="auto"/>
              </w:rPr>
            </w:pPr>
            <w:r>
              <w:rPr>
                <w:rFonts w:ascii="Arial" w:cs="Arial" w:eastAsia="Arial" w:hAnsi="Arial"/>
                <w:sz w:val="11"/>
                <w:szCs w:val="11"/>
                <w:b w:val="1"/>
                <w:bCs w:val="1"/>
                <w:color w:val="auto"/>
                <w:w w:val="93"/>
              </w:rPr>
              <w:t>62.7</w:t>
            </w:r>
          </w:p>
        </w:tc>
        <w:tc>
          <w:tcPr>
            <w:tcW w:w="1700" w:type="dxa"/>
            <w:vAlign w:val="bottom"/>
            <w:shd w:val="clear" w:color="auto" w:fill="ACACAC"/>
          </w:tcPr>
          <w:p>
            <w:pPr>
              <w:jc w:val="center"/>
              <w:ind w:left="6"/>
              <w:spacing w:after="0"/>
              <w:rPr>
                <w:sz w:val="20"/>
                <w:szCs w:val="20"/>
                <w:color w:val="auto"/>
              </w:rPr>
            </w:pPr>
            <w:r>
              <w:rPr>
                <w:rFonts w:ascii="Arial" w:cs="Arial" w:eastAsia="Arial" w:hAnsi="Arial"/>
                <w:sz w:val="11"/>
                <w:szCs w:val="11"/>
                <w:b w:val="1"/>
                <w:bCs w:val="1"/>
                <w:color w:val="auto"/>
              </w:rPr>
              <w:t>NA</w:t>
            </w:r>
          </w:p>
        </w:tc>
        <w:tc>
          <w:tcPr>
            <w:tcW w:w="0" w:type="dxa"/>
            <w:vAlign w:val="bottom"/>
          </w:tcPr>
          <w:p>
            <w:pPr>
              <w:spacing w:after="0"/>
              <w:rPr>
                <w:sz w:val="1"/>
                <w:szCs w:val="1"/>
                <w:color w:val="auto"/>
              </w:rPr>
            </w:pPr>
          </w:p>
        </w:tc>
      </w:tr>
      <w:tr>
        <w:trPr>
          <w:trHeight w:val="212"/>
        </w:trPr>
        <w:tc>
          <w:tcPr>
            <w:tcW w:w="3940" w:type="dxa"/>
            <w:vAlign w:val="bottom"/>
            <w:shd w:val="clear" w:color="auto" w:fill="D9D9D9"/>
          </w:tcPr>
          <w:p>
            <w:pPr>
              <w:ind w:left="60"/>
              <w:spacing w:after="0"/>
              <w:rPr>
                <w:sz w:val="20"/>
                <w:szCs w:val="20"/>
                <w:color w:val="auto"/>
              </w:rPr>
            </w:pPr>
            <w:r>
              <w:rPr>
                <w:rFonts w:ascii="Arial" w:cs="Arial" w:eastAsia="Arial" w:hAnsi="Arial"/>
                <w:sz w:val="11"/>
                <w:szCs w:val="11"/>
                <w:color w:val="auto"/>
              </w:rPr>
              <w:t>Adjustments:</w:t>
            </w:r>
          </w:p>
        </w:tc>
        <w:tc>
          <w:tcPr>
            <w:tcW w:w="1720" w:type="dxa"/>
            <w:vAlign w:val="bottom"/>
            <w:shd w:val="clear" w:color="auto" w:fill="D9D9D9"/>
          </w:tcPr>
          <w:p>
            <w:pPr>
              <w:spacing w:after="0"/>
              <w:rPr>
                <w:sz w:val="18"/>
                <w:szCs w:val="18"/>
                <w:color w:val="auto"/>
              </w:rPr>
            </w:pPr>
          </w:p>
        </w:tc>
        <w:tc>
          <w:tcPr>
            <w:tcW w:w="1700" w:type="dxa"/>
            <w:vAlign w:val="bottom"/>
            <w:shd w:val="clear" w:color="auto" w:fill="D9D9D9"/>
          </w:tcPr>
          <w:p>
            <w:pPr>
              <w:spacing w:after="0"/>
              <w:rPr>
                <w:sz w:val="18"/>
                <w:szCs w:val="18"/>
                <w:color w:val="auto"/>
              </w:rPr>
            </w:pPr>
          </w:p>
        </w:tc>
        <w:tc>
          <w:tcPr>
            <w:tcW w:w="1600" w:type="dxa"/>
            <w:vAlign w:val="bottom"/>
            <w:shd w:val="clear" w:color="auto" w:fill="D9D9D9"/>
          </w:tcPr>
          <w:p>
            <w:pPr>
              <w:spacing w:after="0"/>
              <w:rPr>
                <w:sz w:val="18"/>
                <w:szCs w:val="18"/>
                <w:color w:val="auto"/>
              </w:rPr>
            </w:pPr>
          </w:p>
        </w:tc>
        <w:tc>
          <w:tcPr>
            <w:tcW w:w="170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D9D9D9"/>
          </w:tcPr>
          <w:p>
            <w:pPr>
              <w:ind w:left="60"/>
              <w:spacing w:after="0"/>
              <w:rPr>
                <w:sz w:val="20"/>
                <w:szCs w:val="20"/>
                <w:color w:val="auto"/>
              </w:rPr>
            </w:pPr>
            <w:r>
              <w:rPr>
                <w:rFonts w:ascii="Arial" w:cs="Arial" w:eastAsia="Arial" w:hAnsi="Arial"/>
                <w:sz w:val="11"/>
                <w:szCs w:val="11"/>
                <w:color w:val="auto"/>
              </w:rPr>
              <w:t>+ Depreciation &amp; Amortization</w:t>
            </w:r>
          </w:p>
        </w:tc>
        <w:tc>
          <w:tcPr>
            <w:tcW w:w="1720" w:type="dxa"/>
            <w:vAlign w:val="bottom"/>
            <w:shd w:val="clear" w:color="auto" w:fill="D9D9D9"/>
          </w:tcPr>
          <w:p>
            <w:pPr>
              <w:jc w:val="center"/>
              <w:ind w:left="9"/>
              <w:spacing w:after="0"/>
              <w:rPr>
                <w:sz w:val="20"/>
                <w:szCs w:val="20"/>
                <w:color w:val="auto"/>
              </w:rPr>
            </w:pPr>
            <w:r>
              <w:rPr>
                <w:rFonts w:ascii="Arial" w:cs="Arial" w:eastAsia="Arial" w:hAnsi="Arial"/>
                <w:sz w:val="11"/>
                <w:szCs w:val="11"/>
                <w:color w:val="auto"/>
                <w:w w:val="99"/>
              </w:rPr>
              <w:t>111.0 to 121.0</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rPr>
              <w:t>111.0</w:t>
            </w:r>
          </w:p>
        </w:tc>
        <w:tc>
          <w:tcPr>
            <w:tcW w:w="160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w w:val="93"/>
              </w:rPr>
              <w:t>61.3</w:t>
            </w:r>
          </w:p>
        </w:tc>
        <w:tc>
          <w:tcPr>
            <w:tcW w:w="170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7"/>
              </w:rPr>
              <w:t>COGS, SG&amp;A, R&amp;D</w:t>
            </w:r>
          </w:p>
        </w:tc>
        <w:tc>
          <w:tcPr>
            <w:tcW w:w="0" w:type="dxa"/>
            <w:vAlign w:val="bottom"/>
          </w:tcPr>
          <w:p>
            <w:pPr>
              <w:spacing w:after="0"/>
              <w:rPr>
                <w:sz w:val="1"/>
                <w:szCs w:val="1"/>
                <w:color w:val="auto"/>
              </w:rPr>
            </w:pPr>
          </w:p>
        </w:tc>
      </w:tr>
      <w:tr>
        <w:trPr>
          <w:trHeight w:val="225"/>
        </w:trPr>
        <w:tc>
          <w:tcPr>
            <w:tcW w:w="3940" w:type="dxa"/>
            <w:vAlign w:val="bottom"/>
            <w:shd w:val="clear" w:color="auto" w:fill="D9D9D9"/>
          </w:tcPr>
          <w:p>
            <w:pPr>
              <w:ind w:left="60"/>
              <w:spacing w:after="0"/>
              <w:rPr>
                <w:sz w:val="20"/>
                <w:szCs w:val="20"/>
                <w:color w:val="auto"/>
              </w:rPr>
            </w:pPr>
            <w:r>
              <w:rPr>
                <w:rFonts w:ascii="Arial" w:cs="Arial" w:eastAsia="Arial" w:hAnsi="Arial"/>
                <w:sz w:val="11"/>
                <w:szCs w:val="11"/>
                <w:color w:val="auto"/>
              </w:rPr>
              <w:t>+ Total Interest Expense</w:t>
            </w:r>
          </w:p>
        </w:tc>
        <w:tc>
          <w:tcPr>
            <w:tcW w:w="1720" w:type="dxa"/>
            <w:vAlign w:val="bottom"/>
            <w:shd w:val="clear" w:color="auto" w:fill="D9D9D9"/>
          </w:tcPr>
          <w:p>
            <w:pPr>
              <w:jc w:val="center"/>
              <w:ind w:left="9"/>
              <w:spacing w:after="0"/>
              <w:rPr>
                <w:sz w:val="20"/>
                <w:szCs w:val="20"/>
                <w:color w:val="auto"/>
              </w:rPr>
            </w:pPr>
            <w:r>
              <w:rPr>
                <w:rFonts w:ascii="Arial" w:cs="Arial" w:eastAsia="Arial" w:hAnsi="Arial"/>
                <w:sz w:val="11"/>
                <w:szCs w:val="11"/>
                <w:color w:val="auto"/>
              </w:rPr>
              <w:t>31.0</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3"/>
              </w:rPr>
              <w:t>38.0</w:t>
            </w:r>
          </w:p>
        </w:tc>
        <w:tc>
          <w:tcPr>
            <w:tcW w:w="160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rPr>
              <w:t>9.9</w:t>
            </w:r>
          </w:p>
        </w:tc>
        <w:tc>
          <w:tcPr>
            <w:tcW w:w="1700" w:type="dxa"/>
            <w:vAlign w:val="bottom"/>
            <w:shd w:val="clear" w:color="auto" w:fill="D9D9D9"/>
          </w:tcPr>
          <w:p>
            <w:pPr>
              <w:jc w:val="center"/>
              <w:spacing w:after="0"/>
              <w:rPr>
                <w:sz w:val="20"/>
                <w:szCs w:val="20"/>
                <w:color w:val="auto"/>
              </w:rPr>
            </w:pPr>
            <w:r>
              <w:rPr>
                <w:rFonts w:ascii="Arial" w:cs="Arial" w:eastAsia="Arial" w:hAnsi="Arial"/>
                <w:sz w:val="11"/>
                <w:szCs w:val="11"/>
                <w:color w:val="auto"/>
                <w:w w:val="97"/>
              </w:rPr>
              <w:t>Other Expense/ (Income)</w:t>
            </w:r>
          </w:p>
        </w:tc>
        <w:tc>
          <w:tcPr>
            <w:tcW w:w="0" w:type="dxa"/>
            <w:vAlign w:val="bottom"/>
          </w:tcPr>
          <w:p>
            <w:pPr>
              <w:spacing w:after="0"/>
              <w:rPr>
                <w:sz w:val="1"/>
                <w:szCs w:val="1"/>
                <w:color w:val="auto"/>
              </w:rPr>
            </w:pPr>
          </w:p>
        </w:tc>
      </w:tr>
      <w:tr>
        <w:trPr>
          <w:trHeight w:val="225"/>
        </w:trPr>
        <w:tc>
          <w:tcPr>
            <w:tcW w:w="3940" w:type="dxa"/>
            <w:vAlign w:val="bottom"/>
            <w:shd w:val="clear" w:color="auto" w:fill="D9D9D9"/>
          </w:tcPr>
          <w:p>
            <w:pPr>
              <w:ind w:left="60"/>
              <w:spacing w:after="0"/>
              <w:rPr>
                <w:sz w:val="20"/>
                <w:szCs w:val="20"/>
                <w:color w:val="auto"/>
              </w:rPr>
            </w:pPr>
            <w:r>
              <w:rPr>
                <w:rFonts w:ascii="Arial" w:cs="Arial" w:eastAsia="Arial" w:hAnsi="Arial"/>
                <w:sz w:val="11"/>
                <w:szCs w:val="11"/>
                <w:color w:val="auto"/>
              </w:rPr>
              <w:t>+ Provision for Income Taxes</w:t>
            </w:r>
          </w:p>
        </w:tc>
        <w:tc>
          <w:tcPr>
            <w:tcW w:w="1720" w:type="dxa"/>
            <w:vAlign w:val="bottom"/>
            <w:shd w:val="clear" w:color="auto" w:fill="D9D9D9"/>
          </w:tcPr>
          <w:p>
            <w:pPr>
              <w:jc w:val="center"/>
              <w:ind w:left="9"/>
              <w:spacing w:after="0"/>
              <w:rPr>
                <w:sz w:val="20"/>
                <w:szCs w:val="20"/>
                <w:color w:val="auto"/>
              </w:rPr>
            </w:pPr>
            <w:r>
              <w:rPr>
                <w:rFonts w:ascii="Arial" w:cs="Arial" w:eastAsia="Arial" w:hAnsi="Arial"/>
                <w:sz w:val="11"/>
                <w:szCs w:val="11"/>
                <w:color w:val="auto"/>
              </w:rPr>
              <w:t>48.0</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3"/>
              </w:rPr>
              <w:t>23.0</w:t>
            </w:r>
          </w:p>
        </w:tc>
        <w:tc>
          <w:tcPr>
            <w:tcW w:w="160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w w:val="93"/>
              </w:rPr>
              <w:t>18.8</w:t>
            </w:r>
          </w:p>
        </w:tc>
        <w:tc>
          <w:tcPr>
            <w:tcW w:w="170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w w:val="95"/>
              </w:rPr>
              <w:t>Income Taxes</w:t>
            </w:r>
          </w:p>
        </w:tc>
        <w:tc>
          <w:tcPr>
            <w:tcW w:w="0" w:type="dxa"/>
            <w:vAlign w:val="bottom"/>
          </w:tcPr>
          <w:p>
            <w:pPr>
              <w:spacing w:after="0"/>
              <w:rPr>
                <w:sz w:val="1"/>
                <w:szCs w:val="1"/>
                <w:color w:val="auto"/>
              </w:rPr>
            </w:pPr>
          </w:p>
        </w:tc>
      </w:tr>
      <w:tr>
        <w:trPr>
          <w:trHeight w:val="232"/>
        </w:trPr>
        <w:tc>
          <w:tcPr>
            <w:tcW w:w="3940" w:type="dxa"/>
            <w:vAlign w:val="bottom"/>
            <w:shd w:val="clear" w:color="auto" w:fill="D9D9D9"/>
          </w:tcPr>
          <w:p>
            <w:pPr>
              <w:ind w:left="60"/>
              <w:spacing w:after="0"/>
              <w:rPr>
                <w:sz w:val="20"/>
                <w:szCs w:val="20"/>
                <w:color w:val="auto"/>
              </w:rPr>
            </w:pPr>
            <w:r>
              <w:rPr>
                <w:rFonts w:ascii="Arial" w:cs="Arial" w:eastAsia="Arial" w:hAnsi="Arial"/>
                <w:sz w:val="11"/>
                <w:szCs w:val="11"/>
                <w:color w:val="auto"/>
              </w:rPr>
              <w:t>Total Adjustments</w:t>
            </w:r>
          </w:p>
        </w:tc>
        <w:tc>
          <w:tcPr>
            <w:tcW w:w="1720" w:type="dxa"/>
            <w:vAlign w:val="bottom"/>
            <w:shd w:val="clear" w:color="auto" w:fill="D9D9D9"/>
          </w:tcPr>
          <w:p>
            <w:pPr>
              <w:jc w:val="center"/>
              <w:ind w:left="9"/>
              <w:spacing w:after="0"/>
              <w:rPr>
                <w:sz w:val="20"/>
                <w:szCs w:val="20"/>
                <w:color w:val="auto"/>
              </w:rPr>
            </w:pPr>
            <w:r>
              <w:rPr>
                <w:rFonts w:ascii="Arial" w:cs="Arial" w:eastAsia="Arial" w:hAnsi="Arial"/>
                <w:sz w:val="11"/>
                <w:szCs w:val="11"/>
                <w:color w:val="auto"/>
                <w:w w:val="99"/>
              </w:rPr>
              <w:t>190.0 to 200.0</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rPr>
              <w:t>172.0</w:t>
            </w:r>
          </w:p>
        </w:tc>
        <w:tc>
          <w:tcPr>
            <w:tcW w:w="160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w w:val="93"/>
              </w:rPr>
              <w:t>90.0</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32"/>
        </w:trPr>
        <w:tc>
          <w:tcPr>
            <w:tcW w:w="3940" w:type="dxa"/>
            <w:vAlign w:val="bottom"/>
            <w:shd w:val="clear" w:color="auto" w:fill="ACACAC"/>
          </w:tcPr>
          <w:p>
            <w:pPr>
              <w:ind w:left="60"/>
              <w:spacing w:after="0"/>
              <w:rPr>
                <w:sz w:val="20"/>
                <w:szCs w:val="20"/>
                <w:color w:val="auto"/>
              </w:rPr>
            </w:pPr>
            <w:r>
              <w:rPr>
                <w:rFonts w:ascii="Arial" w:cs="Arial" w:eastAsia="Arial" w:hAnsi="Arial"/>
                <w:sz w:val="11"/>
                <w:szCs w:val="11"/>
                <w:b w:val="1"/>
                <w:bCs w:val="1"/>
                <w:color w:val="auto"/>
              </w:rPr>
              <w:t>EBITDA</w:t>
            </w:r>
          </w:p>
        </w:tc>
        <w:tc>
          <w:tcPr>
            <w:tcW w:w="1720" w:type="dxa"/>
            <w:vAlign w:val="bottom"/>
            <w:shd w:val="clear" w:color="auto" w:fill="ACACAC"/>
          </w:tcPr>
          <w:p>
            <w:pPr>
              <w:jc w:val="center"/>
              <w:ind w:left="9"/>
              <w:spacing w:after="0"/>
              <w:rPr>
                <w:sz w:val="20"/>
                <w:szCs w:val="20"/>
                <w:color w:val="auto"/>
              </w:rPr>
            </w:pPr>
            <w:r>
              <w:rPr>
                <w:rFonts w:ascii="Arial" w:cs="Arial" w:eastAsia="Arial" w:hAnsi="Arial"/>
                <w:sz w:val="11"/>
                <w:szCs w:val="11"/>
                <w:b w:val="1"/>
                <w:bCs w:val="1"/>
                <w:color w:val="auto"/>
                <w:w w:val="97"/>
              </w:rPr>
              <w:t>$295.0 to $355.0</w:t>
            </w:r>
          </w:p>
        </w:tc>
        <w:tc>
          <w:tcPr>
            <w:tcW w:w="1700" w:type="dxa"/>
            <w:vAlign w:val="bottom"/>
            <w:shd w:val="clear" w:color="auto" w:fill="ACACAC"/>
          </w:tcPr>
          <w:p>
            <w:pPr>
              <w:jc w:val="center"/>
              <w:ind w:left="26"/>
              <w:spacing w:after="0"/>
              <w:rPr>
                <w:sz w:val="20"/>
                <w:szCs w:val="20"/>
                <w:color w:val="auto"/>
              </w:rPr>
            </w:pPr>
            <w:r>
              <w:rPr>
                <w:rFonts w:ascii="Arial" w:cs="Arial" w:eastAsia="Arial" w:hAnsi="Arial"/>
                <w:sz w:val="11"/>
                <w:szCs w:val="11"/>
                <w:b w:val="1"/>
                <w:bCs w:val="1"/>
                <w:color w:val="auto"/>
                <w:w w:val="97"/>
              </w:rPr>
              <w:t>$225.0 to $235.0</w:t>
            </w:r>
          </w:p>
        </w:tc>
        <w:tc>
          <w:tcPr>
            <w:tcW w:w="1600" w:type="dxa"/>
            <w:vAlign w:val="bottom"/>
            <w:shd w:val="clear" w:color="auto" w:fill="ACACAC"/>
          </w:tcPr>
          <w:p>
            <w:pPr>
              <w:jc w:val="center"/>
              <w:ind w:left="26"/>
              <w:spacing w:after="0"/>
              <w:rPr>
                <w:sz w:val="20"/>
                <w:szCs w:val="20"/>
                <w:color w:val="auto"/>
              </w:rPr>
            </w:pPr>
            <w:r>
              <w:rPr>
                <w:rFonts w:ascii="Arial" w:cs="Arial" w:eastAsia="Arial" w:hAnsi="Arial"/>
                <w:sz w:val="11"/>
                <w:szCs w:val="11"/>
                <w:b w:val="1"/>
                <w:bCs w:val="1"/>
                <w:color w:val="auto"/>
                <w:w w:val="94"/>
              </w:rPr>
              <w:t>$152.7</w:t>
            </w:r>
          </w:p>
        </w:tc>
        <w:tc>
          <w:tcPr>
            <w:tcW w:w="1700" w:type="dxa"/>
            <w:vAlign w:val="bottom"/>
            <w:shd w:val="clear" w:color="auto" w:fill="ACACAC"/>
          </w:tcPr>
          <w:p>
            <w:pPr>
              <w:jc w:val="center"/>
              <w:ind w:left="6"/>
              <w:spacing w:after="0"/>
              <w:rPr>
                <w:sz w:val="20"/>
                <w:szCs w:val="20"/>
                <w:color w:val="auto"/>
              </w:rPr>
            </w:pPr>
            <w:r>
              <w:rPr>
                <w:rFonts w:ascii="Arial" w:cs="Arial" w:eastAsia="Arial" w:hAnsi="Arial"/>
                <w:sz w:val="11"/>
                <w:szCs w:val="11"/>
                <w:b w:val="1"/>
                <w:bCs w:val="1"/>
                <w:color w:val="auto"/>
              </w:rPr>
              <w:t>NA</w:t>
            </w:r>
          </w:p>
        </w:tc>
        <w:tc>
          <w:tcPr>
            <w:tcW w:w="0" w:type="dxa"/>
            <w:vAlign w:val="bottom"/>
          </w:tcPr>
          <w:p>
            <w:pPr>
              <w:spacing w:after="0"/>
              <w:rPr>
                <w:sz w:val="1"/>
                <w:szCs w:val="1"/>
                <w:color w:val="auto"/>
              </w:rPr>
            </w:pPr>
          </w:p>
        </w:tc>
      </w:tr>
      <w:tr>
        <w:trPr>
          <w:trHeight w:val="212"/>
        </w:trPr>
        <w:tc>
          <w:tcPr>
            <w:tcW w:w="3940" w:type="dxa"/>
            <w:vAlign w:val="bottom"/>
            <w:shd w:val="clear" w:color="auto" w:fill="D9D9D9"/>
          </w:tcPr>
          <w:p>
            <w:pPr>
              <w:ind w:left="60"/>
              <w:spacing w:after="0"/>
              <w:rPr>
                <w:sz w:val="20"/>
                <w:szCs w:val="20"/>
                <w:color w:val="auto"/>
              </w:rPr>
            </w:pPr>
            <w:r>
              <w:rPr>
                <w:rFonts w:ascii="Arial" w:cs="Arial" w:eastAsia="Arial" w:hAnsi="Arial"/>
                <w:sz w:val="11"/>
                <w:szCs w:val="11"/>
                <w:color w:val="auto"/>
              </w:rPr>
              <w:t>Additional Adjustments:</w:t>
            </w:r>
          </w:p>
        </w:tc>
        <w:tc>
          <w:tcPr>
            <w:tcW w:w="1720" w:type="dxa"/>
            <w:vAlign w:val="bottom"/>
            <w:shd w:val="clear" w:color="auto" w:fill="D9D9D9"/>
          </w:tcPr>
          <w:p>
            <w:pPr>
              <w:spacing w:after="0"/>
              <w:rPr>
                <w:sz w:val="18"/>
                <w:szCs w:val="18"/>
                <w:color w:val="auto"/>
              </w:rPr>
            </w:pPr>
          </w:p>
        </w:tc>
        <w:tc>
          <w:tcPr>
            <w:tcW w:w="1700" w:type="dxa"/>
            <w:vAlign w:val="bottom"/>
            <w:shd w:val="clear" w:color="auto" w:fill="D9D9D9"/>
          </w:tcPr>
          <w:p>
            <w:pPr>
              <w:spacing w:after="0"/>
              <w:rPr>
                <w:sz w:val="18"/>
                <w:szCs w:val="18"/>
                <w:color w:val="auto"/>
              </w:rPr>
            </w:pPr>
          </w:p>
        </w:tc>
        <w:tc>
          <w:tcPr>
            <w:tcW w:w="1600" w:type="dxa"/>
            <w:vAlign w:val="bottom"/>
            <w:shd w:val="clear" w:color="auto" w:fill="D9D9D9"/>
          </w:tcPr>
          <w:p>
            <w:pPr>
              <w:spacing w:after="0"/>
              <w:rPr>
                <w:sz w:val="18"/>
                <w:szCs w:val="18"/>
                <w:color w:val="auto"/>
              </w:rPr>
            </w:pPr>
          </w:p>
        </w:tc>
        <w:tc>
          <w:tcPr>
            <w:tcW w:w="170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D9D9D9"/>
          </w:tcPr>
          <w:p>
            <w:pPr>
              <w:ind w:left="60"/>
              <w:spacing w:after="0"/>
              <w:rPr>
                <w:sz w:val="20"/>
                <w:szCs w:val="20"/>
                <w:color w:val="auto"/>
              </w:rPr>
            </w:pPr>
            <w:r>
              <w:rPr>
                <w:rFonts w:ascii="Arial" w:cs="Arial" w:eastAsia="Arial" w:hAnsi="Arial"/>
                <w:sz w:val="11"/>
                <w:szCs w:val="11"/>
                <w:color w:val="auto"/>
              </w:rPr>
              <w:t>+ Change in fair value of contingent consideration</w:t>
            </w:r>
          </w:p>
        </w:tc>
        <w:tc>
          <w:tcPr>
            <w:tcW w:w="1720" w:type="dxa"/>
            <w:vAlign w:val="bottom"/>
            <w:shd w:val="clear" w:color="auto" w:fill="D9D9D9"/>
          </w:tcPr>
          <w:p>
            <w:pPr>
              <w:jc w:val="center"/>
              <w:ind w:left="9"/>
              <w:spacing w:after="0"/>
              <w:rPr>
                <w:sz w:val="20"/>
                <w:szCs w:val="20"/>
                <w:color w:val="auto"/>
              </w:rPr>
            </w:pPr>
            <w:r>
              <w:rPr>
                <w:rFonts w:ascii="Arial" w:cs="Arial" w:eastAsia="Arial" w:hAnsi="Arial"/>
                <w:sz w:val="11"/>
                <w:szCs w:val="11"/>
                <w:color w:val="auto"/>
                <w:w w:val="91"/>
              </w:rPr>
              <w:t>1.0</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3"/>
              </w:rPr>
              <w:t>24.0</w:t>
            </w:r>
          </w:p>
        </w:tc>
        <w:tc>
          <w:tcPr>
            <w:tcW w:w="160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rPr>
              <w:t>3.1</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8"/>
              </w:rPr>
              <w:t>COGS</w:t>
            </w:r>
          </w:p>
        </w:tc>
        <w:tc>
          <w:tcPr>
            <w:tcW w:w="0" w:type="dxa"/>
            <w:vAlign w:val="bottom"/>
          </w:tcPr>
          <w:p>
            <w:pPr>
              <w:spacing w:after="0"/>
              <w:rPr>
                <w:sz w:val="1"/>
                <w:szCs w:val="1"/>
                <w:color w:val="auto"/>
              </w:rPr>
            </w:pPr>
          </w:p>
        </w:tc>
      </w:tr>
      <w:tr>
        <w:trPr>
          <w:trHeight w:val="225"/>
        </w:trPr>
        <w:tc>
          <w:tcPr>
            <w:tcW w:w="3940" w:type="dxa"/>
            <w:vAlign w:val="bottom"/>
            <w:shd w:val="clear" w:color="auto" w:fill="D9D9D9"/>
          </w:tcPr>
          <w:p>
            <w:pPr>
              <w:ind w:left="60"/>
              <w:spacing w:after="0"/>
              <w:rPr>
                <w:sz w:val="20"/>
                <w:szCs w:val="20"/>
                <w:color w:val="auto"/>
              </w:rPr>
            </w:pPr>
            <w:r>
              <w:rPr>
                <w:rFonts w:ascii="Arial" w:cs="Arial" w:eastAsia="Arial" w:hAnsi="Arial"/>
                <w:sz w:val="11"/>
                <w:szCs w:val="11"/>
                <w:color w:val="auto"/>
              </w:rPr>
              <w:t>+ Acquisition-related costs (transaction &amp; integration)</w:t>
            </w:r>
          </w:p>
        </w:tc>
        <w:tc>
          <w:tcPr>
            <w:tcW w:w="1720" w:type="dxa"/>
            <w:vAlign w:val="bottom"/>
            <w:shd w:val="clear" w:color="auto" w:fill="D9D9D9"/>
          </w:tcPr>
          <w:p>
            <w:pPr>
              <w:jc w:val="center"/>
              <w:ind w:left="9"/>
              <w:spacing w:after="0"/>
              <w:rPr>
                <w:sz w:val="20"/>
                <w:szCs w:val="20"/>
                <w:color w:val="auto"/>
              </w:rPr>
            </w:pPr>
            <w:r>
              <w:rPr>
                <w:rFonts w:ascii="Arial" w:cs="Arial" w:eastAsia="Arial" w:hAnsi="Arial"/>
                <w:sz w:val="11"/>
                <w:szCs w:val="11"/>
                <w:color w:val="auto"/>
                <w:w w:val="91"/>
              </w:rPr>
              <w:t>4.0</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3"/>
              </w:rPr>
              <w:t>13.0</w:t>
            </w:r>
          </w:p>
        </w:tc>
        <w:tc>
          <w:tcPr>
            <w:tcW w:w="160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w w:val="93"/>
              </w:rPr>
              <w:t>27.3</w:t>
            </w:r>
          </w:p>
        </w:tc>
        <w:tc>
          <w:tcPr>
            <w:tcW w:w="170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w w:val="97"/>
              </w:rPr>
              <w:t>SG&amp;A</w:t>
            </w:r>
          </w:p>
        </w:tc>
        <w:tc>
          <w:tcPr>
            <w:tcW w:w="0" w:type="dxa"/>
            <w:vAlign w:val="bottom"/>
          </w:tcPr>
          <w:p>
            <w:pPr>
              <w:spacing w:after="0"/>
              <w:rPr>
                <w:sz w:val="1"/>
                <w:szCs w:val="1"/>
                <w:color w:val="auto"/>
              </w:rPr>
            </w:pPr>
          </w:p>
        </w:tc>
      </w:tr>
      <w:tr>
        <w:trPr>
          <w:trHeight w:val="225"/>
        </w:trPr>
        <w:tc>
          <w:tcPr>
            <w:tcW w:w="3940" w:type="dxa"/>
            <w:vAlign w:val="bottom"/>
            <w:shd w:val="clear" w:color="auto" w:fill="D9D9D9"/>
          </w:tcPr>
          <w:p>
            <w:pPr>
              <w:ind w:left="60"/>
              <w:spacing w:after="0"/>
              <w:rPr>
                <w:sz w:val="20"/>
                <w:szCs w:val="20"/>
                <w:color w:val="auto"/>
              </w:rPr>
            </w:pPr>
            <w:r>
              <w:rPr>
                <w:rFonts w:ascii="Arial" w:cs="Arial" w:eastAsia="Arial" w:hAnsi="Arial"/>
                <w:sz w:val="11"/>
                <w:szCs w:val="11"/>
                <w:color w:val="auto"/>
              </w:rPr>
              <w:t>+ IPR&amp;D intangible asset impairment</w:t>
            </w:r>
          </w:p>
        </w:tc>
        <w:tc>
          <w:tcPr>
            <w:tcW w:w="1720" w:type="dxa"/>
            <w:vAlign w:val="bottom"/>
            <w:shd w:val="clear" w:color="auto" w:fill="D9D9D9"/>
          </w:tcPr>
          <w:p>
            <w:pPr>
              <w:jc w:val="center"/>
              <w:ind w:left="9"/>
              <w:spacing w:after="0"/>
              <w:rPr>
                <w:sz w:val="20"/>
                <w:szCs w:val="20"/>
                <w:color w:val="auto"/>
              </w:rPr>
            </w:pPr>
            <w:r>
              <w:rPr>
                <w:rFonts w:ascii="Arial" w:cs="Arial" w:eastAsia="Arial" w:hAnsi="Arial"/>
                <w:sz w:val="8"/>
                <w:szCs w:val="8"/>
                <w:color w:val="auto"/>
                <w:w w:val="73"/>
              </w:rPr>
              <w:t>-</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3"/>
              </w:rPr>
              <w:t>12.0</w:t>
            </w:r>
          </w:p>
        </w:tc>
        <w:tc>
          <w:tcPr>
            <w:tcW w:w="160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rPr>
              <w:t>-</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rPr>
              <w:t>R&amp;D</w:t>
            </w:r>
          </w:p>
        </w:tc>
        <w:tc>
          <w:tcPr>
            <w:tcW w:w="0" w:type="dxa"/>
            <w:vAlign w:val="bottom"/>
          </w:tcPr>
          <w:p>
            <w:pPr>
              <w:spacing w:after="0"/>
              <w:rPr>
                <w:sz w:val="1"/>
                <w:szCs w:val="1"/>
                <w:color w:val="auto"/>
              </w:rPr>
            </w:pPr>
          </w:p>
        </w:tc>
      </w:tr>
      <w:tr>
        <w:trPr>
          <w:trHeight w:val="225"/>
        </w:trPr>
        <w:tc>
          <w:tcPr>
            <w:tcW w:w="3940" w:type="dxa"/>
            <w:vAlign w:val="bottom"/>
            <w:shd w:val="clear" w:color="auto" w:fill="D9D9D9"/>
          </w:tcPr>
          <w:p>
            <w:pPr>
              <w:ind w:left="60"/>
              <w:spacing w:after="0"/>
              <w:rPr>
                <w:sz w:val="20"/>
                <w:szCs w:val="20"/>
                <w:color w:val="auto"/>
              </w:rPr>
            </w:pPr>
            <w:r>
              <w:rPr>
                <w:rFonts w:ascii="Arial" w:cs="Arial" w:eastAsia="Arial" w:hAnsi="Arial"/>
                <w:sz w:val="11"/>
                <w:szCs w:val="11"/>
                <w:color w:val="auto"/>
              </w:rPr>
              <w:t>+ Impact of purchase accounting on inventory step-up</w:t>
            </w:r>
          </w:p>
        </w:tc>
        <w:tc>
          <w:tcPr>
            <w:tcW w:w="1720" w:type="dxa"/>
            <w:vAlign w:val="bottom"/>
            <w:shd w:val="clear" w:color="auto" w:fill="D9D9D9"/>
          </w:tcPr>
          <w:p>
            <w:pPr>
              <w:jc w:val="center"/>
              <w:ind w:left="9"/>
              <w:spacing w:after="0"/>
              <w:rPr>
                <w:sz w:val="20"/>
                <w:szCs w:val="20"/>
                <w:color w:val="auto"/>
              </w:rPr>
            </w:pPr>
            <w:r>
              <w:rPr>
                <w:rFonts w:ascii="Arial" w:cs="Arial" w:eastAsia="Arial" w:hAnsi="Arial"/>
                <w:sz w:val="8"/>
                <w:szCs w:val="8"/>
                <w:color w:val="auto"/>
                <w:w w:val="73"/>
              </w:rPr>
              <w:t>-</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rPr>
              <w:t>6.0</w:t>
            </w:r>
          </w:p>
        </w:tc>
        <w:tc>
          <w:tcPr>
            <w:tcW w:w="160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w w:val="93"/>
              </w:rPr>
              <w:t>18.4</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8"/>
              </w:rPr>
              <w:t>COGS</w:t>
            </w:r>
          </w:p>
        </w:tc>
        <w:tc>
          <w:tcPr>
            <w:tcW w:w="0" w:type="dxa"/>
            <w:vAlign w:val="bottom"/>
          </w:tcPr>
          <w:p>
            <w:pPr>
              <w:spacing w:after="0"/>
              <w:rPr>
                <w:sz w:val="1"/>
                <w:szCs w:val="1"/>
                <w:color w:val="auto"/>
              </w:rPr>
            </w:pPr>
          </w:p>
        </w:tc>
      </w:tr>
      <w:tr>
        <w:trPr>
          <w:trHeight w:val="225"/>
        </w:trPr>
        <w:tc>
          <w:tcPr>
            <w:tcW w:w="3940" w:type="dxa"/>
            <w:vAlign w:val="bottom"/>
            <w:shd w:val="clear" w:color="auto" w:fill="D9D9D9"/>
          </w:tcPr>
          <w:p>
            <w:pPr>
              <w:ind w:left="60"/>
              <w:spacing w:after="0"/>
              <w:rPr>
                <w:sz w:val="20"/>
                <w:szCs w:val="20"/>
                <w:color w:val="auto"/>
              </w:rPr>
            </w:pPr>
            <w:r>
              <w:rPr>
                <w:rFonts w:ascii="Arial" w:cs="Arial" w:eastAsia="Arial" w:hAnsi="Arial"/>
                <w:sz w:val="11"/>
                <w:szCs w:val="11"/>
                <w:color w:val="auto"/>
              </w:rPr>
              <w:t>+ Exit and disposal costs</w:t>
            </w:r>
          </w:p>
        </w:tc>
        <w:tc>
          <w:tcPr>
            <w:tcW w:w="1720" w:type="dxa"/>
            <w:vAlign w:val="bottom"/>
            <w:shd w:val="clear" w:color="auto" w:fill="D9D9D9"/>
          </w:tcPr>
          <w:p>
            <w:pPr>
              <w:jc w:val="center"/>
              <w:ind w:left="9"/>
              <w:spacing w:after="0"/>
              <w:rPr>
                <w:sz w:val="20"/>
                <w:szCs w:val="20"/>
                <w:color w:val="auto"/>
              </w:rPr>
            </w:pPr>
            <w:r>
              <w:rPr>
                <w:rFonts w:ascii="Arial" w:cs="Arial" w:eastAsia="Arial" w:hAnsi="Arial"/>
                <w:sz w:val="8"/>
                <w:szCs w:val="8"/>
                <w:color w:val="auto"/>
                <w:w w:val="73"/>
              </w:rPr>
              <w:t>-</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rPr>
              <w:t>-</w:t>
            </w:r>
          </w:p>
        </w:tc>
        <w:tc>
          <w:tcPr>
            <w:tcW w:w="160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rPr>
              <w:t>0.4</w:t>
            </w:r>
          </w:p>
        </w:tc>
        <w:tc>
          <w:tcPr>
            <w:tcW w:w="170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w w:val="97"/>
              </w:rPr>
              <w:t>SG&amp;A</w:t>
            </w:r>
          </w:p>
        </w:tc>
        <w:tc>
          <w:tcPr>
            <w:tcW w:w="0" w:type="dxa"/>
            <w:vAlign w:val="bottom"/>
          </w:tcPr>
          <w:p>
            <w:pPr>
              <w:spacing w:after="0"/>
              <w:rPr>
                <w:sz w:val="1"/>
                <w:szCs w:val="1"/>
                <w:color w:val="auto"/>
              </w:rPr>
            </w:pPr>
          </w:p>
        </w:tc>
      </w:tr>
      <w:tr>
        <w:trPr>
          <w:trHeight w:val="232"/>
        </w:trPr>
        <w:tc>
          <w:tcPr>
            <w:tcW w:w="3940" w:type="dxa"/>
            <w:vAlign w:val="bottom"/>
            <w:shd w:val="clear" w:color="auto" w:fill="D9D9D9"/>
          </w:tcPr>
          <w:p>
            <w:pPr>
              <w:ind w:left="60"/>
              <w:spacing w:after="0"/>
              <w:rPr>
                <w:sz w:val="20"/>
                <w:szCs w:val="20"/>
                <w:color w:val="auto"/>
              </w:rPr>
            </w:pPr>
            <w:r>
              <w:rPr>
                <w:rFonts w:ascii="Arial" w:cs="Arial" w:eastAsia="Arial" w:hAnsi="Arial"/>
                <w:sz w:val="11"/>
                <w:szCs w:val="11"/>
                <w:color w:val="auto"/>
              </w:rPr>
              <w:t>Total Additional Adjustments</w:t>
            </w:r>
          </w:p>
        </w:tc>
        <w:tc>
          <w:tcPr>
            <w:tcW w:w="1720" w:type="dxa"/>
            <w:vAlign w:val="bottom"/>
            <w:shd w:val="clear" w:color="auto" w:fill="D9D9D9"/>
          </w:tcPr>
          <w:p>
            <w:pPr>
              <w:jc w:val="center"/>
              <w:ind w:left="9"/>
              <w:spacing w:after="0"/>
              <w:rPr>
                <w:sz w:val="20"/>
                <w:szCs w:val="20"/>
                <w:color w:val="auto"/>
              </w:rPr>
            </w:pPr>
            <w:r>
              <w:rPr>
                <w:rFonts w:ascii="Arial" w:cs="Arial" w:eastAsia="Arial" w:hAnsi="Arial"/>
                <w:sz w:val="11"/>
                <w:szCs w:val="11"/>
                <w:color w:val="auto"/>
                <w:w w:val="91"/>
              </w:rPr>
              <w:t>5.0</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w w:val="93"/>
              </w:rPr>
              <w:t>55.0</w:t>
            </w:r>
          </w:p>
        </w:tc>
        <w:tc>
          <w:tcPr>
            <w:tcW w:w="1600" w:type="dxa"/>
            <w:vAlign w:val="bottom"/>
            <w:shd w:val="clear" w:color="auto" w:fill="D9D9D9"/>
          </w:tcPr>
          <w:p>
            <w:pPr>
              <w:jc w:val="center"/>
              <w:ind w:left="26"/>
              <w:spacing w:after="0"/>
              <w:rPr>
                <w:sz w:val="20"/>
                <w:szCs w:val="20"/>
                <w:color w:val="auto"/>
              </w:rPr>
            </w:pPr>
            <w:r>
              <w:rPr>
                <w:rFonts w:ascii="Arial" w:cs="Arial" w:eastAsia="Arial" w:hAnsi="Arial"/>
                <w:sz w:val="11"/>
                <w:szCs w:val="11"/>
                <w:color w:val="auto"/>
                <w:w w:val="93"/>
              </w:rPr>
              <w:t>49.2</w:t>
            </w:r>
          </w:p>
        </w:tc>
        <w:tc>
          <w:tcPr>
            <w:tcW w:w="1700" w:type="dxa"/>
            <w:vAlign w:val="bottom"/>
            <w:shd w:val="clear" w:color="auto" w:fill="D9D9D9"/>
          </w:tcPr>
          <w:p>
            <w:pPr>
              <w:jc w:val="center"/>
              <w:ind w:left="6"/>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19"/>
        </w:trPr>
        <w:tc>
          <w:tcPr>
            <w:tcW w:w="3940" w:type="dxa"/>
            <w:vAlign w:val="bottom"/>
            <w:vMerge w:val="restart"/>
            <w:shd w:val="clear" w:color="auto" w:fill="ACACAC"/>
          </w:tcPr>
          <w:p>
            <w:pPr>
              <w:ind w:left="60"/>
              <w:spacing w:after="0"/>
              <w:rPr>
                <w:sz w:val="20"/>
                <w:szCs w:val="20"/>
                <w:color w:val="auto"/>
              </w:rPr>
            </w:pPr>
            <w:r>
              <w:rPr>
                <w:rFonts w:ascii="Arial" w:cs="Arial" w:eastAsia="Arial" w:hAnsi="Arial"/>
                <w:sz w:val="11"/>
                <w:szCs w:val="11"/>
                <w:b w:val="1"/>
                <w:bCs w:val="1"/>
                <w:color w:val="auto"/>
              </w:rPr>
              <w:t>Adjusted EBITDA</w:t>
            </w:r>
          </w:p>
        </w:tc>
        <w:tc>
          <w:tcPr>
            <w:tcW w:w="1720" w:type="dxa"/>
            <w:vAlign w:val="bottom"/>
            <w:shd w:val="clear" w:color="auto" w:fill="ACACAC"/>
          </w:tcPr>
          <w:p>
            <w:pPr>
              <w:jc w:val="center"/>
              <w:ind w:left="9"/>
              <w:spacing w:after="0"/>
              <w:rPr>
                <w:sz w:val="20"/>
                <w:szCs w:val="20"/>
                <w:color w:val="auto"/>
              </w:rPr>
            </w:pPr>
            <w:r>
              <w:rPr>
                <w:rFonts w:ascii="Arial" w:cs="Arial" w:eastAsia="Arial" w:hAnsi="Arial"/>
                <w:sz w:val="11"/>
                <w:szCs w:val="11"/>
                <w:b w:val="1"/>
                <w:bCs w:val="1"/>
                <w:color w:val="auto"/>
                <w:w w:val="97"/>
              </w:rPr>
              <w:t>$300.0 to</w:t>
            </w:r>
          </w:p>
        </w:tc>
        <w:tc>
          <w:tcPr>
            <w:tcW w:w="1700" w:type="dxa"/>
            <w:vAlign w:val="bottom"/>
            <w:shd w:val="clear" w:color="auto" w:fill="ACACAC"/>
          </w:tcPr>
          <w:p>
            <w:pPr>
              <w:jc w:val="center"/>
              <w:ind w:left="26"/>
              <w:spacing w:after="0"/>
              <w:rPr>
                <w:sz w:val="20"/>
                <w:szCs w:val="20"/>
                <w:color w:val="auto"/>
              </w:rPr>
            </w:pPr>
            <w:r>
              <w:rPr>
                <w:rFonts w:ascii="Arial" w:cs="Arial" w:eastAsia="Arial" w:hAnsi="Arial"/>
                <w:sz w:val="11"/>
                <w:szCs w:val="11"/>
                <w:b w:val="1"/>
                <w:bCs w:val="1"/>
                <w:color w:val="auto"/>
                <w:w w:val="97"/>
              </w:rPr>
              <w:t>$280.0 to</w:t>
            </w:r>
          </w:p>
        </w:tc>
        <w:tc>
          <w:tcPr>
            <w:tcW w:w="1600" w:type="dxa"/>
            <w:vAlign w:val="bottom"/>
            <w:vMerge w:val="restart"/>
            <w:shd w:val="clear" w:color="auto" w:fill="ACACAC"/>
          </w:tcPr>
          <w:p>
            <w:pPr>
              <w:jc w:val="center"/>
              <w:ind w:left="26"/>
              <w:spacing w:after="0"/>
              <w:rPr>
                <w:sz w:val="20"/>
                <w:szCs w:val="20"/>
                <w:color w:val="auto"/>
              </w:rPr>
            </w:pPr>
            <w:r>
              <w:rPr>
                <w:rFonts w:ascii="Arial" w:cs="Arial" w:eastAsia="Arial" w:hAnsi="Arial"/>
                <w:sz w:val="11"/>
                <w:szCs w:val="11"/>
                <w:b w:val="1"/>
                <w:bCs w:val="1"/>
                <w:color w:val="auto"/>
                <w:w w:val="94"/>
              </w:rPr>
              <w:t>$201.9</w:t>
            </w:r>
          </w:p>
        </w:tc>
        <w:tc>
          <w:tcPr>
            <w:tcW w:w="1700" w:type="dxa"/>
            <w:vAlign w:val="bottom"/>
            <w:vMerge w:val="restart"/>
            <w:shd w:val="clear" w:color="auto" w:fill="ACACAC"/>
          </w:tcPr>
          <w:p>
            <w:pPr>
              <w:jc w:val="center"/>
              <w:ind w:left="6"/>
              <w:spacing w:after="0"/>
              <w:rPr>
                <w:sz w:val="20"/>
                <w:szCs w:val="20"/>
                <w:color w:val="auto"/>
              </w:rPr>
            </w:pPr>
            <w:r>
              <w:rPr>
                <w:rFonts w:ascii="Arial" w:cs="Arial" w:eastAsia="Arial" w:hAnsi="Arial"/>
                <w:sz w:val="11"/>
                <w:szCs w:val="11"/>
                <w:b w:val="1"/>
                <w:bCs w:val="1"/>
                <w:color w:val="auto"/>
              </w:rPr>
              <w:t>NA</w:t>
            </w:r>
          </w:p>
        </w:tc>
        <w:tc>
          <w:tcPr>
            <w:tcW w:w="0" w:type="dxa"/>
            <w:vAlign w:val="bottom"/>
          </w:tcPr>
          <w:p>
            <w:pPr>
              <w:spacing w:after="0"/>
              <w:rPr>
                <w:sz w:val="1"/>
                <w:szCs w:val="1"/>
                <w:color w:val="auto"/>
              </w:rPr>
            </w:pPr>
          </w:p>
        </w:tc>
      </w:tr>
      <w:tr>
        <w:trPr>
          <w:trHeight w:val="90"/>
        </w:trPr>
        <w:tc>
          <w:tcPr>
            <w:tcW w:w="3940" w:type="dxa"/>
            <w:vAlign w:val="bottom"/>
            <w:vMerge w:val="continue"/>
            <w:shd w:val="clear" w:color="auto" w:fill="ACACAC"/>
          </w:tcPr>
          <w:p>
            <w:pPr>
              <w:spacing w:after="0"/>
              <w:rPr>
                <w:sz w:val="7"/>
                <w:szCs w:val="7"/>
                <w:color w:val="auto"/>
              </w:rPr>
            </w:pPr>
          </w:p>
        </w:tc>
        <w:tc>
          <w:tcPr>
            <w:tcW w:w="1720" w:type="dxa"/>
            <w:vAlign w:val="bottom"/>
            <w:vMerge w:val="restart"/>
            <w:shd w:val="clear" w:color="auto" w:fill="ACACAC"/>
          </w:tcPr>
          <w:p>
            <w:pPr>
              <w:jc w:val="center"/>
              <w:ind w:left="9"/>
              <w:spacing w:after="0"/>
              <w:rPr>
                <w:sz w:val="20"/>
                <w:szCs w:val="20"/>
                <w:color w:val="auto"/>
              </w:rPr>
            </w:pPr>
            <w:r>
              <w:rPr>
                <w:rFonts w:ascii="Arial" w:cs="Arial" w:eastAsia="Arial" w:hAnsi="Arial"/>
                <w:sz w:val="11"/>
                <w:szCs w:val="11"/>
                <w:b w:val="1"/>
                <w:bCs w:val="1"/>
                <w:color w:val="auto"/>
              </w:rPr>
              <w:t>$360.0</w:t>
            </w:r>
          </w:p>
        </w:tc>
        <w:tc>
          <w:tcPr>
            <w:tcW w:w="1700" w:type="dxa"/>
            <w:vAlign w:val="bottom"/>
            <w:vMerge w:val="restart"/>
            <w:shd w:val="clear" w:color="auto" w:fill="ACACAC"/>
          </w:tcPr>
          <w:p>
            <w:pPr>
              <w:jc w:val="center"/>
              <w:ind w:left="6"/>
              <w:spacing w:after="0"/>
              <w:rPr>
                <w:sz w:val="20"/>
                <w:szCs w:val="20"/>
                <w:color w:val="auto"/>
              </w:rPr>
            </w:pPr>
            <w:r>
              <w:rPr>
                <w:rFonts w:ascii="Arial" w:cs="Arial" w:eastAsia="Arial" w:hAnsi="Arial"/>
                <w:sz w:val="11"/>
                <w:szCs w:val="11"/>
                <w:b w:val="1"/>
                <w:bCs w:val="1"/>
                <w:color w:val="auto"/>
                <w:w w:val="94"/>
              </w:rPr>
              <w:t>$290.0</w:t>
            </w:r>
          </w:p>
        </w:tc>
        <w:tc>
          <w:tcPr>
            <w:tcW w:w="1600" w:type="dxa"/>
            <w:vAlign w:val="bottom"/>
            <w:vMerge w:val="continue"/>
            <w:shd w:val="clear" w:color="auto" w:fill="ACACAC"/>
          </w:tcPr>
          <w:p>
            <w:pPr>
              <w:spacing w:after="0"/>
              <w:rPr>
                <w:sz w:val="7"/>
                <w:szCs w:val="7"/>
                <w:color w:val="auto"/>
              </w:rPr>
            </w:pPr>
          </w:p>
        </w:tc>
        <w:tc>
          <w:tcPr>
            <w:tcW w:w="1700" w:type="dxa"/>
            <w:vAlign w:val="bottom"/>
            <w:vMerge w:val="continue"/>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940" w:type="dxa"/>
            <w:vAlign w:val="bottom"/>
            <w:shd w:val="clear" w:color="auto" w:fill="ACACAC"/>
          </w:tcPr>
          <w:p>
            <w:pPr>
              <w:spacing w:after="0"/>
              <w:rPr>
                <w:sz w:val="8"/>
                <w:szCs w:val="8"/>
                <w:color w:val="auto"/>
              </w:rPr>
            </w:pPr>
          </w:p>
        </w:tc>
        <w:tc>
          <w:tcPr>
            <w:tcW w:w="1720" w:type="dxa"/>
            <w:vAlign w:val="bottom"/>
            <w:vMerge w:val="continue"/>
            <w:shd w:val="clear" w:color="auto" w:fill="ACACAC"/>
          </w:tcPr>
          <w:p>
            <w:pPr>
              <w:spacing w:after="0"/>
              <w:rPr>
                <w:sz w:val="8"/>
                <w:szCs w:val="8"/>
                <w:color w:val="auto"/>
              </w:rPr>
            </w:pPr>
          </w:p>
        </w:tc>
        <w:tc>
          <w:tcPr>
            <w:tcW w:w="1700" w:type="dxa"/>
            <w:vAlign w:val="bottom"/>
            <w:vMerge w:val="continue"/>
            <w:shd w:val="clear" w:color="auto" w:fill="ACACAC"/>
          </w:tcPr>
          <w:p>
            <w:pPr>
              <w:spacing w:after="0"/>
              <w:rPr>
                <w:sz w:val="8"/>
                <w:szCs w:val="8"/>
                <w:color w:val="auto"/>
              </w:rPr>
            </w:pPr>
          </w:p>
        </w:tc>
        <w:tc>
          <w:tcPr>
            <w:tcW w:w="1600" w:type="dxa"/>
            <w:vAlign w:val="bottom"/>
            <w:shd w:val="clear" w:color="auto" w:fill="ACACAC"/>
          </w:tcPr>
          <w:p>
            <w:pPr>
              <w:spacing w:after="0"/>
              <w:rPr>
                <w:sz w:val="8"/>
                <w:szCs w:val="8"/>
                <w:color w:val="auto"/>
              </w:rPr>
            </w:pPr>
          </w:p>
        </w:tc>
        <w:tc>
          <w:tcPr>
            <w:tcW w:w="170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EMERGENT BIOSOLUTIONS INC.</w:t>
      </w:r>
    </w:p>
    <w:p>
      <w:pPr>
        <w:spacing w:after="0" w:line="92"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As a global life sciences company whose mission is to protect and enhance life, we provide solutions that target public health threats. Through our specialty products and services as well as our social responsibility efforts, we aspire to build healthier, safer communities and deliver peace of mind to our patients and customers so they can focus on what’s most important in their lives. For more information visit www.emergentbiosolutions.com. Find us on LinkedIn and follow us on Twitter @emergentbiosolu and Instagram @life_at_emergent.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SAFE HARBOR STATEMENT</w:t>
      </w:r>
    </w:p>
    <w:p>
      <w:pPr>
        <w:spacing w:after="0" w:line="20"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This press release includes forward-looking statements within the meaning of the Private Securities Litigation Reform Act of 1995. Any statements, other than statements of historical fact, including, without limitation, our financial guidance and related projections and statements regarding our ability to meet such projections in the anticipated timeframe, if at all, and statements regarding the continued expansion of our core business, growth of NARCAN Nasal Spray sales, deliveries of ACAM2000 and raxibacumab to the SNS, our entry into the anticipated raxibacumab follow-on procurement contract with ASPR; continued expansion of CMO services revenue; continued gross margin improvement, the results of our continued investment in discretionary development product candidates and clinical trials for both Chikungunya and FLU-IGIV and any other statements containing the words “will,” “believes,” “expects,” “anticipates,” “intends” “plans,” “targets,” “forecasts,” “estimates” and similar expressions in conjunction with, among other things, discussions of the Company's outlook, financial performance or financial condition, financial and operation goals, strategic goals, growth strategy, product sales, government development or procurement contracts or awards, government appropriations, manufacturing capabilities, and the timing of certain regulatory approvals or expenditures are forward-looking statements. These forward-looking statements are based on our current intentions, beliefs and expectations regarding future events. We cannot guarantee that any forward-looking statement will be accurate. Investors should realize that if underlying</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60"/>
          </w:cols>
          <w:pgMar w:left="320" w:top="413" w:right="219" w:bottom="1440" w:gutter="0" w:footer="0" w:header="0"/>
        </w:sectPr>
      </w:pPr>
    </w:p>
    <w:bookmarkStart w:id="6" w:name="page7"/>
    <w:bookmarkEnd w:id="6"/>
    <w:p>
      <w:pPr>
        <w:spacing w:after="0" w:line="256" w:lineRule="auto"/>
        <w:rPr>
          <w:sz w:val="20"/>
          <w:szCs w:val="20"/>
          <w:color w:val="auto"/>
        </w:rPr>
      </w:pPr>
      <w:r>
        <w:rPr>
          <w:rFonts w:ascii="Arial" w:cs="Arial" w:eastAsia="Arial" w:hAnsi="Arial"/>
          <w:sz w:val="12"/>
          <w:szCs w:val="12"/>
          <w:color w:val="auto"/>
        </w:rPr>
        <w:t>assumptions prove inaccurate or unknown risks or uncertainties materialize, actual results could differ materially from our expectations. Investors are, therefore, cautioned not to place undue reliance on any forward-looking statement. Any forward-looking statements speak only as of the date of this press release, and, except as required by law, we do not undertake to update any forward-looking statement to reflect new information, events or circumstances.</w:t>
      </w:r>
    </w:p>
    <w:p>
      <w:pPr>
        <w:spacing w:after="0" w:line="81" w:lineRule="exact"/>
        <w:rPr>
          <w:sz w:val="20"/>
          <w:szCs w:val="20"/>
          <w:color w:val="auto"/>
        </w:rPr>
      </w:pPr>
    </w:p>
    <w:p>
      <w:pPr>
        <w:ind w:right="20"/>
        <w:spacing w:after="0" w:line="251" w:lineRule="auto"/>
        <w:rPr>
          <w:sz w:val="20"/>
          <w:szCs w:val="20"/>
          <w:color w:val="auto"/>
        </w:rPr>
      </w:pPr>
      <w:r>
        <w:rPr>
          <w:rFonts w:ascii="Arial" w:cs="Arial" w:eastAsia="Arial" w:hAnsi="Arial"/>
          <w:sz w:val="12"/>
          <w:szCs w:val="12"/>
          <w:color w:val="auto"/>
        </w:rPr>
        <w:t>There are a number of important factors that could cause our actual results to differ materially from those indicated by such forward-looking statements, including the availability of funding and the exercise of options under our anthrax vaccine contracts; appropriations for the procurement of our products; our ability to continue deliveries of AV7909, ACAM and VIGIV to the SNS; our ability to secure Emergency Use Authorization designation and eventual licensure of AV7909 from the FDA within the anticipated timeframe, if at all; availability of funding for our U.S. government grants and contracts; our ability to successfully integrate and develop the operations, products or product candidates, programs, and personnel of any entities, businesses or products that we acquire, including our acquisitions of PaxVax and Adapt Pharma; our ability to complete expected deliveries of anthrax vaccines, BAT and raxibacumab; our ability to establish a multi-year follow-on contract for raxibacumab; our ability to identify and acquire or in-license products or product candidates that satisfy our selection criteria; our ability and the ability of our collaborators to defend underlying patents from infringement by generic naloxone entrants; whether anticipated synergies and benefits from an acquisition or in-license will be realized within expected time periods, if at all; our ability to utilize our manufacturing facilities and expand our capabilities; our ability and the ability of our contractors and suppliers to maintain compliance with Current Good Manufacturing Practices and other regulatory obligations; the results of regulatory inspections; the success of our ongoing and planned development programs; the timing and results of clinical trials; the timing of and our ability to obtain and maintain regulatory approvals for our product candidates; and our commercialization, marketing and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Securities and Exchange Commission when evaluating our forward-looking statements.</w:t>
      </w:r>
    </w:p>
    <w:p>
      <w:pPr>
        <w:sectPr>
          <w:pgSz w:w="11900" w:h="16838" w:orient="portrait"/>
          <w:cols w:equalWidth="0" w:num="1">
            <w:col w:w="11360"/>
          </w:cols>
          <w:pgMar w:left="320" w:top="283" w:right="219" w:bottom="1440" w:gutter="0" w:footer="0" w:header="0"/>
        </w:sect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Investor Contact</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2"/>
          <w:szCs w:val="12"/>
          <w:color w:val="auto"/>
        </w:rPr>
        <w:t>Robert Burrows</w:t>
      </w:r>
    </w:p>
    <w:p>
      <w:pPr>
        <w:ind w:left="100"/>
        <w:spacing w:after="0" w:line="234" w:lineRule="auto"/>
        <w:rPr>
          <w:sz w:val="20"/>
          <w:szCs w:val="20"/>
          <w:color w:val="auto"/>
        </w:rPr>
      </w:pPr>
      <w:r>
        <w:rPr>
          <w:rFonts w:ascii="Arial" w:cs="Arial" w:eastAsia="Arial" w:hAnsi="Arial"/>
          <w:sz w:val="12"/>
          <w:szCs w:val="12"/>
          <w:color w:val="auto"/>
        </w:rPr>
        <w:t>Vice President, Investor Relations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1"/>
          <w:szCs w:val="11"/>
          <w:color w:val="auto"/>
        </w:rPr>
        <w:t>(o) 240/631-3280; (m) 240/413-1917</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Contact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Lynn Kieffer</w:t>
      </w:r>
    </w:p>
    <w:p>
      <w:pPr>
        <w:spacing w:after="0"/>
        <w:rPr>
          <w:sz w:val="20"/>
          <w:szCs w:val="20"/>
          <w:color w:val="auto"/>
        </w:rPr>
      </w:pPr>
      <w:r>
        <w:rPr>
          <w:rFonts w:ascii="Arial" w:cs="Arial" w:eastAsia="Arial" w:hAnsi="Arial"/>
          <w:sz w:val="11"/>
          <w:szCs w:val="11"/>
          <w:color w:val="auto"/>
        </w:rPr>
        <w:t>Vice President,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(o) 240/631-3391</w:t>
      </w:r>
    </w:p>
    <w:p>
      <w:pPr>
        <w:spacing w:after="0" w:line="3" w:lineRule="exact"/>
        <w:rPr>
          <w:sz w:val="20"/>
          <w:szCs w:val="20"/>
          <w:color w:val="auto"/>
        </w:rPr>
      </w:pPr>
    </w:p>
    <w:p>
      <w:pPr>
        <w:sectPr>
          <w:pgSz w:w="11900" w:h="16838" w:orient="portrait"/>
          <w:cols w:equalWidth="0" w:num="2">
            <w:col w:w="4360" w:space="720"/>
            <w:col w:w="6280"/>
          </w:cols>
          <w:pgMar w:left="320" w:top="283" w:right="219" w:bottom="1440" w:gutter="0" w:footer="0" w:header="0"/>
          <w:type w:val="continuous"/>
        </w:sectPr>
      </w:pPr>
    </w:p>
    <w:p>
      <w:pPr>
        <w:ind w:left="100"/>
        <w:spacing w:after="0"/>
        <w:rPr>
          <w:sz w:val="20"/>
          <w:szCs w:val="20"/>
          <w:color w:val="auto"/>
        </w:rPr>
      </w:pPr>
      <w:r>
        <w:rPr>
          <w:rFonts w:ascii="Arial" w:cs="Arial" w:eastAsia="Arial" w:hAnsi="Arial"/>
          <w:sz w:val="13"/>
          <w:szCs w:val="13"/>
          <w:color w:val="auto"/>
        </w:rPr>
        <w:t>burrowsr@ebsi.com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kiefferl@ebsi.com</w:t>
      </w:r>
    </w:p>
    <w:p>
      <w:pPr>
        <w:spacing w:after="0" w:line="200" w:lineRule="exact"/>
        <w:rPr>
          <w:sz w:val="20"/>
          <w:szCs w:val="20"/>
          <w:color w:val="auto"/>
        </w:rPr>
      </w:pPr>
    </w:p>
    <w:p>
      <w:pPr>
        <w:sectPr>
          <w:pgSz w:w="11900" w:h="16838" w:orient="portrait"/>
          <w:cols w:equalWidth="0" w:num="2">
            <w:col w:w="4360" w:space="720"/>
            <w:col w:w="6280"/>
          </w:cols>
          <w:pgMar w:left="320" w:top="283" w:right="219" w:bottom="1440" w:gutter="0" w:footer="0" w:header="0"/>
          <w:type w:val="continuous"/>
        </w:sect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360"/>
          </w:cols>
          <w:pgMar w:left="320" w:top="283" w:right="219" w:bottom="1440" w:gutter="0" w:footer="0" w:header="0"/>
          <w:type w:val="continuous"/>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50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21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4521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4860925</wp:posOffset>
            </wp:positionV>
            <wp:extent cx="724471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4860925</wp:posOffset>
            </wp:positionV>
            <wp:extent cx="724471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2020-01-13T05:46:14Z</dcterms:created>
  <dcterms:modified xsi:type="dcterms:W3CDTF">2020-01-13T05:46:14Z</dcterms:modified>
</cp:coreProperties>
</file>