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4, 2020</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89"/>
              </w:rPr>
              <w:t>Delaware</w:t>
            </w:r>
          </w:p>
        </w:tc>
        <w:tc>
          <w:tcPr>
            <w:tcW w:w="236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0"/>
              </w:rPr>
              <w:t>001-33137</w:t>
            </w:r>
          </w:p>
        </w:tc>
        <w:tc>
          <w:tcPr>
            <w:tcW w:w="410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9"/>
              </w:rPr>
              <w:t>14-1902018</w:t>
            </w:r>
          </w:p>
        </w:tc>
      </w:tr>
      <w:tr>
        <w:trPr>
          <w:trHeight w:val="195"/>
        </w:trPr>
        <w:tc>
          <w:tcPr>
            <w:tcW w:w="4780" w:type="dxa"/>
            <w:vAlign w:val="bottom"/>
          </w:tcPr>
          <w:p>
            <w:pPr>
              <w:jc w:val="center"/>
              <w:ind w:right="850"/>
              <w:spacing w:after="0" w:line="195" w:lineRule="exact"/>
              <w:rPr>
                <w:sz w:val="20"/>
                <w:szCs w:val="20"/>
                <w:color w:val="auto"/>
              </w:rPr>
            </w:pPr>
            <w:r>
              <w:rPr>
                <w:rFonts w:ascii="Arial" w:cs="Arial" w:eastAsia="Arial" w:hAnsi="Arial"/>
                <w:sz w:val="18"/>
                <w:szCs w:val="18"/>
                <w:color w:val="auto"/>
                <w:w w:val="90"/>
              </w:rPr>
              <w:t>(State or Other Juris-</w:t>
            </w:r>
          </w:p>
        </w:tc>
        <w:tc>
          <w:tcPr>
            <w:tcW w:w="2360" w:type="dxa"/>
            <w:vAlign w:val="bottom"/>
          </w:tcPr>
          <w:p>
            <w:pPr>
              <w:jc w:val="center"/>
              <w:ind w:right="470"/>
              <w:spacing w:after="0" w:line="195" w:lineRule="exact"/>
              <w:rPr>
                <w:sz w:val="20"/>
                <w:szCs w:val="20"/>
                <w:color w:val="auto"/>
              </w:rPr>
            </w:pPr>
            <w:r>
              <w:rPr>
                <w:rFonts w:ascii="Arial" w:cs="Arial" w:eastAsia="Arial" w:hAnsi="Arial"/>
                <w:sz w:val="18"/>
                <w:szCs w:val="18"/>
                <w:color w:val="auto"/>
                <w:w w:val="91"/>
              </w:rPr>
              <w:t>(Commission</w:t>
            </w:r>
          </w:p>
        </w:tc>
        <w:tc>
          <w:tcPr>
            <w:tcW w:w="4100" w:type="dxa"/>
            <w:vAlign w:val="bottom"/>
          </w:tcPr>
          <w:p>
            <w:pPr>
              <w:jc w:val="center"/>
              <w:ind w:left="31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780" w:type="dxa"/>
            <w:vAlign w:val="bottom"/>
          </w:tcPr>
          <w:p>
            <w:pPr>
              <w:jc w:val="center"/>
              <w:ind w:right="850"/>
              <w:spacing w:after="0"/>
              <w:rPr>
                <w:sz w:val="20"/>
                <w:szCs w:val="20"/>
                <w:color w:val="auto"/>
              </w:rPr>
            </w:pPr>
            <w:r>
              <w:rPr>
                <w:rFonts w:ascii="Arial" w:cs="Arial" w:eastAsia="Arial" w:hAnsi="Arial"/>
                <w:sz w:val="18"/>
                <w:szCs w:val="18"/>
                <w:color w:val="auto"/>
                <w:w w:val="94"/>
              </w:rPr>
              <w:t>diction of Incorporation</w:t>
            </w:r>
          </w:p>
        </w:tc>
        <w:tc>
          <w:tcPr>
            <w:tcW w:w="2360" w:type="dxa"/>
            <w:vAlign w:val="bottom"/>
          </w:tcPr>
          <w:p>
            <w:pPr>
              <w:jc w:val="center"/>
              <w:ind w:right="450"/>
              <w:spacing w:after="0"/>
              <w:rPr>
                <w:sz w:val="20"/>
                <w:szCs w:val="20"/>
                <w:color w:val="auto"/>
              </w:rPr>
            </w:pPr>
            <w:r>
              <w:rPr>
                <w:rFonts w:ascii="Arial" w:cs="Arial" w:eastAsia="Arial" w:hAnsi="Arial"/>
                <w:sz w:val="18"/>
                <w:szCs w:val="18"/>
                <w:color w:val="auto"/>
                <w:w w:val="94"/>
              </w:rPr>
              <w:t>File Number)</w:t>
            </w:r>
          </w:p>
        </w:tc>
        <w:tc>
          <w:tcPr>
            <w:tcW w:w="410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780" w:type="dxa"/>
            <w:vAlign w:val="bottom"/>
          </w:tcPr>
          <w:p>
            <w:pPr>
              <w:jc w:val="center"/>
              <w:ind w:left="850"/>
              <w:spacing w:after="0"/>
              <w:rPr>
                <w:sz w:val="20"/>
                <w:szCs w:val="20"/>
                <w:color w:val="auto"/>
              </w:rPr>
            </w:pPr>
            <w:r>
              <w:rPr>
                <w:rFonts w:ascii="Arial" w:cs="Arial" w:eastAsia="Arial" w:hAnsi="Arial"/>
                <w:sz w:val="18"/>
                <w:szCs w:val="18"/>
                <w:color w:val="auto"/>
                <w:w w:val="91"/>
              </w:rPr>
              <w:t>400 Professional Drive, Suite 400</w:t>
            </w:r>
          </w:p>
        </w:tc>
        <w:tc>
          <w:tcPr>
            <w:tcW w:w="23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47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1"/>
              </w:rPr>
              <w:t>Gaithersburg, Maryland</w:t>
            </w:r>
          </w:p>
        </w:tc>
        <w:tc>
          <w:tcPr>
            <w:tcW w:w="236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20879</w:t>
            </w:r>
          </w:p>
        </w:tc>
      </w:tr>
      <w:tr>
        <w:trPr>
          <w:trHeight w:val="224"/>
        </w:trPr>
        <w:tc>
          <w:tcPr>
            <w:tcW w:w="4780" w:type="dxa"/>
            <w:vAlign w:val="bottom"/>
          </w:tcPr>
          <w:p>
            <w:pPr>
              <w:jc w:val="center"/>
              <w:ind w:left="8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19"/>
                <w:szCs w:val="19"/>
                <w:color w:val="auto"/>
              </w:rPr>
            </w:pPr>
          </w:p>
        </w:tc>
        <w:tc>
          <w:tcPr>
            <w:tcW w:w="410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(240) 631-3200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120" w:hanging="46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060" w:firstLine="656"/>
        <w:spacing w:after="0" w:line="500" w:lineRule="auto"/>
        <w:tabs>
          <w:tab w:leader="none" w:pos="112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980" w:type="dxa"/>
            <w:vAlign w:val="bottom"/>
          </w:tcPr>
          <w:p>
            <w:pPr>
              <w:jc w:val="center"/>
              <w:ind w:left="15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2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Trading Symbol(s)</w:t>
            </w:r>
          </w:p>
        </w:tc>
        <w:tc>
          <w:tcPr>
            <w:tcW w:w="39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7"/>
              </w:rPr>
              <w:t>registered</w:t>
            </w:r>
          </w:p>
        </w:tc>
      </w:tr>
      <w:tr>
        <w:trPr>
          <w:trHeight w:val="224"/>
        </w:trPr>
        <w:tc>
          <w:tcPr>
            <w:tcW w:w="424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3020" w:type="dxa"/>
            <w:vAlign w:val="bottom"/>
          </w:tcPr>
          <w:p>
            <w:pPr>
              <w:jc w:val="center"/>
              <w:ind w:right="50"/>
              <w:spacing w:after="0"/>
              <w:rPr>
                <w:sz w:val="20"/>
                <w:szCs w:val="20"/>
                <w:color w:val="auto"/>
              </w:rPr>
            </w:pPr>
            <w:r>
              <w:rPr>
                <w:rFonts w:ascii="Arial" w:cs="Arial" w:eastAsia="Arial" w:hAnsi="Arial"/>
                <w:sz w:val="18"/>
                <w:szCs w:val="18"/>
                <w:color w:val="auto"/>
                <w:w w:val="88"/>
              </w:rPr>
              <w:t>EBS</w:t>
            </w:r>
          </w:p>
        </w:tc>
        <w:tc>
          <w:tcPr>
            <w:tcW w:w="3980" w:type="dxa"/>
            <w:vAlign w:val="bottom"/>
          </w:tcPr>
          <w:p>
            <w:pPr>
              <w:jc w:val="center"/>
              <w:ind w:left="190"/>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203"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3.875% Senior Unsecured Notes due 2028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Indenture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7, 2020, Emergent BioSolutions Inc. (the “Company”) completed its previously announced offering of $450 million aggregate principal amount of 3.875% Senior Unsecured Notes due 2028 (the “Notes”).</w:t>
      </w:r>
    </w:p>
    <w:p>
      <w:pPr>
        <w:spacing w:after="0" w:line="17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Notes were issued pursuant to an indenture, dated as of August 7, 2020 (the “Indenture”), by and among the Company, certain subsidiaries of the Company party thereto as guarantors and U.S. Bank National Association, as trustee. The Notes are fully and unconditionally guaranteed, jointly and severally, on an unsecured basis, by each of the Company’s direct and indirect subsidiaries that guarantee debt under its credit facilities. The Notes are senior unsecured obligations of the Company, and the Notes and their guarantees rank equally in right of payment with all of the Company’s and the guarantors’ existing and future unsubordinated indebtedness, but are effectively junior to all of the Company’s and the guarantors’ existing and future secured indebtedness (including the Company’s credit facilities), to the extent of the value of the assets securing that indebtedness. In addition, the Notes are structurally subordinated to all of the existing and future obligations of the Company’s subsidiaries that do not guarantee the Notes.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on the Notes will be payable on February 15 and August 15 of each year until maturity, commencing on February 15, 2021. The Notes will mature on August 15, 2028.</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or after August 15, 2023, the Company may, at its option, redeem the Notes, in whole or in part, at the applicable redemption prices set forth in the Indenture, plus accrued and unpaid interest, if any, to, but excluding, the date of redemption. Prior to August 15, 2023 the Company may redeem all or a portion of the Notes at a redemption price equal to 100% of the principal amount of the Notes plus a “make-whole” premium described in the Indenture, plus accrued and unpaid interest, if any, to, but excluding, the date of redemption. Prior to August 15, 2023, the Company may redeem up to 40% of the aggregate principal amount of the Notes using the net cash proceeds of certain equity offerings at the redemption price set forth in the Indenture. Upon the occurrence of a “change of control” (as defined in the Indenture), the Company must offer to repurchase the Notes at a purchase price of 101% of the principal amount of such Notes plus accrued and unpaid interest, if any, to, but excluding, the repurchase date.</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Subject to certain qualifications and exceptions, the Indenture restricts the Company’s and its restricted subsidiaries’ ability to, among other things: (i) incur or guarantee additional debt or issue certain preferred stock; (ii) make certain investments; (iii) create restrictions on the payment of dividends or other amounts from certain of the Company’s restricted subsidiaries; (iv) enter into certain transactions with affiliates; (v) merge or consolidate with another person, or sell or otherwise dispose of all or substantially all of the Company’s assets; (vi) sell certain assets, including capital stock of the Company’s subsidiaries; (vii) designate the Company’s subsidiaries as unrestricted subsidiaries; (viii) pay dividends, redeem or repurchase capital stock or make other restricted payments; and (ix) incur certain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120"/>
        <w:spacing w:after="0" w:line="308" w:lineRule="auto"/>
        <w:rPr>
          <w:sz w:val="20"/>
          <w:szCs w:val="20"/>
          <w:color w:val="auto"/>
        </w:rPr>
      </w:pPr>
      <w:r>
        <w:rPr>
          <w:rFonts w:ascii="Arial" w:cs="Arial" w:eastAsia="Arial" w:hAnsi="Arial"/>
          <w:sz w:val="17"/>
          <w:szCs w:val="17"/>
          <w:color w:val="auto"/>
        </w:rPr>
        <w:t>The Indenture provides for events of default that, if certain events occur, would permit the trustee or holders of at least 25% in aggregate principal amount of the Notes then outstanding to declare the principal of and unpaid interest on the Notes to be immediately due and payable.</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 copy of the Indenture is filed herewith as Exhibit 4.1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Purchase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described above were offered and sold pursuant to a purchase agreement, dated August 4, 2020 (the “Purchase Agreement”), by and among the Company, the subsidiaries of the Company named therein as guarantors, and Wells Fargo Securities, LLC, as representative of the several initial purchasers identified therein (collectively, the “Initial Purchasers”). The Notes were resold to persons reasonably believed to be “qualified institutional buyers” pursuant to Rule 144A under the Securities Act of 1933 (as amended, the “Securities Act”) and to non-U.S. persons outside the United States pursuant to Regulation S under the Securities Act. The Notes have not been registered for sale under the Securities Act or any state securities laws and may not be offered or sold in the United States absent registration or an applicable exemption from the registration requirements of the Securities Act and applicable state laws. This Form 8-K does not constitute an offer to sell any securities or a solicitation of an offer to purchase any securities.</w:t>
      </w:r>
    </w:p>
    <w:p>
      <w:pPr>
        <w:spacing w:after="0" w:line="16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foregoing description of the Purchase Agreement does not purport to be complete and is qualified in its entirety by reference to the full text of the Purchase Agreement. A copy of the Purchase Agreement is filed herewith as Exhibit 10.1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Agreement Amendment</w:t>
      </w:r>
    </w:p>
    <w:p>
      <w:pPr>
        <w:spacing w:after="0" w:line="225"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On August 7, 2020, the Company entered into that certain Second Amendment to Amended and Restated Credit Agreement (the “Credit Agreement Amendment”) among the Company, as borrower, certain subsidiaries of the Company, as guarantors, Wells Fargo Bank, National Association, as administrative agent (in such capacity, the “Administrative Agent”), and certain lenders party thereto. The Credit Agreement Amendment amends the Amended and Restated Credit Agreement, dated as of October 15, 2018, among the Company, the lenders party thereto from time to time and the Administrative Agent (as previously amended and supplemented, the “Existing Credit Agreement”) relating to the Company’s senior secured credit facilities consisting of a senior revolving credit facility (the “Revolving Credit Facility”) and senior term loan facility (the “Term Loan Facility,” and together with the Revolving Credit Facility, the “Senior Secured Credit Facility”).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Agreement Amendment amends the Existing Credit Agreement to expressly permit the incurrence of the indebtedness with respect to the Notes. The Credit Agreement Amendment also amends the consolidated net leverage ratio financial covenant by increasing the maximum level to 4.50 to 1.00 (subject to an increase to 5.00 to 1.00 for an applicable four quarter period, at the election of the Company, in connection with a permitted acquisition having an aggregate consideration in excess of $75.0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t>In addition, the Credit Agreement Amendment increases the applicable margin by 0.25% if our consolidated net leverage ratio equals or exceeds 3.50 to 1.00, such that borrowings under the Revolving Credit Facility and the outstanding principal amount of the Term Loan Facility shall bear interest at a rate per annum equal to (a) a eurocurrency rate plus a margin ranging from 1.25% to 2.25% per annum, depending on our consolidated net leverage ratio or (b) a base rate (which is the highest of the prime rate, the federal funds rate plus 0.50%, and a eurocurrency rate for an interest period of one month plus 1%) plus a margin ranging from 0.25% to 1.25%, depending on our consolidated net leverage ratio. In addition, the commitment fee that we are required to pay in respect of the average daily unused commitments under the Revolving Credit Facility shall be 0.15% to 0.35% per annum, depending on our consolidated net leverage ratio.</w:t>
      </w:r>
    </w:p>
    <w:p>
      <w:pPr>
        <w:spacing w:after="0" w:line="19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Credit Agreement Amendment also amends the Existing Credit Agreement to permit incremental term loan facilities or one or more increases in the commitments under the Revolving Credit Facility in an aggregate amount not to exceed an amount of additional indebtedness that would cause the consolidated secured net leverage ratio of the Company to exceed 2.75 to 1.00, plus an amount equal to the greater of $300 million and 100% of Consolidated EBITDA (as defined in the Existing Credit Agreement) of the Company, plus the amount of any permanent reductions in the Revolving Credit Facility commitments, plus the amount of optional prepayments of the outstanding Term Loan Facility. The Credit Agreement Amendment also amends certain affirmative covenants, negative covenants and events of default thereunder.</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description of the Credit Agreement Amendment does not purport to be complete and is qualified in its entirety by reference to the full text of the Credit Agreement Amendment. A copy of the Credit Agreement Amendment is filed herewith as Exhibit 10.2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of this Form 8-K is incorporated into this Item 2.03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2020, the Company issued a press release announcing the closing of the offering. A copy of the press release is attached hereto as Exhibit 99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00" w:hanging="447"/>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4" w:name="page5"/>
    <w:bookmarkEnd w:id="4"/>
    <w:p>
      <w:pPr>
        <w:spacing w:after="0"/>
        <w:tabs>
          <w:tab w:leader="none" w:pos="15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4.1</w:t>
              </w:r>
            </w:hyperlink>
          </w:p>
        </w:tc>
        <w:tc>
          <w:tcPr>
            <w:tcW w:w="9560" w:type="dxa"/>
            <w:vAlign w:val="bottom"/>
            <w:gridSpan w:val="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Indenture, dated as of August 7, 2020, by and among the Company, certain subsidiaries of the Company and U.S. Bank National</w:t>
              </w:r>
            </w:hyperlink>
          </w:p>
        </w:tc>
      </w:tr>
      <w:tr>
        <w:trPr>
          <w:trHeight w:val="196"/>
        </w:trPr>
        <w:tc>
          <w:tcPr>
            <w:tcW w:w="1580" w:type="dxa"/>
            <w:vAlign w:val="bottom"/>
          </w:tcPr>
          <w:p>
            <w:pPr>
              <w:spacing w:after="0"/>
              <w:rPr>
                <w:sz w:val="17"/>
                <w:szCs w:val="17"/>
                <w:color w:val="auto"/>
              </w:rPr>
            </w:pPr>
          </w:p>
        </w:tc>
        <w:tc>
          <w:tcPr>
            <w:tcW w:w="9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Association, as trustee.</w:t>
              </w:r>
            </w:hyperlink>
          </w:p>
        </w:tc>
        <w:tc>
          <w:tcPr>
            <w:tcW w:w="300" w:type="dxa"/>
            <w:vAlign w:val="bottom"/>
            <w:gridSpan w:val="2"/>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53"/>
        </w:trPr>
        <w:tc>
          <w:tcPr>
            <w:tcW w:w="1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4.2</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Form of 3.875% Senior Unsecured Note due 2028 (included in Exhibit 4.1).</w:t>
              </w:r>
            </w:hyperlink>
          </w:p>
        </w:tc>
      </w:tr>
      <w:tr>
        <w:trPr>
          <w:trHeight w:val="391"/>
        </w:trPr>
        <w:tc>
          <w:tcPr>
            <w:tcW w:w="158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10.1</w:t>
              </w:r>
              <w:r>
                <w:rPr>
                  <w:rFonts w:ascii="Arial" w:cs="Arial" w:eastAsia="Arial" w:hAnsi="Arial"/>
                  <w:sz w:val="18"/>
                  <w:szCs w:val="18"/>
                  <w:u w:val="single" w:color="auto"/>
                  <w:color w:val="2B2B2B"/>
                </w:rPr>
                <w:t>†</w:t>
              </w:r>
            </w:hyperlink>
          </w:p>
        </w:tc>
        <w:tc>
          <w:tcPr>
            <w:tcW w:w="93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8">
              <w:r>
                <w:rPr>
                  <w:rFonts w:ascii="Arial" w:cs="Arial" w:eastAsia="Arial" w:hAnsi="Arial"/>
                  <w:sz w:val="18"/>
                  <w:szCs w:val="18"/>
                  <w:color w:val="0000EE"/>
                  <w:w w:val="89"/>
                </w:rPr>
                <w:t>Purchase Agreement, dated as of August 4, 2020, by and among the Company, the subsidiaries of the Company named therein as</w:t>
              </w:r>
            </w:hyperlink>
          </w:p>
        </w:tc>
        <w:tc>
          <w:tcPr>
            <w:tcW w:w="260" w:type="dxa"/>
            <w:vAlign w:val="bottom"/>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9560" w:type="dxa"/>
            <w:vAlign w:val="bottom"/>
            <w:gridSpan w:val="4"/>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guarantors, and Wells Fargo Securities, LLC, as representative of the several initial purchasers identified therein.</w:t>
              </w:r>
            </w:hyperlink>
          </w:p>
        </w:tc>
      </w:tr>
      <w:tr>
        <w:trPr>
          <w:trHeight w:val="432"/>
        </w:trPr>
        <w:tc>
          <w:tcPr>
            <w:tcW w:w="158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10.2</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Second Amendment to Amended and Restated Credit Agreement, dated August 7, 2020.</w:t>
              </w:r>
            </w:hyperlink>
          </w:p>
        </w:tc>
      </w:tr>
      <w:tr>
        <w:trPr>
          <w:trHeight w:val="432"/>
        </w:trPr>
        <w:tc>
          <w:tcPr>
            <w:tcW w:w="158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99</w:t>
              </w:r>
            </w:hyperlink>
          </w:p>
        </w:tc>
        <w:tc>
          <w:tcPr>
            <w:tcW w:w="9560" w:type="dxa"/>
            <w:vAlign w:val="bottom"/>
            <w:gridSpan w:val="4"/>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Press release issued by the Company on August 7, 2020.</w:t>
              </w:r>
            </w:hyperlink>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101</w:t>
            </w:r>
          </w:p>
        </w:tc>
        <w:tc>
          <w:tcPr>
            <w:tcW w:w="9560" w:type="dxa"/>
            <w:vAlign w:val="bottom"/>
            <w:gridSpan w:val="4"/>
          </w:tcPr>
          <w:p>
            <w:pPr>
              <w:spacing w:after="0"/>
              <w:rPr>
                <w:sz w:val="20"/>
                <w:szCs w:val="20"/>
                <w:color w:val="auto"/>
              </w:rPr>
            </w:pPr>
            <w:r>
              <w:rPr>
                <w:rFonts w:ascii="Arial" w:cs="Arial" w:eastAsia="Arial" w:hAnsi="Arial"/>
                <w:sz w:val="18"/>
                <w:szCs w:val="18"/>
                <w:color w:val="auto"/>
                <w:w w:val="91"/>
              </w:rPr>
              <w:t>Emergent BioSolutions Inc. Current Report on Form 8-K, dated August 7, 2020, formatted in XBRL (Extensible Business Reporting</w:t>
            </w:r>
          </w:p>
        </w:tc>
      </w:tr>
      <w:tr>
        <w:trPr>
          <w:trHeight w:val="216"/>
        </w:trPr>
        <w:tc>
          <w:tcPr>
            <w:tcW w:w="1580" w:type="dxa"/>
            <w:vAlign w:val="bottom"/>
          </w:tcPr>
          <w:p>
            <w:pPr>
              <w:spacing w:after="0"/>
              <w:rPr>
                <w:sz w:val="18"/>
                <w:szCs w:val="18"/>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w w:val="91"/>
              </w:rPr>
              <w:t>Language): Cover Page. The instance document does not appear in the Interactive Data File because its XBRL tags are embedded</w:t>
            </w:r>
          </w:p>
        </w:tc>
      </w:tr>
      <w:tr>
        <w:trPr>
          <w:trHeight w:val="230"/>
        </w:trPr>
        <w:tc>
          <w:tcPr>
            <w:tcW w:w="158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220" w:right="1140" w:firstLine="328"/>
        <w:spacing w:after="0" w:line="277" w:lineRule="auto"/>
        <w:tabs>
          <w:tab w:leader="none" w:pos="679" w:val="left"/>
        </w:tabs>
        <w:numPr>
          <w:ilvl w:val="0"/>
          <w:numId w:val="3"/>
        </w:numPr>
        <w:rPr>
          <w:rFonts w:ascii="Arial" w:cs="Arial" w:eastAsia="Arial" w:hAnsi="Arial"/>
          <w:sz w:val="18"/>
          <w:szCs w:val="18"/>
          <w:color w:val="2B2B2B"/>
        </w:rPr>
      </w:pPr>
      <w:r>
        <w:rPr>
          <w:rFonts w:ascii="Arial" w:cs="Arial" w:eastAsia="Arial" w:hAnsi="Arial"/>
          <w:sz w:val="18"/>
          <w:szCs w:val="18"/>
          <w:color w:val="2B2B2B"/>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EMERGENT BIOSOLUTIONS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7, 2020</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Richard S. Lindahl</w:t>
            </w:r>
          </w:p>
        </w:tc>
      </w:tr>
      <w:tr>
        <w:trPr>
          <w:trHeight w:val="195"/>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S. Lindahl</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432"/>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AND EACH OF THE GUARANTORS FROM TIME TO TIME PARTY HERETO</w:t>
      </w: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August 7, 2020</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w w:val="98"/>
              </w:rPr>
              <w:t>TABLE OF CONTENTS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8"/>
        </w:trPr>
        <w:tc>
          <w:tcPr>
            <w:tcW w:w="1220" w:type="dxa"/>
            <w:vAlign w:val="bottom"/>
          </w:tcPr>
          <w:p>
            <w:pPr>
              <w:spacing w:after="0"/>
              <w:rPr>
                <w:sz w:val="24"/>
                <w:szCs w:val="24"/>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w:t>
            </w:r>
          </w:p>
        </w:tc>
        <w:tc>
          <w:tcPr>
            <w:tcW w:w="20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DEFINITIONS AND INCORPORATION BY REFERENCE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1.01</w:t>
            </w:r>
          </w:p>
        </w:tc>
        <w:tc>
          <w:tcPr>
            <w:tcW w:w="76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1.02</w:t>
            </w:r>
          </w:p>
        </w:tc>
        <w:tc>
          <w:tcPr>
            <w:tcW w:w="764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1.03</w:t>
            </w:r>
          </w:p>
        </w:tc>
        <w:tc>
          <w:tcPr>
            <w:tcW w:w="7640" w:type="dxa"/>
            <w:vAlign w:val="bottom"/>
          </w:tcPr>
          <w:p>
            <w:pPr>
              <w:ind w:left="140"/>
              <w:spacing w:after="0"/>
              <w:rPr>
                <w:sz w:val="20"/>
                <w:szCs w:val="20"/>
                <w:color w:val="auto"/>
              </w:rPr>
            </w:pPr>
            <w:r>
              <w:rPr>
                <w:rFonts w:ascii="Arial" w:cs="Arial" w:eastAsia="Arial" w:hAnsi="Arial"/>
                <w:sz w:val="18"/>
                <w:szCs w:val="18"/>
                <w:color w:val="auto"/>
              </w:rPr>
              <w:t>Rules of Construction.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1.04</w:t>
            </w:r>
          </w:p>
        </w:tc>
        <w:tc>
          <w:tcPr>
            <w:tcW w:w="7640" w:type="dxa"/>
            <w:vAlign w:val="bottom"/>
          </w:tcPr>
          <w:p>
            <w:pPr>
              <w:ind w:left="140"/>
              <w:spacing w:after="0"/>
              <w:rPr>
                <w:sz w:val="20"/>
                <w:szCs w:val="20"/>
                <w:color w:val="auto"/>
              </w:rPr>
            </w:pPr>
            <w:r>
              <w:rPr>
                <w:rFonts w:ascii="Arial" w:cs="Arial" w:eastAsia="Arial" w:hAnsi="Arial"/>
                <w:sz w:val="18"/>
                <w:szCs w:val="18"/>
                <w:color w:val="auto"/>
              </w:rPr>
              <w:t>Certain Calculations under this Indenture.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THE NOTES</w:t>
            </w: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II</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2.01</w:t>
            </w:r>
          </w:p>
        </w:tc>
        <w:tc>
          <w:tcPr>
            <w:tcW w:w="7640" w:type="dxa"/>
            <w:vAlign w:val="bottom"/>
          </w:tcPr>
          <w:p>
            <w:pPr>
              <w:ind w:left="140"/>
              <w:spacing w:after="0"/>
              <w:rPr>
                <w:sz w:val="20"/>
                <w:szCs w:val="20"/>
                <w:color w:val="auto"/>
              </w:rPr>
            </w:pPr>
            <w:r>
              <w:rPr>
                <w:rFonts w:ascii="Arial" w:cs="Arial" w:eastAsia="Arial" w:hAnsi="Arial"/>
                <w:sz w:val="18"/>
                <w:szCs w:val="18"/>
                <w:color w:val="auto"/>
              </w:rPr>
              <w:t>Form and Dating.</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2.02</w:t>
            </w:r>
          </w:p>
        </w:tc>
        <w:tc>
          <w:tcPr>
            <w:tcW w:w="7640" w:type="dxa"/>
            <w:vAlign w:val="bottom"/>
          </w:tcPr>
          <w:p>
            <w:pPr>
              <w:ind w:left="140"/>
              <w:spacing w:after="0"/>
              <w:rPr>
                <w:sz w:val="20"/>
                <w:szCs w:val="20"/>
                <w:color w:val="auto"/>
              </w:rPr>
            </w:pPr>
            <w:r>
              <w:rPr>
                <w:rFonts w:ascii="Arial" w:cs="Arial" w:eastAsia="Arial" w:hAnsi="Arial"/>
                <w:sz w:val="18"/>
                <w:szCs w:val="18"/>
                <w:color w:val="auto"/>
              </w:rPr>
              <w:t>Execution and Authentication.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2.03</w:t>
            </w:r>
          </w:p>
        </w:tc>
        <w:tc>
          <w:tcPr>
            <w:tcW w:w="7640" w:type="dxa"/>
            <w:vAlign w:val="bottom"/>
          </w:tcPr>
          <w:p>
            <w:pPr>
              <w:ind w:left="140"/>
              <w:spacing w:after="0"/>
              <w:rPr>
                <w:sz w:val="20"/>
                <w:szCs w:val="20"/>
                <w:color w:val="auto"/>
              </w:rPr>
            </w:pPr>
            <w:r>
              <w:rPr>
                <w:rFonts w:ascii="Arial" w:cs="Arial" w:eastAsia="Arial" w:hAnsi="Arial"/>
                <w:sz w:val="18"/>
                <w:szCs w:val="18"/>
                <w:color w:val="auto"/>
              </w:rPr>
              <w:t>Registrar and Paying Agent.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2.04</w:t>
            </w:r>
          </w:p>
        </w:tc>
        <w:tc>
          <w:tcPr>
            <w:tcW w:w="7640" w:type="dxa"/>
            <w:vAlign w:val="bottom"/>
          </w:tcPr>
          <w:p>
            <w:pPr>
              <w:ind w:left="140"/>
              <w:spacing w:after="0"/>
              <w:rPr>
                <w:sz w:val="20"/>
                <w:szCs w:val="20"/>
                <w:color w:val="auto"/>
              </w:rPr>
            </w:pPr>
            <w:r>
              <w:rPr>
                <w:rFonts w:ascii="Arial" w:cs="Arial" w:eastAsia="Arial" w:hAnsi="Arial"/>
                <w:sz w:val="18"/>
                <w:szCs w:val="18"/>
                <w:color w:val="auto"/>
              </w:rPr>
              <w:t>Paying Agent to Hold Money in Trust.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2.05</w:t>
            </w:r>
          </w:p>
        </w:tc>
        <w:tc>
          <w:tcPr>
            <w:tcW w:w="7640" w:type="dxa"/>
            <w:vAlign w:val="bottom"/>
          </w:tcPr>
          <w:p>
            <w:pPr>
              <w:ind w:left="140"/>
              <w:spacing w:after="0"/>
              <w:rPr>
                <w:sz w:val="20"/>
                <w:szCs w:val="20"/>
                <w:color w:val="auto"/>
              </w:rPr>
            </w:pPr>
            <w:r>
              <w:rPr>
                <w:rFonts w:ascii="Arial" w:cs="Arial" w:eastAsia="Arial" w:hAnsi="Arial"/>
                <w:sz w:val="18"/>
                <w:szCs w:val="18"/>
                <w:color w:val="auto"/>
              </w:rPr>
              <w:t>Holder Lists.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2.06</w:t>
            </w:r>
          </w:p>
        </w:tc>
        <w:tc>
          <w:tcPr>
            <w:tcW w:w="7640" w:type="dxa"/>
            <w:vAlign w:val="bottom"/>
          </w:tcPr>
          <w:p>
            <w:pPr>
              <w:ind w:left="140"/>
              <w:spacing w:after="0"/>
              <w:rPr>
                <w:sz w:val="20"/>
                <w:szCs w:val="20"/>
                <w:color w:val="auto"/>
              </w:rPr>
            </w:pPr>
            <w:r>
              <w:rPr>
                <w:rFonts w:ascii="Arial" w:cs="Arial" w:eastAsia="Arial" w:hAnsi="Arial"/>
                <w:sz w:val="18"/>
                <w:szCs w:val="18"/>
                <w:color w:val="auto"/>
              </w:rPr>
              <w:t>Transfer and Exchange.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2.07</w:t>
            </w:r>
          </w:p>
        </w:tc>
        <w:tc>
          <w:tcPr>
            <w:tcW w:w="7640" w:type="dxa"/>
            <w:vAlign w:val="bottom"/>
          </w:tcPr>
          <w:p>
            <w:pPr>
              <w:ind w:left="140"/>
              <w:spacing w:after="0"/>
              <w:rPr>
                <w:sz w:val="20"/>
                <w:szCs w:val="20"/>
                <w:color w:val="auto"/>
              </w:rPr>
            </w:pPr>
            <w:r>
              <w:rPr>
                <w:rFonts w:ascii="Arial" w:cs="Arial" w:eastAsia="Arial" w:hAnsi="Arial"/>
                <w:sz w:val="18"/>
                <w:szCs w:val="18"/>
                <w:color w:val="auto"/>
              </w:rPr>
              <w:t>Replacement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2.08</w:t>
            </w:r>
          </w:p>
        </w:tc>
        <w:tc>
          <w:tcPr>
            <w:tcW w:w="7640" w:type="dxa"/>
            <w:vAlign w:val="bottom"/>
          </w:tcPr>
          <w:p>
            <w:pPr>
              <w:ind w:left="140"/>
              <w:spacing w:after="0"/>
              <w:rPr>
                <w:sz w:val="20"/>
                <w:szCs w:val="20"/>
                <w:color w:val="auto"/>
              </w:rPr>
            </w:pPr>
            <w:r>
              <w:rPr>
                <w:rFonts w:ascii="Arial" w:cs="Arial" w:eastAsia="Arial" w:hAnsi="Arial"/>
                <w:sz w:val="18"/>
                <w:szCs w:val="18"/>
                <w:color w:val="auto"/>
              </w:rPr>
              <w:t>Outstanding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2.09</w:t>
            </w:r>
          </w:p>
        </w:tc>
        <w:tc>
          <w:tcPr>
            <w:tcW w:w="7640" w:type="dxa"/>
            <w:vAlign w:val="bottom"/>
          </w:tcPr>
          <w:p>
            <w:pPr>
              <w:ind w:left="140"/>
              <w:spacing w:after="0"/>
              <w:rPr>
                <w:sz w:val="20"/>
                <w:szCs w:val="20"/>
                <w:color w:val="auto"/>
              </w:rPr>
            </w:pPr>
            <w:r>
              <w:rPr>
                <w:rFonts w:ascii="Arial" w:cs="Arial" w:eastAsia="Arial" w:hAnsi="Arial"/>
                <w:sz w:val="18"/>
                <w:szCs w:val="18"/>
                <w:color w:val="auto"/>
              </w:rPr>
              <w:t>Treasury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2.10</w:t>
            </w:r>
          </w:p>
        </w:tc>
        <w:tc>
          <w:tcPr>
            <w:tcW w:w="7640" w:type="dxa"/>
            <w:vAlign w:val="bottom"/>
          </w:tcPr>
          <w:p>
            <w:pPr>
              <w:ind w:left="140"/>
              <w:spacing w:after="0"/>
              <w:rPr>
                <w:sz w:val="20"/>
                <w:szCs w:val="20"/>
                <w:color w:val="auto"/>
              </w:rPr>
            </w:pPr>
            <w:r>
              <w:rPr>
                <w:rFonts w:ascii="Arial" w:cs="Arial" w:eastAsia="Arial" w:hAnsi="Arial"/>
                <w:sz w:val="18"/>
                <w:szCs w:val="18"/>
                <w:color w:val="auto"/>
              </w:rPr>
              <w:t>Temporary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2.11</w:t>
            </w:r>
          </w:p>
        </w:tc>
        <w:tc>
          <w:tcPr>
            <w:tcW w:w="764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2.12</w:t>
            </w:r>
          </w:p>
        </w:tc>
        <w:tc>
          <w:tcPr>
            <w:tcW w:w="7640" w:type="dxa"/>
            <w:vAlign w:val="bottom"/>
          </w:tcPr>
          <w:p>
            <w:pPr>
              <w:ind w:left="140"/>
              <w:spacing w:after="0"/>
              <w:rPr>
                <w:sz w:val="20"/>
                <w:szCs w:val="20"/>
                <w:color w:val="auto"/>
              </w:rPr>
            </w:pPr>
            <w:r>
              <w:rPr>
                <w:rFonts w:ascii="Arial" w:cs="Arial" w:eastAsia="Arial" w:hAnsi="Arial"/>
                <w:sz w:val="18"/>
                <w:szCs w:val="18"/>
                <w:color w:val="auto"/>
              </w:rPr>
              <w:t>Defaulted Interest.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2.13</w:t>
            </w:r>
          </w:p>
        </w:tc>
        <w:tc>
          <w:tcPr>
            <w:tcW w:w="7640" w:type="dxa"/>
            <w:vAlign w:val="bottom"/>
          </w:tcPr>
          <w:p>
            <w:pPr>
              <w:ind w:left="140"/>
              <w:spacing w:after="0"/>
              <w:rPr>
                <w:sz w:val="20"/>
                <w:szCs w:val="20"/>
                <w:color w:val="auto"/>
              </w:rPr>
            </w:pPr>
            <w:r>
              <w:rPr>
                <w:rFonts w:ascii="Arial" w:cs="Arial" w:eastAsia="Arial" w:hAnsi="Arial"/>
                <w:sz w:val="18"/>
                <w:szCs w:val="18"/>
                <w:color w:val="auto"/>
              </w:rPr>
              <w:t>CUSIP, ISIN and Common Code Numbers.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4"/>
                <w:szCs w:val="24"/>
                <w:color w:val="auto"/>
              </w:rPr>
            </w:pPr>
          </w:p>
        </w:tc>
        <w:tc>
          <w:tcPr>
            <w:tcW w:w="76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III</w:t>
            </w: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REDEMPTION AND PREPAYMENT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3.01</w:t>
            </w:r>
          </w:p>
        </w:tc>
        <w:tc>
          <w:tcPr>
            <w:tcW w:w="7640" w:type="dxa"/>
            <w:vAlign w:val="bottom"/>
          </w:tcPr>
          <w:p>
            <w:pPr>
              <w:ind w:left="140"/>
              <w:spacing w:after="0"/>
              <w:rPr>
                <w:sz w:val="20"/>
                <w:szCs w:val="20"/>
                <w:color w:val="auto"/>
              </w:rPr>
            </w:pPr>
            <w:r>
              <w:rPr>
                <w:rFonts w:ascii="Arial" w:cs="Arial" w:eastAsia="Arial" w:hAnsi="Arial"/>
                <w:sz w:val="18"/>
                <w:szCs w:val="18"/>
                <w:color w:val="auto"/>
              </w:rPr>
              <w:t>Notices to Trustee.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3.02</w:t>
            </w:r>
          </w:p>
        </w:tc>
        <w:tc>
          <w:tcPr>
            <w:tcW w:w="7640" w:type="dxa"/>
            <w:vAlign w:val="bottom"/>
          </w:tcPr>
          <w:p>
            <w:pPr>
              <w:ind w:left="140"/>
              <w:spacing w:after="0"/>
              <w:rPr>
                <w:sz w:val="20"/>
                <w:szCs w:val="20"/>
                <w:color w:val="auto"/>
              </w:rPr>
            </w:pPr>
            <w:r>
              <w:rPr>
                <w:rFonts w:ascii="Arial" w:cs="Arial" w:eastAsia="Arial" w:hAnsi="Arial"/>
                <w:sz w:val="18"/>
                <w:szCs w:val="18"/>
                <w:color w:val="auto"/>
              </w:rPr>
              <w:t>Selection of Notes to Be Redeemed or Purchased.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3.03</w:t>
            </w:r>
          </w:p>
        </w:tc>
        <w:tc>
          <w:tcPr>
            <w:tcW w:w="764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3.04</w:t>
            </w:r>
          </w:p>
        </w:tc>
        <w:tc>
          <w:tcPr>
            <w:tcW w:w="7640" w:type="dxa"/>
            <w:vAlign w:val="bottom"/>
          </w:tcPr>
          <w:p>
            <w:pPr>
              <w:ind w:left="140"/>
              <w:spacing w:after="0"/>
              <w:rPr>
                <w:sz w:val="20"/>
                <w:szCs w:val="20"/>
                <w:color w:val="auto"/>
              </w:rPr>
            </w:pPr>
            <w:r>
              <w:rPr>
                <w:rFonts w:ascii="Arial" w:cs="Arial" w:eastAsia="Arial" w:hAnsi="Arial"/>
                <w:sz w:val="18"/>
                <w:szCs w:val="18"/>
                <w:color w:val="auto"/>
              </w:rPr>
              <w:t>Effect of Notice of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3.05</w:t>
            </w:r>
          </w:p>
        </w:tc>
        <w:tc>
          <w:tcPr>
            <w:tcW w:w="7640" w:type="dxa"/>
            <w:vAlign w:val="bottom"/>
          </w:tcPr>
          <w:p>
            <w:pPr>
              <w:ind w:left="140"/>
              <w:spacing w:after="0"/>
              <w:rPr>
                <w:sz w:val="20"/>
                <w:szCs w:val="20"/>
                <w:color w:val="auto"/>
              </w:rPr>
            </w:pPr>
            <w:r>
              <w:rPr>
                <w:rFonts w:ascii="Arial" w:cs="Arial" w:eastAsia="Arial" w:hAnsi="Arial"/>
                <w:sz w:val="18"/>
                <w:szCs w:val="18"/>
                <w:color w:val="auto"/>
              </w:rPr>
              <w:t>Deposit of Redemption or Purchase Price.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3.06</w:t>
            </w:r>
          </w:p>
        </w:tc>
        <w:tc>
          <w:tcPr>
            <w:tcW w:w="7640" w:type="dxa"/>
            <w:vAlign w:val="bottom"/>
          </w:tcPr>
          <w:p>
            <w:pPr>
              <w:ind w:left="140"/>
              <w:spacing w:after="0"/>
              <w:rPr>
                <w:sz w:val="20"/>
                <w:szCs w:val="20"/>
                <w:color w:val="auto"/>
              </w:rPr>
            </w:pPr>
            <w:r>
              <w:rPr>
                <w:rFonts w:ascii="Arial" w:cs="Arial" w:eastAsia="Arial" w:hAnsi="Arial"/>
                <w:sz w:val="18"/>
                <w:szCs w:val="18"/>
                <w:color w:val="auto"/>
              </w:rPr>
              <w:t>Notes Redeemed or Purchased in Part.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3.07</w:t>
            </w:r>
          </w:p>
        </w:tc>
        <w:tc>
          <w:tcPr>
            <w:tcW w:w="7640" w:type="dxa"/>
            <w:vAlign w:val="bottom"/>
          </w:tcPr>
          <w:p>
            <w:pPr>
              <w:ind w:left="140"/>
              <w:spacing w:after="0"/>
              <w:rPr>
                <w:sz w:val="20"/>
                <w:szCs w:val="20"/>
                <w:color w:val="auto"/>
              </w:rPr>
            </w:pPr>
            <w:r>
              <w:rPr>
                <w:rFonts w:ascii="Arial" w:cs="Arial" w:eastAsia="Arial" w:hAnsi="Arial"/>
                <w:sz w:val="18"/>
                <w:szCs w:val="18"/>
                <w:color w:val="auto"/>
              </w:rPr>
              <w:t>Optional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3.08</w:t>
            </w:r>
          </w:p>
        </w:tc>
        <w:tc>
          <w:tcPr>
            <w:tcW w:w="7640" w:type="dxa"/>
            <w:vAlign w:val="bottom"/>
          </w:tcPr>
          <w:p>
            <w:pPr>
              <w:ind w:left="140"/>
              <w:spacing w:after="0"/>
              <w:rPr>
                <w:sz w:val="20"/>
                <w:szCs w:val="20"/>
                <w:color w:val="auto"/>
              </w:rPr>
            </w:pPr>
            <w:r>
              <w:rPr>
                <w:rFonts w:ascii="Arial" w:cs="Arial" w:eastAsia="Arial" w:hAnsi="Arial"/>
                <w:sz w:val="18"/>
                <w:szCs w:val="18"/>
                <w:color w:val="auto"/>
              </w:rPr>
              <w:t>Mandatory Redemption.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3.09</w:t>
            </w:r>
          </w:p>
        </w:tc>
        <w:tc>
          <w:tcPr>
            <w:tcW w:w="7640" w:type="dxa"/>
            <w:vAlign w:val="bottom"/>
          </w:tcPr>
          <w:p>
            <w:pPr>
              <w:ind w:left="140"/>
              <w:spacing w:after="0"/>
              <w:rPr>
                <w:sz w:val="20"/>
                <w:szCs w:val="20"/>
                <w:color w:val="auto"/>
              </w:rPr>
            </w:pPr>
            <w:r>
              <w:rPr>
                <w:rFonts w:ascii="Arial" w:cs="Arial" w:eastAsia="Arial" w:hAnsi="Arial"/>
                <w:sz w:val="18"/>
                <w:szCs w:val="18"/>
                <w:color w:val="auto"/>
              </w:rPr>
              <w:t>Offer to Purchase by Application of Excess Proceeds.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1220" w:type="dxa"/>
            <w:vAlign w:val="bottom"/>
            <w:vMerge w:val="restart"/>
          </w:tcPr>
          <w:p>
            <w:pPr>
              <w:spacing w:after="0"/>
              <w:rPr>
                <w:sz w:val="20"/>
                <w:szCs w:val="20"/>
                <w:color w:val="auto"/>
              </w:rPr>
            </w:pPr>
            <w:r>
              <w:rPr>
                <w:rFonts w:ascii="Arial" w:cs="Arial" w:eastAsia="Arial" w:hAnsi="Arial"/>
                <w:sz w:val="18"/>
                <w:szCs w:val="18"/>
                <w:color w:val="auto"/>
              </w:rPr>
              <w:t>COVENANTS</w:t>
            </w:r>
          </w:p>
        </w:tc>
        <w:tc>
          <w:tcPr>
            <w:tcW w:w="7640" w:type="dxa"/>
            <w:vAlign w:val="bottom"/>
          </w:tcPr>
          <w:p>
            <w:pPr>
              <w:ind w:left="4080"/>
              <w:spacing w:after="0"/>
              <w:rPr>
                <w:sz w:val="20"/>
                <w:szCs w:val="20"/>
                <w:color w:val="auto"/>
              </w:rPr>
            </w:pPr>
            <w:r>
              <w:rPr>
                <w:rFonts w:ascii="Arial" w:cs="Arial" w:eastAsia="Arial" w:hAnsi="Arial"/>
                <w:sz w:val="18"/>
                <w:szCs w:val="18"/>
                <w:b w:val="1"/>
                <w:bCs w:val="1"/>
                <w:color w:val="auto"/>
              </w:rPr>
              <w:t>ARTICLE IV</w:t>
            </w:r>
          </w:p>
        </w:tc>
        <w:tc>
          <w:tcPr>
            <w:tcW w:w="238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Section 4.01</w:t>
            </w:r>
          </w:p>
        </w:tc>
        <w:tc>
          <w:tcPr>
            <w:tcW w:w="7640" w:type="dxa"/>
            <w:vAlign w:val="bottom"/>
          </w:tcPr>
          <w:p>
            <w:pPr>
              <w:ind w:left="140"/>
              <w:spacing w:after="0"/>
              <w:rPr>
                <w:sz w:val="20"/>
                <w:szCs w:val="20"/>
                <w:color w:val="auto"/>
              </w:rPr>
            </w:pPr>
            <w:r>
              <w:rPr>
                <w:rFonts w:ascii="Arial" w:cs="Arial" w:eastAsia="Arial" w:hAnsi="Arial"/>
                <w:sz w:val="18"/>
                <w:szCs w:val="18"/>
                <w:color w:val="auto"/>
              </w:rPr>
              <w:t>Payment of Notes.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4.02</w:t>
            </w:r>
          </w:p>
        </w:tc>
        <w:tc>
          <w:tcPr>
            <w:tcW w:w="7640" w:type="dxa"/>
            <w:vAlign w:val="bottom"/>
          </w:tcPr>
          <w:p>
            <w:pPr>
              <w:ind w:left="140"/>
              <w:spacing w:after="0"/>
              <w:rPr>
                <w:sz w:val="20"/>
                <w:szCs w:val="20"/>
                <w:color w:val="auto"/>
              </w:rPr>
            </w:pPr>
            <w:r>
              <w:rPr>
                <w:rFonts w:ascii="Arial" w:cs="Arial" w:eastAsia="Arial" w:hAnsi="Arial"/>
                <w:sz w:val="18"/>
                <w:szCs w:val="18"/>
                <w:color w:val="auto"/>
              </w:rPr>
              <w:t>Maintenance of Office or Agency.</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4.03</w:t>
            </w:r>
          </w:p>
        </w:tc>
        <w:tc>
          <w:tcPr>
            <w:tcW w:w="7640" w:type="dxa"/>
            <w:vAlign w:val="bottom"/>
          </w:tcPr>
          <w:p>
            <w:pPr>
              <w:ind w:left="140"/>
              <w:spacing w:after="0"/>
              <w:rPr>
                <w:sz w:val="20"/>
                <w:szCs w:val="20"/>
                <w:color w:val="auto"/>
              </w:rPr>
            </w:pPr>
            <w:r>
              <w:rPr>
                <w:rFonts w:ascii="Arial" w:cs="Arial" w:eastAsia="Arial" w:hAnsi="Arial"/>
                <w:sz w:val="18"/>
                <w:szCs w:val="18"/>
                <w:color w:val="auto"/>
              </w:rPr>
              <w:t>Reports.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4.04</w:t>
            </w:r>
          </w:p>
        </w:tc>
        <w:tc>
          <w:tcPr>
            <w:tcW w:w="7640" w:type="dxa"/>
            <w:vAlign w:val="bottom"/>
          </w:tcPr>
          <w:p>
            <w:pPr>
              <w:ind w:left="140"/>
              <w:spacing w:after="0"/>
              <w:rPr>
                <w:sz w:val="20"/>
                <w:szCs w:val="20"/>
                <w:color w:val="auto"/>
              </w:rPr>
            </w:pPr>
            <w:r>
              <w:rPr>
                <w:rFonts w:ascii="Arial" w:cs="Arial" w:eastAsia="Arial" w:hAnsi="Arial"/>
                <w:sz w:val="18"/>
                <w:szCs w:val="18"/>
                <w:color w:val="auto"/>
              </w:rPr>
              <w:t>Compliance Certificate.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4.05</w:t>
            </w:r>
          </w:p>
        </w:tc>
        <w:tc>
          <w:tcPr>
            <w:tcW w:w="7640" w:type="dxa"/>
            <w:vAlign w:val="bottom"/>
          </w:tcPr>
          <w:p>
            <w:pPr>
              <w:ind w:left="140"/>
              <w:spacing w:after="0"/>
              <w:rPr>
                <w:sz w:val="20"/>
                <w:szCs w:val="20"/>
                <w:color w:val="auto"/>
              </w:rPr>
            </w:pPr>
            <w:r>
              <w:rPr>
                <w:rFonts w:ascii="Arial" w:cs="Arial" w:eastAsia="Arial" w:hAnsi="Arial"/>
                <w:sz w:val="18"/>
                <w:szCs w:val="18"/>
                <w:color w:val="auto"/>
              </w:rPr>
              <w:t>Taxes.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4.06</w:t>
            </w:r>
          </w:p>
        </w:tc>
        <w:tc>
          <w:tcPr>
            <w:tcW w:w="7640" w:type="dxa"/>
            <w:vAlign w:val="bottom"/>
          </w:tcPr>
          <w:p>
            <w:pPr>
              <w:ind w:left="140"/>
              <w:spacing w:after="0"/>
              <w:rPr>
                <w:sz w:val="20"/>
                <w:szCs w:val="20"/>
                <w:color w:val="auto"/>
              </w:rPr>
            </w:pPr>
            <w:r>
              <w:rPr>
                <w:rFonts w:ascii="Arial" w:cs="Arial" w:eastAsia="Arial" w:hAnsi="Arial"/>
                <w:sz w:val="18"/>
                <w:szCs w:val="18"/>
                <w:color w:val="auto"/>
              </w:rPr>
              <w:t>Stay, Extension and Usury Laws.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4.07</w:t>
            </w:r>
          </w:p>
        </w:tc>
        <w:tc>
          <w:tcPr>
            <w:tcW w:w="764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4.08</w:t>
            </w:r>
          </w:p>
        </w:tc>
        <w:tc>
          <w:tcPr>
            <w:tcW w:w="7640" w:type="dxa"/>
            <w:vAlign w:val="bottom"/>
          </w:tcPr>
          <w:p>
            <w:pPr>
              <w:ind w:left="140"/>
              <w:spacing w:after="0"/>
              <w:rPr>
                <w:sz w:val="20"/>
                <w:szCs w:val="20"/>
                <w:color w:val="auto"/>
              </w:rPr>
            </w:pPr>
            <w:r>
              <w:rPr>
                <w:rFonts w:ascii="Arial" w:cs="Arial" w:eastAsia="Arial" w:hAnsi="Arial"/>
                <w:sz w:val="18"/>
                <w:szCs w:val="18"/>
                <w:color w:val="auto"/>
              </w:rPr>
              <w:t>Dividend and Other Payment Restrictions Affecting Restricted Subsidiaries.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Section 4.09</w:t>
            </w:r>
          </w:p>
        </w:tc>
        <w:tc>
          <w:tcPr>
            <w:tcW w:w="7640" w:type="dxa"/>
            <w:vAlign w:val="bottom"/>
          </w:tcPr>
          <w:p>
            <w:pPr>
              <w:ind w:left="140"/>
              <w:spacing w:after="0"/>
              <w:rPr>
                <w:sz w:val="20"/>
                <w:szCs w:val="20"/>
                <w:color w:val="auto"/>
              </w:rPr>
            </w:pPr>
            <w:r>
              <w:rPr>
                <w:rFonts w:ascii="Arial" w:cs="Arial" w:eastAsia="Arial" w:hAnsi="Arial"/>
                <w:sz w:val="18"/>
                <w:szCs w:val="18"/>
                <w:color w:val="auto"/>
              </w:rPr>
              <w:t>Incurrence of Indebtedness and Issuance of Preferred Stock.</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4.10</w:t>
            </w:r>
          </w:p>
        </w:tc>
        <w:tc>
          <w:tcPr>
            <w:tcW w:w="7640" w:type="dxa"/>
            <w:vAlign w:val="bottom"/>
          </w:tcPr>
          <w:p>
            <w:pPr>
              <w:ind w:left="140"/>
              <w:spacing w:after="0"/>
              <w:rPr>
                <w:sz w:val="20"/>
                <w:szCs w:val="20"/>
                <w:color w:val="auto"/>
              </w:rPr>
            </w:pPr>
            <w:r>
              <w:rPr>
                <w:rFonts w:ascii="Arial" w:cs="Arial" w:eastAsia="Arial" w:hAnsi="Arial"/>
                <w:sz w:val="18"/>
                <w:szCs w:val="18"/>
                <w:color w:val="auto"/>
              </w:rPr>
              <w:t>Asset Sales.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8"/>
        </w:trPr>
        <w:tc>
          <w:tcPr>
            <w:tcW w:w="1240" w:type="dxa"/>
            <w:vAlign w:val="bottom"/>
          </w:tcPr>
          <w:p>
            <w:pPr>
              <w:spacing w:after="0"/>
              <w:rPr>
                <w:sz w:val="20"/>
                <w:szCs w:val="20"/>
                <w:color w:val="auto"/>
              </w:rPr>
            </w:pPr>
            <w:r>
              <w:rPr>
                <w:rFonts w:ascii="Arial" w:cs="Arial" w:eastAsia="Arial" w:hAnsi="Arial"/>
                <w:sz w:val="18"/>
                <w:szCs w:val="18"/>
                <w:color w:val="auto"/>
              </w:rPr>
              <w:t>Section 4.11</w:t>
            </w:r>
          </w:p>
        </w:tc>
        <w:tc>
          <w:tcPr>
            <w:tcW w:w="848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11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4.12</w:t>
            </w:r>
          </w:p>
        </w:tc>
        <w:tc>
          <w:tcPr>
            <w:tcW w:w="8480" w:type="dxa"/>
            <w:vAlign w:val="bottom"/>
          </w:tcPr>
          <w:p>
            <w:pPr>
              <w:ind w:left="120"/>
              <w:spacing w:after="0"/>
              <w:rPr>
                <w:sz w:val="20"/>
                <w:szCs w:val="20"/>
                <w:color w:val="auto"/>
              </w:rPr>
            </w:pPr>
            <w:r>
              <w:rPr>
                <w:rFonts w:ascii="Arial" w:cs="Arial" w:eastAsia="Arial" w:hAnsi="Arial"/>
                <w:sz w:val="18"/>
                <w:szCs w:val="18"/>
                <w:color w:val="auto"/>
              </w:rPr>
              <w:t>Liens.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4.13</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4.14</w:t>
            </w:r>
          </w:p>
        </w:tc>
        <w:tc>
          <w:tcPr>
            <w:tcW w:w="8480" w:type="dxa"/>
            <w:vAlign w:val="bottom"/>
          </w:tcPr>
          <w:p>
            <w:pPr>
              <w:ind w:left="120"/>
              <w:spacing w:after="0"/>
              <w:rPr>
                <w:sz w:val="20"/>
                <w:szCs w:val="20"/>
                <w:color w:val="auto"/>
              </w:rPr>
            </w:pPr>
            <w:r>
              <w:rPr>
                <w:rFonts w:ascii="Arial" w:cs="Arial" w:eastAsia="Arial" w:hAnsi="Arial"/>
                <w:sz w:val="18"/>
                <w:szCs w:val="18"/>
                <w:color w:val="auto"/>
              </w:rPr>
              <w:t>Corporate Existence.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4.15</w:t>
            </w:r>
          </w:p>
        </w:tc>
        <w:tc>
          <w:tcPr>
            <w:tcW w:w="8480" w:type="dxa"/>
            <w:vAlign w:val="bottom"/>
          </w:tcPr>
          <w:p>
            <w:pPr>
              <w:ind w:left="120"/>
              <w:spacing w:after="0"/>
              <w:rPr>
                <w:sz w:val="20"/>
                <w:szCs w:val="20"/>
                <w:color w:val="auto"/>
              </w:rPr>
            </w:pPr>
            <w:r>
              <w:rPr>
                <w:rFonts w:ascii="Arial" w:cs="Arial" w:eastAsia="Arial" w:hAnsi="Arial"/>
                <w:sz w:val="18"/>
                <w:szCs w:val="18"/>
                <w:color w:val="auto"/>
              </w:rPr>
              <w:t>Offer to Repurchase Upon Change of Control.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4.16</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4.17</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4.18</w:t>
            </w:r>
          </w:p>
        </w:tc>
        <w:tc>
          <w:tcPr>
            <w:tcW w:w="8480" w:type="dxa"/>
            <w:vAlign w:val="bottom"/>
          </w:tcPr>
          <w:p>
            <w:pPr>
              <w:ind w:left="120"/>
              <w:spacing w:after="0"/>
              <w:rPr>
                <w:sz w:val="20"/>
                <w:szCs w:val="20"/>
                <w:color w:val="auto"/>
              </w:rPr>
            </w:pPr>
            <w:r>
              <w:rPr>
                <w:rFonts w:ascii="Arial" w:cs="Arial" w:eastAsia="Arial" w:hAnsi="Arial"/>
                <w:sz w:val="18"/>
                <w:szCs w:val="18"/>
                <w:color w:val="auto"/>
              </w:rPr>
              <w:t>Additional Note Guarantees.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4.19</w:t>
            </w:r>
          </w:p>
        </w:tc>
        <w:tc>
          <w:tcPr>
            <w:tcW w:w="8480" w:type="dxa"/>
            <w:vAlign w:val="bottom"/>
          </w:tcPr>
          <w:p>
            <w:pPr>
              <w:ind w:left="120"/>
              <w:spacing w:after="0"/>
              <w:rPr>
                <w:sz w:val="20"/>
                <w:szCs w:val="20"/>
                <w:color w:val="auto"/>
              </w:rPr>
            </w:pPr>
            <w:r>
              <w:rPr>
                <w:rFonts w:ascii="Arial" w:cs="Arial" w:eastAsia="Arial" w:hAnsi="Arial"/>
                <w:sz w:val="18"/>
                <w:szCs w:val="18"/>
                <w:color w:val="auto"/>
              </w:rPr>
              <w:t>Designation of Restricted and Unrestricted Subsidiaries.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4.20</w:t>
            </w:r>
          </w:p>
        </w:tc>
        <w:tc>
          <w:tcPr>
            <w:tcW w:w="8480" w:type="dxa"/>
            <w:vAlign w:val="bottom"/>
          </w:tcPr>
          <w:p>
            <w:pPr>
              <w:ind w:left="120"/>
              <w:spacing w:after="0"/>
              <w:rPr>
                <w:sz w:val="20"/>
                <w:szCs w:val="20"/>
                <w:color w:val="auto"/>
              </w:rPr>
            </w:pPr>
            <w:r>
              <w:rPr>
                <w:rFonts w:ascii="Arial" w:cs="Arial" w:eastAsia="Arial" w:hAnsi="Arial"/>
                <w:sz w:val="18"/>
                <w:szCs w:val="18"/>
                <w:color w:val="auto"/>
              </w:rPr>
              <w:t>Covenant Suspension.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1240" w:type="dxa"/>
            <w:vAlign w:val="bottom"/>
            <w:vMerge w:val="restart"/>
          </w:tcPr>
          <w:p>
            <w:pPr>
              <w:spacing w:after="0"/>
              <w:rPr>
                <w:sz w:val="20"/>
                <w:szCs w:val="20"/>
                <w:color w:val="auto"/>
              </w:rPr>
            </w:pPr>
            <w:r>
              <w:rPr>
                <w:rFonts w:ascii="Arial" w:cs="Arial" w:eastAsia="Arial" w:hAnsi="Arial"/>
                <w:sz w:val="18"/>
                <w:szCs w:val="18"/>
                <w:color w:val="auto"/>
                <w:w w:val="96"/>
              </w:rPr>
              <w:t>SUCCESSORS</w:t>
            </w:r>
          </w:p>
        </w:tc>
        <w:tc>
          <w:tcPr>
            <w:tcW w:w="8480" w:type="dxa"/>
            <w:vAlign w:val="bottom"/>
          </w:tcPr>
          <w:p>
            <w:pPr>
              <w:jc w:val="center"/>
              <w:ind w:left="210"/>
              <w:spacing w:after="0"/>
              <w:rPr>
                <w:sz w:val="20"/>
                <w:szCs w:val="20"/>
                <w:color w:val="auto"/>
              </w:rPr>
            </w:pPr>
            <w:r>
              <w:rPr>
                <w:rFonts w:ascii="Arial" w:cs="Arial" w:eastAsia="Arial" w:hAnsi="Arial"/>
                <w:sz w:val="18"/>
                <w:szCs w:val="18"/>
                <w:b w:val="1"/>
                <w:bCs w:val="1"/>
                <w:color w:val="auto"/>
              </w:rPr>
              <w:t>ARTICLE V</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84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5.01</w:t>
            </w:r>
          </w:p>
        </w:tc>
        <w:tc>
          <w:tcPr>
            <w:tcW w:w="8480" w:type="dxa"/>
            <w:vAlign w:val="bottom"/>
          </w:tcPr>
          <w:p>
            <w:pPr>
              <w:ind w:left="120"/>
              <w:spacing w:after="0"/>
              <w:rPr>
                <w:sz w:val="20"/>
                <w:szCs w:val="20"/>
                <w:color w:val="auto"/>
              </w:rPr>
            </w:pPr>
            <w:r>
              <w:rPr>
                <w:rFonts w:ascii="Arial" w:cs="Arial" w:eastAsia="Arial" w:hAnsi="Arial"/>
                <w:sz w:val="18"/>
                <w:szCs w:val="18"/>
                <w:color w:val="auto"/>
              </w:rPr>
              <w:t>Merger, Consolidation or Sale of Assets.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5.02</w:t>
            </w:r>
          </w:p>
        </w:tc>
        <w:tc>
          <w:tcPr>
            <w:tcW w:w="8480" w:type="dxa"/>
            <w:vAlign w:val="bottom"/>
          </w:tcPr>
          <w:p>
            <w:pPr>
              <w:ind w:left="120"/>
              <w:spacing w:after="0"/>
              <w:rPr>
                <w:sz w:val="20"/>
                <w:szCs w:val="20"/>
                <w:color w:val="auto"/>
              </w:rPr>
            </w:pPr>
            <w:r>
              <w:rPr>
                <w:rFonts w:ascii="Arial" w:cs="Arial" w:eastAsia="Arial" w:hAnsi="Arial"/>
                <w:sz w:val="18"/>
                <w:szCs w:val="18"/>
                <w:color w:val="auto"/>
              </w:rPr>
              <w:t>Successor Corporation Substituted.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480" w:type="dxa"/>
            <w:vAlign w:val="bottom"/>
          </w:tcPr>
          <w:p>
            <w:pPr>
              <w:jc w:val="center"/>
              <w:ind w:left="210"/>
              <w:spacing w:after="0"/>
              <w:rPr>
                <w:sz w:val="20"/>
                <w:szCs w:val="20"/>
                <w:color w:val="auto"/>
              </w:rPr>
            </w:pPr>
            <w:r>
              <w:rPr>
                <w:rFonts w:ascii="Arial" w:cs="Arial" w:eastAsia="Arial" w:hAnsi="Arial"/>
                <w:sz w:val="18"/>
                <w:szCs w:val="18"/>
                <w:b w:val="1"/>
                <w:bCs w:val="1"/>
                <w:color w:val="auto"/>
              </w:rPr>
              <w:t>ARTICLE VI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DEFAULTS AND REMEDIES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6.01</w:t>
            </w:r>
          </w:p>
        </w:tc>
        <w:tc>
          <w:tcPr>
            <w:tcW w:w="848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6.02</w:t>
            </w:r>
          </w:p>
        </w:tc>
        <w:tc>
          <w:tcPr>
            <w:tcW w:w="84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84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p>
        </w:tc>
        <w:tc>
          <w:tcPr>
            <w:tcW w:w="848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p>
        </w:tc>
        <w:tc>
          <w:tcPr>
            <w:tcW w:w="8480" w:type="dxa"/>
            <w:vAlign w:val="bottom"/>
          </w:tcPr>
          <w:p>
            <w:pPr>
              <w:ind w:left="120"/>
              <w:spacing w:after="0"/>
              <w:rPr>
                <w:sz w:val="20"/>
                <w:szCs w:val="20"/>
                <w:color w:val="auto"/>
              </w:rPr>
            </w:pPr>
            <w:r>
              <w:rPr>
                <w:rFonts w:ascii="Arial" w:cs="Arial" w:eastAsia="Arial" w:hAnsi="Arial"/>
                <w:sz w:val="18"/>
                <w:szCs w:val="18"/>
                <w:color w:val="auto"/>
              </w:rPr>
              <w:t>Control by Majority.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p>
        </w:tc>
        <w:tc>
          <w:tcPr>
            <w:tcW w:w="84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p>
        </w:tc>
        <w:tc>
          <w:tcPr>
            <w:tcW w:w="8480" w:type="dxa"/>
            <w:vAlign w:val="bottom"/>
          </w:tcPr>
          <w:p>
            <w:pPr>
              <w:ind w:left="120"/>
              <w:spacing w:after="0"/>
              <w:rPr>
                <w:sz w:val="20"/>
                <w:szCs w:val="20"/>
                <w:color w:val="auto"/>
              </w:rPr>
            </w:pPr>
            <w:r>
              <w:rPr>
                <w:rFonts w:ascii="Arial" w:cs="Arial" w:eastAsia="Arial" w:hAnsi="Arial"/>
                <w:sz w:val="18"/>
                <w:szCs w:val="18"/>
                <w:color w:val="auto"/>
              </w:rPr>
              <w:t>Rights of Holders of Notes to Receive Payment.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p>
        </w:tc>
        <w:tc>
          <w:tcPr>
            <w:tcW w:w="8480" w:type="dxa"/>
            <w:vAlign w:val="bottom"/>
          </w:tcPr>
          <w:p>
            <w:pPr>
              <w:ind w:left="120"/>
              <w:spacing w:after="0"/>
              <w:rPr>
                <w:sz w:val="20"/>
                <w:szCs w:val="20"/>
                <w:color w:val="auto"/>
              </w:rPr>
            </w:pPr>
            <w:r>
              <w:rPr>
                <w:rFonts w:ascii="Arial" w:cs="Arial" w:eastAsia="Arial" w:hAnsi="Arial"/>
                <w:sz w:val="18"/>
                <w:szCs w:val="18"/>
                <w:color w:val="auto"/>
              </w:rPr>
              <w:t>Collection Suit by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p>
        </w:tc>
        <w:tc>
          <w:tcPr>
            <w:tcW w:w="848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848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p>
        </w:tc>
        <w:tc>
          <w:tcPr>
            <w:tcW w:w="848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32"/>
        </w:trPr>
        <w:tc>
          <w:tcPr>
            <w:tcW w:w="1240" w:type="dxa"/>
            <w:vAlign w:val="bottom"/>
            <w:vMerge w:val="restart"/>
          </w:tcPr>
          <w:p>
            <w:pPr>
              <w:spacing w:after="0"/>
              <w:rPr>
                <w:sz w:val="20"/>
                <w:szCs w:val="20"/>
                <w:color w:val="auto"/>
              </w:rPr>
            </w:pPr>
            <w:r>
              <w:rPr>
                <w:rFonts w:ascii="Arial" w:cs="Arial" w:eastAsia="Arial" w:hAnsi="Arial"/>
                <w:sz w:val="18"/>
                <w:szCs w:val="18"/>
                <w:color w:val="auto"/>
              </w:rPr>
              <w:t>TRUSTEE</w:t>
            </w:r>
          </w:p>
        </w:tc>
        <w:tc>
          <w:tcPr>
            <w:tcW w:w="8480" w:type="dxa"/>
            <w:vAlign w:val="bottom"/>
          </w:tcPr>
          <w:p>
            <w:pPr>
              <w:jc w:val="center"/>
              <w:ind w:left="190"/>
              <w:spacing w:after="0"/>
              <w:rPr>
                <w:sz w:val="20"/>
                <w:szCs w:val="20"/>
                <w:color w:val="auto"/>
              </w:rPr>
            </w:pPr>
            <w:r>
              <w:rPr>
                <w:rFonts w:ascii="Arial" w:cs="Arial" w:eastAsia="Arial" w:hAnsi="Arial"/>
                <w:sz w:val="18"/>
                <w:szCs w:val="18"/>
                <w:b w:val="1"/>
                <w:bCs w:val="1"/>
                <w:color w:val="auto"/>
              </w:rPr>
              <w:t>ARTICLE VII</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84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p>
        </w:tc>
        <w:tc>
          <w:tcPr>
            <w:tcW w:w="848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p>
        </w:tc>
        <w:tc>
          <w:tcPr>
            <w:tcW w:w="848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p>
        </w:tc>
        <w:tc>
          <w:tcPr>
            <w:tcW w:w="8480" w:type="dxa"/>
            <w:vAlign w:val="bottom"/>
          </w:tcPr>
          <w:p>
            <w:pPr>
              <w:ind w:left="120"/>
              <w:spacing w:after="0"/>
              <w:rPr>
                <w:sz w:val="20"/>
                <w:szCs w:val="20"/>
                <w:color w:val="auto"/>
              </w:rPr>
            </w:pPr>
            <w:r>
              <w:rPr>
                <w:rFonts w:ascii="Arial" w:cs="Arial" w:eastAsia="Arial" w:hAnsi="Arial"/>
                <w:sz w:val="18"/>
                <w:szCs w:val="18"/>
                <w:color w:val="auto"/>
              </w:rPr>
              <w:t>Individual Rights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p>
        </w:tc>
        <w:tc>
          <w:tcPr>
            <w:tcW w:w="84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p>
        </w:tc>
        <w:tc>
          <w:tcPr>
            <w:tcW w:w="848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p>
        </w:tc>
        <w:tc>
          <w:tcPr>
            <w:tcW w:w="848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p>
        </w:tc>
        <w:tc>
          <w:tcPr>
            <w:tcW w:w="848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p>
        </w:tc>
        <w:tc>
          <w:tcPr>
            <w:tcW w:w="848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p>
        </w:tc>
        <w:tc>
          <w:tcPr>
            <w:tcW w:w="8480" w:type="dxa"/>
            <w:vAlign w:val="bottom"/>
          </w:tcPr>
          <w:p>
            <w:pPr>
              <w:ind w:left="120"/>
              <w:spacing w:after="0"/>
              <w:rPr>
                <w:sz w:val="20"/>
                <w:szCs w:val="20"/>
                <w:color w:val="auto"/>
              </w:rPr>
            </w:pPr>
            <w:r>
              <w:rPr>
                <w:rFonts w:ascii="Arial" w:cs="Arial" w:eastAsia="Arial" w:hAnsi="Arial"/>
                <w:sz w:val="18"/>
                <w:szCs w:val="18"/>
                <w:color w:val="auto"/>
              </w:rPr>
              <w:t>Successor Trustee by Merger, etc.</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7.10</w:t>
            </w:r>
          </w:p>
        </w:tc>
        <w:tc>
          <w:tcPr>
            <w:tcW w:w="848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8480" w:type="dxa"/>
            <w:vAlign w:val="bottom"/>
          </w:tcPr>
          <w:p>
            <w:pPr>
              <w:jc w:val="center"/>
              <w:ind w:left="190"/>
              <w:spacing w:after="0"/>
              <w:rPr>
                <w:sz w:val="20"/>
                <w:szCs w:val="20"/>
                <w:color w:val="auto"/>
              </w:rPr>
            </w:pPr>
            <w:r>
              <w:rPr>
                <w:rFonts w:ascii="Arial" w:cs="Arial" w:eastAsia="Arial" w:hAnsi="Arial"/>
                <w:sz w:val="18"/>
                <w:szCs w:val="18"/>
                <w:b w:val="1"/>
                <w:bCs w:val="1"/>
                <w:color w:val="auto"/>
              </w:rPr>
              <w:t>ARTICLE VIII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LEGAL DEFEASANCE AND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p>
        </w:tc>
        <w:tc>
          <w:tcPr>
            <w:tcW w:w="8480" w:type="dxa"/>
            <w:vAlign w:val="bottom"/>
          </w:tcPr>
          <w:p>
            <w:pPr>
              <w:ind w:left="120"/>
              <w:spacing w:after="0"/>
              <w:rPr>
                <w:sz w:val="20"/>
                <w:szCs w:val="20"/>
                <w:color w:val="auto"/>
              </w:rPr>
            </w:pPr>
            <w:r>
              <w:rPr>
                <w:rFonts w:ascii="Arial" w:cs="Arial" w:eastAsia="Arial" w:hAnsi="Arial"/>
                <w:sz w:val="18"/>
                <w:szCs w:val="18"/>
                <w:color w:val="auto"/>
              </w:rPr>
              <w:t>Option to Effect Legal Defeasance or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p>
        </w:tc>
        <w:tc>
          <w:tcPr>
            <w:tcW w:w="8480" w:type="dxa"/>
            <w:vAlign w:val="bottom"/>
          </w:tcPr>
          <w:p>
            <w:pPr>
              <w:ind w:left="120"/>
              <w:spacing w:after="0"/>
              <w:rPr>
                <w:sz w:val="20"/>
                <w:szCs w:val="20"/>
                <w:color w:val="auto"/>
              </w:rPr>
            </w:pPr>
            <w:r>
              <w:rPr>
                <w:rFonts w:ascii="Arial" w:cs="Arial" w:eastAsia="Arial" w:hAnsi="Arial"/>
                <w:sz w:val="18"/>
                <w:szCs w:val="18"/>
                <w:color w:val="auto"/>
              </w:rPr>
              <w:t>Legal Defeasance and Discharge.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p>
        </w:tc>
        <w:tc>
          <w:tcPr>
            <w:tcW w:w="848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p>
        </w:tc>
        <w:tc>
          <w:tcPr>
            <w:tcW w:w="8480" w:type="dxa"/>
            <w:vAlign w:val="bottom"/>
          </w:tcPr>
          <w:p>
            <w:pPr>
              <w:ind w:left="120"/>
              <w:spacing w:after="0"/>
              <w:rPr>
                <w:sz w:val="20"/>
                <w:szCs w:val="20"/>
                <w:color w:val="auto"/>
              </w:rPr>
            </w:pPr>
            <w:r>
              <w:rPr>
                <w:rFonts w:ascii="Arial" w:cs="Arial" w:eastAsia="Arial" w:hAnsi="Arial"/>
                <w:sz w:val="18"/>
                <w:szCs w:val="18"/>
                <w:color w:val="auto"/>
              </w:rPr>
              <w:t>Conditions to Legal or Covenant Defeasance.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8.05</w:t>
            </w:r>
          </w:p>
        </w:tc>
        <w:tc>
          <w:tcPr>
            <w:tcW w:w="8480" w:type="dxa"/>
            <w:vAlign w:val="bottom"/>
          </w:tcPr>
          <w:p>
            <w:pPr>
              <w:ind w:left="120"/>
              <w:spacing w:after="0"/>
              <w:rPr>
                <w:sz w:val="20"/>
                <w:szCs w:val="20"/>
                <w:color w:val="auto"/>
              </w:rPr>
            </w:pPr>
            <w:r>
              <w:rPr>
                <w:rFonts w:ascii="Arial" w:cs="Arial" w:eastAsia="Arial" w:hAnsi="Arial"/>
                <w:sz w:val="18"/>
                <w:szCs w:val="18"/>
                <w:color w:val="auto"/>
              </w:rPr>
              <w:t>Deposited Money and Government Securities To Be Held in Trust; Other Miscellaneous Provisions.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Section 8.06</w:t>
            </w:r>
          </w:p>
        </w:tc>
        <w:tc>
          <w:tcPr>
            <w:tcW w:w="782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190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8.07</w:t>
            </w:r>
          </w:p>
        </w:tc>
        <w:tc>
          <w:tcPr>
            <w:tcW w:w="782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90"/>
              <w:spacing w:after="0"/>
              <w:rPr>
                <w:sz w:val="20"/>
                <w:szCs w:val="20"/>
                <w:color w:val="auto"/>
              </w:rPr>
            </w:pPr>
            <w:r>
              <w:rPr>
                <w:rFonts w:ascii="Arial" w:cs="Arial" w:eastAsia="Arial" w:hAnsi="Arial"/>
                <w:sz w:val="18"/>
                <w:szCs w:val="18"/>
                <w:b w:val="1"/>
                <w:bCs w:val="1"/>
                <w:color w:val="auto"/>
              </w:rPr>
              <w:t>ARTICLE IX</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AMENDMENT, SUPPLEMENT AND WAIVER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7820" w:type="dxa"/>
            <w:vAlign w:val="bottom"/>
          </w:tcPr>
          <w:p>
            <w:pPr>
              <w:ind w:left="180"/>
              <w:spacing w:after="0"/>
              <w:rPr>
                <w:sz w:val="20"/>
                <w:szCs w:val="20"/>
                <w:color w:val="auto"/>
              </w:rPr>
            </w:pPr>
            <w:r>
              <w:rPr>
                <w:rFonts w:ascii="Arial" w:cs="Arial" w:eastAsia="Arial" w:hAnsi="Arial"/>
                <w:sz w:val="18"/>
                <w:szCs w:val="18"/>
                <w:color w:val="auto"/>
              </w:rPr>
              <w:t>Without Consent of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7820" w:type="dxa"/>
            <w:vAlign w:val="bottom"/>
          </w:tcPr>
          <w:p>
            <w:pPr>
              <w:ind w:left="180"/>
              <w:spacing w:after="0"/>
              <w:rPr>
                <w:sz w:val="20"/>
                <w:szCs w:val="20"/>
                <w:color w:val="auto"/>
              </w:rPr>
            </w:pPr>
            <w:r>
              <w:rPr>
                <w:rFonts w:ascii="Arial" w:cs="Arial" w:eastAsia="Arial" w:hAnsi="Arial"/>
                <w:sz w:val="18"/>
                <w:szCs w:val="18"/>
                <w:color w:val="auto"/>
              </w:rPr>
              <w:t>With Consent of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7820" w:type="dxa"/>
            <w:vAlign w:val="bottom"/>
          </w:tcPr>
          <w:p>
            <w:pPr>
              <w:ind w:left="180"/>
              <w:spacing w:after="0"/>
              <w:rPr>
                <w:sz w:val="20"/>
                <w:szCs w:val="20"/>
                <w:color w:val="auto"/>
              </w:rPr>
            </w:pPr>
            <w:r>
              <w:rPr>
                <w:rFonts w:ascii="Arial" w:cs="Arial" w:eastAsia="Arial" w:hAnsi="Arial"/>
                <w:sz w:val="18"/>
                <w:szCs w:val="18"/>
                <w:color w:val="auto"/>
              </w:rPr>
              <w:t>Revocation and Effect of Consents.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7820" w:type="dxa"/>
            <w:vAlign w:val="bottom"/>
          </w:tcPr>
          <w:p>
            <w:pPr>
              <w:ind w:left="180"/>
              <w:spacing w:after="0"/>
              <w:rPr>
                <w:sz w:val="20"/>
                <w:szCs w:val="20"/>
                <w:color w:val="auto"/>
              </w:rPr>
            </w:pPr>
            <w:r>
              <w:rPr>
                <w:rFonts w:ascii="Arial" w:cs="Arial" w:eastAsia="Arial" w:hAnsi="Arial"/>
                <w:sz w:val="18"/>
                <w:szCs w:val="18"/>
                <w:color w:val="auto"/>
              </w:rPr>
              <w:t>Notation on or Exchange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7820" w:type="dxa"/>
            <w:vAlign w:val="bottom"/>
          </w:tcPr>
          <w:p>
            <w:pPr>
              <w:ind w:left="180"/>
              <w:spacing w:after="0"/>
              <w:rPr>
                <w:sz w:val="20"/>
                <w:szCs w:val="20"/>
                <w:color w:val="auto"/>
              </w:rPr>
            </w:pPr>
            <w:r>
              <w:rPr>
                <w:rFonts w:ascii="Arial" w:cs="Arial" w:eastAsia="Arial" w:hAnsi="Arial"/>
                <w:sz w:val="18"/>
                <w:szCs w:val="18"/>
                <w:color w:val="auto"/>
              </w:rPr>
              <w:t>Trustee to Sign Amendments, etc.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70"/>
              <w:spacing w:after="0"/>
              <w:rPr>
                <w:sz w:val="20"/>
                <w:szCs w:val="20"/>
                <w:color w:val="auto"/>
              </w:rPr>
            </w:pPr>
            <w:r>
              <w:rPr>
                <w:rFonts w:ascii="Arial" w:cs="Arial" w:eastAsia="Arial" w:hAnsi="Arial"/>
                <w:sz w:val="18"/>
                <w:szCs w:val="18"/>
                <w:b w:val="1"/>
                <w:bCs w:val="1"/>
                <w:color w:val="auto"/>
              </w:rPr>
              <w:t>ARTICLE X</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NOTE GUARANTEES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782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7820" w:type="dxa"/>
            <w:vAlign w:val="bottom"/>
          </w:tcPr>
          <w:p>
            <w:pPr>
              <w:ind w:left="180"/>
              <w:spacing w:after="0"/>
              <w:rPr>
                <w:sz w:val="20"/>
                <w:szCs w:val="20"/>
                <w:color w:val="auto"/>
              </w:rPr>
            </w:pPr>
            <w:r>
              <w:rPr>
                <w:rFonts w:ascii="Arial" w:cs="Arial" w:eastAsia="Arial" w:hAnsi="Arial"/>
                <w:sz w:val="18"/>
                <w:szCs w:val="18"/>
                <w:color w:val="auto"/>
              </w:rPr>
              <w:t>Limitation on Guarantor Liability.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7820" w:type="dxa"/>
            <w:vAlign w:val="bottom"/>
          </w:tcPr>
          <w:p>
            <w:pPr>
              <w:ind w:left="180"/>
              <w:spacing w:after="0"/>
              <w:rPr>
                <w:sz w:val="20"/>
                <w:szCs w:val="20"/>
                <w:color w:val="auto"/>
              </w:rPr>
            </w:pPr>
            <w:r>
              <w:rPr>
                <w:rFonts w:ascii="Arial" w:cs="Arial" w:eastAsia="Arial" w:hAnsi="Arial"/>
                <w:sz w:val="18"/>
                <w:szCs w:val="18"/>
                <w:color w:val="auto"/>
              </w:rPr>
              <w:t>Execution and Delivery of Note Guarantee.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7820" w:type="dxa"/>
            <w:vAlign w:val="bottom"/>
          </w:tcPr>
          <w:p>
            <w:pPr>
              <w:ind w:left="180"/>
              <w:spacing w:after="0"/>
              <w:rPr>
                <w:sz w:val="20"/>
                <w:szCs w:val="20"/>
                <w:color w:val="auto"/>
              </w:rPr>
            </w:pPr>
            <w:r>
              <w:rPr>
                <w:rFonts w:ascii="Arial" w:cs="Arial" w:eastAsia="Arial" w:hAnsi="Arial"/>
                <w:sz w:val="18"/>
                <w:szCs w:val="18"/>
                <w:color w:val="auto"/>
              </w:rPr>
              <w:t>Guarantors May Consolidate, etc., on Certain Terms.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7820" w:type="dxa"/>
            <w:vAlign w:val="bottom"/>
          </w:tcPr>
          <w:p>
            <w:pPr>
              <w:ind w:left="180"/>
              <w:spacing w:after="0"/>
              <w:rPr>
                <w:sz w:val="20"/>
                <w:szCs w:val="20"/>
                <w:color w:val="auto"/>
              </w:rPr>
            </w:pPr>
            <w:r>
              <w:rPr>
                <w:rFonts w:ascii="Arial" w:cs="Arial" w:eastAsia="Arial" w:hAnsi="Arial"/>
                <w:sz w:val="18"/>
                <w:szCs w:val="18"/>
                <w:color w:val="auto"/>
              </w:rPr>
              <w:t>Releases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90"/>
              <w:spacing w:after="0"/>
              <w:rPr>
                <w:sz w:val="20"/>
                <w:szCs w:val="20"/>
                <w:color w:val="auto"/>
              </w:rPr>
            </w:pPr>
            <w:r>
              <w:rPr>
                <w:rFonts w:ascii="Arial" w:cs="Arial" w:eastAsia="Arial" w:hAnsi="Arial"/>
                <w:sz w:val="18"/>
                <w:szCs w:val="18"/>
                <w:b w:val="1"/>
                <w:bCs w:val="1"/>
                <w:color w:val="auto"/>
              </w:rPr>
              <w:t>ARTICLE XI</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SATISFACTION AND DISCHARGE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7820" w:type="dxa"/>
            <w:vAlign w:val="bottom"/>
          </w:tcPr>
          <w:p>
            <w:pPr>
              <w:ind w:left="180"/>
              <w:spacing w:after="0"/>
              <w:rPr>
                <w:sz w:val="20"/>
                <w:szCs w:val="20"/>
                <w:color w:val="auto"/>
              </w:rPr>
            </w:pPr>
            <w:r>
              <w:rPr>
                <w:rFonts w:ascii="Arial" w:cs="Arial" w:eastAsia="Arial" w:hAnsi="Arial"/>
                <w:sz w:val="18"/>
                <w:szCs w:val="18"/>
                <w:color w:val="auto"/>
              </w:rPr>
              <w:t>Satisfaction and Discharge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782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180" w:type="dxa"/>
            <w:vAlign w:val="bottom"/>
          </w:tcPr>
          <w:p>
            <w:pPr>
              <w:spacing w:after="0"/>
              <w:rPr>
                <w:sz w:val="24"/>
                <w:szCs w:val="24"/>
                <w:color w:val="auto"/>
              </w:rPr>
            </w:pPr>
          </w:p>
        </w:tc>
        <w:tc>
          <w:tcPr>
            <w:tcW w:w="7820" w:type="dxa"/>
            <w:vAlign w:val="bottom"/>
          </w:tcPr>
          <w:p>
            <w:pPr>
              <w:jc w:val="center"/>
              <w:ind w:left="970"/>
              <w:spacing w:after="0"/>
              <w:rPr>
                <w:sz w:val="20"/>
                <w:szCs w:val="20"/>
                <w:color w:val="auto"/>
              </w:rPr>
            </w:pPr>
            <w:r>
              <w:rPr>
                <w:rFonts w:ascii="Arial" w:cs="Arial" w:eastAsia="Arial" w:hAnsi="Arial"/>
                <w:sz w:val="18"/>
                <w:szCs w:val="18"/>
                <w:b w:val="1"/>
                <w:bCs w:val="1"/>
                <w:color w:val="auto"/>
              </w:rPr>
              <w:t>ARTICLE XII</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418"/>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78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7820" w:type="dxa"/>
            <w:vAlign w:val="bottom"/>
          </w:tcPr>
          <w:p>
            <w:pPr>
              <w:ind w:left="180"/>
              <w:spacing w:after="0"/>
              <w:rPr>
                <w:sz w:val="20"/>
                <w:szCs w:val="20"/>
                <w:color w:val="auto"/>
              </w:rPr>
            </w:pPr>
            <w:r>
              <w:rPr>
                <w:rFonts w:ascii="Arial" w:cs="Arial" w:eastAsia="Arial" w:hAnsi="Arial"/>
                <w:sz w:val="18"/>
                <w:szCs w:val="18"/>
                <w:color w:val="auto"/>
              </w:rPr>
              <w:t>Communication by Holders of Notes with Other Holders of Notes.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The Company, the Trustee, the Registrar and anyone else shall have the protection of TIA §312(c).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7820" w:type="dxa"/>
            <w:vAlign w:val="bottom"/>
          </w:tcPr>
          <w:p>
            <w:pPr>
              <w:ind w:left="180"/>
              <w:spacing w:after="0"/>
              <w:rPr>
                <w:sz w:val="20"/>
                <w:szCs w:val="20"/>
                <w:color w:val="auto"/>
              </w:rPr>
            </w:pPr>
            <w:r>
              <w:rPr>
                <w:rFonts w:ascii="Arial" w:cs="Arial" w:eastAsia="Arial" w:hAnsi="Arial"/>
                <w:sz w:val="18"/>
                <w:szCs w:val="18"/>
                <w:color w:val="auto"/>
              </w:rPr>
              <w:t>Certificate and Opinion as to Conditions Precedent.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7820" w:type="dxa"/>
            <w:vAlign w:val="bottom"/>
          </w:tcPr>
          <w:p>
            <w:pPr>
              <w:ind w:left="180"/>
              <w:spacing w:after="0"/>
              <w:rPr>
                <w:sz w:val="20"/>
                <w:szCs w:val="20"/>
                <w:color w:val="auto"/>
              </w:rPr>
            </w:pPr>
            <w:r>
              <w:rPr>
                <w:rFonts w:ascii="Arial" w:cs="Arial" w:eastAsia="Arial" w:hAnsi="Arial"/>
                <w:sz w:val="18"/>
                <w:szCs w:val="18"/>
                <w:color w:val="auto"/>
              </w:rPr>
              <w:t>Statements Required in Certificate or Opinion.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7820" w:type="dxa"/>
            <w:vAlign w:val="bottom"/>
          </w:tcPr>
          <w:p>
            <w:pPr>
              <w:ind w:left="180"/>
              <w:spacing w:after="0"/>
              <w:rPr>
                <w:sz w:val="20"/>
                <w:szCs w:val="20"/>
                <w:color w:val="auto"/>
              </w:rPr>
            </w:pPr>
            <w:r>
              <w:rPr>
                <w:rFonts w:ascii="Arial" w:cs="Arial" w:eastAsia="Arial" w:hAnsi="Arial"/>
                <w:sz w:val="18"/>
                <w:szCs w:val="18"/>
                <w:color w:val="auto"/>
              </w:rPr>
              <w:t>Rules by Trustee and Agents.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7820" w:type="dxa"/>
            <w:vAlign w:val="bottom"/>
          </w:tcPr>
          <w:p>
            <w:pPr>
              <w:ind w:left="18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12.07</w:t>
            </w:r>
          </w:p>
        </w:tc>
        <w:tc>
          <w:tcPr>
            <w:tcW w:w="78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12.08</w:t>
            </w:r>
          </w:p>
        </w:tc>
        <w:tc>
          <w:tcPr>
            <w:tcW w:w="7820" w:type="dxa"/>
            <w:vAlign w:val="bottom"/>
          </w:tcPr>
          <w:p>
            <w:pPr>
              <w:ind w:left="180"/>
              <w:spacing w:after="0"/>
              <w:rPr>
                <w:sz w:val="20"/>
                <w:szCs w:val="20"/>
                <w:color w:val="auto"/>
              </w:rPr>
            </w:pPr>
            <w:r>
              <w:rPr>
                <w:rFonts w:ascii="Arial" w:cs="Arial" w:eastAsia="Arial" w:hAnsi="Arial"/>
                <w:sz w:val="18"/>
                <w:szCs w:val="18"/>
                <w:color w:val="auto"/>
              </w:rPr>
              <w:t>No Adverse Interpretation of Other Agreements.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12.09</w:t>
            </w:r>
          </w:p>
        </w:tc>
        <w:tc>
          <w:tcPr>
            <w:tcW w:w="7820" w:type="dxa"/>
            <w:vAlign w:val="bottom"/>
          </w:tcPr>
          <w:p>
            <w:pPr>
              <w:ind w:left="180"/>
              <w:spacing w:after="0"/>
              <w:rPr>
                <w:sz w:val="20"/>
                <w:szCs w:val="20"/>
                <w:color w:val="auto"/>
              </w:rPr>
            </w:pPr>
            <w:r>
              <w:rPr>
                <w:rFonts w:ascii="Arial" w:cs="Arial" w:eastAsia="Arial" w:hAnsi="Arial"/>
                <w:sz w:val="18"/>
                <w:szCs w:val="18"/>
                <w:color w:val="auto"/>
              </w:rPr>
              <w:t>Successors.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12.10</w:t>
            </w:r>
          </w:p>
        </w:tc>
        <w:tc>
          <w:tcPr>
            <w:tcW w:w="78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12.11</w:t>
            </w:r>
          </w:p>
        </w:tc>
        <w:tc>
          <w:tcPr>
            <w:tcW w:w="7820" w:type="dxa"/>
            <w:vAlign w:val="bottom"/>
          </w:tcPr>
          <w:p>
            <w:pPr>
              <w:ind w:left="180"/>
              <w:spacing w:after="0"/>
              <w:rPr>
                <w:sz w:val="20"/>
                <w:szCs w:val="20"/>
                <w:color w:val="auto"/>
              </w:rPr>
            </w:pPr>
            <w:r>
              <w:rPr>
                <w:rFonts w:ascii="Arial" w:cs="Arial" w:eastAsia="Arial" w:hAnsi="Arial"/>
                <w:sz w:val="18"/>
                <w:szCs w:val="18"/>
                <w:color w:val="auto"/>
              </w:rPr>
              <w:t>Counterpart Originals.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12.12</w:t>
            </w:r>
          </w:p>
        </w:tc>
        <w:tc>
          <w:tcPr>
            <w:tcW w:w="7820" w:type="dxa"/>
            <w:vAlign w:val="bottom"/>
          </w:tcPr>
          <w:p>
            <w:pPr>
              <w:ind w:left="180"/>
              <w:spacing w:after="0"/>
              <w:rPr>
                <w:sz w:val="20"/>
                <w:szCs w:val="20"/>
                <w:color w:val="auto"/>
              </w:rPr>
            </w:pPr>
            <w:r>
              <w:rPr>
                <w:rFonts w:ascii="Arial" w:cs="Arial" w:eastAsia="Arial" w:hAnsi="Arial"/>
                <w:sz w:val="18"/>
                <w:szCs w:val="18"/>
                <w:color w:val="auto"/>
              </w:rPr>
              <w:t>Table of Contents, Headings, etc.</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12.13</w:t>
            </w:r>
          </w:p>
        </w:tc>
        <w:tc>
          <w:tcPr>
            <w:tcW w:w="782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12.14</w:t>
            </w:r>
          </w:p>
        </w:tc>
        <w:tc>
          <w:tcPr>
            <w:tcW w:w="782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12.15</w:t>
            </w:r>
          </w:p>
        </w:tc>
        <w:tc>
          <w:tcPr>
            <w:tcW w:w="7820" w:type="dxa"/>
            <w:vAlign w:val="bottom"/>
          </w:tcPr>
          <w:p>
            <w:pPr>
              <w:ind w:left="180"/>
              <w:spacing w:after="0"/>
              <w:rPr>
                <w:sz w:val="20"/>
                <w:szCs w:val="20"/>
                <w:color w:val="auto"/>
              </w:rPr>
            </w:pPr>
            <w:r>
              <w:rPr>
                <w:rFonts w:ascii="Arial" w:cs="Arial" w:eastAsia="Arial" w:hAnsi="Arial"/>
                <w:sz w:val="18"/>
                <w:szCs w:val="18"/>
                <w:color w:val="auto"/>
              </w:rPr>
              <w:t>Electronic Delivery.</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12.16</w:t>
            </w:r>
          </w:p>
        </w:tc>
        <w:tc>
          <w:tcPr>
            <w:tcW w:w="7820" w:type="dxa"/>
            <w:vAlign w:val="bottom"/>
          </w:tcPr>
          <w:p>
            <w:pPr>
              <w:ind w:left="180"/>
              <w:spacing w:after="0"/>
              <w:rPr>
                <w:sz w:val="20"/>
                <w:szCs w:val="20"/>
                <w:color w:val="auto"/>
              </w:rPr>
            </w:pPr>
            <w:r>
              <w:rPr>
                <w:rFonts w:ascii="Arial" w:cs="Arial" w:eastAsia="Arial" w:hAnsi="Arial"/>
                <w:sz w:val="18"/>
                <w:szCs w:val="18"/>
                <w:color w:val="auto"/>
              </w:rPr>
              <w:t>Submission to Jurisdiction.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12.17</w:t>
            </w:r>
          </w:p>
        </w:tc>
        <w:tc>
          <w:tcPr>
            <w:tcW w:w="7820" w:type="dxa"/>
            <w:vAlign w:val="bottom"/>
          </w:tcPr>
          <w:p>
            <w:pPr>
              <w:ind w:left="180"/>
              <w:spacing w:after="0"/>
              <w:rPr>
                <w:sz w:val="20"/>
                <w:szCs w:val="20"/>
                <w:color w:val="auto"/>
              </w:rPr>
            </w:pPr>
            <w:r>
              <w:rPr>
                <w:rFonts w:ascii="Arial" w:cs="Arial" w:eastAsia="Arial" w:hAnsi="Arial"/>
                <w:sz w:val="18"/>
                <w:szCs w:val="18"/>
                <w:color w:val="auto"/>
              </w:rPr>
              <w:t>Foreign Account Tax Compliance Act (FATCA).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12.18</w:t>
            </w:r>
          </w:p>
        </w:tc>
        <w:tc>
          <w:tcPr>
            <w:tcW w:w="7820" w:type="dxa"/>
            <w:vAlign w:val="bottom"/>
          </w:tcPr>
          <w:p>
            <w:pPr>
              <w:ind w:left="180"/>
              <w:spacing w:after="0"/>
              <w:rPr>
                <w:sz w:val="20"/>
                <w:szCs w:val="20"/>
                <w:color w:val="auto"/>
              </w:rPr>
            </w:pPr>
            <w:r>
              <w:rPr>
                <w:rFonts w:ascii="Arial" w:cs="Arial" w:eastAsia="Arial" w:hAnsi="Arial"/>
                <w:sz w:val="18"/>
                <w:szCs w:val="18"/>
                <w:color w:val="auto"/>
              </w:rPr>
              <w:t>Concerning the TIA.</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12.19</w:t>
            </w:r>
          </w:p>
        </w:tc>
        <w:tc>
          <w:tcPr>
            <w:tcW w:w="7820" w:type="dxa"/>
            <w:vAlign w:val="bottom"/>
          </w:tcPr>
          <w:p>
            <w:pPr>
              <w:ind w:left="180"/>
              <w:spacing w:after="0"/>
              <w:rPr>
                <w:sz w:val="20"/>
                <w:szCs w:val="20"/>
                <w:color w:val="auto"/>
              </w:rPr>
            </w:pPr>
            <w:r>
              <w:rPr>
                <w:rFonts w:ascii="Arial" w:cs="Arial" w:eastAsia="Arial" w:hAnsi="Arial"/>
                <w:sz w:val="18"/>
                <w:szCs w:val="18"/>
                <w:color w:val="auto"/>
              </w:rPr>
              <w:t>Record Date.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12.20</w:t>
            </w:r>
          </w:p>
        </w:tc>
        <w:tc>
          <w:tcPr>
            <w:tcW w:w="782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12.21</w:t>
            </w:r>
          </w:p>
        </w:tc>
        <w:tc>
          <w:tcPr>
            <w:tcW w:w="7820" w:type="dxa"/>
            <w:vAlign w:val="bottom"/>
          </w:tcPr>
          <w:p>
            <w:pPr>
              <w:ind w:left="180"/>
              <w:spacing w:after="0"/>
              <w:rPr>
                <w:sz w:val="20"/>
                <w:szCs w:val="20"/>
                <w:color w:val="auto"/>
              </w:rPr>
            </w:pPr>
            <w:r>
              <w:rPr>
                <w:rFonts w:ascii="Arial" w:cs="Arial" w:eastAsia="Arial" w:hAnsi="Arial"/>
                <w:sz w:val="18"/>
                <w:szCs w:val="18"/>
                <w:color w:val="auto"/>
              </w:rPr>
              <w:t>Legal Holidays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EXHIBITS</w:t>
            </w:r>
          </w:p>
        </w:tc>
        <w:tc>
          <w:tcPr>
            <w:tcW w:w="10140" w:type="dxa"/>
            <w:vAlign w:val="bottom"/>
          </w:tcPr>
          <w:p>
            <w:pPr>
              <w:spacing w:after="0"/>
              <w:rPr>
                <w:sz w:val="20"/>
                <w:szCs w:val="20"/>
                <w:color w:val="auto"/>
              </w:rPr>
            </w:pP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Exhibit A</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NOTE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B</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TRANSFER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C</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EXCHANGE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D</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CERTIFICATE OF ACQUIRING INSTITUTIONAL ACCREDITED INVESTOR</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Exhibit E</w:t>
            </w:r>
          </w:p>
        </w:tc>
        <w:tc>
          <w:tcPr>
            <w:tcW w:w="10140" w:type="dxa"/>
            <w:vAlign w:val="bottom"/>
          </w:tcPr>
          <w:p>
            <w:pPr>
              <w:ind w:left="260"/>
              <w:spacing w:after="0"/>
              <w:rPr>
                <w:sz w:val="20"/>
                <w:szCs w:val="20"/>
                <w:color w:val="auto"/>
              </w:rPr>
            </w:pPr>
            <w:r>
              <w:rPr>
                <w:rFonts w:ascii="Arial" w:cs="Arial" w:eastAsia="Arial" w:hAnsi="Arial"/>
                <w:sz w:val="18"/>
                <w:szCs w:val="18"/>
                <w:color w:val="auto"/>
              </w:rPr>
              <w:t>FORM OF SUPPLEMENTAL INDENTURE</w:t>
            </w:r>
          </w:p>
        </w:tc>
      </w:tr>
      <w:tr>
        <w:trPr>
          <w:trHeight w:val="648"/>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ind w:left="43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35" w:right="339" w:bottom="1440" w:gutter="0" w:footer="0" w:header="0"/>
        </w:sectPr>
      </w:pPr>
    </w:p>
    <w:bookmarkStart w:id="11" w:name="page12"/>
    <w:bookmarkEnd w:id="11"/>
    <w:p>
      <w:pPr>
        <w:ind w:right="500" w:firstLine="648"/>
        <w:spacing w:after="0" w:line="277" w:lineRule="auto"/>
        <w:rPr>
          <w:sz w:val="20"/>
          <w:szCs w:val="20"/>
          <w:color w:val="auto"/>
        </w:rPr>
      </w:pPr>
      <w:r>
        <w:rPr>
          <w:rFonts w:ascii="Arial" w:cs="Arial" w:eastAsia="Arial" w:hAnsi="Arial"/>
          <w:sz w:val="18"/>
          <w:szCs w:val="18"/>
          <w:color w:val="auto"/>
        </w:rPr>
        <w:t>INDENTURE dated as of August 7, 2020 among Emergent BioSolutions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Guarantors (as defined below) from time to time party hereto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the Guarantors from time to time party hereto and the Trustee agree as follows for the benefit of each other and for the equal and ratable benefit of the Holders (as defined below) of the 3.875% Senior Unsecured Notes due 2028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144A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jc w:val="both"/>
        <w:ind w:left="660" w:right="60" w:firstLine="644"/>
        <w:spacing w:after="0" w:line="263" w:lineRule="auto"/>
        <w:tabs>
          <w:tab w:leader="none" w:pos="205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Acquired EBITDA</w:t>
      </w:r>
      <w:r>
        <w:rPr>
          <w:rFonts w:ascii="Arial" w:cs="Arial" w:eastAsia="Arial" w:hAnsi="Arial"/>
          <w:sz w:val="17"/>
          <w:szCs w:val="17"/>
          <w:color w:val="auto"/>
        </w:rPr>
        <w:t>” means, with respect to any Person or business acquired pursuant to a Permitted Acquisition for any period, the amount for such period of Consolidated EBITDA of any such Person or business so acquired (determined using such definitions as if references to the Company and its Restricted Subsidiaries therein were to such Person or business), as calculated by the Company in good faith and which shall be factually supported by historical financial statements; provided, that, notwithstanding the foregoing to the contrary, in determining Acquired EBITDA for any Person or business that does not have historical financial accounting periods which coincide with that of the financial accounting periods of the Company and its Restricted Subsidiaries (a) references to Measurement Period in any applicable definitions shall be deemed to mean the same relevant period as the applicable period of determination for the Company and its Restricted Subsidiaries and (b) to the extent the commencement of any such Measurement Period shall occur during a fiscal quarter of such acquired Person or business (such that only a portion of such fiscal quarter shall be included in such Measurement Period), Acquired EBITDA for the portion of such fiscal quarter so included in such Measurement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Measurement Period and the denominator of which shall be actual months in such fiscal quarter.</w:t>
      </w:r>
    </w:p>
    <w:p>
      <w:pPr>
        <w:spacing w:after="0" w:line="17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Acquired Interest Charges</w:t>
      </w:r>
      <w:r>
        <w:rPr>
          <w:rFonts w:ascii="Arial" w:cs="Arial" w:eastAsia="Arial" w:hAnsi="Arial"/>
          <w:sz w:val="16"/>
          <w:szCs w:val="16"/>
          <w:color w:val="auto"/>
        </w:rPr>
        <w:t>” means, with respect to any Person or business acquired pursuant to a Permitted Acquisition for any period, the amount for such period of Consolidated Interest Charges of any such Person or business so acquired (determined using such definitions as if references to the Company and its Restricted Subsidiaries therein were to such Person or business), as calculated by the Company in good faith and which shall be factually supported by historical financial statements; provided, that, notwithstanding the foregoing to the contrary, in determining Acquired Interest Charges for any Person or business that does not have historical financial accounting periods which coincide with that of the financial accounting periods of the Company and its Restricted Subsidiaries (a) references to Measurement Period in any applicable definitions shall be deemed to mean the same relevant period as the applicable period of determination for the Company and its Restricted Subsidiaries and (b) to the extent the commencement of any such Measurement Period shall occur during a fiscal quarter of such acquired Person or business (such that only a portion of such fiscal quarter shall be included in such Measurement Period), Acquired Interest Charges for the portion of such fiscal quarter so included in such Measurement Period shall be deemed to be an amount equal to (x) Acquired Interest Charges otherwise attributable to the entire fiscal quarter (determined in a manner consistent with the terms set forth above) multiplied by (y) a fraction, the numerator of which shall be the number of days of such fiscal quarter included in the relevant Measurement Period and the denominator of which shall be actual days in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means a transaction, or any series of related transactions, consummated on or after the date of this Indenture, by which the Company or any of its Restricted Subsidiaries (x) acquires any going business or all or substantially all of the assets of any Person, or division, line of business or business unit thereof, whether through purchase of assets, merger or otherwise or (y)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 (in each case, referred to herein as the “Acquired Entity”).</w:t>
      </w:r>
    </w:p>
    <w:p>
      <w:pPr>
        <w:spacing w:after="0" w:line="17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additional Notes (other than the Initial Notes) issued under this Indenture in accordance with Sections 2.02 and 4.09 hereof, as part of the same series as the Initial Notes.</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have correlative meanings.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any Registrar, co-registrar, Custodian, Paying Agent or additional 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2060" w:hanging="756"/>
        <w:spacing w:after="0"/>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660" w:right="60" w:firstLine="644"/>
        <w:spacing w:after="0" w:line="301" w:lineRule="auto"/>
        <w:tabs>
          <w:tab w:leader="none" w:pos="205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excess, if any, of (a) the present value (discounted semi-annually) at such redemption date of (i) the redemption price of such Note at August 15, 2023 (such redemption price being set forth in the table appearing in Section 3.07(e) hereof), plus (ii) all required interest payments due on such Note through August 15, 2023 (excluding accrued but unpaid interest to the redemption date), computed using a discount rate equal to the Treasury Rate as of such redemption date plus 50 basis points, over (b) the then outstanding principal amount of such Note.</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payment, tender, redemption, transfer or exchange of or for beneficial interests in any Global Note, the rules and procedures of the Depositary, Euroclear and Clearstream that apply to such matter.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Approved Commercial Bank</w:t>
      </w:r>
      <w:r>
        <w:rPr>
          <w:rFonts w:ascii="Arial" w:cs="Arial" w:eastAsia="Arial" w:hAnsi="Arial"/>
          <w:sz w:val="17"/>
          <w:szCs w:val="17"/>
          <w:color w:val="auto"/>
        </w:rPr>
        <w:t>” means a commercial bank with a consolidated combined capital and surplus of at least $5,000,000,000.</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660" w:right="80" w:firstLine="644"/>
        <w:spacing w:after="0" w:line="259" w:lineRule="auto"/>
        <w:tabs>
          <w:tab w:leader="none" w:pos="205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whether effected pursuant to a Division or otherwise, of any assets or rights, other than sales of inventory and equipment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lease, conveyance or other disposition of all or substantially all of the assets of the Company and its Restricted Subsidiaries taken as a whole shall be governed by Section 4.15 and/or the provisions described in Section 5.01 and not by Section 4.10;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0" w:firstLine="644"/>
        <w:spacing w:after="0" w:line="277" w:lineRule="auto"/>
        <w:tabs>
          <w:tab w:leader="none" w:pos="13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Equity Interests in any of the Company’s Restricted Subsidiaries or the sale by the Company or any of its Restricted Subsidiaries of Equity Interests in any of its Restricted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preceding, none of the following items shall be deemed to be an Asset Sale:</w:t>
      </w:r>
    </w:p>
    <w:p>
      <w:pPr>
        <w:spacing w:after="0" w:line="225" w:lineRule="exact"/>
        <w:rPr>
          <w:sz w:val="20"/>
          <w:szCs w:val="20"/>
          <w:color w:val="auto"/>
        </w:rPr>
      </w:pPr>
    </w:p>
    <w:p>
      <w:pPr>
        <w:ind w:left="1400" w:hanging="756"/>
        <w:spacing w:after="0"/>
        <w:tabs>
          <w:tab w:leader="none" w:pos="1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 $20.0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1400" w:hanging="756"/>
        <w:spacing w:after="0"/>
        <w:tabs>
          <w:tab w:leader="none" w:pos="1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sale, discount, lease, conveyance or other disposition of assets between or among the Company and its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40" w:firstLine="644"/>
        <w:spacing w:after="0" w:line="311" w:lineRule="auto"/>
        <w:tabs>
          <w:tab w:leader="none" w:pos="139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an issuance of Equity Interests by the Company, an issuance of Equity Interests by a Restricted Subsidiary of the Company to the Company or to a Restricted Subsidiary of the Company or an issuance of Equity Interests by a Restricted Subsidiary of the Company to the Company or to a Restricted Subsidiary of the Company and to other holders of the Equity Interests of the Company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w:t>
      </w:r>
    </w:p>
    <w:p>
      <w:pPr>
        <w:spacing w:after="0" w:line="148" w:lineRule="exact"/>
        <w:rPr>
          <w:rFonts w:ascii="Arial" w:cs="Arial" w:eastAsia="Arial" w:hAnsi="Arial"/>
          <w:sz w:val="16"/>
          <w:szCs w:val="16"/>
          <w:color w:val="auto"/>
        </w:rPr>
      </w:pPr>
    </w:p>
    <w:p>
      <w:pPr>
        <w:ind w:right="80" w:firstLine="644"/>
        <w:spacing w:after="0" w:line="259"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discount, lease, sublease, assignment, license or sublicense, conveyance or other disposition of products, services, assets or accounts receivable in the ordinary course of business, any sale or other disposition of surplus, damaged, worn-out or obsolete assets in the ordinary course of business, and any release of intangible claims or rights in connection with the loss or settlement of a bona fide lawsuit, dispute or other controversy;</w:t>
      </w:r>
    </w:p>
    <w:p>
      <w:pPr>
        <w:spacing w:after="0" w:line="186"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the Capital Stock or property or assets of any Unrestricted Subsidiary;</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Restricted Payment that does not violate Section 4.07 or a Permitted Investment;</w:t>
      </w:r>
    </w:p>
    <w:p>
      <w:pPr>
        <w:spacing w:after="0" w:line="225" w:lineRule="exact"/>
        <w:rPr>
          <w:rFonts w:ascii="Arial" w:cs="Arial" w:eastAsia="Arial" w:hAnsi="Arial"/>
          <w:sz w:val="18"/>
          <w:szCs w:val="18"/>
          <w:color w:val="auto"/>
        </w:rPr>
      </w:pPr>
    </w:p>
    <w:p>
      <w:pPr>
        <w:ind w:right="80"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exchange of property pursuant to Section 1031 of the Internal Revenue Code of 1986, as amended, for use in a Permitted Business, as determined in good faith by the Company;</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in the ordinary course of business;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lease, assignment or sublease of any real or personal property in the ordinary course of business;</w:t>
      </w:r>
    </w:p>
    <w:p>
      <w:pPr>
        <w:spacing w:after="0" w:line="225" w:lineRule="exact"/>
        <w:rPr>
          <w:rFonts w:ascii="Arial" w:cs="Arial" w:eastAsia="Arial" w:hAnsi="Arial"/>
          <w:sz w:val="18"/>
          <w:szCs w:val="18"/>
          <w:color w:val="auto"/>
        </w:rPr>
      </w:pPr>
    </w:p>
    <w:p>
      <w:pPr>
        <w:ind w:right="320" w:firstLine="644"/>
        <w:spacing w:after="0" w:line="308" w:lineRule="auto"/>
        <w:tabs>
          <w:tab w:leader="none" w:pos="139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or disposition of any assets or property received as a result of foreclosure by the Company or any of its Restricted Subsidiaries on any secured Investment or any other transfer of title with respect to any secured Investment in default;</w:t>
      </w:r>
    </w:p>
    <w:p>
      <w:pPr>
        <w:spacing w:after="0" w:line="146" w:lineRule="exact"/>
        <w:rPr>
          <w:rFonts w:ascii="Arial" w:cs="Arial" w:eastAsia="Arial" w:hAnsi="Arial"/>
          <w:sz w:val="17"/>
          <w:szCs w:val="17"/>
          <w:color w:val="auto"/>
        </w:rPr>
      </w:pPr>
    </w:p>
    <w:p>
      <w:pPr>
        <w:ind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surrender or waiver of contract rights or the settlement, release or surrender of contract, tort or other claims of any kind, in each case, in the ordinary course of business;</w:t>
      </w:r>
    </w:p>
    <w:p>
      <w:pPr>
        <w:spacing w:after="0" w:line="170"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disposition governed by and effected in compliance with Section 5.01 hereof;</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of any Permitted Lien and any dispositions in connection with Permitted Liens;</w:t>
      </w:r>
    </w:p>
    <w:p>
      <w:pPr>
        <w:spacing w:after="0" w:line="225" w:lineRule="exact"/>
        <w:rPr>
          <w:rFonts w:ascii="Arial" w:cs="Arial" w:eastAsia="Arial" w:hAnsi="Arial"/>
          <w:sz w:val="18"/>
          <w:szCs w:val="18"/>
          <w:color w:val="auto"/>
        </w:rPr>
      </w:pPr>
    </w:p>
    <w:p>
      <w:pPr>
        <w:ind w:right="520" w:firstLine="644"/>
        <w:spacing w:after="0" w:line="277" w:lineRule="auto"/>
        <w:tabs>
          <w:tab w:leader="none" w:pos="139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dispositions of accounts receivables in connection with the compromise, settlement write-off or collection thereof or in bankruptcy or similar proceedings;</w:t>
      </w:r>
    </w:p>
    <w:p>
      <w:pPr>
        <w:spacing w:after="0" w:line="3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14" w:name="page15"/>
    <w:bookmarkEnd w:id="14"/>
    <w:p>
      <w:pPr>
        <w:ind w:left="660" w:right="18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lapse or abandonment in the ordinary course of business of any registrations or application for registration of any patents, trademarks, copyrights, and other intellectual property rights not necessary in the conduct of the business of the Company and its Restricted Subsidiaries;</w:t>
      </w:r>
    </w:p>
    <w:p>
      <w:pPr>
        <w:spacing w:after="0" w:line="183" w:lineRule="exact"/>
        <w:rPr>
          <w:rFonts w:ascii="Arial" w:cs="Arial" w:eastAsia="Arial" w:hAnsi="Arial"/>
          <w:sz w:val="18"/>
          <w:szCs w:val="18"/>
          <w:color w:val="auto"/>
        </w:rPr>
      </w:pPr>
    </w:p>
    <w:p>
      <w:pPr>
        <w:jc w:val="both"/>
        <w:ind w:left="660" w:right="4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 of non-core assets acquired in connection with a Permitted Acquisition which, within six (6) months after the date of such Permitted Acquisition, are designated in writing to the Trustee as being held for sale and not for the continued operation of the Company or any of its Subsidiaries;</w:t>
      </w:r>
    </w:p>
    <w:p>
      <w:pPr>
        <w:spacing w:after="0" w:line="183" w:lineRule="exact"/>
        <w:rPr>
          <w:rFonts w:ascii="Arial" w:cs="Arial" w:eastAsia="Arial" w:hAnsi="Arial"/>
          <w:sz w:val="18"/>
          <w:szCs w:val="18"/>
          <w:color w:val="auto"/>
        </w:rPr>
      </w:pPr>
    </w:p>
    <w:p>
      <w:pPr>
        <w:jc w:val="both"/>
        <w:ind w:left="660" w:right="80" w:firstLine="644"/>
        <w:spacing w:after="0" w:line="263" w:lineRule="auto"/>
        <w:tabs>
          <w:tab w:leader="none" w:pos="20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of Investments in joint ventures (regardless of the form of legal entity) to the extent required by, or made pursuant to, customary buy/sell arrangements (including, without limitation, any puts, calls or deadlock buyouts) between the joint venture parties set forth in joint venture arrangements and similar binding arrangements;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in connection with any Permitted Bond Hedge Transaction or any Permitted Warrant Transaction.</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Indebtedness</w:t>
      </w:r>
      <w:r>
        <w:rPr>
          <w:rFonts w:ascii="Arial" w:cs="Arial" w:eastAsia="Arial" w:hAnsi="Arial"/>
          <w:sz w:val="16"/>
          <w:szCs w:val="16"/>
          <w:color w:val="auto"/>
        </w:rPr>
        <w:t>”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provided that for purposes of this definition and any related calculations, all obligations of the Company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 lease) regardless of any change in GAAP following December 15, 2018 (or any change in the implementation in GAAP for future periods that were contemplated as of December 15, 2018), and (c) all Synthetic Debt of such Person.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w:t>
      </w:r>
      <w:r>
        <w:rPr>
          <w:rFonts w:ascii="Arial" w:cs="Arial" w:eastAsia="Arial" w:hAnsi="Arial"/>
          <w:sz w:val="16"/>
          <w:szCs w:val="16"/>
          <w:b w:val="1"/>
          <w:bCs w:val="1"/>
          <w:i w:val="1"/>
          <w:iCs w:val="1"/>
          <w:color w:val="auto"/>
        </w:rPr>
        <w:t>Beneficially Owns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Beneficially Owned</w:t>
      </w:r>
      <w:r>
        <w:rPr>
          <w:rFonts w:ascii="Arial" w:cs="Arial" w:eastAsia="Arial" w:hAnsi="Arial"/>
          <w:sz w:val="16"/>
          <w:szCs w:val="16"/>
          <w:color w:val="auto"/>
        </w:rPr>
        <w:t>” have a corresponding meaning.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660" w:right="460" w:firstLine="644"/>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660" w:right="460" w:firstLine="644"/>
        <w:spacing w:after="0" w:line="277" w:lineRule="auto"/>
        <w:tabs>
          <w:tab w:leader="none" w:pos="2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each day which is not a Legal Holiday.</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 provided that for purposes of this definition and any related calculations, all obligations of the Company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 lease) regardless of any change in GAAP following December 15, 2018 (or any change in the implementation in GAAP for future periods that were contemplated as of December 15,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2060" w:hanging="756"/>
        <w:spacing w:after="0"/>
        <w:tabs>
          <w:tab w:leader="none" w:pos="2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660" w:right="40" w:firstLine="644"/>
        <w:spacing w:after="0" w:line="277" w:lineRule="auto"/>
        <w:tabs>
          <w:tab w:leader="none" w:pos="2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interests (whether general or limited) or membership</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interests; and</w:t>
      </w:r>
    </w:p>
    <w:p>
      <w:pPr>
        <w:spacing w:after="0" w:line="210" w:lineRule="exact"/>
        <w:rPr>
          <w:rFonts w:ascii="Arial" w:cs="Arial" w:eastAsia="Arial" w:hAnsi="Arial"/>
          <w:sz w:val="17"/>
          <w:szCs w:val="17"/>
          <w:color w:val="auto"/>
        </w:rPr>
      </w:pPr>
    </w:p>
    <w:p>
      <w:pPr>
        <w:ind w:left="660" w:right="80" w:firstLine="644"/>
        <w:spacing w:after="0" w:line="263" w:lineRule="auto"/>
        <w:tabs>
          <w:tab w:leader="none" w:pos="20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means any of the following types of Investments, to the extent owned by the Company or any of its Restricted Subsidiaries free and clear of all Liens (other than (x) Liens created under the Credit Agreement and (y) to the extent incurred in the ordinary course of business and not securing any Indebtedness, customary Liens (including rights of setoff) of banking institutions arising as a matter of law with respect to deposits maintained with such Person):</w:t>
      </w:r>
    </w:p>
    <w:p>
      <w:pPr>
        <w:spacing w:after="0" w:line="187" w:lineRule="exact"/>
        <w:rPr>
          <w:sz w:val="20"/>
          <w:szCs w:val="20"/>
          <w:color w:val="auto"/>
        </w:rPr>
      </w:pPr>
    </w:p>
    <w:p>
      <w:pPr>
        <w:ind w:left="660" w:firstLine="644"/>
        <w:spacing w:after="0" w:line="263"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183" w:lineRule="exact"/>
        <w:rPr>
          <w:rFonts w:ascii="Arial" w:cs="Arial" w:eastAsia="Arial" w:hAnsi="Arial"/>
          <w:sz w:val="18"/>
          <w:szCs w:val="18"/>
          <w:color w:val="auto"/>
        </w:rPr>
      </w:pPr>
    </w:p>
    <w:p>
      <w:pPr>
        <w:ind w:left="660" w:right="120" w:firstLine="644"/>
        <w:spacing w:after="0" w:line="257"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(A) is a lender under the Credit Agreement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has combined capital and surplus of at least $1,000,000,000, in each case with maturities of not more than 180 days from the date of acquisition thereof;</w:t>
      </w:r>
    </w:p>
    <w:p>
      <w:pPr>
        <w:spacing w:after="0" w:line="187" w:lineRule="exact"/>
        <w:rPr>
          <w:rFonts w:ascii="Arial" w:cs="Arial" w:eastAsia="Arial" w:hAnsi="Arial"/>
          <w:sz w:val="18"/>
          <w:szCs w:val="18"/>
          <w:color w:val="auto"/>
        </w:rPr>
      </w:pPr>
    </w:p>
    <w:p>
      <w:pPr>
        <w:ind w:left="660" w:right="20" w:firstLine="644"/>
        <w:spacing w:after="0" w:line="263"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 and</w:t>
      </w:r>
    </w:p>
    <w:p>
      <w:pPr>
        <w:spacing w:after="0" w:line="183" w:lineRule="exact"/>
        <w:rPr>
          <w:rFonts w:ascii="Arial" w:cs="Arial" w:eastAsia="Arial" w:hAnsi="Arial"/>
          <w:sz w:val="18"/>
          <w:szCs w:val="18"/>
          <w:color w:val="auto"/>
        </w:rPr>
      </w:pPr>
    </w:p>
    <w:p>
      <w:pPr>
        <w:ind w:left="660" w:right="200" w:firstLine="644"/>
        <w:spacing w:after="0" w:line="259" w:lineRule="auto"/>
        <w:tabs>
          <w:tab w:leader="none" w:pos="20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(2) and (3) of this definition.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an event or series of events by which: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right="60" w:firstLine="644"/>
        <w:spacing w:after="0" w:line="291" w:lineRule="auto"/>
        <w:tabs>
          <w:tab w:leader="none" w:pos="20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50%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66" w:lineRule="exact"/>
        <w:rPr>
          <w:rFonts w:ascii="Arial" w:cs="Arial" w:eastAsia="Arial" w:hAnsi="Arial"/>
          <w:sz w:val="16"/>
          <w:szCs w:val="16"/>
          <w:color w:val="auto"/>
        </w:rPr>
      </w:pPr>
    </w:p>
    <w:p>
      <w:pPr>
        <w:ind w:left="660" w:right="60" w:firstLine="644"/>
        <w:spacing w:after="0" w:line="287" w:lineRule="auto"/>
        <w:tabs>
          <w:tab w:leader="none" w:pos="20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w:t>
      </w:r>
    </w:p>
    <w:p>
      <w:pPr>
        <w:spacing w:after="0" w:line="2" w:lineRule="exact"/>
        <w:rPr>
          <w:rFonts w:ascii="Arial" w:cs="Arial" w:eastAsia="Arial" w:hAnsi="Arial"/>
          <w:sz w:val="16"/>
          <w:szCs w:val="16"/>
          <w:color w:val="auto"/>
        </w:rPr>
      </w:pPr>
    </w:p>
    <w:p>
      <w:pPr>
        <w:ind w:left="660" w:right="200" w:hanging="4"/>
        <w:spacing w:after="0" w:line="253" w:lineRule="auto"/>
        <w:tabs>
          <w:tab w:leader="none" w:pos="8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(in each case, with such approval either by a specific vote or by approval of the Company’s proxy statement in which such member was named as a nominee for election as a director).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Clearstream</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Emergent BioSolutions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EBITDA</w:t>
      </w:r>
      <w:r>
        <w:rPr>
          <w:rFonts w:ascii="Arial" w:cs="Arial" w:eastAsia="Arial" w:hAnsi="Arial"/>
          <w:sz w:val="16"/>
          <w:szCs w:val="16"/>
          <w:color w:val="auto"/>
        </w:rPr>
        <w:t>” means, for any Measurement Period, for the Company and its Restricted Subsidiaries on a consolidated basis, an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equal to:</w:t>
      </w:r>
    </w:p>
    <w:p>
      <w:pPr>
        <w:spacing w:after="0" w:line="211" w:lineRule="exact"/>
        <w:rPr>
          <w:sz w:val="20"/>
          <w:szCs w:val="20"/>
          <w:color w:val="auto"/>
        </w:rPr>
      </w:pPr>
    </w:p>
    <w:p>
      <w:pPr>
        <w:ind w:left="2060" w:hanging="756"/>
        <w:spacing w:after="0"/>
        <w:tabs>
          <w:tab w:leader="none" w:pos="2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0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without duplication, the sum of following to the extent deducted in calculating such Consolidated Net Income (other than as set forth in clause (vi)(E)) in accordance with GAAP for such period:</w:t>
      </w:r>
    </w:p>
    <w:p>
      <w:pPr>
        <w:spacing w:after="0" w:line="170" w:lineRule="exact"/>
        <w:rPr>
          <w:sz w:val="20"/>
          <w:szCs w:val="20"/>
          <w:color w:val="auto"/>
        </w:rPr>
      </w:pPr>
    </w:p>
    <w:p>
      <w:pPr>
        <w:ind w:left="2060" w:hanging="756"/>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Interest Charges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provision for federal, state, local and foreign income taxes payable by the Company and its Restricted Subsidiaries;</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225" w:lineRule="exact"/>
        <w:rPr>
          <w:rFonts w:ascii="Arial" w:cs="Arial" w:eastAsia="Arial" w:hAnsi="Arial"/>
          <w:sz w:val="18"/>
          <w:szCs w:val="18"/>
          <w:color w:val="auto"/>
        </w:rPr>
      </w:pPr>
    </w:p>
    <w:p>
      <w:pPr>
        <w:ind w:left="980" w:right="140" w:firstLine="324"/>
        <w:spacing w:after="0" w:line="308" w:lineRule="auto"/>
        <w:tabs>
          <w:tab w:leader="none" w:pos="20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non-cash expenses, excluding any non-cash expense that represents an accrual for a cash expense to be taken in a future period and any non-cash expense that relates to the write-down or write-off of accounts receivable or inventory;</w:t>
      </w:r>
    </w:p>
    <w:p>
      <w:pPr>
        <w:spacing w:after="0" w:line="146" w:lineRule="exact"/>
        <w:rPr>
          <w:rFonts w:ascii="Arial" w:cs="Arial" w:eastAsia="Arial" w:hAnsi="Arial"/>
          <w:sz w:val="17"/>
          <w:szCs w:val="17"/>
          <w:color w:val="auto"/>
        </w:rPr>
      </w:pPr>
    </w:p>
    <w:p>
      <w:pPr>
        <w:ind w:left="980" w:right="60" w:firstLine="324"/>
        <w:spacing w:after="0" w:line="263" w:lineRule="auto"/>
        <w:tabs>
          <w:tab w:leader="none" w:pos="20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transaction fees, charge and other amounts related to the Transactions or the Credit Facilities and any amendment or other modification to this Indenture, the Credit Facilities or documents related thereto, in each case to the extent paid within six months of the Issue Date or the effectiveness of such amendment or other modifications;</w:t>
      </w:r>
    </w:p>
    <w:p>
      <w:pPr>
        <w:spacing w:after="0" w:line="183" w:lineRule="exact"/>
        <w:rPr>
          <w:rFonts w:ascii="Arial" w:cs="Arial" w:eastAsia="Arial" w:hAnsi="Arial"/>
          <w:sz w:val="18"/>
          <w:szCs w:val="18"/>
          <w:color w:val="auto"/>
        </w:rPr>
      </w:pPr>
    </w:p>
    <w:p>
      <w:pPr>
        <w:ind w:left="980" w:firstLine="324"/>
        <w:spacing w:after="0" w:line="286" w:lineRule="auto"/>
        <w:tabs>
          <w:tab w:leader="none" w:pos="21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 costs and expenses in connection with any Acquisitions (including, without limitation, any financing fees, merger and acquisition fees, legal fees and expenses, due diligence fees or any other fees and expenses in connection therewith), whether or not consummated, (B) other unusual and non-recurring cash expenses or charges, (C) to the extent incurred in connection with a Permitted Acquisition, one-time non-recurring severance charges incurred within twelve (12) months of such Permitted Acquisition, (D) cash restructuring charges with respect to acquisitions permitted by this Indenture or otherwise and (E) synergies, operating expense reductions and other net cost savings and integration costs projected by the Company in connection with Permitted Acquisitions that have been consummated during the applicable Measurement Period (calculated on a pro forma basis as though such synergies, expense reductions and cost savings had been realized on the first day of the period for which Consolidated EBITDA is being determined),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synergies, expense reductions and cost savings are reasonably identifiable, factually supportable, expected to have a continuing impact on the operations of the Company and its Restricted Subsidiaries and have been determined by the Company in good faith to be reasonably anticipated to be realizable within 12 months following any such Permitted Acquisition and (ii) no such amounts shall be added pursuant to this clause to the extent duplicative of any expenses or charges otherwise added to Consolidated EBITDA, whether through a Pro Forma Adjustment or otherwise;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2060" w:hanging="756"/>
        <w:spacing w:after="0"/>
        <w:tabs>
          <w:tab w:leader="none" w:pos="2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the extent covered by insurance and actually reimbursed, expenses with respect to liability or casualty events or business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interruption;</w:t>
      </w:r>
    </w:p>
    <w:p>
      <w:pPr>
        <w:spacing w:after="0" w:line="210" w:lineRule="exact"/>
        <w:rPr>
          <w:rFonts w:ascii="Arial" w:cs="Arial" w:eastAsia="Arial" w:hAnsi="Arial"/>
          <w:sz w:val="16"/>
          <w:szCs w:val="16"/>
          <w:color w:val="auto"/>
        </w:rPr>
      </w:pPr>
    </w:p>
    <w:p>
      <w:pPr>
        <w:ind w:left="2060" w:hanging="756"/>
        <w:spacing w:after="0"/>
        <w:tabs>
          <w:tab w:leader="none" w:pos="2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any net after-tax effect of loss for such period attributable to the early extinguishment of any Hedge Agreement; </w:t>
      </w:r>
      <w:r>
        <w:rPr>
          <w:rFonts w:ascii="Arial" w:cs="Arial" w:eastAsia="Arial" w:hAnsi="Arial"/>
          <w:sz w:val="17"/>
          <w:szCs w:val="17"/>
          <w:u w:val="single" w:color="auto"/>
          <w:color w:val="auto"/>
        </w:rPr>
        <w:t>minus</w:t>
      </w:r>
    </w:p>
    <w:p>
      <w:pPr>
        <w:spacing w:after="0" w:line="237" w:lineRule="exact"/>
        <w:rPr>
          <w:sz w:val="20"/>
          <w:szCs w:val="20"/>
          <w:color w:val="auto"/>
        </w:rPr>
      </w:pPr>
    </w:p>
    <w:p>
      <w:pPr>
        <w:ind w:left="2060" w:hanging="756"/>
        <w:spacing w:after="0"/>
        <w:tabs>
          <w:tab w:leader="none" w:pos="2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duplication, the following to the extent included in calculating such Consolidated Net Income:</w:t>
      </w:r>
    </w:p>
    <w:p>
      <w:pPr>
        <w:spacing w:after="0" w:line="225" w:lineRule="exact"/>
        <w:rPr>
          <w:sz w:val="20"/>
          <w:szCs w:val="20"/>
          <w:color w:val="auto"/>
        </w:rPr>
      </w:pPr>
    </w:p>
    <w:p>
      <w:pPr>
        <w:ind w:left="2060" w:hanging="756"/>
        <w:spacing w:after="0"/>
        <w:tabs>
          <w:tab w:leader="none" w:pos="2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Company and its Restricted Subsidiaries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non-cash items increasing Consolidated Net Income for such period;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net after-tax effect of income for such period attributable to the early extinguishment of any Hedge Agreement; and</w:t>
      </w:r>
    </w:p>
    <w:p>
      <w:pPr>
        <w:spacing w:after="0" w:line="236" w:lineRule="exact"/>
        <w:rPr>
          <w:rFonts w:ascii="Arial" w:cs="Arial" w:eastAsia="Arial" w:hAnsi="Arial"/>
          <w:sz w:val="17"/>
          <w:szCs w:val="17"/>
          <w:color w:val="auto"/>
        </w:rPr>
      </w:pPr>
    </w:p>
    <w:p>
      <w:pPr>
        <w:ind w:left="980" w:right="240" w:firstLine="324"/>
        <w:spacing w:after="0" w:line="277" w:lineRule="auto"/>
        <w:tabs>
          <w:tab w:leader="none" w:pos="20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cash expense made during such period which represents the reversal of any non-cash expense that was added in a prior period pursuant to clause (2)(iv) above.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Notwithstanding the foregoing to the contrary, (w) the aggregate amount added pursuant to clause (2)(vi) contained in this definition above for any period shall in no event exceed 20% of Consolidated EBITDA for such period (calculated prior to any such add-backs pursuant to clause (2)(vi)), (x) there shall be included in determining Consolidated EBITDA for any period, without duplication, the Acquired EBITDA of any Person or business, or attributable to any property or asset, acquired by the Company or its Restricted Subsidiaries during such period (but not the Acquired EBITDA of any related Person or business or any Acquired EBITDA attributable to any assets or property, in each case to the extent not so acquired) in connection with a Permitted Acquisition to the extent not subsequently sold, transferred, abandoned or otherwise disposed by the Company or such Restricted Subsidiary, based on the actual Acquired EBITDA of such acquired entity or business for such period (including the portion thereof occurring prior to such acquisition or conversion) and (y) there shall be excluded in determining Consolidated EBITDA for any period, without duplication, the Disposed EBITDA of any Person or business, or attributable to any property or asset, disposed of by the Company or any of its Restricted Subsidiaries during such period in connection with a Specified Disposition or discontinuation of operations, based on the Disposed EBITDA of such disposed entity or business or discontinued operations for such period (including the portion thereof occurring prior to such disposition or discontinuation).</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8" w:name="page19"/>
    <w:bookmarkEnd w:id="18"/>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Consolidated Funded Indebtedness</w:t>
      </w:r>
      <w:r>
        <w:rPr>
          <w:rFonts w:ascii="Arial" w:cs="Arial" w:eastAsia="Arial" w:hAnsi="Arial"/>
          <w:sz w:val="16"/>
          <w:szCs w:val="16"/>
          <w:color w:val="auto"/>
        </w:rPr>
        <w:t>” means, as of any date of determination, for the Company and its Restricted Subsidiaries on a consolidated basis in accordance with applicable principles of consolidation under GAAP,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standby letters of credit, bankers’ acceptances, bank guaranties, surety bonds and similar instruments (in the case of surety bonds and similar instruments, to the extent included as a liability on the consolidated balance sheet of the Company and its Restricted Subsidiaries in accordance with GAAP), (d) all obligations in respect of the deferred purchase price of property or services (including, without limitation, in the form of earnouts, milestones and other contingent payment obligations to the extent included as a liability on the consolidated balance sheet of the Company and its Restricted Subsidiaries in accordance with GAAP) (other than trade accounts payable in the ordinary course of business), provided that royalties (and other contingent payment obligations in the nature of a royalty payment (including those calculated based on a percentage of sales)) shall only be included in “Consolidated Funded Indebtedness” to the extent such liability exceeds the corresponding intangible item included on the consolidated balance sheet of the Company and its Restricted Subsidiaries, provided that any such corresponding intangible item shall be discernible and reasonably identifiable, (e) all Attributable Indebtedness in respect of Capital Lease Obligations and Synthetic Lease Obligations, (f) without duplication, all Guarantees with respect to outstanding Indebtedness of the types specified in clauses (a) through (e) above of Persons other than the Company or any Restricted Subsidiary, and (g) all Indebtedness of the types referred to in clauses</w:t>
      </w:r>
    </w:p>
    <w:p>
      <w:pPr>
        <w:spacing w:after="0" w:line="1" w:lineRule="exact"/>
        <w:rPr>
          <w:sz w:val="20"/>
          <w:szCs w:val="20"/>
          <w:color w:val="auto"/>
        </w:rPr>
      </w:pPr>
    </w:p>
    <w:p>
      <w:pPr>
        <w:ind w:right="20" w:firstLine="8"/>
        <w:spacing w:after="0" w:line="255"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w:t>
      </w:r>
    </w:p>
    <w:p>
      <w:pPr>
        <w:spacing w:after="0" w:line="19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Interest Charges</w:t>
      </w:r>
      <w:r>
        <w:rPr>
          <w:rFonts w:ascii="Arial" w:cs="Arial" w:eastAsia="Arial" w:hAnsi="Arial"/>
          <w:sz w:val="17"/>
          <w:szCs w:val="17"/>
          <w:color w:val="auto"/>
        </w:rPr>
        <w:t>” means, for any Measurement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(excluding customary arrangement, upfront, administrative agency and amendment fees (in each case, to the extent not in the nature of interest charges) incurred in connection with the Credit Agreement or the Convertible Senior Notes) and (b) the portion of rent expense of the Company and its Restricted Subsidiaries under Capital Lease Obligations that is treated as interest in accordance with GAAP, in each case, of or by the Company and its Restricted Subsidiaries on a consolidated basis for such Measurement Period. Notwithstanding the foregoing, during any Measurement Period in which any Permitted Acquisition is consummated (x) Consolidated Interest Charges for such Measurement Period shall be calculated on a pro forma basis as if such Permitted Acquisition had been consummated on the first day of such Measurement Period and (y) there shall be included in determining the Consolidated Interest Charges for such period, without duplication, the Acquired Interest Charges of any Person or business, or attributable to any property or asset, acquired by the Company or any Restricted Subsidiary during such period (but not the Acquired Interest Charges of any related Person or business or any Acquired Interest Charges attributable to any assets or property, in each case to the extent not so acquired) in connection with such Permitted Acquisition to the extent not subsequently sold, transferred, abandoned or otherwise disposed by the Company or such Restricted Subsidiary, based on the actual Acquired Interest Charges of such acquired entity or business for such period (including the portion thereof occurring prior to such acquisition or conversion).</w:t>
      </w:r>
    </w:p>
    <w:p>
      <w:pPr>
        <w:spacing w:after="0" w:line="18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Consolidated Net Income</w:t>
      </w:r>
      <w:r>
        <w:rPr>
          <w:rFonts w:ascii="Arial" w:cs="Arial" w:eastAsia="Arial" w:hAnsi="Arial"/>
          <w:sz w:val="17"/>
          <w:szCs w:val="17"/>
          <w:color w:val="auto"/>
        </w:rPr>
        <w:t xml:space="preserve">” means, at any date of determination, the net income (or loss) of the Company and its Restricted Subsidiaries on a consolidated basis for the most recently completed Measurement Period, determined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shall exclude (a) non-cash extraordinary, unusual or non-recurring gains and extraordinary, unusual or non-recurring losses for such Measurement Period, and (b) any income (or loss) for such Measurement Period of any Person if such Person is not a Restricted Subsidiary, except that the Company’s equity in the net income of any such Person for such Measurement Period shall be included in Consolidated Net Income up to the net amount of cash actually received by the Company or a Restricted Subsidiary from such Person during such Measurement Period as a dividend or other distribution (and in the case of a dividend or other distribution to a Restricted Subsidiary, such Restricted Subsidiary is not precluded from further distributing such amount to the Company as described in clause (b) of this proviso).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Indebtedness</w:t>
      </w:r>
      <w:r>
        <w:rPr>
          <w:rFonts w:ascii="Arial" w:cs="Arial" w:eastAsia="Arial" w:hAnsi="Arial"/>
          <w:sz w:val="18"/>
          <w:szCs w:val="18"/>
          <w:color w:val="auto"/>
        </w:rPr>
        <w:t>” means Indebtedness of the Company or any Restricted Subsidiary (which may be guaranteed by the Company or any Restricted Subsidiary) permitted to be incurred hereunder that is either (a) convertible into or exchangeable for Equity Interests of the Company (and cash in lieu of fractional shares) or cash (in an amount determined by reference to the price of such Equity Interests or a market measure of such Equity Interests), or a combination thereof, or (b) sold as units with call options, warrants or rights to purchase (or substantially equivalent derivative transactions) that are exercisable for Equity Interests (other than Disqualified Stock) of the Company or cash (in an amount determined by reference to the price of such Equity Interests).</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Senior Notes</w:t>
      </w:r>
      <w:r>
        <w:rPr>
          <w:rFonts w:ascii="Arial" w:cs="Arial" w:eastAsia="Arial" w:hAnsi="Arial"/>
          <w:sz w:val="18"/>
          <w:szCs w:val="18"/>
          <w:color w:val="auto"/>
        </w:rPr>
        <w:t>” means the 2.875% Convertible Senior Notes due 2021, issued by the Company pursuant to the Convertible Senior Notes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Convertible Senior Notes Indenture</w:t>
      </w:r>
      <w:r>
        <w:rPr>
          <w:rFonts w:ascii="Arial" w:cs="Arial" w:eastAsia="Arial" w:hAnsi="Arial"/>
          <w:sz w:val="16"/>
          <w:szCs w:val="16"/>
          <w:color w:val="auto"/>
        </w:rPr>
        <w:t>” means the Indenture dated as of January 29, 2014 between the Company, as Company, and Wells Fargo,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Trust Office</w:t>
      </w:r>
      <w:r>
        <w:rPr>
          <w:rFonts w:ascii="Arial" w:cs="Arial" w:eastAsia="Arial" w:hAnsi="Arial"/>
          <w:sz w:val="16"/>
          <w:szCs w:val="16"/>
          <w:color w:val="auto"/>
        </w:rPr>
        <w:t>” means an office of the Trustee at which at any time its corporate trust business with respect to this Indenture shall be administered, which office at the date hereof (x) solely for purposes of surrender for registration of transfer or exchange or for presentation for payment is located at 111 Fillmore Avenue, St. Paul, MN 55107, Attention: Emergent BioSolutions, Inc., and (y) for all other purposes is located at One Federal Street,</w:t>
      </w:r>
    </w:p>
    <w:p>
      <w:pPr>
        <w:spacing w:after="0" w:line="2" w:lineRule="exact"/>
        <w:rPr>
          <w:sz w:val="20"/>
          <w:szCs w:val="20"/>
          <w:color w:val="auto"/>
        </w:rPr>
      </w:pPr>
    </w:p>
    <w:p>
      <w:pPr>
        <w:ind w:right="200"/>
        <w:spacing w:after="0" w:line="221" w:lineRule="auto"/>
        <w:rPr>
          <w:sz w:val="20"/>
          <w:szCs w:val="20"/>
          <w:color w:val="auto"/>
        </w:rPr>
      </w:pPr>
      <w:r>
        <w:rPr>
          <w:rFonts w:ascii="Arial" w:cs="Arial" w:eastAsia="Arial" w:hAnsi="Arial"/>
          <w:sz w:val="18"/>
          <w:szCs w:val="18"/>
          <w:color w:val="auto"/>
        </w:rPr>
        <w:t>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02110, Attention: Emergent BioSolutions, Inc.,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20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means that certain Amended and Restated Credit Agreement, dated as of October 15, 2018 (as may be amended, amended and restated, supplemented or otherwise modified from time to time) among the Company, the lenders from time to time party thereto and Wells Fargo Bank, National Association, as administrative agent, providing for a term loan facility and revolving credit borrowings, including any related notes, guarantees, collateral documents, instruments and agreements executed in connection therewith, and, in each case, as amended, modified, restated, renewed, increased, supplemented, refunded, replaced (whether upon or after termination or otherwise) or refinanced (including by means of sales of debt securities to institutional investors) in whole or in part from time to time, including increases in principal amount and extensions of term loans of other financings.</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Facilities</w:t>
      </w:r>
      <w:r>
        <w:rPr>
          <w:rFonts w:ascii="Arial" w:cs="Arial" w:eastAsia="Arial" w:hAnsi="Arial"/>
          <w:sz w:val="16"/>
          <w:szCs w:val="16"/>
          <w:color w:val="auto"/>
        </w:rPr>
        <w:t>” means one or more debt facilities (including, without limitation, the Credit Agreement), financing arrangements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capital markets debt financings, notes, letters of credit or bank guarantees, as amended, modified, restated, renewed, increased, supplemented, refunded, replaced (whether upon or after termination or otherwise) or refinanced (including by means of sales of debt securities to institutional investors) in whole or in part from time to time, including any such amendment, modification, restatement, renewal, increase, supplement, refunding, replacement, or refinancing that increases the amount permitted to be borrowed thereunder or alters the maturity thereof. The Credit Agreement hereby is designated by the Company as a Credit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the Trustee, as custodian with respect to the Global Notes,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Default</w:t>
      </w:r>
      <w:r>
        <w:rPr>
          <w:rFonts w:ascii="Arial" w:cs="Arial" w:eastAsia="Arial" w:hAnsi="Arial"/>
          <w:sz w:val="17"/>
          <w:szCs w:val="17"/>
          <w:color w:val="auto"/>
        </w:rPr>
        <w:t>” means any event that is, or with the passage of time or the giving of notice or both would be, unless cured or waived,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substantially in the form of Exhibit A hereto except that such Note shall not bear the Global Note Legend and shall not have the “Schedule of Exchanges of Interests in the Global Note” attached thereto.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4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 or the creditworthiness of the Company and/or any one or more of the Guarantors (the “Performance References”).</w:t>
      </w:r>
    </w:p>
    <w:p>
      <w:pPr>
        <w:spacing w:after="0" w:line="17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Non-cash Consideration</w:t>
      </w:r>
      <w:r>
        <w:rPr>
          <w:rFonts w:ascii="Arial" w:cs="Arial" w:eastAsia="Arial" w:hAnsi="Arial"/>
          <w:sz w:val="18"/>
          <w:szCs w:val="18"/>
          <w:color w:val="auto"/>
        </w:rPr>
        <w:t>” means the Fair Market Value of non-cash consideration received by the Company or a Restricted Subsidiary in connection with an Asset Sale that is so designated as Designated Non-cash Consideration pursuant to an Officer’s Certificate delivered to the Trustee, setting forth the basis of such valuation, less the amount of cash or Cash Equivalents received in connection with a subsequent sale of such Designated Non-cash Consideration.</w:t>
      </w:r>
    </w:p>
    <w:p>
      <w:pPr>
        <w:spacing w:after="0" w:line="18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Disposed EBITDA</w:t>
      </w:r>
      <w:r>
        <w:rPr>
          <w:rFonts w:ascii="Arial" w:cs="Arial" w:eastAsia="Arial" w:hAnsi="Arial"/>
          <w:sz w:val="18"/>
          <w:szCs w:val="18"/>
          <w:color w:val="auto"/>
        </w:rPr>
        <w:t>” shall mean, with respect to any Person or business disposed of for any period, the amount for such period of Consolidated EBITDA of any such Person or business so disposed (determined using such definitions as if references to the Company and its Restricted Subsidiaries therein were to such Person or business), as calculated by the Company in good faith.</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Stock</w:t>
      </w:r>
      <w:r>
        <w:rPr>
          <w:rFonts w:ascii="Arial" w:cs="Arial" w:eastAsia="Arial" w:hAnsi="Arial"/>
          <w:sz w:val="17"/>
          <w:szCs w:val="17"/>
          <w:color w:val="auto"/>
        </w:rPr>
        <w:t>” means, with respect to any Person, any Equity Interests of such Person that, by its terms (or by the terms of any security or other Equity Interest into which it is convertible or for which it is exchangeable) or upon the happening of any event or condition or pursuant to any agreement,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in cash of the Notes, (b) is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in cash of the Notes, in whole or in part, (c) provides for the scheduled payments of dividends in cash or (d) is or may be convertible into or exchangeable for Indebtedness or any other Equity Interest that would constitute Disqualified Stock, in each case, prior to the date that is ninety-one (91) days after the latest scheduled maturity date of the loans and commitments; provided that Equity Interests issued pursuant to a plan for the benefit of employees of the Company or its Restricted Subsidiaries or by any such plan to such employees shall not constitute Disqualified Stock solely because it may be required to be repurchased by Company or its Restricted Subsidiaries in order to satisfy applicable statutory or regulatory obligations.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Dividing Person</w:t>
      </w:r>
      <w:r>
        <w:rPr>
          <w:rFonts w:ascii="Arial" w:cs="Arial" w:eastAsia="Arial" w:hAnsi="Arial"/>
          <w:sz w:val="18"/>
          <w:szCs w:val="18"/>
          <w:color w:val="auto"/>
        </w:rPr>
        <w:t>” has the meaning assigned to it in the definition of “</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b w:val="1"/>
          <w:bCs w:val="1"/>
          <w:i w:val="1"/>
          <w:iCs w:val="1"/>
          <w:color w:val="auto"/>
        </w:rPr>
        <w:t>Dividing Person</w:t>
      </w:r>
      <w:r>
        <w:rPr>
          <w:rFonts w:ascii="Arial" w:cs="Arial" w:eastAsia="Arial" w:hAnsi="Arial"/>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8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Subsidiary of the Company that was formed under the laws of the United States or any state or commonwealth of the United States or under the laws of the District of Columbia.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Offering</w:t>
      </w:r>
      <w:r>
        <w:rPr>
          <w:rFonts w:ascii="Arial" w:cs="Arial" w:eastAsia="Arial" w:hAnsi="Arial"/>
          <w:sz w:val="18"/>
          <w:szCs w:val="18"/>
          <w:color w:val="auto"/>
        </w:rPr>
        <w:t>” means an offer and sale for cash of Capital Stock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Euroclear</w:t>
      </w:r>
      <w:r>
        <w:rPr>
          <w:rFonts w:ascii="Arial" w:cs="Arial" w:eastAsia="Arial" w:hAnsi="Arial"/>
          <w:sz w:val="18"/>
          <w:szCs w:val="18"/>
          <w:color w:val="auto"/>
        </w:rPr>
        <w:t>” 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Indebtedness</w:t>
      </w:r>
      <w:r>
        <w:rPr>
          <w:rFonts w:ascii="Arial" w:cs="Arial" w:eastAsia="Arial" w:hAnsi="Arial"/>
          <w:sz w:val="18"/>
          <w:szCs w:val="18"/>
          <w:color w:val="auto"/>
        </w:rPr>
        <w:t>” means Indebtedness of the Company and its Subsidiaries (other than Indebtedness under the Credit Agreement) in existence on the date hereof, until such amounts are repaid.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Fixed Charge Coverage Ratio</w:t>
      </w:r>
      <w:r>
        <w:rPr>
          <w:rFonts w:ascii="Arial" w:cs="Arial" w:eastAsia="Arial" w:hAnsi="Arial"/>
          <w:sz w:val="16"/>
          <w:szCs w:val="16"/>
          <w:color w:val="auto"/>
        </w:rPr>
        <w:t>” means with respect to any specified Person for any period, the ratio of the Consolidated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b w:val="1"/>
          <w:bCs w:val="1"/>
          <w:i w:val="1"/>
          <w:iCs w:val="1"/>
          <w:color w:val="auto"/>
        </w:rPr>
        <w:t>Calculation Date</w:t>
      </w:r>
      <w:r>
        <w:rPr>
          <w:rFonts w:ascii="Arial" w:cs="Arial" w:eastAsia="Arial" w:hAnsi="Arial"/>
          <w:sz w:val="16"/>
          <w:szCs w:val="16"/>
          <w:color w:val="auto"/>
        </w:rPr>
        <w:t>”), then the Fixed Charge Coverage Ratio shall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ind w:left="660" w:right="20" w:firstLine="644"/>
        <w:spacing w:after="0" w:line="25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as if they had occurred on the first day of the four-quarter reference period;</w:t>
      </w:r>
    </w:p>
    <w:p>
      <w:pPr>
        <w:spacing w:after="0" w:line="187" w:lineRule="exact"/>
        <w:rPr>
          <w:rFonts w:ascii="Arial" w:cs="Arial" w:eastAsia="Arial" w:hAnsi="Arial"/>
          <w:sz w:val="18"/>
          <w:szCs w:val="18"/>
          <w:color w:val="auto"/>
        </w:rPr>
      </w:pPr>
    </w:p>
    <w:p>
      <w:pPr>
        <w:ind w:left="660" w:right="8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(and ownership interests therein) disposed of prior to the Calculation Date, shall be excluded;</w:t>
      </w:r>
    </w:p>
    <w:p>
      <w:pPr>
        <w:spacing w:after="0" w:line="170" w:lineRule="exact"/>
        <w:rPr>
          <w:rFonts w:ascii="Arial" w:cs="Arial" w:eastAsia="Arial" w:hAnsi="Arial"/>
          <w:sz w:val="18"/>
          <w:szCs w:val="18"/>
          <w:color w:val="auto"/>
        </w:rPr>
      </w:pPr>
    </w:p>
    <w:p>
      <w:pPr>
        <w:ind w:left="660" w:right="40" w:firstLine="644"/>
        <w:spacing w:after="0" w:line="259"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186"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shall be deemed to have been a Restricted Subsidiary at all times during such four-quarter period;</w:t>
      </w:r>
    </w:p>
    <w:p>
      <w:pPr>
        <w:spacing w:after="0" w:line="170" w:lineRule="exact"/>
        <w:rPr>
          <w:rFonts w:ascii="Arial" w:cs="Arial" w:eastAsia="Arial" w:hAnsi="Arial"/>
          <w:sz w:val="18"/>
          <w:szCs w:val="18"/>
          <w:color w:val="auto"/>
        </w:rPr>
      </w:pPr>
    </w:p>
    <w:p>
      <w:pPr>
        <w:ind w:left="660" w:firstLine="644"/>
        <w:spacing w:after="0" w:line="277" w:lineRule="auto"/>
        <w:tabs>
          <w:tab w:leader="none" w:pos="20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shall be deemed not to have been a Restricted Subsidiary at any time during such four-quarter period;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 w:name="page23"/>
    <w:bookmarkEnd w:id="22"/>
    <w:p>
      <w:pPr>
        <w:jc w:val="both"/>
        <w:ind w:left="660" w:right="80" w:firstLine="644"/>
        <w:spacing w:after="0" w:line="286" w:lineRule="auto"/>
        <w:tabs>
          <w:tab w:leader="none" w:pos="20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25" w:lineRule="exact"/>
        <w:rPr>
          <w:sz w:val="20"/>
          <w:szCs w:val="20"/>
          <w:color w:val="auto"/>
        </w:rPr>
      </w:pPr>
    </w:p>
    <w:p>
      <w:pPr>
        <w:ind w:left="660" w:right="140" w:firstLine="644"/>
        <w:spacing w:after="0" w:line="296" w:lineRule="auto"/>
        <w:tabs>
          <w:tab w:leader="none" w:pos="20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Indebtedness,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161" w:lineRule="exact"/>
        <w:rPr>
          <w:rFonts w:ascii="Arial" w:cs="Arial" w:eastAsia="Arial" w:hAnsi="Arial"/>
          <w:sz w:val="16"/>
          <w:szCs w:val="16"/>
          <w:color w:val="auto"/>
        </w:rPr>
      </w:pPr>
    </w:p>
    <w:p>
      <w:pPr>
        <w:ind w:left="2060" w:hanging="756"/>
        <w:spacing w:after="0"/>
        <w:tabs>
          <w:tab w:leader="none" w:pos="2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that was capitalized during such period; </w:t>
      </w:r>
      <w:r>
        <w:rPr>
          <w:rFonts w:ascii="Arial" w:cs="Arial" w:eastAsia="Arial" w:hAnsi="Arial"/>
          <w:sz w:val="16"/>
          <w:szCs w:val="16"/>
          <w:i w:val="1"/>
          <w:iCs w:val="1"/>
          <w:color w:val="auto"/>
        </w:rPr>
        <w:t>plus</w:t>
      </w:r>
    </w:p>
    <w:p>
      <w:pPr>
        <w:spacing w:after="0" w:line="248" w:lineRule="exact"/>
        <w:rPr>
          <w:rFonts w:ascii="Arial" w:cs="Arial" w:eastAsia="Arial" w:hAnsi="Arial"/>
          <w:sz w:val="16"/>
          <w:szCs w:val="16"/>
          <w:color w:val="auto"/>
        </w:rPr>
      </w:pPr>
    </w:p>
    <w:p>
      <w:pPr>
        <w:ind w:left="660" w:right="120" w:firstLine="644"/>
        <w:spacing w:after="0" w:line="381" w:lineRule="auto"/>
        <w:tabs>
          <w:tab w:leader="none" w:pos="2058"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5"/>
          <w:szCs w:val="15"/>
          <w:i w:val="1"/>
          <w:iCs w:val="1"/>
          <w:color w:val="auto"/>
        </w:rPr>
        <w:t>plus</w:t>
      </w:r>
    </w:p>
    <w:p>
      <w:pPr>
        <w:spacing w:after="0" w:line="100" w:lineRule="exact"/>
        <w:rPr>
          <w:rFonts w:ascii="Arial" w:cs="Arial" w:eastAsia="Arial" w:hAnsi="Arial"/>
          <w:sz w:val="15"/>
          <w:szCs w:val="15"/>
          <w:color w:val="auto"/>
        </w:rPr>
      </w:pPr>
    </w:p>
    <w:p>
      <w:pPr>
        <w:ind w:left="660" w:right="80" w:firstLine="644"/>
        <w:spacing w:after="0" w:line="296" w:lineRule="auto"/>
        <w:tabs>
          <w:tab w:leader="none" w:pos="20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or Disqualified Stock of such Person or any of its Restricted Subsidiaries, other than dividends on Equity Interests payable or accruing solely in Equity Interests of the Company (other than Disqualified Stock) or to the Company or a Restricted Subsidiary of the Company, times (b) a fraction, the numerator of which is one and the denominator of which is one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then current combined federal, state and local statutory tax rate of such Person, expressed as a decimal, in each case, determined on a consolidated basis and in accordance with GAAP.</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any direct or indirect Subsidiary of the Company that is not a Domestic Subsidiary.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Depositary or its nominee, substantially in the form of Exhibit A hereto and that bears the Global Note Legend and that has the “Schedule of Exchanges of Interests in the Global Note” attached thereto, issued in accordance with Section 2.01, 2.06(b)(3), 2.06(b)(4), or 2.06(d)(2).</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2.06(f)(2), which is required to be placed on all Global Notes issued under this Indenture.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Securities</w:t>
      </w:r>
      <w:r>
        <w:rPr>
          <w:rFonts w:ascii="Arial" w:cs="Arial" w:eastAsia="Arial" w:hAnsi="Arial"/>
          <w:sz w:val="18"/>
          <w:szCs w:val="18"/>
          <w:color w:val="auto"/>
        </w:rPr>
        <w:t>” means direct obligations of, or obligations guaranteed by, the United States of America, and the payment for which the United States pledges its full faith and credit.</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 w:name="page24"/>
    <w:bookmarkEnd w:id="23"/>
    <w:p>
      <w:pPr>
        <w:ind w:right="2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w:t>
      </w:r>
      <w:r>
        <w:rPr>
          <w:rFonts w:ascii="Arial" w:cs="Arial" w:eastAsia="Arial" w:hAnsi="Arial"/>
          <w:sz w:val="17"/>
          <w:szCs w:val="17"/>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Guarantee shall not include the pledge of the Capital Stock of an Unrestricted Subsidiary to secure Indebtedness of such Unrestricted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660" w:right="180" w:firstLine="644"/>
        <w:spacing w:after="0" w:line="277" w:lineRule="auto"/>
        <w:tabs>
          <w:tab w:leader="none" w:pos="20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Restricted Subsidiaries existing on the date of this Indenture and that executes this Indenture (if any) and that guarantees borrowings by the Company under the Credit Agreement; and</w:t>
      </w:r>
    </w:p>
    <w:p>
      <w:pPr>
        <w:spacing w:after="0" w:line="170" w:lineRule="exact"/>
        <w:rPr>
          <w:rFonts w:ascii="Arial" w:cs="Arial" w:eastAsia="Arial" w:hAnsi="Arial"/>
          <w:sz w:val="18"/>
          <w:szCs w:val="18"/>
          <w:color w:val="auto"/>
        </w:rPr>
      </w:pPr>
    </w:p>
    <w:p>
      <w:pPr>
        <w:jc w:val="both"/>
        <w:ind w:left="660" w:right="100" w:firstLine="644"/>
        <w:spacing w:after="0" w:line="263" w:lineRule="auto"/>
        <w:tabs>
          <w:tab w:leader="none" w:pos="20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Note Guarantee in accordance with the provisions of this Indenture, and their respective successors and assigns, in each case, until the Note Guarantee of such Person has been released in accordance with the provisions of this Indenture.</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Hedge Agreement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78"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Obligations</w:t>
      </w:r>
      <w:r>
        <w:rPr>
          <w:rFonts w:ascii="Arial" w:cs="Arial" w:eastAsia="Arial" w:hAnsi="Arial"/>
          <w:sz w:val="16"/>
          <w:szCs w:val="16"/>
          <w:color w:val="auto"/>
        </w:rPr>
        <w:t>” means, with respect to any specified Person, the obligations of such Person under any Hedge Agreement; provided, that no obligation in respect of any Permitted Bond Hedge Transaction or Permitted Warrant Transaction shall, in each case, constitute a Hedging Obligation.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the Person in whose name a Note is registered.</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IAI Global Note</w:t>
      </w:r>
      <w:r>
        <w:rPr>
          <w:rFonts w:ascii="Arial" w:cs="Arial" w:eastAsia="Arial" w:hAnsi="Arial"/>
          <w:sz w:val="18"/>
          <w:szCs w:val="18"/>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to Institutional Accredited Investors.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340" w:right="520" w:firstLine="316"/>
        <w:spacing w:after="0" w:line="277" w:lineRule="auto"/>
        <w:tabs>
          <w:tab w:leader="none" w:pos="13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340" w:firstLine="316"/>
        <w:spacing w:after="0" w:line="277" w:lineRule="auto"/>
        <w:tabs>
          <w:tab w:leader="none" w:pos="13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bankers’ acceptances, bank guaranties, surety bonds and similar instruments (excluding letters of credit issued in respect of trade payables);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obligations of such Person under any Hedge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 w:name="page25"/>
    <w:bookmarkEnd w:id="24"/>
    <w:p>
      <w:pPr>
        <w:jc w:val="both"/>
        <w:ind w:left="340" w:right="80" w:firstLine="316"/>
        <w:spacing w:after="0" w:line="259" w:lineRule="auto"/>
        <w:tabs>
          <w:tab w:leader="none" w:pos="13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(including, without limitation, in the form of earnouts, milestones and other contingent payment obligations but not until such obligations become a liability on the consolidated balance sheet of such Person in accordance with GAAP) of property or services (other than trade accounts payable in the ordinary course of business and, in each case, not past due for more than 60 days after the date on which such trade account payable was created);</w:t>
      </w:r>
    </w:p>
    <w:p>
      <w:pPr>
        <w:spacing w:after="0" w:line="186" w:lineRule="exact"/>
        <w:rPr>
          <w:rFonts w:ascii="Arial" w:cs="Arial" w:eastAsia="Arial" w:hAnsi="Arial"/>
          <w:sz w:val="18"/>
          <w:szCs w:val="18"/>
          <w:color w:val="auto"/>
        </w:rPr>
      </w:pPr>
    </w:p>
    <w:p>
      <w:pPr>
        <w:jc w:val="both"/>
        <w:ind w:left="340" w:right="220" w:firstLine="316"/>
        <w:spacing w:after="0" w:line="263" w:lineRule="auto"/>
        <w:tabs>
          <w:tab w:leader="none" w:pos="14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3" w:lineRule="exact"/>
        <w:rPr>
          <w:rFonts w:ascii="Arial" w:cs="Arial" w:eastAsia="Arial" w:hAnsi="Arial"/>
          <w:sz w:val="18"/>
          <w:szCs w:val="18"/>
          <w:color w:val="auto"/>
        </w:rPr>
      </w:pPr>
    </w:p>
    <w:p>
      <w:pPr>
        <w:ind w:left="340" w:right="200" w:firstLine="316"/>
        <w:spacing w:after="0" w:line="277" w:lineRule="auto"/>
        <w:tabs>
          <w:tab w:leader="none" w:pos="13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 Lease Obligations and Synthetic Lease Obligations of such Person and all Synthetic Debt of such Person;</w:t>
      </w:r>
    </w:p>
    <w:p>
      <w:pPr>
        <w:spacing w:after="0" w:line="170" w:lineRule="exact"/>
        <w:rPr>
          <w:rFonts w:ascii="Arial" w:cs="Arial" w:eastAsia="Arial" w:hAnsi="Arial"/>
          <w:sz w:val="18"/>
          <w:szCs w:val="18"/>
          <w:color w:val="auto"/>
        </w:rPr>
      </w:pPr>
    </w:p>
    <w:p>
      <w:pPr>
        <w:ind w:left="340" w:right="140" w:firstLine="316"/>
        <w:spacing w:after="0" w:line="311" w:lineRule="auto"/>
        <w:tabs>
          <w:tab w:leader="none" w:pos="136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obligations of such Person in respect of Disqualified Stock of such Person or any other Person, valued, in the case of a redeemable preferred interest, at the greater of its voluntary or involuntary liquidation preference plus accrued and unpaid dividends, in each case to the extent required to be included as a liability on the consolidated balance sheet of the Company and its Restricted Subsidiaries in accordance with GAAP; and</w:t>
      </w:r>
    </w:p>
    <w:p>
      <w:pPr>
        <w:spacing w:after="0" w:line="148" w:lineRule="exact"/>
        <w:rPr>
          <w:rFonts w:ascii="Arial" w:cs="Arial" w:eastAsia="Arial" w:hAnsi="Arial"/>
          <w:sz w:val="16"/>
          <w:szCs w:val="16"/>
          <w:color w:val="auto"/>
        </w:rPr>
      </w:pPr>
    </w:p>
    <w:p>
      <w:pPr>
        <w:ind w:left="1360" w:hanging="704"/>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For all purposes hereof, the Indebtedness of any Person (x)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shall not include (i) prepaid or deferred revenue arising in the ordinary course of business and</w:t>
      </w:r>
    </w:p>
    <w:p>
      <w:pPr>
        <w:spacing w:after="0" w:line="2" w:lineRule="exact"/>
        <w:rPr>
          <w:sz w:val="20"/>
          <w:szCs w:val="20"/>
          <w:color w:val="auto"/>
        </w:rPr>
      </w:pPr>
    </w:p>
    <w:p>
      <w:pPr>
        <w:ind w:right="80" w:firstLine="8"/>
        <w:spacing w:after="0" w:line="260"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endorsements of checks or drafts arising in the ordinary course of business. The amount of any net obligation under any Hedge Agreement on any date shall be deemed to be the Swap Termination Value thereof as of such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Notes</w:t>
      </w:r>
      <w:r>
        <w:rPr>
          <w:rFonts w:ascii="Arial" w:cs="Arial" w:eastAsia="Arial" w:hAnsi="Arial"/>
          <w:sz w:val="18"/>
          <w:szCs w:val="18"/>
          <w:color w:val="auto"/>
        </w:rPr>
        <w:t>” means the first $450.0 million aggregate principal amount of Notes issued under this Indenture on the date hereof.</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Purchasers</w:t>
      </w:r>
      <w:r>
        <w:rPr>
          <w:rFonts w:ascii="Arial" w:cs="Arial" w:eastAsia="Arial" w:hAnsi="Arial"/>
          <w:sz w:val="18"/>
          <w:szCs w:val="18"/>
          <w:color w:val="auto"/>
        </w:rPr>
        <w:t>” means each of Wells Fargo Securities, LLC, J.P. Morgan Securities LLC, PNC Capital Markets LLC, RBC Capital Markets, LLC, BMO Capital Markets Corp., Capital One Securities, Inc., Citizens Capital Markets, Inc., Huntington Securities, Inc., MUFG Securities Americas Inc., Truist Securities, Inc. and Regions Securities LLC.</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Institutional Accredited Investor</w:t>
      </w:r>
      <w:r>
        <w:rPr>
          <w:rFonts w:ascii="Arial" w:cs="Arial" w:eastAsia="Arial" w:hAnsi="Arial"/>
          <w:sz w:val="18"/>
          <w:szCs w:val="18"/>
          <w:color w:val="auto"/>
        </w:rPr>
        <w:t>” means an institution that is an “accredited investor” as defined in Rule 501(a)(1), (2), (3) or (7) under the Securities Act, who is not also a QIB.</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 Ratings</w:t>
      </w:r>
      <w:r>
        <w:rPr>
          <w:rFonts w:ascii="Arial" w:cs="Arial" w:eastAsia="Arial" w:hAnsi="Arial"/>
          <w:sz w:val="18"/>
          <w:szCs w:val="18"/>
          <w:color w:val="auto"/>
        </w:rPr>
        <w:t>” means a rating equal to or higher than Baa3 (or the equivalent) by Moody’s and BBB- (or the equivalent) by S&amp;P, in each case with a stable or better outlook, or if either S&amp;P or Moody’s is not providing a rating on the Notes at any time, an equivalent rating by any other Rating Agency.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5" w:name="page26"/>
    <w:bookmarkEnd w:id="25"/>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Investments</w:t>
      </w:r>
      <w:r>
        <w:rPr>
          <w:rFonts w:ascii="Arial" w:cs="Arial" w:eastAsia="Arial" w:hAnsi="Arial"/>
          <w:sz w:val="16"/>
          <w:szCs w:val="16"/>
          <w:color w:val="auto"/>
        </w:rPr>
        <w:t xml:space="preserve">” means, with respect to any Person, all direct or indirect investments by such Person in other Persons (including Affiliates) in the forms of loans or other extensions of credit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shall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shall be determined at the time the Investment is made and without giving effect to subsequent changes in value, reduced by any dividend, distribution, interest payment, return of capital, repayment or other amount received in cash and Cash Equivalents by the Company or a Restricted Subsidiary in respect of such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described above that reduces the amount of such Investment shall not be included for purposes of calculating the amount of Restricted Payments that may be made pursuant to paragraph (3) of the second paragraph of Section 4.07.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August 7, 2020, the date of the original issuance of the Notes under this Indenture.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Holiday</w:t>
      </w:r>
      <w:r>
        <w:rPr>
          <w:rFonts w:ascii="Arial" w:cs="Arial" w:eastAsia="Arial" w:hAnsi="Arial"/>
          <w:sz w:val="18"/>
          <w:szCs w:val="18"/>
          <w:color w:val="auto"/>
        </w:rPr>
        <w:t>” means a Saturday, a Sunday or a day on which banking institutions in The City of New York or at a place of payment are authorized or required by law, regulation or executive order to remain closed.</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Condition Transaction</w:t>
      </w:r>
      <w:r>
        <w:rPr>
          <w:rFonts w:ascii="Arial" w:cs="Arial" w:eastAsia="Arial" w:hAnsi="Arial"/>
          <w:sz w:val="18"/>
          <w:szCs w:val="18"/>
          <w:color w:val="auto"/>
        </w:rPr>
        <w:t>” means (a) any Acquisition or similar material Investment, the consummation of which is not conditioned on the availability of, or on obtaining, third party financing or (b) any redemption or repayment of Indebtedness requiring irrevocable advance notice or any irrevocable offer to purchase Indebtedness that is not subject to obtaining third party financing.</w:t>
      </w:r>
    </w:p>
    <w:p>
      <w:pPr>
        <w:spacing w:after="0" w:line="1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Long Derivative Instrument</w:t>
      </w:r>
      <w:r>
        <w:rPr>
          <w:rFonts w:ascii="Arial" w:cs="Arial" w:eastAsia="Arial" w:hAnsi="Arial"/>
          <w:sz w:val="17"/>
          <w:szCs w:val="17"/>
          <w:color w:val="auto"/>
        </w:rPr>
        <w:t>” means a Derivative Instrument (i) the value of which generally increases, and/ 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Period</w:t>
      </w:r>
      <w:r>
        <w:rPr>
          <w:rFonts w:ascii="Arial" w:cs="Arial" w:eastAsia="Arial" w:hAnsi="Arial"/>
          <w:sz w:val="18"/>
          <w:szCs w:val="18"/>
          <w:color w:val="auto"/>
        </w:rPr>
        <w:t>” means, at any date of determination, the most recently completed four fiscal quarters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Proceeds</w:t>
      </w:r>
      <w:r>
        <w:rPr>
          <w:rFonts w:ascii="Arial" w:cs="Arial" w:eastAsia="Arial" w:hAnsi="Arial"/>
          <w:sz w:val="17"/>
          <w:szCs w:val="17"/>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(1) the direct costs relating to such Asset Sale, including, without limitation, legal, accounting and investment banking fees, and sales or brokerage commissions, and any relocation expenses incurred as a result of the Asset Sale, (2) taxes paid or payable as a result of the Asset Sale, in each case, after taking into account any available tax credits or deductions and any tax sharing arrangements, (3) amounts required to be applied to the repayment of Indebtedness, other than Indebtedness under a Credit Facility, secured by a Lien on the asset or assets that were the subject of such Asset Sale, (4) all distributions and other payments required to be made to any Person owning a beneficial interest in assets subject to sale or minority interest holders in Subsidiaries or joint ventures as a result of such Asset Sale, (5) any reserve, established in accordance with GAAP, against any liabilities associated with the assets disposed of in such Asset Sale and retained by the Company or any Restricted Subsidiary of the Company after such Asset Sale and (6) any reserve, established in accordance with GAAP, with respect to the purchase price adjustments or indemnification obligations relating to such Asset Sale or otherwise in connection with such Asset Sale.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Short</w:t>
      </w:r>
      <w:r>
        <w:rPr>
          <w:rFonts w:ascii="Arial" w:cs="Arial" w:eastAsia="Arial" w:hAnsi="Arial"/>
          <w:sz w:val="18"/>
          <w:szCs w:val="18"/>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any Company or any Guarantor immediately prior to such date of determination.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Debt</w:t>
      </w:r>
      <w:r>
        <w:rPr>
          <w:rFonts w:ascii="Arial" w:cs="Arial" w:eastAsia="Arial" w:hAnsi="Arial"/>
          <w:sz w:val="18"/>
          <w:szCs w:val="18"/>
          <w:color w:val="auto"/>
        </w:rPr>
        <w:t>” means Indebtedness:</w:t>
      </w:r>
    </w:p>
    <w:p>
      <w:pPr>
        <w:spacing w:after="0" w:line="225" w:lineRule="exact"/>
        <w:rPr>
          <w:sz w:val="20"/>
          <w:szCs w:val="20"/>
          <w:color w:val="auto"/>
        </w:rPr>
      </w:pPr>
    </w:p>
    <w:p>
      <w:pPr>
        <w:ind w:left="660" w:right="220" w:firstLine="644"/>
        <w:spacing w:after="0" w:line="311" w:lineRule="auto"/>
        <w:tabs>
          <w:tab w:leader="none" w:pos="20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(other than the stock of an Unrestricted Subsidiary pledged to secure Indebtedness of such Unrestricted Subsidiary), (b) is directly or indirectly liable as a guarantor or otherwise, or (c) constitutes the lender;</w:t>
      </w:r>
    </w:p>
    <w:p>
      <w:pPr>
        <w:spacing w:after="0" w:line="148" w:lineRule="exact"/>
        <w:rPr>
          <w:rFonts w:ascii="Arial" w:cs="Arial" w:eastAsia="Arial" w:hAnsi="Arial"/>
          <w:sz w:val="16"/>
          <w:szCs w:val="16"/>
          <w:color w:val="auto"/>
        </w:rPr>
      </w:pPr>
    </w:p>
    <w:p>
      <w:pPr>
        <w:jc w:val="both"/>
        <w:ind w:left="660" w:right="40" w:firstLine="644"/>
        <w:spacing w:after="0" w:line="259" w:lineRule="auto"/>
        <w:tabs>
          <w:tab w:leader="none" w:pos="20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of the Indebtedness to be accelerated or payable prior to its Stated Maturity; and</w:t>
      </w:r>
    </w:p>
    <w:p>
      <w:pPr>
        <w:spacing w:after="0" w:line="186" w:lineRule="exact"/>
        <w:rPr>
          <w:rFonts w:ascii="Arial" w:cs="Arial" w:eastAsia="Arial" w:hAnsi="Arial"/>
          <w:sz w:val="18"/>
          <w:szCs w:val="18"/>
          <w:color w:val="auto"/>
        </w:rPr>
      </w:pPr>
    </w:p>
    <w:p>
      <w:pPr>
        <w:ind w:left="660" w:firstLine="644"/>
        <w:spacing w:after="0" w:line="263" w:lineRule="auto"/>
        <w:tabs>
          <w:tab w:leader="none" w:pos="20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shall not have any recourse to the stock or assets of the Company or any of its Restricted Subsidiaries (other than the stock of an Unrestricted Subsidiary pledged to secure Indebtedness of such Unrestricted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 Guarantee</w:t>
      </w:r>
      <w:r>
        <w:rPr>
          <w:rFonts w:ascii="Arial" w:cs="Arial" w:eastAsia="Arial" w:hAnsi="Arial"/>
          <w:sz w:val="18"/>
          <w:szCs w:val="18"/>
          <w:color w:val="auto"/>
        </w:rPr>
        <w:t>” means the Guarantee by each Guarantor of the Company’s obligations under this Indenture and the Notes, executed pursuant to the provisions of this Indenture.</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Memorandum</w:t>
      </w:r>
      <w:r>
        <w:rPr>
          <w:rFonts w:ascii="Arial" w:cs="Arial" w:eastAsia="Arial" w:hAnsi="Arial"/>
          <w:sz w:val="18"/>
          <w:szCs w:val="18"/>
          <w:color w:val="auto"/>
        </w:rPr>
        <w:t>” means that certain offering memorandum related to the offering of the Notes dated August 4, 2020, pursuant to which the Notes were first offered to eligible purchasers in a private placement.</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with respect to the Company or any other obligor upon the Notes, the Chairman of the Board, the President, the Chief Executive Officer, the Chief Financial Officer, any Vice President, the Controller, the Treasurer or the Secretary (a) of such Person or (b) if such Person is owned or managed by a single entity, of such entity (or any other individual designated as an “Officer” for the purposes of this Indenture by the Board of Directors).</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with respect to the Company or any other obligor upon the Notes, a certificate signed by one Officer of such Person that meets the requirements of Section 12.04 hereof.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from legal counsel that meets the requirements of Section 12.04. The counsel may be an employee of or counsel to the Company or any Subsidiary of the Company or other counsel reasonably acceptable to the Trustee.</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Acquisition</w:t>
      </w:r>
      <w:r>
        <w:rPr>
          <w:rFonts w:ascii="Arial" w:cs="Arial" w:eastAsia="Arial" w:hAnsi="Arial"/>
          <w:sz w:val="16"/>
          <w:szCs w:val="16"/>
          <w:color w:val="auto"/>
        </w:rPr>
        <w:t>” means an Acquisition of a Person or property of which the lines of business are substantially the same as one or more of the principal businesses of the Company and its Restricted Subsidiaries in the ordinary course or another business reasonably related thereto that constitutes (i) a Permitted Investment or (ii) a Restricted Investment that was permitted under Section 4.07 at the time such Restricted Investment was made.</w:t>
      </w:r>
    </w:p>
    <w:p>
      <w:pPr>
        <w:spacing w:after="0" w:line="14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Bond Hedge Transaction</w:t>
      </w:r>
      <w:r>
        <w:rPr>
          <w:rFonts w:ascii="Arial" w:cs="Arial" w:eastAsia="Arial" w:hAnsi="Arial"/>
          <w:sz w:val="18"/>
          <w:szCs w:val="18"/>
          <w:color w:val="auto"/>
        </w:rPr>
        <w:t>” means any bond hedge or call or capped call option (or similar transaction) on the Company’s Equity Interests in connection with the issuance of any Convertible Indebtedness; provided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Business</w:t>
      </w:r>
      <w:r>
        <w:rPr>
          <w:rFonts w:ascii="Arial" w:cs="Arial" w:eastAsia="Arial" w:hAnsi="Arial"/>
          <w:sz w:val="18"/>
          <w:szCs w:val="18"/>
          <w:color w:val="auto"/>
        </w:rPr>
        <w:t>” means the lines of business engaged in by the Company or any Restricted Subsidiary on the Issue Date and any business reasonably related, complementary, corollary, synergistic or ancillary thereto (including related, complementary, synergistic or ancillary technologies) or reasonable extensions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in cash and Cash Equivalents;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Investment by the Company or any Restricted Subsidiary of the Company in a Person, if as a result of such Investment:</w:t>
      </w:r>
    </w:p>
    <w:p>
      <w:pPr>
        <w:spacing w:after="0" w:line="248" w:lineRule="exact"/>
        <w:rPr>
          <w:rFonts w:ascii="Arial" w:cs="Arial" w:eastAsia="Arial" w:hAnsi="Arial"/>
          <w:sz w:val="16"/>
          <w:szCs w:val="16"/>
          <w:color w:val="auto"/>
        </w:rPr>
      </w:pPr>
    </w:p>
    <w:p>
      <w:pPr>
        <w:ind w:left="2700" w:hanging="748"/>
        <w:spacing w:after="0"/>
        <w:tabs>
          <w:tab w:leader="none" w:pos="2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including by means of a Division; or</w:t>
      </w:r>
    </w:p>
    <w:p>
      <w:pPr>
        <w:spacing w:after="0" w:line="225" w:lineRule="exact"/>
        <w:rPr>
          <w:rFonts w:ascii="Arial" w:cs="Arial" w:eastAsia="Arial" w:hAnsi="Arial"/>
          <w:sz w:val="18"/>
          <w:szCs w:val="18"/>
          <w:color w:val="auto"/>
        </w:rPr>
      </w:pPr>
    </w:p>
    <w:p>
      <w:pPr>
        <w:ind w:left="1300" w:right="60" w:firstLine="652"/>
        <w:spacing w:after="0" w:line="277" w:lineRule="auto"/>
        <w:tabs>
          <w:tab w:leader="none" w:pos="26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170"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acquisition of assets or Capital Stock solely in exchange for the issuance of Equity Interests (other than Disqualified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0" w:lineRule="exact"/>
        <w:rPr>
          <w:rFonts w:ascii="Arial" w:cs="Arial" w:eastAsia="Arial" w:hAnsi="Arial"/>
          <w:sz w:val="16"/>
          <w:szCs w:val="16"/>
          <w:color w:val="auto"/>
        </w:rPr>
      </w:pPr>
    </w:p>
    <w:p>
      <w:pPr>
        <w:ind w:left="660" w:right="200" w:firstLine="644"/>
        <w:spacing w:after="0" w:line="277" w:lineRule="auto"/>
        <w:tabs>
          <w:tab w:leader="none" w:pos="20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and any Investments received in compromise or resolution of:</w:t>
      </w:r>
    </w:p>
    <w:p>
      <w:pPr>
        <w:spacing w:after="0" w:line="170" w:lineRule="exact"/>
        <w:rPr>
          <w:rFonts w:ascii="Arial" w:cs="Arial" w:eastAsia="Arial" w:hAnsi="Arial"/>
          <w:sz w:val="18"/>
          <w:szCs w:val="18"/>
          <w:color w:val="auto"/>
        </w:rPr>
      </w:pPr>
    </w:p>
    <w:p>
      <w:pPr>
        <w:ind w:left="1300" w:right="280" w:firstLine="652"/>
        <w:spacing w:after="0" w:line="263" w:lineRule="auto"/>
        <w:tabs>
          <w:tab w:leader="none" w:pos="26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w:t>
      </w:r>
    </w:p>
    <w:p>
      <w:pPr>
        <w:spacing w:after="0" w:line="183" w:lineRule="exact"/>
        <w:rPr>
          <w:rFonts w:ascii="Arial" w:cs="Arial" w:eastAsia="Arial" w:hAnsi="Arial"/>
          <w:sz w:val="18"/>
          <w:szCs w:val="18"/>
          <w:color w:val="auto"/>
        </w:rPr>
      </w:pPr>
    </w:p>
    <w:p>
      <w:pPr>
        <w:ind w:left="2700" w:hanging="748"/>
        <w:spacing w:after="0"/>
        <w:tabs>
          <w:tab w:leader="none" w:pos="2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litigation, arbitration or other disputes with Persons who are not Affiliates;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4" w:right="60" w:firstLine="644"/>
        <w:spacing w:after="0" w:line="311" w:lineRule="auto"/>
        <w:tabs>
          <w:tab w:leader="none" w:pos="14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advances to officers, directors and employees of the Company and its Restricted Subsidiaries (i) in an aggregate amount not to exceed $750,000 at any time outstanding, for travel, entertainment, relocation and analogous ordinary business purposes and (ii) in an aggregate amount not to exceed $750,000 at any time outstanding, in connection with such Person’s purchase of Equity Interests of the Company;</w:t>
      </w:r>
    </w:p>
    <w:p>
      <w:pPr>
        <w:spacing w:after="0" w:line="148" w:lineRule="exact"/>
        <w:rPr>
          <w:rFonts w:ascii="Arial" w:cs="Arial" w:eastAsia="Arial" w:hAnsi="Arial"/>
          <w:sz w:val="16"/>
          <w:szCs w:val="16"/>
          <w:color w:val="auto"/>
        </w:rPr>
      </w:pPr>
    </w:p>
    <w:p>
      <w:pPr>
        <w:ind w:left="1404" w:hanging="756"/>
        <w:spacing w:after="0"/>
        <w:tabs>
          <w:tab w:leader="none" w:pos="1404"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repurchases of the Notes (including the Note Guarantees);</w:t>
      </w:r>
    </w:p>
    <w:p>
      <w:pPr>
        <w:spacing w:after="0" w:line="225" w:lineRule="exact"/>
        <w:rPr>
          <w:rFonts w:ascii="Arial" w:cs="Arial" w:eastAsia="Arial" w:hAnsi="Arial"/>
          <w:sz w:val="18"/>
          <w:szCs w:val="18"/>
          <w:color w:val="auto"/>
        </w:rPr>
      </w:pPr>
    </w:p>
    <w:p>
      <w:pPr>
        <w:ind w:left="4" w:right="200" w:firstLine="644"/>
        <w:spacing w:after="0" w:line="275" w:lineRule="auto"/>
        <w:tabs>
          <w:tab w:leader="none" w:pos="1402"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Investment in existence, or made pursuant to legally binding written commitments in existence, on the date of this Indenture or any Investment consisting of any extension, modification or renewal of any Investment existing on the date of this Indenture (excluding any such extension, modification or renewal involving additional advances, contributions or other investments of cash or property or other increases thereof unless it is a result of the accrual or accretion of interest or original issue discount or payment-in-kind pursuant to the terms, as of the date of this Indenture, of the original Investment so extended, modified or renewed);</w:t>
      </w:r>
    </w:p>
    <w:p>
      <w:pPr>
        <w:spacing w:after="0" w:line="176" w:lineRule="exact"/>
        <w:rPr>
          <w:rFonts w:ascii="Arial" w:cs="Arial" w:eastAsia="Arial" w:hAnsi="Arial"/>
          <w:sz w:val="17"/>
          <w:szCs w:val="17"/>
          <w:color w:val="auto"/>
        </w:rPr>
      </w:pPr>
    </w:p>
    <w:p>
      <w:pPr>
        <w:ind w:left="4" w:right="720" w:firstLine="644"/>
        <w:spacing w:after="0" w:line="277" w:lineRule="auto"/>
        <w:tabs>
          <w:tab w:leader="none" w:pos="13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guarantees of indebtedness of the Company or a Restricted Subsidiary permitted under Section 4.09 and performance guarantees in the ordinary course of business;</w:t>
      </w:r>
    </w:p>
    <w:p>
      <w:pPr>
        <w:spacing w:after="0" w:line="170" w:lineRule="exact"/>
        <w:rPr>
          <w:rFonts w:ascii="Arial" w:cs="Arial" w:eastAsia="Arial" w:hAnsi="Arial"/>
          <w:sz w:val="18"/>
          <w:szCs w:val="18"/>
          <w:color w:val="auto"/>
        </w:rPr>
      </w:pPr>
    </w:p>
    <w:p>
      <w:pPr>
        <w:ind w:left="4" w:right="260" w:firstLine="644"/>
        <w:spacing w:after="0" w:line="277" w:lineRule="auto"/>
        <w:tabs>
          <w:tab w:leader="none" w:pos="14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Investment made in connection with the purchase price adjustments, contingent purchase price payments, milestones or other earn-out obligations paid in connection with any Investment otherwise permitted under this Indenture;</w:t>
      </w:r>
    </w:p>
    <w:p>
      <w:pPr>
        <w:spacing w:after="0" w:line="170" w:lineRule="exact"/>
        <w:rPr>
          <w:rFonts w:ascii="Arial" w:cs="Arial" w:eastAsia="Arial" w:hAnsi="Arial"/>
          <w:sz w:val="18"/>
          <w:szCs w:val="18"/>
          <w:color w:val="auto"/>
        </w:rPr>
      </w:pPr>
    </w:p>
    <w:p>
      <w:pPr>
        <w:ind w:left="4" w:right="100" w:firstLine="644"/>
        <w:spacing w:after="0" w:line="287" w:lineRule="auto"/>
        <w:tabs>
          <w:tab w:leader="none" w:pos="1402" w:val="left"/>
        </w:tabs>
        <w:numPr>
          <w:ilvl w:val="1"/>
          <w:numId w:val="31"/>
        </w:numPr>
        <w:rPr>
          <w:rFonts w:ascii="Arial" w:cs="Arial" w:eastAsia="Arial" w:hAnsi="Arial"/>
          <w:sz w:val="16"/>
          <w:szCs w:val="16"/>
          <w:color w:val="auto"/>
        </w:rPr>
      </w:pPr>
      <w:r>
        <w:rPr>
          <w:rFonts w:ascii="Arial" w:cs="Arial" w:eastAsia="Arial" w:hAnsi="Arial"/>
          <w:sz w:val="16"/>
          <w:szCs w:val="16"/>
          <w:color w:val="auto"/>
        </w:rPr>
        <w:t>Investments consisting of (i) purchases and acquisitions of inventory, supplies, materials and equipment or purchases of contracts or licenses or leases of intellectual property, (ii) pledges or deposits with respect to leases or utilities provided to third parties, (iii) loans and advances to officers, directors and employees for business related travel expenses, moving expenses and other similar expenses or</w:t>
      </w:r>
    </w:p>
    <w:p>
      <w:pPr>
        <w:spacing w:after="0" w:line="2" w:lineRule="exact"/>
        <w:rPr>
          <w:rFonts w:ascii="Arial" w:cs="Arial" w:eastAsia="Arial" w:hAnsi="Arial"/>
          <w:sz w:val="16"/>
          <w:szCs w:val="16"/>
          <w:color w:val="auto"/>
        </w:rPr>
      </w:pPr>
    </w:p>
    <w:p>
      <w:pPr>
        <w:ind w:left="4" w:hanging="4"/>
        <w:spacing w:after="0" w:line="255" w:lineRule="auto"/>
        <w:tabs>
          <w:tab w:leader="none" w:pos="3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advances to customers or suppliers in the ordinary course of business that are, in conformity with GAAP, recorded as accounts receivable, prepaid expenses or deposits on the balance sheet of the Company or the Restricted Subsidiaries and endorsements for collection or deposit, in any case, in the ordinary course of business and otherwise in accordance with this Indenture;</w:t>
      </w:r>
    </w:p>
    <w:p>
      <w:pPr>
        <w:spacing w:after="0" w:line="189" w:lineRule="exact"/>
        <w:rPr>
          <w:rFonts w:ascii="Arial" w:cs="Arial" w:eastAsia="Arial" w:hAnsi="Arial"/>
          <w:sz w:val="18"/>
          <w:szCs w:val="18"/>
          <w:color w:val="auto"/>
        </w:rPr>
      </w:pPr>
    </w:p>
    <w:p>
      <w:pPr>
        <w:ind w:left="4" w:right="260" w:firstLine="644"/>
        <w:spacing w:after="0" w:line="277"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Investment to the extent that the consideration therefor is Capital Stock (other than Disqualified Stock) of the Company and only to the extent that the Cumulative Credit is not increased thereby;</w:t>
      </w:r>
    </w:p>
    <w:p>
      <w:pPr>
        <w:spacing w:after="0" w:line="170" w:lineRule="exact"/>
        <w:rPr>
          <w:rFonts w:ascii="Arial" w:cs="Arial" w:eastAsia="Arial" w:hAnsi="Arial"/>
          <w:sz w:val="18"/>
          <w:szCs w:val="18"/>
          <w:color w:val="auto"/>
        </w:rPr>
      </w:pPr>
    </w:p>
    <w:p>
      <w:pPr>
        <w:ind w:left="4" w:right="20" w:firstLine="644"/>
        <w:spacing w:after="0" w:line="263"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(15) that are at the time outstanding, not to exceed $150.0 million;</w:t>
      </w:r>
    </w:p>
    <w:p>
      <w:pPr>
        <w:spacing w:after="0" w:line="183" w:lineRule="exact"/>
        <w:rPr>
          <w:rFonts w:ascii="Arial" w:cs="Arial" w:eastAsia="Arial" w:hAnsi="Arial"/>
          <w:sz w:val="18"/>
          <w:szCs w:val="18"/>
          <w:color w:val="auto"/>
        </w:rPr>
      </w:pPr>
    </w:p>
    <w:p>
      <w:pPr>
        <w:ind w:left="4" w:right="120" w:firstLine="644"/>
        <w:spacing w:after="0" w:line="277" w:lineRule="auto"/>
        <w:tabs>
          <w:tab w:leader="none" w:pos="140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any Investment (in addition to Investments under the above clauses (1) through (15)), so long as,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the Total Leverage Ratio shall be no greater than 3.75 to 1.00; and</w:t>
      </w:r>
    </w:p>
    <w:p>
      <w:pPr>
        <w:spacing w:after="0" w:line="170" w:lineRule="exact"/>
        <w:rPr>
          <w:rFonts w:ascii="Arial" w:cs="Arial" w:eastAsia="Arial" w:hAnsi="Arial"/>
          <w:sz w:val="18"/>
          <w:szCs w:val="18"/>
          <w:color w:val="auto"/>
        </w:rPr>
      </w:pPr>
    </w:p>
    <w:p>
      <w:pPr>
        <w:ind w:left="1404" w:hanging="756"/>
        <w:spacing w:after="0"/>
        <w:tabs>
          <w:tab w:leader="none" w:pos="14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Permitted Bond Hedge Transactions.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4" w:right="20" w:firstLine="644"/>
        <w:spacing w:after="0" w:line="263" w:lineRule="auto"/>
        <w:tabs>
          <w:tab w:leader="none" w:pos="14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assets of the Company or any Restricted Subsidiary securing Indebtedness and other Obligations under Credit Facilities that was incurred pursuant to clause (1) of the definition of “Permitted Debt” and/or securing cash management obligations and Hedging Obligations related thereto;</w:t>
      </w:r>
    </w:p>
    <w:p>
      <w:pPr>
        <w:spacing w:after="0" w:line="183" w:lineRule="exact"/>
        <w:rPr>
          <w:rFonts w:ascii="Arial" w:cs="Arial" w:eastAsia="Arial" w:hAnsi="Arial"/>
          <w:sz w:val="18"/>
          <w:szCs w:val="18"/>
          <w:color w:val="auto"/>
        </w:rPr>
      </w:pPr>
    </w:p>
    <w:p>
      <w:pPr>
        <w:ind w:left="1404" w:hanging="756"/>
        <w:spacing w:after="0"/>
        <w:tabs>
          <w:tab w:leader="none" w:pos="14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200" w:lineRule="exact"/>
        <w:rPr>
          <w:sz w:val="20"/>
          <w:szCs w:val="20"/>
          <w:color w:val="auto"/>
        </w:rPr>
      </w:pPr>
    </w:p>
    <w:p>
      <w:pPr>
        <w:spacing w:after="0" w:line="24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29" w:name="page30"/>
    <w:bookmarkEnd w:id="29"/>
    <w:p>
      <w:pPr>
        <w:jc w:val="both"/>
        <w:ind w:left="-460" w:firstLine="644"/>
        <w:spacing w:after="0" w:line="286" w:lineRule="auto"/>
        <w:tabs>
          <w:tab w:leader="none" w:pos="9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Liens on property of a Person existing at the time such Person is merged with or into or consolidated with the Company or any Subsidiary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not incurred in contemplation of such merger or consolidation and do not extend to any assets other than those of the Person merged into or consolidated with the Company or the Subsidiary and proceeds thereof;</w:t>
      </w:r>
    </w:p>
    <w:p>
      <w:pPr>
        <w:spacing w:after="0" w:line="165" w:lineRule="exact"/>
        <w:rPr>
          <w:rFonts w:ascii="Arial" w:cs="Arial" w:eastAsia="Arial" w:hAnsi="Arial"/>
          <w:sz w:val="17"/>
          <w:szCs w:val="17"/>
          <w:color w:val="auto"/>
        </w:rPr>
      </w:pPr>
    </w:p>
    <w:p>
      <w:pPr>
        <w:ind w:left="-460" w:firstLine="644"/>
        <w:spacing w:after="0" w:line="275" w:lineRule="auto"/>
        <w:tabs>
          <w:tab w:leader="none" w:pos="9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Liens on property (including Capital Stock) existing at the time of acquisition of the property, or the acquisition of the Person owning such property, by the Company or any Subsidiary of the Company (including, without limitation, Liens securing Acquired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Liens were not incurred in contemplation of such acquisition and do not extend to any assets other than those subject to such acquisition (other than pursuant to after acquired property clauses in effect with respect to such Lien at the time of acquisition on property of the type that would have been subject to such Lien notwithstanding the occurrence of such acquisition);</w:t>
      </w:r>
    </w:p>
    <w:p>
      <w:pPr>
        <w:spacing w:after="0" w:line="176" w:lineRule="exact"/>
        <w:rPr>
          <w:rFonts w:ascii="Arial" w:cs="Arial" w:eastAsia="Arial" w:hAnsi="Arial"/>
          <w:sz w:val="17"/>
          <w:szCs w:val="17"/>
          <w:color w:val="auto"/>
        </w:rPr>
      </w:pPr>
    </w:p>
    <w:p>
      <w:pPr>
        <w:ind w:left="-460" w:right="180" w:firstLine="644"/>
        <w:spacing w:after="0" w:line="277" w:lineRule="auto"/>
        <w:tabs>
          <w:tab w:leader="none" w:pos="9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to secure the performance of statutory obligations, surety or appeal bonds, performance bonds or other obligations of a like nature incurred in the ordinary course of business;</w:t>
      </w:r>
    </w:p>
    <w:p>
      <w:pPr>
        <w:spacing w:after="0" w:line="170" w:lineRule="exact"/>
        <w:rPr>
          <w:rFonts w:ascii="Arial" w:cs="Arial" w:eastAsia="Arial" w:hAnsi="Arial"/>
          <w:sz w:val="18"/>
          <w:szCs w:val="18"/>
          <w:color w:val="auto"/>
        </w:rPr>
      </w:pPr>
    </w:p>
    <w:p>
      <w:pPr>
        <w:ind w:left="-460" w:right="40" w:firstLine="644"/>
        <w:spacing w:after="0" w:line="301" w:lineRule="auto"/>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money security interests (as defined in Article 9 of the New York Uniform Commercial Code) and other Liens to secure Indebtedness (including Capital Lease Obligations) permitted by clause (3) of Section 4.09(b) covering only the property, plant or equipment (including, without limitation, rental equipment purchased as inventory held for sale or lease) and other assets purchased in accordance with such clause (3) and the proceeds thereof (or in the case of Capital Lease Obligations, acquired with or financed by such Indebtedness);</w:t>
      </w:r>
    </w:p>
    <w:p>
      <w:pPr>
        <w:spacing w:after="0" w:line="157" w:lineRule="exact"/>
        <w:rPr>
          <w:rFonts w:ascii="Arial" w:cs="Arial" w:eastAsia="Arial" w:hAnsi="Arial"/>
          <w:sz w:val="16"/>
          <w:szCs w:val="16"/>
          <w:color w:val="auto"/>
        </w:rPr>
      </w:pPr>
    </w:p>
    <w:p>
      <w:pPr>
        <w:ind w:left="940" w:hanging="75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in existence, or made pursuant to legally binding written commitments in existence, on the Issue Date;</w:t>
      </w:r>
    </w:p>
    <w:p>
      <w:pPr>
        <w:spacing w:after="0" w:line="225" w:lineRule="exact"/>
        <w:rPr>
          <w:rFonts w:ascii="Arial" w:cs="Arial" w:eastAsia="Arial" w:hAnsi="Arial"/>
          <w:sz w:val="18"/>
          <w:szCs w:val="18"/>
          <w:color w:val="auto"/>
        </w:rPr>
      </w:pPr>
    </w:p>
    <w:p>
      <w:pPr>
        <w:ind w:left="-460" w:right="160" w:firstLine="644"/>
        <w:spacing w:after="0" w:line="263" w:lineRule="auto"/>
        <w:tabs>
          <w:tab w:leader="none" w:pos="9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183" w:lineRule="exact"/>
        <w:rPr>
          <w:rFonts w:ascii="Arial" w:cs="Arial" w:eastAsia="Arial" w:hAnsi="Arial"/>
          <w:sz w:val="18"/>
          <w:szCs w:val="18"/>
          <w:color w:val="auto"/>
        </w:rPr>
      </w:pPr>
    </w:p>
    <w:p>
      <w:pPr>
        <w:ind w:left="-460" w:right="120" w:firstLine="644"/>
        <w:spacing w:after="0" w:line="311" w:lineRule="auto"/>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landlord’s, mechanics’ Liens and other like Liens, and customary Liens retained by or granted to carriers, landlords and mechanics under the terms of agreements pursuant to which services are rendered or property is leased by such Persons to the Company or any of its Restricted Subsidiaries, in each case, incurred in the ordinary course of business;</w:t>
      </w:r>
    </w:p>
    <w:p>
      <w:pPr>
        <w:spacing w:after="0" w:line="148" w:lineRule="exact"/>
        <w:rPr>
          <w:rFonts w:ascii="Arial" w:cs="Arial" w:eastAsia="Arial" w:hAnsi="Arial"/>
          <w:sz w:val="16"/>
          <w:szCs w:val="16"/>
          <w:color w:val="auto"/>
        </w:rPr>
      </w:pPr>
    </w:p>
    <w:p>
      <w:pPr>
        <w:ind w:left="-460" w:right="120" w:firstLine="644"/>
        <w:spacing w:after="0" w:line="277" w:lineRule="auto"/>
        <w:tabs>
          <w:tab w:leader="none" w:pos="9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leases or subleases granted to others that do not materially interfere with the ordinary course of business of the Company and its Restricted Subsidiaries;</w:t>
      </w:r>
    </w:p>
    <w:p>
      <w:pPr>
        <w:spacing w:after="0" w:line="170" w:lineRule="exact"/>
        <w:rPr>
          <w:rFonts w:ascii="Arial" w:cs="Arial" w:eastAsia="Arial" w:hAnsi="Arial"/>
          <w:sz w:val="18"/>
          <w:szCs w:val="18"/>
          <w:color w:val="auto"/>
        </w:rPr>
      </w:pPr>
    </w:p>
    <w:p>
      <w:pPr>
        <w:ind w:left="-460" w:right="20" w:firstLine="644"/>
        <w:spacing w:after="0" w:line="255" w:lineRule="auto"/>
        <w:tabs>
          <w:tab w:leader="none" w:pos="9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minor survey exceptions, minor encumbrances, special assessments, easements or reservations of, or rights of others for, licenses, rights-of-way, sewers, electric lines, telegraph and telephone lines and other similar purposes, servicing agreements, development rights, site plan agreements and other similar encumbrances incurred in the ordinary course of business or zoning or other restrictions as to the use of real property or Liens incidental to the conduct of business of such Person or to the ownership of its properties, in each case, that were not incurred in connection with Indebtedness and that do not in the aggregate materially adversely affect the value of said properties or materially impair their use in the operation of the business of such Person;</w:t>
      </w:r>
    </w:p>
    <w:p>
      <w:pPr>
        <w:spacing w:after="0" w:line="192" w:lineRule="exact"/>
        <w:rPr>
          <w:rFonts w:ascii="Arial" w:cs="Arial" w:eastAsia="Arial" w:hAnsi="Arial"/>
          <w:sz w:val="18"/>
          <w:szCs w:val="18"/>
          <w:color w:val="auto"/>
        </w:rPr>
      </w:pPr>
    </w:p>
    <w:p>
      <w:pPr>
        <w:ind w:left="940" w:hanging="75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(or the Note Guarantees);</w:t>
      </w:r>
    </w:p>
    <w:p>
      <w:pPr>
        <w:spacing w:after="0" w:line="225" w:lineRule="exact"/>
        <w:rPr>
          <w:rFonts w:ascii="Arial" w:cs="Arial" w:eastAsia="Arial" w:hAnsi="Arial"/>
          <w:sz w:val="18"/>
          <w:szCs w:val="18"/>
          <w:color w:val="auto"/>
        </w:rPr>
      </w:pPr>
    </w:p>
    <w:p>
      <w:pPr>
        <w:ind w:left="940" w:hanging="756"/>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Liens to secure any Permitted Refinancing Indebtedness permitted to be incurred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48" w:lineRule="exact"/>
        <w:rPr>
          <w:rFonts w:ascii="Arial" w:cs="Arial" w:eastAsia="Arial" w:hAnsi="Arial"/>
          <w:sz w:val="16"/>
          <w:szCs w:val="16"/>
          <w:color w:val="auto"/>
        </w:rPr>
      </w:pPr>
    </w:p>
    <w:p>
      <w:pPr>
        <w:ind w:left="180" w:right="20" w:firstLine="652"/>
        <w:spacing w:after="0" w:line="296" w:lineRule="auto"/>
        <w:tabs>
          <w:tab w:leader="none" w:pos="15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new Lien shall be limited to all or part of the same property and assets that secured or, under the written agreements pursuant to which the original Lien arose (including any after acquired property to the extent it could have been subject to the original Lien), could secure the original Lien (</w:t>
      </w:r>
      <w:r>
        <w:rPr>
          <w:rFonts w:ascii="Arial" w:cs="Arial" w:eastAsia="Arial" w:hAnsi="Arial"/>
          <w:sz w:val="16"/>
          <w:szCs w:val="16"/>
          <w:i w:val="1"/>
          <w:iCs w:val="1"/>
          <w:color w:val="auto"/>
        </w:rPr>
        <w:t>plus</w:t>
      </w:r>
      <w:r>
        <w:rPr>
          <w:rFonts w:ascii="Arial" w:cs="Arial" w:eastAsia="Arial" w:hAnsi="Arial"/>
          <w:sz w:val="16"/>
          <w:szCs w:val="16"/>
          <w:color w:val="auto"/>
        </w:rPr>
        <w:t xml:space="preserve"> improvements and accessions to, such property, or proceeds and products or distributions thereof, and customary security deposits and any other assets pursuant to the after- acquired property clauses to the extent such assets secured (or would have secured) the Indebtedness being refinanced, refunded, extended, renewed or replaced); and</w:t>
      </w:r>
    </w:p>
    <w:p>
      <w:pPr>
        <w:spacing w:after="0" w:line="37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0" w:name="page31"/>
    <w:bookmarkEnd w:id="30"/>
    <w:p>
      <w:pPr>
        <w:jc w:val="both"/>
        <w:ind w:left="180" w:right="180" w:firstLine="652"/>
        <w:spacing w:after="0" w:line="311" w:lineRule="auto"/>
        <w:tabs>
          <w:tab w:leader="none" w:pos="15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148" w:lineRule="exact"/>
        <w:rPr>
          <w:rFonts w:ascii="Arial" w:cs="Arial" w:eastAsia="Arial" w:hAnsi="Arial"/>
          <w:sz w:val="16"/>
          <w:szCs w:val="16"/>
          <w:color w:val="auto"/>
        </w:rPr>
      </w:pPr>
    </w:p>
    <w:p>
      <w:pPr>
        <w:ind w:left="-460" w:right="24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commercial letters of credit which encumber documents and other property relating to such letters of credit and products and proceeds thereof;</w:t>
      </w:r>
    </w:p>
    <w:p>
      <w:pPr>
        <w:spacing w:after="0" w:line="170" w:lineRule="exact"/>
        <w:rPr>
          <w:rFonts w:ascii="Arial" w:cs="Arial" w:eastAsia="Arial" w:hAnsi="Arial"/>
          <w:sz w:val="18"/>
          <w:szCs w:val="18"/>
          <w:color w:val="auto"/>
        </w:rPr>
      </w:pPr>
    </w:p>
    <w:p>
      <w:pPr>
        <w:ind w:left="-460" w:right="4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70" w:lineRule="exact"/>
        <w:rPr>
          <w:rFonts w:ascii="Arial" w:cs="Arial" w:eastAsia="Arial" w:hAnsi="Arial"/>
          <w:sz w:val="18"/>
          <w:szCs w:val="18"/>
          <w:color w:val="auto"/>
        </w:rPr>
      </w:pPr>
    </w:p>
    <w:p>
      <w:pPr>
        <w:ind w:left="-460" w:right="6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from precautionary filing of Uniform Commercial Code financing statements in connection with operating leases or purchase or consignment of goods;</w:t>
      </w:r>
    </w:p>
    <w:p>
      <w:pPr>
        <w:spacing w:after="0" w:line="170" w:lineRule="exact"/>
        <w:rPr>
          <w:rFonts w:ascii="Arial" w:cs="Arial" w:eastAsia="Arial" w:hAnsi="Arial"/>
          <w:sz w:val="18"/>
          <w:szCs w:val="18"/>
          <w:color w:val="auto"/>
        </w:rPr>
      </w:pPr>
    </w:p>
    <w:p>
      <w:pPr>
        <w:ind w:left="-460" w:right="120" w:firstLine="644"/>
        <w:spacing w:after="0" w:line="263"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 banking institution arising as a matter of law encumbering deposits (including, without limitation, rights of set-off and credit balances) with respect to deposit accounts (as defined under the Uniform Commercial Code) that are within the general parameters customary to the banking industry;</w:t>
      </w:r>
    </w:p>
    <w:p>
      <w:pPr>
        <w:spacing w:after="0" w:line="183" w:lineRule="exact"/>
        <w:rPr>
          <w:rFonts w:ascii="Arial" w:cs="Arial" w:eastAsia="Arial" w:hAnsi="Arial"/>
          <w:sz w:val="18"/>
          <w:szCs w:val="18"/>
          <w:color w:val="auto"/>
        </w:rPr>
      </w:pPr>
    </w:p>
    <w:p>
      <w:pPr>
        <w:ind w:left="-460" w:right="40" w:firstLine="644"/>
        <w:spacing w:after="0" w:line="286" w:lineRule="auto"/>
        <w:tabs>
          <w:tab w:leader="none" w:pos="9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judgment Liens incurred as a result of a judgment by a court of competent jurisdiction that does not otherwise give rise to an Event of Default under this Indenture, so long as any appropriate legal proceedings which may have been duly initiated for the appeal or review of such judgment shall not have been terminated or the period within which such proceedings may be initiated shall not have expired;</w:t>
      </w:r>
    </w:p>
    <w:p>
      <w:pPr>
        <w:spacing w:after="0" w:line="165" w:lineRule="exact"/>
        <w:rPr>
          <w:rFonts w:ascii="Arial" w:cs="Arial" w:eastAsia="Arial" w:hAnsi="Arial"/>
          <w:sz w:val="17"/>
          <w:szCs w:val="17"/>
          <w:color w:val="auto"/>
        </w:rPr>
      </w:pPr>
    </w:p>
    <w:p>
      <w:pPr>
        <w:ind w:left="-460" w:right="620" w:firstLine="644"/>
        <w:spacing w:after="0" w:line="34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Liens securing Indebtedness of Foreign Subsidiaries that are Restricted Subsidiaries incurred pursuant to clause (13) of Section 4.09(b)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extend only to the assets of Foreign Subsidiaries that are Restricted Subsidiaries;</w:t>
      </w:r>
    </w:p>
    <w:p>
      <w:pPr>
        <w:spacing w:after="0" w:line="123" w:lineRule="exact"/>
        <w:rPr>
          <w:rFonts w:ascii="Arial" w:cs="Arial" w:eastAsia="Arial" w:hAnsi="Arial"/>
          <w:sz w:val="16"/>
          <w:szCs w:val="16"/>
          <w:color w:val="auto"/>
        </w:rPr>
      </w:pPr>
    </w:p>
    <w:p>
      <w:pPr>
        <w:ind w:left="-460" w:right="28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Equity Interests deemed to exist in connection with any options, put and call agreements, rights of first refusal and similar rights relating to Investments in Persons that are not Subsidiaries under this Indenture;</w:t>
      </w:r>
    </w:p>
    <w:p>
      <w:pPr>
        <w:spacing w:after="0" w:line="170" w:lineRule="exact"/>
        <w:rPr>
          <w:rFonts w:ascii="Arial" w:cs="Arial" w:eastAsia="Arial" w:hAnsi="Arial"/>
          <w:sz w:val="18"/>
          <w:szCs w:val="18"/>
          <w:color w:val="auto"/>
        </w:rPr>
      </w:pPr>
    </w:p>
    <w:p>
      <w:pPr>
        <w:ind w:left="-460" w:right="520" w:firstLine="644"/>
        <w:spacing w:after="0" w:line="34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Liens on property or assets securing Indebtedness used to defease or to satisfy and discharge the Notes in their entirety;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incurrence of such Indebtedness and such defeasance and satisfaction and discharge were not prohibited by this Indenture;</w:t>
      </w:r>
    </w:p>
    <w:p>
      <w:pPr>
        <w:spacing w:after="0" w:line="123" w:lineRule="exact"/>
        <w:rPr>
          <w:rFonts w:ascii="Arial" w:cs="Arial" w:eastAsia="Arial" w:hAnsi="Arial"/>
          <w:sz w:val="16"/>
          <w:szCs w:val="16"/>
          <w:color w:val="auto"/>
        </w:rPr>
      </w:pPr>
    </w:p>
    <w:p>
      <w:pPr>
        <w:ind w:left="-460" w:right="500" w:firstLine="644"/>
        <w:spacing w:after="0" w:line="308" w:lineRule="auto"/>
        <w:tabs>
          <w:tab w:leader="none" w:pos="9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deposits made in the ordinary course of business to secure liability insurance carriers and Liens on insurance proceeds or unearned premiums incurred in the ordinary course of business in connection with the financing of insurance premiums;</w:t>
      </w:r>
    </w:p>
    <w:p>
      <w:pPr>
        <w:spacing w:after="0" w:line="146" w:lineRule="exact"/>
        <w:rPr>
          <w:rFonts w:ascii="Arial" w:cs="Arial" w:eastAsia="Arial" w:hAnsi="Arial"/>
          <w:sz w:val="17"/>
          <w:szCs w:val="17"/>
          <w:color w:val="auto"/>
        </w:rPr>
      </w:pPr>
    </w:p>
    <w:p>
      <w:pPr>
        <w:ind w:left="-460" w:right="80" w:firstLine="644"/>
        <w:spacing w:after="0" w:line="263"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pledges or deposits under workers’ compensation laws, unemployment insurance laws or similar legislation, or good faith deposits in connection with bids, tenders, contracts (other than for payment of Indebtedness) or leases to which the Company or any Subsidiary of the Company is a party;</w:t>
      </w:r>
    </w:p>
    <w:p>
      <w:pPr>
        <w:spacing w:after="0" w:line="183" w:lineRule="exact"/>
        <w:rPr>
          <w:rFonts w:ascii="Arial" w:cs="Arial" w:eastAsia="Arial" w:hAnsi="Arial"/>
          <w:sz w:val="18"/>
          <w:szCs w:val="18"/>
          <w:color w:val="auto"/>
        </w:rPr>
      </w:pPr>
    </w:p>
    <w:p>
      <w:pPr>
        <w:ind w:left="-460" w:firstLine="644"/>
        <w:spacing w:after="0" w:line="277" w:lineRule="auto"/>
        <w:tabs>
          <w:tab w:leader="none" w:pos="9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$25.0 million at any one time outstanding;</w:t>
      </w:r>
    </w:p>
    <w:p>
      <w:pPr>
        <w:spacing w:after="0" w:line="38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ind w:left="-460" w:right="70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and pledges of the assets or Capital Stock of any Unrestricted Subsidiary securing any Indebtedness or other obligations of such Unrestricted Subsidiary;</w:t>
      </w:r>
    </w:p>
    <w:p>
      <w:pPr>
        <w:spacing w:after="0" w:line="170" w:lineRule="exact"/>
        <w:rPr>
          <w:rFonts w:ascii="Arial" w:cs="Arial" w:eastAsia="Arial" w:hAnsi="Arial"/>
          <w:sz w:val="18"/>
          <w:szCs w:val="18"/>
          <w:color w:val="auto"/>
        </w:rPr>
      </w:pPr>
    </w:p>
    <w:p>
      <w:pPr>
        <w:ind w:left="-460" w:right="48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relating to pooled deposit or sweep accounts to permit satisfaction of overdraft, cash pooling or similar obligations incurred in the ordinary course of business;</w:t>
      </w:r>
    </w:p>
    <w:p>
      <w:pPr>
        <w:spacing w:after="0" w:line="170" w:lineRule="exact"/>
        <w:rPr>
          <w:rFonts w:ascii="Arial" w:cs="Arial" w:eastAsia="Arial" w:hAnsi="Arial"/>
          <w:sz w:val="18"/>
          <w:szCs w:val="18"/>
          <w:color w:val="auto"/>
        </w:rPr>
      </w:pPr>
    </w:p>
    <w:p>
      <w:pPr>
        <w:ind w:left="-460" w:right="120" w:firstLine="644"/>
        <w:spacing w:after="0" w:line="277" w:lineRule="auto"/>
        <w:tabs>
          <w:tab w:leader="none" w:pos="9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in the ordinary course of business;</w:t>
      </w:r>
    </w:p>
    <w:p>
      <w:pPr>
        <w:spacing w:after="0" w:line="170" w:lineRule="exact"/>
        <w:rPr>
          <w:rFonts w:ascii="Arial" w:cs="Arial" w:eastAsia="Arial" w:hAnsi="Arial"/>
          <w:sz w:val="18"/>
          <w:szCs w:val="18"/>
          <w:color w:val="auto"/>
        </w:rPr>
      </w:pPr>
    </w:p>
    <w:p>
      <w:pPr>
        <w:ind w:left="-460" w:right="180" w:firstLine="644"/>
        <w:spacing w:after="0" w:line="263"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made in the ordinary course of business and entered into for bona fide hedging purposes (and not for speculative purposes) as determined in good faith by the Board of Directors or senior management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Hedging Obligations are permitted under this Indenture;</w:t>
      </w:r>
    </w:p>
    <w:p>
      <w:pPr>
        <w:spacing w:after="0" w:line="183" w:lineRule="exact"/>
        <w:rPr>
          <w:rFonts w:ascii="Arial" w:cs="Arial" w:eastAsia="Arial" w:hAnsi="Arial"/>
          <w:sz w:val="18"/>
          <w:szCs w:val="18"/>
          <w:color w:val="auto"/>
        </w:rPr>
      </w:pPr>
    </w:p>
    <w:p>
      <w:pPr>
        <w:ind w:left="-460" w:right="160" w:firstLine="644"/>
        <w:spacing w:after="0" w:line="263"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incurred by the Company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any such Lien is incurred, the obligations secured by such Lien, when added to all other obligations secured by Liens incurred pursuant to this clause (29), shall not exceed the greater of (x) $100.0 million and (y) 5.0% of Total Assets;</w:t>
      </w:r>
    </w:p>
    <w:p>
      <w:pPr>
        <w:spacing w:after="0" w:line="183" w:lineRule="exact"/>
        <w:rPr>
          <w:rFonts w:ascii="Arial" w:cs="Arial" w:eastAsia="Arial" w:hAnsi="Arial"/>
          <w:sz w:val="18"/>
          <w:szCs w:val="18"/>
          <w:color w:val="auto"/>
        </w:rPr>
      </w:pPr>
    </w:p>
    <w:p>
      <w:pPr>
        <w:ind w:left="940" w:hanging="756"/>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Liens deemed to exist in connection with Investments in repurchase agreements that constitute Permitted Investments;</w:t>
      </w:r>
    </w:p>
    <w:p>
      <w:pPr>
        <w:spacing w:after="0" w:line="236" w:lineRule="exact"/>
        <w:rPr>
          <w:rFonts w:ascii="Arial" w:cs="Arial" w:eastAsia="Arial" w:hAnsi="Arial"/>
          <w:sz w:val="17"/>
          <w:szCs w:val="17"/>
          <w:color w:val="auto"/>
        </w:rPr>
      </w:pPr>
    </w:p>
    <w:p>
      <w:pPr>
        <w:ind w:left="-460" w:right="140" w:firstLine="644"/>
        <w:spacing w:after="0" w:line="259"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Indebtedness under any economic development incentive program from any State or any subdivision (including any city or county) permitted under clause (20) of the definition of “Permitted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any property located in such State or subdivision giving rise to the Company’s business development activities and such incentive program;</w:t>
      </w:r>
    </w:p>
    <w:p>
      <w:pPr>
        <w:spacing w:after="0" w:line="186" w:lineRule="exact"/>
        <w:rPr>
          <w:rFonts w:ascii="Arial" w:cs="Arial" w:eastAsia="Arial" w:hAnsi="Arial"/>
          <w:sz w:val="18"/>
          <w:szCs w:val="18"/>
          <w:color w:val="auto"/>
        </w:rPr>
      </w:pPr>
    </w:p>
    <w:p>
      <w:pPr>
        <w:ind w:left="940" w:hanging="756"/>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securing Indebtedness permitted under clause (22) of the definition of “Permitted Debt”;</w:t>
      </w:r>
    </w:p>
    <w:p>
      <w:pPr>
        <w:spacing w:after="0" w:line="225" w:lineRule="exact"/>
        <w:rPr>
          <w:rFonts w:ascii="Arial" w:cs="Arial" w:eastAsia="Arial" w:hAnsi="Arial"/>
          <w:sz w:val="18"/>
          <w:szCs w:val="18"/>
          <w:color w:val="auto"/>
        </w:rPr>
      </w:pPr>
    </w:p>
    <w:p>
      <w:pPr>
        <w:ind w:left="-460" w:right="28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and in the ordinary course of business to secure payment of customs duties in connection with the importation of goods;</w:t>
      </w:r>
    </w:p>
    <w:p>
      <w:pPr>
        <w:spacing w:after="0" w:line="170" w:lineRule="exact"/>
        <w:rPr>
          <w:rFonts w:ascii="Arial" w:cs="Arial" w:eastAsia="Arial" w:hAnsi="Arial"/>
          <w:sz w:val="18"/>
          <w:szCs w:val="18"/>
          <w:color w:val="auto"/>
        </w:rPr>
      </w:pPr>
    </w:p>
    <w:p>
      <w:pPr>
        <w:ind w:left="-460" w:right="12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solely on cash earnest money deposits made by the Company or any Restricted Subsidiary in connection with any letter of intent or purchase agreement relating to a Permitted Investment;</w:t>
      </w:r>
    </w:p>
    <w:p>
      <w:pPr>
        <w:spacing w:after="0" w:line="170" w:lineRule="exact"/>
        <w:rPr>
          <w:rFonts w:ascii="Arial" w:cs="Arial" w:eastAsia="Arial" w:hAnsi="Arial"/>
          <w:sz w:val="18"/>
          <w:szCs w:val="18"/>
          <w:color w:val="auto"/>
        </w:rPr>
      </w:pPr>
    </w:p>
    <w:p>
      <w:pPr>
        <w:ind w:left="-460" w:right="56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deposits and other amounts held in escrow to secure contractual payments (continent or otherwise) payable by Company or any Restricted Subsidiary to a seller after the consummation of a Permitted Investment;</w:t>
      </w:r>
    </w:p>
    <w:p>
      <w:pPr>
        <w:spacing w:after="0" w:line="170" w:lineRule="exact"/>
        <w:rPr>
          <w:rFonts w:ascii="Arial" w:cs="Arial" w:eastAsia="Arial" w:hAnsi="Arial"/>
          <w:sz w:val="18"/>
          <w:szCs w:val="18"/>
          <w:color w:val="auto"/>
        </w:rPr>
      </w:pPr>
    </w:p>
    <w:p>
      <w:pPr>
        <w:ind w:left="-460" w:right="4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in respect to unearned premiums on insurance policies and the proceeds thereof securing the financing of premiums with respect thereto permitted under clause (23)(i) of the definition of “Permitted Debt”;</w:t>
      </w:r>
    </w:p>
    <w:p>
      <w:pPr>
        <w:spacing w:after="0" w:line="170" w:lineRule="exact"/>
        <w:rPr>
          <w:rFonts w:ascii="Arial" w:cs="Arial" w:eastAsia="Arial" w:hAnsi="Arial"/>
          <w:sz w:val="18"/>
          <w:szCs w:val="18"/>
          <w:color w:val="auto"/>
        </w:rPr>
      </w:pPr>
    </w:p>
    <w:p>
      <w:pPr>
        <w:ind w:left="-460" w:firstLine="644"/>
        <w:spacing w:after="0" w:line="277"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not released, terminated or satisfied of record to the extent the underlying obligation purporting to be secured thereby has been paid or satisfied in full and any obligation to extend credit with respect thereto extinguished;</w:t>
      </w:r>
    </w:p>
    <w:p>
      <w:pPr>
        <w:spacing w:after="0" w:line="170" w:lineRule="exact"/>
        <w:rPr>
          <w:rFonts w:ascii="Arial" w:cs="Arial" w:eastAsia="Arial" w:hAnsi="Arial"/>
          <w:sz w:val="18"/>
          <w:szCs w:val="18"/>
          <w:color w:val="auto"/>
        </w:rPr>
      </w:pPr>
    </w:p>
    <w:p>
      <w:pPr>
        <w:ind w:left="980" w:hanging="796"/>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any of the Restricted Subsidiaries are located;</w:t>
      </w:r>
    </w:p>
    <w:p>
      <w:pPr>
        <w:spacing w:after="0" w:line="200" w:lineRule="exact"/>
        <w:rPr>
          <w:sz w:val="20"/>
          <w:szCs w:val="20"/>
          <w:color w:val="auto"/>
        </w:rPr>
      </w:pPr>
    </w:p>
    <w:p>
      <w:pPr>
        <w:spacing w:after="0" w:line="2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32" w:name="page33"/>
    <w:bookmarkEnd w:id="32"/>
    <w:p>
      <w:pPr>
        <w:jc w:val="both"/>
        <w:ind w:left="660" w:right="160" w:firstLine="644"/>
        <w:spacing w:after="0" w:line="342" w:lineRule="auto"/>
        <w:tabs>
          <w:tab w:leader="none" w:pos="18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leases or subleases, and licenses or sublicenses (including with respect to intellectual property) granted to others in the ordinary course of business, and Liens on real property which is not owned but is leased or subleased by the Company or any Restricted Subsidiary; and</w:t>
      </w:r>
    </w:p>
    <w:p>
      <w:pPr>
        <w:spacing w:after="0" w:line="123" w:lineRule="exact"/>
        <w:rPr>
          <w:rFonts w:ascii="Arial" w:cs="Arial" w:eastAsia="Arial" w:hAnsi="Arial"/>
          <w:sz w:val="16"/>
          <w:szCs w:val="16"/>
          <w:color w:val="auto"/>
        </w:rPr>
      </w:pPr>
    </w:p>
    <w:p>
      <w:pPr>
        <w:ind w:left="660" w:right="20" w:firstLine="644"/>
        <w:spacing w:after="0" w:line="277" w:lineRule="auto"/>
        <w:tabs>
          <w:tab w:leader="none" w:pos="18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that are contractual rights of set-off relating to purchase orders and other agreements entered into with customers, suppliers or service providers of the Company or any Restricted Subsidiary in the ordinary course of business.</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extend,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left="660" w:right="60" w:firstLine="644"/>
        <w:spacing w:after="0" w:line="311" w:lineRule="auto"/>
        <w:tabs>
          <w:tab w:leader="none" w:pos="205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renewed, refunded, refinanced, replaced, defeased or discharged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all accrued interest on the Indebtedness and the amount of all fees and expenses, including premiums, incurred in connection therewith);</w:t>
      </w:r>
    </w:p>
    <w:p>
      <w:pPr>
        <w:spacing w:after="0" w:line="148" w:lineRule="exact"/>
        <w:rPr>
          <w:rFonts w:ascii="Arial" w:cs="Arial" w:eastAsia="Arial" w:hAnsi="Arial"/>
          <w:sz w:val="16"/>
          <w:szCs w:val="16"/>
          <w:color w:val="auto"/>
        </w:rPr>
      </w:pPr>
    </w:p>
    <w:p>
      <w:pPr>
        <w:ind w:left="660" w:right="40" w:firstLine="644"/>
        <w:spacing w:after="0" w:line="263"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renewed, refunded, refinanced, replaced, defeased or discharged;</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Indebtedness being extended, renewed, refunded, refinanced, replaced, defeased or discharged is subordinated in right of payment to the Notes, such Permitted Refinancing Indebtedness is subordinated in right of payment to, the Notes on terms at least as favorable to the Holders of Notes as those contained in the documentation governing the Indebtedness being extended, renewed, refunded, refinanced, replaced, defeased or discharged; and</w:t>
      </w:r>
    </w:p>
    <w:p>
      <w:pPr>
        <w:spacing w:after="0" w:line="186" w:lineRule="exact"/>
        <w:rPr>
          <w:rFonts w:ascii="Arial" w:cs="Arial" w:eastAsia="Arial" w:hAnsi="Arial"/>
          <w:sz w:val="18"/>
          <w:szCs w:val="18"/>
          <w:color w:val="auto"/>
        </w:rPr>
      </w:pPr>
    </w:p>
    <w:p>
      <w:pPr>
        <w:ind w:left="660" w:right="200" w:firstLine="644"/>
        <w:spacing w:after="0" w:line="277" w:lineRule="auto"/>
        <w:tabs>
          <w:tab w:leader="none" w:pos="20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extended, renewed, refunded, refinanced, replaced, defeased or discharged.</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Warrant Transaction</w:t>
      </w:r>
      <w:r>
        <w:rPr>
          <w:rFonts w:ascii="Arial" w:cs="Arial" w:eastAsia="Arial" w:hAnsi="Arial"/>
          <w:sz w:val="18"/>
          <w:szCs w:val="18"/>
          <w:color w:val="auto"/>
        </w:rPr>
        <w:t>” means any call option, warrant or right to purchase (or similar transaction), on the Company’s or a Restricted Subsidiary’s Equity Interests, regardless of the issuer or seller thereof, issued substantially concurrently with any purchase of a related Permitted Bond Hedge Transaction.</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Post-Acquisition Period</w:t>
      </w:r>
      <w:r>
        <w:rPr>
          <w:rFonts w:ascii="Arial" w:cs="Arial" w:eastAsia="Arial" w:hAnsi="Arial"/>
          <w:sz w:val="17"/>
          <w:szCs w:val="17"/>
          <w:color w:val="auto"/>
        </w:rPr>
        <w:t>” means, with respect to any Permitted Acquisition or the conversion of any Unrestricted Subsidiary into a Restricted Subsidiary, the period beginning on the date such Permitted Acquisition or conversion is consummated and ending on the last day of the fourth full consecutive fiscal quarter immediately following the date on which such Permitted Acquisition or conversion is consummated.</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Legend</w:t>
      </w:r>
      <w:r>
        <w:rPr>
          <w:rFonts w:ascii="Arial" w:cs="Arial" w:eastAsia="Arial" w:hAnsi="Arial"/>
          <w:sz w:val="18"/>
          <w:szCs w:val="18"/>
          <w:color w:val="auto"/>
        </w:rPr>
        <w:t>” means the legend set forth in Section 2.06(f)(1) to be placed on all Notes issued under this Indenture except where otherwise permitted by the provisions of this Indenture.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sectPr>
      </w:pPr>
    </w:p>
    <w:bookmarkStart w:id="33" w:name="page34"/>
    <w:bookmarkEnd w:id="33"/>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Forma Adjustment</w:t>
      </w:r>
      <w:r>
        <w:rPr>
          <w:rFonts w:ascii="Arial" w:cs="Arial" w:eastAsia="Arial" w:hAnsi="Arial"/>
          <w:sz w:val="16"/>
          <w:szCs w:val="16"/>
          <w:color w:val="auto"/>
        </w:rPr>
        <w:t>” means, for any four consecutive fiscal quarter period that includes all or any part of a fiscal quarter included in any Post-Acquisition Period, with respect to the Acquired EBITDA of the applicable Acquired Entity or converted Restricted Subsidiary or the Consolidated EBITDA, (a) the pro forma increase or decrease in such Acquired EBITDA or such Consolidated EBITDA, as the case may be, that is expected to have a continuing impact and (b) additional good faith pro forma adjustments arising out of cost savings initiatives attributable to such transaction and additional costs associated with the combination of the operations of such Acquired Entity or converted Restricted Subsidiary with the operations of the Company and its Restricted Subsidiaries, in each case being given pro forma effect, which actions (i) have been taken or (ii) will be taken or implemented within the succeeding twelve (12) months following such transaction and, in each case, including, but not limited to, (w) reduction in personnel expenses,</w:t>
      </w:r>
    </w:p>
    <w:p>
      <w:pPr>
        <w:spacing w:after="0" w:line="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reduction of costs related to administrative functions, (y) reductions of costs related to leased or owned properties and (z) reductions from the</w:t>
      </w:r>
    </w:p>
    <w:p>
      <w:pPr>
        <w:spacing w:after="0" w:line="20"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consolidation of operations and streamlining of corporate overhead) taking into account, for purposes of determining such compliance, the historical financial statements of the Acquired Entity or converted Restricted Subsidiary and the consolidated financial statements of the Company and its Restricted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provided that, so long as such actions are initiated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 consecutive fiscal quarter period, or such additional costs, as applicable, will be incurred during the entirety of such four consecutive fiscal quarter period; provided further that all such anticipated adjustments for cost savings shall not exceed in the aggregate, for any four consecutive fiscal quarters, an amount equal to 15% of Consolidated EBITDA for such four fiscal quarter period before giving effect to such cost savings; provided further that at the election of the Company, such Pro Forma Adjustment shall not be required to be determined for any Acquired Entity or converted Restricted Subsidiary to the extent the aggregate consideration paid in connection with such acquisition was less than $5.0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Interests</w:t>
      </w:r>
      <w:r>
        <w:rPr>
          <w:rFonts w:ascii="Arial" w:cs="Arial" w:eastAsia="Arial" w:hAnsi="Arial"/>
          <w:sz w:val="18"/>
          <w:szCs w:val="18"/>
          <w:color w:val="auto"/>
        </w:rPr>
        <w:t>” means any Equity Interests that are not Disqualified Stock.</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Rating Agencies</w:t>
      </w:r>
      <w:r>
        <w:rPr>
          <w:rFonts w:ascii="Arial" w:cs="Arial" w:eastAsia="Arial" w:hAnsi="Arial"/>
          <w:sz w:val="16"/>
          <w:szCs w:val="16"/>
          <w:color w:val="auto"/>
        </w:rPr>
        <w:t>” means (i) each of Moody’s and S&amp;P, and (ii) if Moody’s or S&amp;P ceases to rate the Notes for reasons outside of the Company’s control, a nationally recognized rating agency or agencies selected by the Company as a replacement agency for Moody’s or S&amp;P, as the case may be.</w:t>
      </w:r>
    </w:p>
    <w:p>
      <w:pPr>
        <w:spacing w:after="0" w:line="12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Regulated Bank</w:t>
      </w:r>
      <w:r>
        <w:rPr>
          <w:rFonts w:ascii="Arial" w:cs="Arial" w:eastAsia="Arial" w:hAnsi="Arial"/>
          <w:sz w:val="17"/>
          <w:szCs w:val="17"/>
          <w:color w:val="auto"/>
        </w:rPr>
        <w:t>” means (x)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Regulation S Global Note</w:t>
      </w:r>
      <w:r>
        <w:rPr>
          <w:rFonts w:ascii="Arial" w:cs="Arial" w:eastAsia="Arial" w:hAnsi="Arial"/>
          <w:sz w:val="17"/>
          <w:szCs w:val="17"/>
          <w:color w:val="auto"/>
        </w:rPr>
        <w:t>” means a Global Note substantially in the form of Exhibit A hereto bearing the Global Note Legend, Private Placement Legend and Regulation S Legend and deposited with or on behalf of and registered in the name of the Depositary or its nominee, issued in a denomination equal to the outstanding principal amount of the Notes sold in reliance on Rule 903 of Regulation 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S Legend</w:t>
      </w:r>
      <w:r>
        <w:rPr>
          <w:rFonts w:ascii="Arial" w:cs="Arial" w:eastAsia="Arial" w:hAnsi="Arial"/>
          <w:sz w:val="18"/>
          <w:szCs w:val="18"/>
          <w:color w:val="auto"/>
        </w:rPr>
        <w:t>” means the legend set forth in Section 2.06(f)(3), which is required to be placed on all Regulation S Global Notes issued under this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Assets</w:t>
      </w:r>
      <w:r>
        <w:rPr>
          <w:rFonts w:ascii="Arial" w:cs="Arial" w:eastAsia="Arial" w:hAnsi="Arial"/>
          <w:sz w:val="18"/>
          <w:szCs w:val="18"/>
          <w:color w:val="auto"/>
        </w:rPr>
        <w:t>” means, on any date, property or assets (other than current assets that are not purchased accounts receivable) of a nature or type or that are used in a Permitted Business (or an Investment in a Permitted Business), which shall include the controlling or majority equity interest in any Person engaged in a Permitted Business.</w:t>
      </w:r>
    </w:p>
    <w:p>
      <w:pPr>
        <w:spacing w:after="0" w:line="18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means, when used with respect to the Trustee, any officer within the corporate trust office of the Trustee designated in Section 12.01 of this Indenture having direct responsibility for the administration of this Indenture, or to whom any corporate trust matter is referred because of such person’s knowledge of and familiarity with the particular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Subsidiary</w:t>
      </w:r>
      <w:r>
        <w:rPr>
          <w:rFonts w:ascii="Arial" w:cs="Arial" w:eastAsia="Arial" w:hAnsi="Arial"/>
          <w:sz w:val="17"/>
          <w:szCs w:val="17"/>
          <w:color w:val="auto"/>
        </w:rPr>
        <w:t>” of a Person means any direct or indirect Subsidiary of the referent Person that is not an Unrestricted Subsidiary.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 division of S&amp;P Global, Inc.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Screened Affiliate</w:t>
      </w:r>
      <w:r>
        <w:rPr>
          <w:rFonts w:ascii="Arial" w:cs="Arial" w:eastAsia="Arial" w:hAnsi="Arial"/>
          <w:sz w:val="17"/>
          <w:szCs w:val="17"/>
          <w:color w:val="auto"/>
        </w:rPr>
        <w:t>” means any Affiliate of a Holder of the Notes (i) that makes investment decisions independently from such Holder of the Notes and any other Affiliate of such Holder of the Notes that is not a Screened Affiliate, (ii) that has in place customary information screens between it and such Holder of the Notes and any other Affiliate of such Holder of the Notes that is not a Screened Affiliate and such screens prohibit the sharing of information with respect to the Company or its Subsidiaries, (iii) whose investment policies are not directed by such Holder of the Notes or any other Affiliate of such Holder of the Notes that is acting in concert with such Holder of the Notes in connection with its investment in the Notes, and (iv) whose investment decisions are not influenced by the investment decisions of such Holder of the Notes or any other Affiliate of such Holder of the Notes that is acting in concert with such Holders of the Notes in connection with its investment in the Notes.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Indebtedness</w:t>
      </w:r>
      <w:r>
        <w:rPr>
          <w:rFonts w:ascii="Arial" w:cs="Arial" w:eastAsia="Arial" w:hAnsi="Arial"/>
          <w:sz w:val="16"/>
          <w:szCs w:val="16"/>
          <w:color w:val="auto"/>
        </w:rPr>
        <w:t>” means as of any date of determination, for the Company and its Restricted Subsidiaries on a consolidated basis, all Consolidated Funded Indebtedness as of such date that is secured by a Lien on any assets of the Company or any of its Restricted Subsidiaries.</w:t>
      </w:r>
    </w:p>
    <w:p>
      <w:pPr>
        <w:spacing w:after="0" w:line="12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Secured Leverage Ratio</w:t>
      </w:r>
      <w:r>
        <w:rPr>
          <w:rFonts w:ascii="Arial" w:cs="Arial" w:eastAsia="Arial" w:hAnsi="Arial"/>
          <w:sz w:val="16"/>
          <w:szCs w:val="16"/>
          <w:color w:val="auto"/>
        </w:rPr>
        <w:t>” means, as of any date of determination, the ratio of (a) (i) Secured Indebtedness as of such date minus (ii) all Unrestricted Cash and Cash Equivalents as of such date, to (b) Consolidated EBITDA for the most recently completed Measurement Period.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Short Derivative Instrument</w:t>
      </w:r>
      <w:r>
        <w:rPr>
          <w:rFonts w:ascii="Arial" w:cs="Arial" w:eastAsia="Arial" w:hAnsi="Arial"/>
          <w:sz w:val="17"/>
          <w:szCs w:val="17"/>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35" w:name="page36"/>
    <w:bookmarkEnd w:id="35"/>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Disposition</w:t>
      </w:r>
      <w:r>
        <w:rPr>
          <w:rFonts w:ascii="Arial" w:cs="Arial" w:eastAsia="Arial" w:hAnsi="Arial"/>
          <w:sz w:val="18"/>
          <w:szCs w:val="18"/>
          <w:color w:val="auto"/>
        </w:rPr>
        <w:t>” means any Asset Sale having gross sales proceeds in excess of $35.0 million.</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Specified Transaction</w:t>
      </w:r>
      <w:r>
        <w:rPr>
          <w:rFonts w:ascii="Arial" w:cs="Arial" w:eastAsia="Arial" w:hAnsi="Arial"/>
          <w:sz w:val="16"/>
          <w:szCs w:val="16"/>
          <w:color w:val="auto"/>
        </w:rPr>
        <w:t>” means any Investment, disposition, incurrence or repayment of Indebtedness, Restricted Payment or Subsidiary designation that by the terms of this Indenture requires a test to be calculated on a “pro forma basis” or after giving “pro forma effect.”</w:t>
      </w:r>
    </w:p>
    <w:p>
      <w:pPr>
        <w:spacing w:after="0" w:line="12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the payment of interest or principal was scheduled to be paid in the documentation governing such Indebtedness, and shall not include any contingent obligations to repay, redeem or repurchase any such interest or principal prior to the date originally scheduled for the payment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660" w:right="200" w:firstLine="644"/>
        <w:spacing w:after="0" w:line="257" w:lineRule="auto"/>
        <w:tabs>
          <w:tab w:leader="none" w:pos="20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18"/>
          <w:szCs w:val="18"/>
          <w:color w:val="auto"/>
        </w:rPr>
      </w:pPr>
    </w:p>
    <w:p>
      <w:pPr>
        <w:ind w:left="660" w:right="260" w:firstLine="644"/>
        <w:spacing w:after="0" w:line="342" w:lineRule="auto"/>
        <w:tabs>
          <w:tab w:leader="none" w:pos="20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Swap Termination Value</w:t>
      </w:r>
      <w:r>
        <w:rPr>
          <w:rFonts w:ascii="Arial" w:cs="Arial" w:eastAsia="Arial" w:hAnsi="Arial"/>
          <w:sz w:val="16"/>
          <w:szCs w:val="16"/>
          <w:color w:val="auto"/>
        </w:rPr>
        <w:t>” means, in respect of any one or more Hedge Agreement,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amount(s) determined as the mark-to-market value(s) for such Hedge Agreements, as determined based upon one or more mid-market or other readily available quotations provided by any recognized dealer in such Hedge Agreements.</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Restricted Subsidiaries in accordance with GAAP.</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Synthetic Lease Obligation</w:t>
      </w:r>
      <w:r>
        <w:rPr>
          <w:rFonts w:ascii="Arial" w:cs="Arial" w:eastAsia="Arial" w:hAnsi="Arial"/>
          <w:sz w:val="18"/>
          <w:szCs w:val="18"/>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insolvency or bankruptcy of such Person, would be characterized as the indebtedness of such Person (without regard to accounting treatment).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TIA</w:t>
      </w:r>
      <w:r>
        <w:rPr>
          <w:rFonts w:ascii="Arial" w:cs="Arial" w:eastAsia="Arial" w:hAnsi="Arial"/>
          <w:sz w:val="18"/>
          <w:szCs w:val="18"/>
          <w:color w:val="auto"/>
        </w:rPr>
        <w:t>” means the Trust Indenture Act of 1939, as amended (15 U.S.C. § § 77aaa 77bbbb).</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Assets</w:t>
      </w:r>
      <w:r>
        <w:rPr>
          <w:rFonts w:ascii="Arial" w:cs="Arial" w:eastAsia="Arial" w:hAnsi="Arial"/>
          <w:sz w:val="16"/>
          <w:szCs w:val="16"/>
          <w:color w:val="auto"/>
        </w:rPr>
        <w:t>” means, as of any date of determination, the total assets of the Company and its Restricted Subsidiaries on a consolidated basis, as shown on the most recent balance sheet of the Company and its Restricted Subsidiaries prepared in accordance with GAAP, after giving pro forma effect to any transaction giving rise to the need to make such calculation (including a pro forma application of the use of proceeds therefrom) on such date.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6" w:name="page37"/>
    <w:bookmarkEnd w:id="36"/>
    <w:p>
      <w:pPr>
        <w:ind w:right="6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Total Leverage Ratio</w:t>
      </w:r>
      <w:r>
        <w:rPr>
          <w:rFonts w:ascii="Arial" w:cs="Arial" w:eastAsia="Arial" w:hAnsi="Arial"/>
          <w:sz w:val="16"/>
          <w:szCs w:val="16"/>
          <w:color w:val="auto"/>
        </w:rPr>
        <w:t xml:space="preserve">” as of any date of determination, the ratio of (a) (i) Consolidated Funded Indebtedness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all Unrestricted Cash and Cash Equivalents as of such date, to (b) Consolidated EBITDA for the most recently completed Measurement Period.</w:t>
      </w:r>
    </w:p>
    <w:p>
      <w:pPr>
        <w:spacing w:after="0" w:line="124"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collectively, the execution and delivery of this Indenture and related documentation, the issuance of the Notes offered hereby, the use of the proceeds thereof and the payment of fees, commissions and expenses in connection with the foregoing.</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xml:space="preserve">” means, as of any date of determination,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most recent Federal Reserve Statistical Release H.15 as of the applicable day during such week (or, if such Statistical Release is no longer published, any publicly available source for similar market data)) most nearly equal to the period from the redemption date to August 15,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August 15, 2023, is not equal to the constant maturity of a United States Treasury security for which such yield is given, the Treasury Rate will be obtained by linear interpolation (calculated to the nearest one-twelfth of a year) from the weekly average yields of United States Treasury securities for which such yields are given, except that if the period from the redemption date to August 15, 2023, is less than one year, the weekly average yield on actively traded United States Treasury securities adjusted to a constant maturity of one year will be used. In each case, the Company or its agent shall obtain the Treasury Rate.</w:t>
      </w:r>
    </w:p>
    <w:p>
      <w:pPr>
        <w:spacing w:after="0" w:line="18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the party named as such in the preamble to this Indenture until a successor replaces it in accordance with the applicable provisions of this Indenture and thereafter means the successor serving hereunder.</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Cash and Cash Equivalents</w:t>
      </w:r>
      <w:r>
        <w:rPr>
          <w:rFonts w:ascii="Arial" w:cs="Arial" w:eastAsia="Arial" w:hAnsi="Arial"/>
          <w:sz w:val="17"/>
          <w:szCs w:val="17"/>
          <w:color w:val="auto"/>
        </w:rPr>
        <w:t>” means, as of any date of determination, 100% of all cash and Cash Equivalents held by the Company and its Restricted Subsidiaries in deposit accounts or securities accounts that are unrestricted and not subject to any Lien (other than a Lien securing the Obligations under the Credit Agreement or a Lien pursuant to clause (4) of the definition of “Permitted Liens”).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Unrestricted Definitive Note</w:t>
      </w:r>
      <w:r>
        <w:rPr>
          <w:rFonts w:ascii="Arial" w:cs="Arial" w:eastAsia="Arial" w:hAnsi="Arial"/>
          <w:sz w:val="17"/>
          <w:szCs w:val="17"/>
          <w:color w:val="auto"/>
        </w:rPr>
        <w:t>” means a Definitive Note that does not bear and is not required to bear the Private Placement Legend.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Unrestricted Subsidiary</w:t>
      </w:r>
      <w:r>
        <w:rPr>
          <w:rFonts w:ascii="Arial" w:cs="Arial" w:eastAsia="Arial" w:hAnsi="Arial"/>
          <w:sz w:val="16"/>
          <w:szCs w:val="16"/>
          <w:color w:val="auto"/>
        </w:rPr>
        <w:t>” means any Subsidiary of the Company (and any Subsidiary of such Subsidiary) that is designated by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of the Company as an Unrestricted Subsidiary pursuant to a resolution of the Board of Directors, but only to the extent that such Subsidiary:</w:t>
      </w:r>
    </w:p>
    <w:p>
      <w:pPr>
        <w:spacing w:after="0" w:line="222" w:lineRule="exact"/>
        <w:rPr>
          <w:sz w:val="20"/>
          <w:szCs w:val="20"/>
          <w:color w:val="auto"/>
        </w:rPr>
      </w:pPr>
    </w:p>
    <w:p>
      <w:pPr>
        <w:ind w:left="2060" w:hanging="756"/>
        <w:spacing w:after="0"/>
        <w:tabs>
          <w:tab w:leader="none" w:pos="2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25" w:lineRule="exact"/>
        <w:rPr>
          <w:rFonts w:ascii="Arial" w:cs="Arial" w:eastAsia="Arial" w:hAnsi="Arial"/>
          <w:sz w:val="18"/>
          <w:szCs w:val="18"/>
          <w:color w:val="auto"/>
        </w:rPr>
      </w:pPr>
    </w:p>
    <w:p>
      <w:pPr>
        <w:ind w:left="660" w:right="160" w:firstLine="644"/>
        <w:spacing w:after="0" w:line="259" w:lineRule="auto"/>
        <w:tabs>
          <w:tab w:leader="none" w:pos="20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186" w:lineRule="exact"/>
        <w:rPr>
          <w:rFonts w:ascii="Arial" w:cs="Arial" w:eastAsia="Arial" w:hAnsi="Arial"/>
          <w:sz w:val="18"/>
          <w:szCs w:val="18"/>
          <w:color w:val="auto"/>
        </w:rPr>
      </w:pPr>
    </w:p>
    <w:p>
      <w:pPr>
        <w:ind w:left="660" w:right="160" w:firstLine="644"/>
        <w:spacing w:after="0" w:line="263" w:lineRule="auto"/>
        <w:tabs>
          <w:tab w:leader="none" w:pos="20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left="660" w:right="200" w:firstLine="644"/>
        <w:spacing w:after="0" w:line="277" w:lineRule="auto"/>
        <w:tabs>
          <w:tab w:leader="none" w:pos="20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 (other than through the pledge of Equity Interests in such Unrestricted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237" w:lineRule="exact"/>
        <w:rPr>
          <w:sz w:val="20"/>
          <w:szCs w:val="20"/>
          <w:color w:val="auto"/>
        </w:rPr>
      </w:pPr>
    </w:p>
    <w:p>
      <w:pPr>
        <w:ind w:left="660" w:right="240" w:firstLine="644"/>
        <w:spacing w:after="0" w:line="286" w:lineRule="auto"/>
        <w:tabs>
          <w:tab w:leader="none" w:pos="205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shall elapse between such date and the making of such payment; by</w:t>
      </w:r>
    </w:p>
    <w:p>
      <w:pPr>
        <w:spacing w:after="0" w:line="165" w:lineRule="exact"/>
        <w:rPr>
          <w:rFonts w:ascii="Arial" w:cs="Arial" w:eastAsia="Arial" w:hAnsi="Arial"/>
          <w:sz w:val="17"/>
          <w:szCs w:val="17"/>
          <w:color w:val="auto"/>
        </w:rPr>
      </w:pPr>
    </w:p>
    <w:p>
      <w:pPr>
        <w:ind w:left="2060" w:hanging="756"/>
        <w:spacing w:after="0"/>
        <w:tabs>
          <w:tab w:leader="none" w:pos="2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Defined in</w:t>
            </w:r>
          </w:p>
        </w:tc>
        <w:tc>
          <w:tcPr>
            <w:tcW w:w="10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2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Section</w:t>
            </w:r>
          </w:p>
        </w:tc>
        <w:tc>
          <w:tcPr>
            <w:tcW w:w="104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7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Acceptable Commitment</w:t>
            </w:r>
            <w:r>
              <w:rPr>
                <w:rFonts w:ascii="Arial" w:cs="Arial" w:eastAsia="Arial" w:hAnsi="Arial"/>
                <w:sz w:val="18"/>
                <w:szCs w:val="18"/>
                <w:color w:val="auto"/>
              </w:rPr>
              <w:t>”</w:t>
            </w:r>
          </w:p>
        </w:tc>
        <w:tc>
          <w:tcPr>
            <w:tcW w:w="3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4.10</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Transaction</w:t>
            </w:r>
            <w:r>
              <w:rPr>
                <w:rFonts w:ascii="Arial" w:cs="Arial" w:eastAsia="Arial" w:hAnsi="Arial"/>
                <w:sz w:val="18"/>
                <w:szCs w:val="18"/>
                <w:color w:val="auto"/>
              </w:rPr>
              <w:t>”</w:t>
            </w:r>
          </w:p>
        </w:tc>
        <w:tc>
          <w:tcPr>
            <w:tcW w:w="5660" w:type="dxa"/>
            <w:vAlign w:val="bottom"/>
            <w:gridSpan w:val="3"/>
          </w:tcPr>
          <w:p>
            <w:pPr>
              <w:jc w:val="center"/>
              <w:ind w:left="3670"/>
              <w:spacing w:after="0"/>
              <w:rPr>
                <w:sz w:val="20"/>
                <w:szCs w:val="20"/>
                <w:color w:val="auto"/>
              </w:rPr>
            </w:pPr>
            <w:r>
              <w:rPr>
                <w:rFonts w:ascii="Arial" w:cs="Arial" w:eastAsia="Arial" w:hAnsi="Arial"/>
                <w:sz w:val="18"/>
                <w:szCs w:val="18"/>
                <w:color w:val="auto"/>
                <w:w w:val="85"/>
              </w:rPr>
              <w:t>4.11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88"/>
              </w:rPr>
              <w:t>12.17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 Offer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Authentication Order</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2.02</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Payment Date</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Defeasance</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8.03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Covenant Suspension Event</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Directing Holder</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Excess Proceeds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Amounts</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Disposition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Incurrence Based Amounts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4.13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Defeasance</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8.02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Noteholder Direction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b w:val="1"/>
                <w:bCs w:val="1"/>
                <w:i w:val="1"/>
                <w:iCs w:val="1"/>
                <w:color w:val="auto"/>
                <w:w w:val="98"/>
              </w:rPr>
              <w:t>Offer Amount</w:t>
            </w:r>
            <w:r>
              <w:rPr>
                <w:rFonts w:ascii="Arial" w:cs="Arial" w:eastAsia="Arial" w:hAnsi="Arial"/>
                <w:sz w:val="18"/>
                <w:szCs w:val="18"/>
                <w:color w:val="auto"/>
                <w:w w:val="98"/>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Period</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i w:val="1"/>
                <w:iCs w:val="1"/>
                <w:color w:val="auto"/>
                <w:w w:val="99"/>
              </w:rPr>
              <w:t>Paying Agent</w:t>
            </w:r>
            <w:r>
              <w:rPr>
                <w:rFonts w:ascii="Arial" w:cs="Arial" w:eastAsia="Arial" w:hAnsi="Arial"/>
                <w:sz w:val="18"/>
                <w:szCs w:val="18"/>
                <w:color w:val="auto"/>
                <w:w w:val="99"/>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Default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i w:val="1"/>
                <w:iCs w:val="1"/>
                <w:color w:val="auto"/>
                <w:w w:val="89"/>
              </w:rPr>
              <w:t>Permitted Debt</w:t>
            </w:r>
            <w:r>
              <w:rPr>
                <w:rFonts w:ascii="Arial" w:cs="Arial" w:eastAsia="Arial" w:hAnsi="Arial"/>
                <w:sz w:val="18"/>
                <w:szCs w:val="18"/>
                <w:color w:val="auto"/>
                <w:w w:val="89"/>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Position Representation</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Purchase Date</w:t>
            </w:r>
            <w:r>
              <w:rPr>
                <w:rFonts w:ascii="Arial" w:cs="Arial" w:eastAsia="Arial" w:hAnsi="Arial"/>
                <w:sz w:val="18"/>
                <w:szCs w:val="18"/>
                <w:color w:val="auto"/>
                <w:w w:val="91"/>
              </w:rPr>
              <w:t>”</w:t>
            </w:r>
          </w:p>
        </w:tc>
        <w:tc>
          <w:tcPr>
            <w:tcW w:w="2400" w:type="dxa"/>
            <w:vAlign w:val="bottom"/>
          </w:tcPr>
          <w:p>
            <w:pPr>
              <w:spacing w:after="0"/>
              <w:rPr>
                <w:sz w:val="18"/>
                <w:szCs w:val="18"/>
                <w:color w:val="auto"/>
              </w:rPr>
            </w:pP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3.08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3.09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Reversion Date</w:t>
            </w:r>
            <w:r>
              <w:rPr>
                <w:rFonts w:ascii="Arial" w:cs="Arial" w:eastAsia="Arial" w:hAnsi="Arial"/>
                <w:sz w:val="18"/>
                <w:szCs w:val="18"/>
                <w:color w:val="auto"/>
                <w:w w:val="88"/>
              </w:rPr>
              <w:t>”</w:t>
            </w:r>
          </w:p>
        </w:tc>
        <w:tc>
          <w:tcPr>
            <w:tcW w:w="2400" w:type="dxa"/>
            <w:vAlign w:val="bottom"/>
            <w:shd w:val="clear" w:color="auto" w:fill="CCEEFF"/>
          </w:tcPr>
          <w:p>
            <w:pPr>
              <w:spacing w:after="0"/>
              <w:rPr>
                <w:sz w:val="18"/>
                <w:szCs w:val="18"/>
                <w:color w:val="auto"/>
              </w:rPr>
            </w:pP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4.07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Suspended Covenants</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5.01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Period</w:t>
            </w:r>
            <w:r>
              <w:rPr>
                <w:rFonts w:ascii="Arial" w:cs="Arial" w:eastAsia="Arial" w:hAnsi="Arial"/>
                <w:sz w:val="18"/>
                <w:szCs w:val="18"/>
                <w:color w:val="auto"/>
              </w:rPr>
              <w:t>”</w:t>
            </w:r>
          </w:p>
        </w:tc>
        <w:tc>
          <w:tcPr>
            <w:tcW w:w="5660" w:type="dxa"/>
            <w:vAlign w:val="bottom"/>
            <w:gridSpan w:val="3"/>
          </w:tcPr>
          <w:p>
            <w:pPr>
              <w:jc w:val="center"/>
              <w:ind w:left="3690"/>
              <w:spacing w:after="0"/>
              <w:rPr>
                <w:sz w:val="20"/>
                <w:szCs w:val="20"/>
                <w:color w:val="auto"/>
              </w:rPr>
            </w:pPr>
            <w:r>
              <w:rPr>
                <w:rFonts w:ascii="Arial" w:cs="Arial" w:eastAsia="Arial" w:hAnsi="Arial"/>
                <w:sz w:val="18"/>
                <w:szCs w:val="18"/>
                <w:color w:val="auto"/>
                <w:w w:val="91"/>
              </w:rPr>
              <w:t>4.20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Verification Covenant</w:t>
            </w:r>
            <w:r>
              <w:rPr>
                <w:rFonts w:ascii="Arial" w:cs="Arial" w:eastAsia="Arial" w:hAnsi="Arial"/>
                <w:sz w:val="18"/>
                <w:szCs w:val="18"/>
                <w:color w:val="auto"/>
              </w:rPr>
              <w:t>”</w:t>
            </w:r>
          </w:p>
        </w:tc>
        <w:tc>
          <w:tcPr>
            <w:tcW w:w="5660" w:type="dxa"/>
            <w:vAlign w:val="bottom"/>
            <w:gridSpan w:val="3"/>
            <w:shd w:val="clear" w:color="auto" w:fill="CCEEFF"/>
          </w:tcPr>
          <w:p>
            <w:pPr>
              <w:jc w:val="center"/>
              <w:ind w:left="3690"/>
              <w:spacing w:after="0"/>
              <w:rPr>
                <w:sz w:val="20"/>
                <w:szCs w:val="20"/>
                <w:color w:val="auto"/>
              </w:rPr>
            </w:pPr>
            <w:r>
              <w:rPr>
                <w:rFonts w:ascii="Arial" w:cs="Arial" w:eastAsia="Arial" w:hAnsi="Arial"/>
                <w:sz w:val="18"/>
                <w:szCs w:val="18"/>
                <w:color w:val="auto"/>
                <w:w w:val="91"/>
              </w:rPr>
              <w:t>6.01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204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rFonts w:ascii="Arial" w:cs="Arial" w:eastAsia="Arial" w:hAnsi="Arial"/>
          <w:sz w:val="18"/>
          <w:szCs w:val="18"/>
          <w:color w:val="auto"/>
        </w:rPr>
      </w:pPr>
    </w:p>
    <w:p>
      <w:pPr>
        <w:ind w:right="360" w:firstLine="656"/>
        <w:spacing w:after="0" w:line="277" w:lineRule="auto"/>
        <w:tabs>
          <w:tab w:leader="none" w:pos="1398"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will be deemed to include substitute, replacement of successor sections or rules adopted by the SEC from time to time;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subdivision;</w:t>
      </w:r>
    </w:p>
    <w:p>
      <w:pPr>
        <w:spacing w:after="0" w:line="210" w:lineRule="exact"/>
        <w:rPr>
          <w:rFonts w:ascii="Arial" w:cs="Arial" w:eastAsia="Arial" w:hAnsi="Arial"/>
          <w:sz w:val="16"/>
          <w:szCs w:val="16"/>
          <w:color w:val="auto"/>
        </w:rPr>
      </w:pPr>
    </w:p>
    <w:p>
      <w:pPr>
        <w:ind w:right="660" w:firstLine="656"/>
        <w:spacing w:after="0" w:line="277"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unsecured Indebtedness will not be deemed to be subordinate or junior to secured Indebtedness merely by virtue of its nature as unsecured Indebtedness; and</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indicated.</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Certain Calculations under this Indenture.</w:t>
      </w:r>
    </w:p>
    <w:p>
      <w:pPr>
        <w:spacing w:after="0" w:line="225" w:lineRule="exact"/>
        <w:rPr>
          <w:sz w:val="20"/>
          <w:szCs w:val="20"/>
          <w:color w:val="auto"/>
        </w:rPr>
      </w:pPr>
    </w:p>
    <w:p>
      <w:pPr>
        <w:ind w:right="60" w:firstLine="656"/>
        <w:spacing w:after="0" w:line="291" w:lineRule="auto"/>
        <w:tabs>
          <w:tab w:leader="none" w:pos="1387"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Indenture, unless the context otherwise requires, for purposes of determining compliance with any test contained in this Indenture with respect to any period during which any Specified Transactions occur or, subsequent to such period and prior to or simultaneously with the event for which the calculation is made, the Total Leverage Ratio, the Secured Leverage Ratio and Consolidated EBITDA and any other financial calculation shall be calculated with respect to such period and such Specified Transactions on a “pro forma basis” and shall be calculated for the applicable period of measurement based on the most recently completed period of four consecutive fiscal quarters for which internal financial statements are available immediately preceding the date of such event; provided, that for the avoidance of doubt, the amount of Consolidated Net Income available for Restricted Payments under Section 4.07, Consolidated Net Income shall not be calculated on a “pro forma basis”.</w:t>
      </w:r>
    </w:p>
    <w:p>
      <w:pPr>
        <w:spacing w:after="0" w:line="166" w:lineRule="exact"/>
        <w:rPr>
          <w:rFonts w:ascii="Arial" w:cs="Arial" w:eastAsia="Arial" w:hAnsi="Arial"/>
          <w:sz w:val="16"/>
          <w:szCs w:val="16"/>
          <w:color w:val="auto"/>
        </w:rPr>
      </w:pPr>
    </w:p>
    <w:p>
      <w:pPr>
        <w:ind w:right="400" w:firstLine="656"/>
        <w:spacing w:after="0" w:line="291" w:lineRule="auto"/>
        <w:tabs>
          <w:tab w:leader="none" w:pos="1398" w:val="left"/>
        </w:tabs>
        <w:numPr>
          <w:ilvl w:val="1"/>
          <w:numId w:val="46"/>
        </w:numPr>
        <w:rPr>
          <w:rFonts w:ascii="Arial" w:cs="Arial" w:eastAsia="Arial" w:hAnsi="Arial"/>
          <w:sz w:val="16"/>
          <w:szCs w:val="16"/>
          <w:color w:val="auto"/>
        </w:rPr>
      </w:pPr>
      <w:r>
        <w:rPr>
          <w:rFonts w:ascii="Arial" w:cs="Arial" w:eastAsia="Arial" w:hAnsi="Arial"/>
          <w:sz w:val="16"/>
          <w:szCs w:val="16"/>
          <w:color w:val="auto"/>
        </w:rPr>
        <w:t>For all purposes under this Indenture, with respect to compliance with any test for an applicable period of measurement that is calculated on a “pro forma basis” or after giving “pro forma effect”, (A) to the extent applicable, the Pro Forma Adjustment shall have been made and</w:t>
      </w:r>
    </w:p>
    <w:p>
      <w:pPr>
        <w:ind w:firstLine="8"/>
        <w:spacing w:after="0" w:line="284" w:lineRule="auto"/>
        <w:tabs>
          <w:tab w:leader="none" w:pos="2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Company or any asset of the Company or any of its Restricted Subsidiaries, shall be excluded, and (ii) in the case of a Permitted Acquisition or Investment described in the definition of “Specified Transaction,” shall be included, (b) any retirement of Indebtedness, and (c) any Indebtedness incurred by the Company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provided that, (1) without limiting the application of the Pro Forma Adjustment pursuant to clause (A) above, the foregoing pro forma adjustments may be applied to any such test solely to the extent that such adjustments are consistent with the definition of “Consolidated EBITDA” and give effect to events (including cost savings, synergies and operating expense reductions) that are (as determined by the Company in good faith) (i) (x) directly attributable to such transaction, (y) expected to have a continuing impact on the Company and its Restricted Subsidiaries and (z) factually supportable or (ii) otherwise consistent with the definition of “Pro Forma Adjustment” and (2) in connection with any Specified Transaction that is the incurrence of Indebtedness in respect of which compliance with any specified leverage ratio test is by the terms of this Indenture required to be calculated on a pro forma basis, the proceeds of such Indebtedness shall not be netted from Indebtedness in the calculation of the applicable leverage ratio test.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9" w:name="page40"/>
    <w:bookmarkEnd w:id="39"/>
    <w:p>
      <w:pPr>
        <w:ind w:left="1400" w:hanging="744"/>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w:t>
      </w:r>
    </w:p>
    <w:p>
      <w:pPr>
        <w:spacing w:after="0" w:line="225" w:lineRule="exact"/>
        <w:rPr>
          <w:sz w:val="20"/>
          <w:szCs w:val="20"/>
          <w:color w:val="auto"/>
        </w:rPr>
      </w:pPr>
    </w:p>
    <w:p>
      <w:pPr>
        <w:ind w:left="340" w:firstLine="316"/>
        <w:spacing w:after="0" w:line="254" w:lineRule="auto"/>
        <w:tabs>
          <w:tab w:leader="none" w:pos="1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any amounts incurred or transactions entered into (or consummated) in reliance on a provision of the same section of this Indenture that does not require compliance with a financial ratio or test (including, without limitation, any Total Leverage Ratio test or any Secured Leverage Ratio test) (any such amounts, the “</w:t>
      </w:r>
      <w:r>
        <w:rPr>
          <w:rFonts w:ascii="Arial" w:cs="Arial" w:eastAsia="Arial" w:hAnsi="Arial"/>
          <w:sz w:val="18"/>
          <w:szCs w:val="18"/>
          <w:b w:val="1"/>
          <w:bCs w:val="1"/>
          <w:i w:val="1"/>
          <w:iCs w:val="1"/>
          <w:color w:val="auto"/>
        </w:rPr>
        <w:t>Fixed Amounts</w:t>
      </w:r>
      <w:r>
        <w:rPr>
          <w:rFonts w:ascii="Arial" w:cs="Arial" w:eastAsia="Arial" w:hAnsi="Arial"/>
          <w:sz w:val="18"/>
          <w:szCs w:val="18"/>
          <w:color w:val="auto"/>
        </w:rPr>
        <w:t>”) substantially concurrently with any amounts incurred or transactions entered into (or consummated) in reliance on a provision of the same section of this Indenture that requires compliance with any such financial ratio or test (any such amounts, the “</w:t>
      </w:r>
      <w:r>
        <w:rPr>
          <w:rFonts w:ascii="Arial" w:cs="Arial" w:eastAsia="Arial" w:hAnsi="Arial"/>
          <w:sz w:val="18"/>
          <w:szCs w:val="18"/>
          <w:b w:val="1"/>
          <w:bCs w:val="1"/>
          <w:i w:val="1"/>
          <w:iCs w:val="1"/>
          <w:color w:val="auto"/>
        </w:rPr>
        <w:t>Incurrence Based Amounts</w:t>
      </w:r>
      <w:r>
        <w:rPr>
          <w:rFonts w:ascii="Arial" w:cs="Arial" w:eastAsia="Arial" w:hAnsi="Arial"/>
          <w:sz w:val="18"/>
          <w:szCs w:val="18"/>
          <w:color w:val="auto"/>
        </w:rPr>
        <w:t>”), it is understood and agreed that, for purposes of this Indenture, the Fixed Amounts under such section and any substantially concurrent borrowings under the revolving credit facility under the Credit Agreement (and any cash proceeds thereof) shall be disregarded in the calculation of the financial ratio or test applicable to the Incurrence Based Amounts in connection with such substantially concurrent incurrence; and</w:t>
      </w:r>
    </w:p>
    <w:p>
      <w:pPr>
        <w:spacing w:after="0" w:line="191" w:lineRule="exact"/>
        <w:rPr>
          <w:rFonts w:ascii="Arial" w:cs="Arial" w:eastAsia="Arial" w:hAnsi="Arial"/>
          <w:sz w:val="18"/>
          <w:szCs w:val="18"/>
          <w:color w:val="auto"/>
        </w:rPr>
      </w:pPr>
    </w:p>
    <w:p>
      <w:pPr>
        <w:ind w:left="340" w:right="200" w:firstLine="316"/>
        <w:spacing w:after="0" w:line="286" w:lineRule="auto"/>
        <w:tabs>
          <w:tab w:leader="none" w:pos="11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the purposes of calculating any leverage ratio in this Indenture, any amount in a currency other than U.S. dollars will be converted to U.S. dollars based on the average exchange rate for such currency for the most recent twelve month period immediately prior to the date of determination determined in a manner consistent with that used in calculating Consolidated EBITDA for the applicable period.</w:t>
      </w:r>
    </w:p>
    <w:p>
      <w:pPr>
        <w:spacing w:after="0" w:line="165" w:lineRule="exact"/>
        <w:rPr>
          <w:sz w:val="20"/>
          <w:szCs w:val="20"/>
          <w:color w:val="auto"/>
        </w:rPr>
      </w:pPr>
    </w:p>
    <w:p>
      <w:pPr>
        <w:ind w:left="1400" w:hanging="744"/>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have no responsibility whatsoever for any calculations under this Indenture.</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and Dating.</w:t>
      </w:r>
    </w:p>
    <w:p>
      <w:pPr>
        <w:spacing w:after="0" w:line="225" w:lineRule="exact"/>
        <w:rPr>
          <w:sz w:val="20"/>
          <w:szCs w:val="20"/>
          <w:color w:val="auto"/>
        </w:rPr>
      </w:pPr>
    </w:p>
    <w:p>
      <w:pPr>
        <w:ind w:right="140" w:firstLine="656"/>
        <w:spacing w:after="0" w:line="263" w:lineRule="auto"/>
        <w:tabs>
          <w:tab w:leader="none" w:pos="1387"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w:t>
      </w:r>
      <w:r>
        <w:rPr>
          <w:rFonts w:ascii="Arial" w:cs="Arial" w:eastAsia="Arial" w:hAnsi="Arial"/>
          <w:sz w:val="18"/>
          <w:szCs w:val="18"/>
          <w:i w:val="1"/>
          <w:iCs w:val="1"/>
          <w:color w:val="auto"/>
        </w:rPr>
        <w:t xml:space="preserve"> </w:t>
      </w:r>
      <w:r>
        <w:rPr>
          <w:rFonts w:ascii="Arial" w:cs="Arial" w:eastAsia="Arial" w:hAnsi="Arial"/>
          <w:sz w:val="18"/>
          <w:szCs w:val="18"/>
          <w:color w:val="auto"/>
        </w:rPr>
        <w:t>have notations, legends or endorsements required by law, stock exchange rule or usage. Each Note will be dated the date of its authentication. The Notes will be issued in minimum denominations of $2,000 and integral multiples of $1,000 in excess thereof.</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0" w:name="page41"/>
    <w:bookmarkEnd w:id="40"/>
    <w:p>
      <w:pPr>
        <w:ind w:right="60" w:firstLine="656"/>
        <w:spacing w:after="0" w:line="290" w:lineRule="auto"/>
        <w:tabs>
          <w:tab w:leader="none" w:pos="1397"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w:t>
      </w:r>
      <w:r>
        <w:rPr>
          <w:rFonts w:ascii="Arial" w:cs="Arial" w:eastAsia="Arial" w:hAnsi="Arial"/>
          <w:sz w:val="16"/>
          <w:szCs w:val="16"/>
          <w:i w:val="1"/>
          <w:iCs w:val="1"/>
          <w:color w:val="auto"/>
        </w:rPr>
        <w:t xml:space="preserve"> </w:t>
      </w:r>
      <w:r>
        <w:rPr>
          <w:rFonts w:ascii="Arial" w:cs="Arial" w:eastAsia="Arial" w:hAnsi="Arial"/>
          <w:sz w:val="16"/>
          <w:szCs w:val="16"/>
          <w:color w:val="auto"/>
        </w:rPr>
        <w:t>thereon and 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2.06.</w:t>
      </w:r>
    </w:p>
    <w:p>
      <w:pPr>
        <w:spacing w:after="0" w:line="165" w:lineRule="exact"/>
        <w:rPr>
          <w:rFonts w:ascii="Arial" w:cs="Arial" w:eastAsia="Arial" w:hAnsi="Arial"/>
          <w:sz w:val="16"/>
          <w:szCs w:val="16"/>
          <w:color w:val="auto"/>
        </w:rPr>
      </w:pPr>
    </w:p>
    <w:p>
      <w:pPr>
        <w:jc w:val="both"/>
        <w:ind w:right="80" w:firstLine="656"/>
        <w:spacing w:after="0" w:line="311" w:lineRule="auto"/>
        <w:tabs>
          <w:tab w:leader="none" w:pos="1387"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Euroclear and Clearstream Procedures Applicable. </w:t>
      </w:r>
      <w:r>
        <w:rPr>
          <w:rFonts w:ascii="Arial" w:cs="Arial" w:eastAsia="Arial" w:hAnsi="Arial"/>
          <w:sz w:val="16"/>
          <w:szCs w:val="16"/>
          <w:color w:val="auto"/>
        </w:rPr>
        <w:t>The provisions of the “Operating Procedures of the Euroclear System” and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Governing Use of Euroclear” and the “General Terms and Conditions of Clearstream Banking” and “Customer Handbook” of Clearstream will be applicable to transfers of beneficial interests in the Regulation S Global Note that are held by Participants through Euroclear or Clearstream.</w:t>
      </w:r>
    </w:p>
    <w:p>
      <w:pPr>
        <w:spacing w:after="0" w:line="14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Execution and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aggregate principal amount of Notes which may be authenticated under this Indenture is unlimited. The Company may, subject to Article IV of this Indenture and applicable law, issue Additional Notes under this Indenture. The Notes issued on the Issue Date and any Additional Notes subsequently issued will be treated as a single class for all purposes under this Indenture. Furthermore, in the case of Additional Notes having the same “CUSIP” number as the Notes issued on the date hereof, such Additional Notes will be fungible with all other Notes for U.S. federal income tax purposes. At any time and from time to time after the execution of this Indenture, the Trustee will, upon receipt of a written order of the Company signed by at least one Officer of the Company (an “</w:t>
      </w:r>
      <w:r>
        <w:rPr>
          <w:rFonts w:ascii="Arial" w:cs="Arial" w:eastAsia="Arial" w:hAnsi="Arial"/>
          <w:sz w:val="17"/>
          <w:szCs w:val="17"/>
          <w:b w:val="1"/>
          <w:bCs w:val="1"/>
          <w:i w:val="1"/>
          <w:iCs w:val="1"/>
          <w:color w:val="auto"/>
        </w:rPr>
        <w:t>Authentication Order</w:t>
      </w:r>
      <w:r>
        <w:rPr>
          <w:rFonts w:ascii="Arial" w:cs="Arial" w:eastAsia="Arial" w:hAnsi="Arial"/>
          <w:sz w:val="17"/>
          <w:szCs w:val="17"/>
          <w:color w:val="auto"/>
        </w:rPr>
        <w:t>”) and an Opinion of Counsel, authenticate Notes for (a) original issue in an aggregate principal amount specified in such Authentication Order and (b) Additional Notes in such amounts as may be specified from time to time without limit, so long as such issuance is permitted under Article IV of this Indenture and applicable law. The Authentication Order will specify the amount of Notes to be authenticated and the date on which the Notes are to be authenticated.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Trustee may appoint an authenticating agent reasonably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the Company or an Affiliate of the Company.</w:t>
      </w:r>
    </w:p>
    <w:p>
      <w:pPr>
        <w:spacing w:after="0" w:line="16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i w:val="1"/>
          <w:iCs w:val="1"/>
          <w:color w:val="auto"/>
        </w:rPr>
        <w:t>Registrar and Paying Agent.</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will maintain an office or agency where Notes may be presented for registration of transfer or for exchange (“</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and an office or agency where Notes may be presented for payment (“</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The Registrar will keep a register of the Notes and of their transfer and exchange.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1" w:name="page42"/>
    <w:bookmarkEnd w:id="41"/>
    <w:p>
      <w:pPr>
        <w:ind w:firstLine="648"/>
        <w:spacing w:after="0" w:line="257" w:lineRule="auto"/>
        <w:rPr>
          <w:sz w:val="20"/>
          <w:szCs w:val="20"/>
          <w:color w:val="auto"/>
        </w:rPr>
      </w:pPr>
      <w:r>
        <w:rPr>
          <w:rFonts w:ascii="Arial" w:cs="Arial" w:eastAsia="Arial" w:hAnsi="Arial"/>
          <w:sz w:val="18"/>
          <w:szCs w:val="18"/>
          <w:color w:val="auto"/>
        </w:rPr>
        <w:t>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will promptly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8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 Neither the Trustee nor any Agent shall have responsibility for any actions taken or not taken by DTC or any other Depositary.</w:t>
      </w:r>
    </w:p>
    <w:p>
      <w:pPr>
        <w:spacing w:after="0" w:line="17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initially appoints the Trustee, and the Trustee hereby agrees, to act as the Registrar and Paying Agent and to act as Custodian with respect to the Global Notes. The Company has entered into a letter of representations with DTC in the form provided by DTC and the Trustee and each Agent are hereby authorized to act in accordance with such letter and Applicable Procedures.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will be responsible for making calculations called for under the Notes, including determination of redemption price, premium, if any, and any additional amounts or other amounts payable on the Notes. The Company will make the calculations in good faith and provide a schedule of its calculations to the Trustee when requested by the Trustee, and the Trustee is entitled to rely conclusively on the accuracy of the Company’s calculations without independent verification.</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i w:val="1"/>
          <w:iCs w:val="1"/>
          <w:color w:val="auto"/>
        </w:rPr>
        <w:t>Paying Agent to Hold Money in Trust.</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will require each Paying Agent other than the Trustee to agree in writing that the Paying Agent will hold in trust for the benefit of Holders or the Trustee all money held by the Paying Agent for the payment of principal or premium, if any, or interest on the Notes, and will promptly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6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Holder Lists.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Trustee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i w:val="1"/>
          <w:iCs w:val="1"/>
          <w:color w:val="auto"/>
        </w:rPr>
        <w:t>Transfer and Exchange.</w:t>
      </w:r>
    </w:p>
    <w:p>
      <w:pPr>
        <w:spacing w:after="0" w:line="225" w:lineRule="exact"/>
        <w:rPr>
          <w:sz w:val="20"/>
          <w:szCs w:val="20"/>
          <w:color w:val="auto"/>
        </w:rPr>
      </w:pPr>
    </w:p>
    <w:p>
      <w:pPr>
        <w:ind w:right="80" w:firstLine="656"/>
        <w:spacing w:after="0" w:line="286" w:lineRule="auto"/>
        <w:tabs>
          <w:tab w:leader="none" w:pos="1387"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Transfer and Exchange of Global Notes</w:t>
      </w:r>
      <w:r>
        <w:rPr>
          <w:rFonts w:ascii="Arial" w:cs="Arial" w:eastAsia="Arial" w:hAnsi="Arial"/>
          <w:sz w:val="17"/>
          <w:szCs w:val="17"/>
          <w:color w:val="auto"/>
        </w:rPr>
        <w:t>. A Global Note may not be transferred except as a whole by the Depositary to a nominee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by a nominee of the Depositary to the Depositary or to another nominee of the Depositary, or by the Depositary or any such nominee to a successor Depositary or a nominee of such successor Depositary. All Global Notes will be exchangeable for Definitive Notes if:</w:t>
      </w:r>
    </w:p>
    <w:p>
      <w:pPr>
        <w:spacing w:after="0" w:line="165" w:lineRule="exact"/>
        <w:rPr>
          <w:rFonts w:ascii="Arial" w:cs="Arial" w:eastAsia="Arial" w:hAnsi="Arial"/>
          <w:sz w:val="17"/>
          <w:szCs w:val="17"/>
          <w:color w:val="auto"/>
        </w:rPr>
      </w:pPr>
    </w:p>
    <w:p>
      <w:pPr>
        <w:ind w:left="660" w:right="60" w:firstLine="644"/>
        <w:spacing w:after="0" w:line="263" w:lineRule="auto"/>
        <w:tabs>
          <w:tab w:leader="none" w:pos="2013"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p>
      <w:pPr>
        <w:ind w:left="660" w:right="700" w:firstLine="644"/>
        <w:spacing w:after="0" w:line="277" w:lineRule="auto"/>
        <w:tabs>
          <w:tab w:leader="none" w:pos="20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Upon the occurrence of either of the preceding events in (1) or (2) above, Definitive Notes shall be issued in such names as the Depositary shall instruct the Trustee, and upon the occurrence of the preceding events in (3) above, Definitive Notes shall be issued in exchange for beneficial interests in a Global Note upon request therefor by the Depositary acting upon instruction of the holder of such beneficial interest in such Global Note. Global Notes also may be exchanged or replaced, in whole or in part, as provided in Sections 2.07 and 2.10. Every Note authenticated and delivered in exchange for, or in lieu of, a Global Note or any portion thereof, pursuant to this Section 2.06 or Section 2.07 or 2.10,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In connection with any proposed exchange of a Global Note for a Definitive Note, the Company shall provide or cause to be provided to the Trustee all information reasonably requested by the Trustee that is necessary to allow the Trustee to comply with any applicable tax reporting obligations. The Trustee may rely on information provided to it and shall have no responsibility to verify or ensure the accuracy of such information.</w:t>
      </w:r>
    </w:p>
    <w:p>
      <w:pPr>
        <w:spacing w:after="0" w:line="185" w:lineRule="exact"/>
        <w:rPr>
          <w:sz w:val="20"/>
          <w:szCs w:val="20"/>
          <w:color w:val="auto"/>
        </w:rPr>
      </w:pPr>
    </w:p>
    <w:p>
      <w:pPr>
        <w:ind w:right="40" w:firstLine="656"/>
        <w:spacing w:after="0" w:line="257" w:lineRule="auto"/>
        <w:tabs>
          <w:tab w:leader="none" w:pos="139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87" w:lineRule="exact"/>
        <w:rPr>
          <w:rFonts w:ascii="Arial" w:cs="Arial" w:eastAsia="Arial" w:hAnsi="Arial"/>
          <w:sz w:val="18"/>
          <w:szCs w:val="18"/>
          <w:color w:val="auto"/>
        </w:rPr>
      </w:pPr>
    </w:p>
    <w:p>
      <w:pPr>
        <w:ind w:left="660" w:right="20" w:firstLine="644"/>
        <w:spacing w:after="0" w:line="254" w:lineRule="auto"/>
        <w:tabs>
          <w:tab w:leader="none" w:pos="2013"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Persons 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the Initial Purchasers).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94" w:lineRule="exact"/>
        <w:rPr>
          <w:rFonts w:ascii="Arial" w:cs="Arial" w:eastAsia="Arial" w:hAnsi="Arial"/>
          <w:sz w:val="18"/>
          <w:szCs w:val="18"/>
          <w:color w:val="auto"/>
        </w:rPr>
      </w:pPr>
    </w:p>
    <w:p>
      <w:pPr>
        <w:jc w:val="both"/>
        <w:ind w:left="660" w:right="240" w:firstLine="644"/>
        <w:spacing w:after="0" w:line="342" w:lineRule="auto"/>
        <w:tabs>
          <w:tab w:leader="none" w:pos="2013"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beneficial interests that are not subject to Section 2.06(b)(1) above, the transferor of such beneficial interest must deliver to the Registrar either:</w:t>
      </w:r>
    </w:p>
    <w:p>
      <w:pPr>
        <w:spacing w:after="0" w:line="123" w:lineRule="exact"/>
        <w:rPr>
          <w:rFonts w:ascii="Arial" w:cs="Arial" w:eastAsia="Arial" w:hAnsi="Arial"/>
          <w:sz w:val="16"/>
          <w:szCs w:val="16"/>
          <w:color w:val="auto"/>
        </w:rPr>
      </w:pPr>
    </w:p>
    <w:p>
      <w:pPr>
        <w:ind w:left="2740" w:hanging="788"/>
        <w:spacing w:after="0"/>
        <w:tabs>
          <w:tab w:leader="none" w:pos="2740" w:val="left"/>
        </w:tabs>
        <w:numPr>
          <w:ilvl w:val="2"/>
          <w:numId w:val="55"/>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960" w:right="140" w:firstLine="964"/>
        <w:spacing w:after="0" w:line="263" w:lineRule="auto"/>
        <w:tabs>
          <w:tab w:leader="none" w:pos="3642" w:val="left"/>
        </w:tabs>
        <w:numPr>
          <w:ilvl w:val="3"/>
          <w:numId w:val="5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3" w:lineRule="exact"/>
        <w:rPr>
          <w:rFonts w:ascii="Arial" w:cs="Arial" w:eastAsia="Arial" w:hAnsi="Arial"/>
          <w:sz w:val="18"/>
          <w:szCs w:val="18"/>
          <w:color w:val="auto"/>
        </w:rPr>
      </w:pPr>
    </w:p>
    <w:p>
      <w:pPr>
        <w:ind w:left="1960" w:right="220" w:firstLine="964"/>
        <w:spacing w:after="0" w:line="277" w:lineRule="auto"/>
        <w:tabs>
          <w:tab w:leader="none" w:pos="3692" w:val="left"/>
        </w:tabs>
        <w:numPr>
          <w:ilvl w:val="3"/>
          <w:numId w:val="55"/>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ind w:left="2080" w:hanging="788"/>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both:</w:t>
      </w:r>
    </w:p>
    <w:p>
      <w:pPr>
        <w:spacing w:after="0" w:line="225" w:lineRule="exact"/>
        <w:rPr>
          <w:rFonts w:ascii="Arial" w:cs="Arial" w:eastAsia="Arial" w:hAnsi="Arial"/>
          <w:sz w:val="18"/>
          <w:szCs w:val="18"/>
          <w:color w:val="auto"/>
        </w:rPr>
      </w:pPr>
    </w:p>
    <w:p>
      <w:pPr>
        <w:ind w:left="1300" w:right="140" w:firstLine="964"/>
        <w:spacing w:after="0" w:line="263" w:lineRule="auto"/>
        <w:tabs>
          <w:tab w:leader="none" w:pos="298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3" w:lineRule="exact"/>
        <w:rPr>
          <w:rFonts w:ascii="Arial" w:cs="Arial" w:eastAsia="Arial" w:hAnsi="Arial"/>
          <w:sz w:val="18"/>
          <w:szCs w:val="18"/>
          <w:color w:val="auto"/>
        </w:rPr>
      </w:pPr>
    </w:p>
    <w:p>
      <w:pPr>
        <w:ind w:left="1300" w:right="360" w:firstLine="964"/>
        <w:spacing w:after="0" w:line="342" w:lineRule="auto"/>
        <w:tabs>
          <w:tab w:leader="none" w:pos="3032"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instructions given by the Depositary to the Registrar containing information regarding the Person in whose name such Definitive Note shall be registered to effect the transfer or exchange referred to in (1) above.</w:t>
      </w:r>
    </w:p>
    <w:p>
      <w:pPr>
        <w:spacing w:after="0" w:line="12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w:t>
      </w:r>
    </w:p>
    <w:p>
      <w:pPr>
        <w:spacing w:after="0" w:line="184" w:lineRule="exact"/>
        <w:rPr>
          <w:sz w:val="20"/>
          <w:szCs w:val="20"/>
          <w:color w:val="auto"/>
        </w:rPr>
      </w:pPr>
    </w:p>
    <w:p>
      <w:pPr>
        <w:ind w:right="120" w:firstLine="644"/>
        <w:spacing w:after="0" w:line="263" w:lineRule="auto"/>
        <w:tabs>
          <w:tab w:leader="none" w:pos="139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a Person who takes delivery thereof in the form of a beneficial interest in another Restricted Global Note if the transfer complies with the requirements of Section 2.06(b)(2) above and the Registrar receives the following:</w:t>
      </w:r>
    </w:p>
    <w:p>
      <w:pPr>
        <w:spacing w:after="0" w:line="183" w:lineRule="exact"/>
        <w:rPr>
          <w:rFonts w:ascii="Arial" w:cs="Arial" w:eastAsia="Arial" w:hAnsi="Arial"/>
          <w:sz w:val="18"/>
          <w:szCs w:val="18"/>
          <w:color w:val="auto"/>
        </w:rPr>
      </w:pPr>
    </w:p>
    <w:p>
      <w:pPr>
        <w:ind w:left="640" w:right="320" w:firstLine="652"/>
        <w:spacing w:after="0" w:line="277" w:lineRule="auto"/>
        <w:tabs>
          <w:tab w:leader="none" w:pos="20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640" w:right="540" w:firstLine="652"/>
        <w:spacing w:after="0" w:line="308" w:lineRule="auto"/>
        <w:tabs>
          <w:tab w:leader="none" w:pos="2068"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transferee will take delivery in the form of a beneficial interest in the Regulation S Global Note, then the transferor must deliver a certificate in the form of Exhibit B hereto, including the certifications in item (2) thereof; and</w:t>
      </w:r>
    </w:p>
    <w:p>
      <w:pPr>
        <w:spacing w:after="0" w:line="146" w:lineRule="exact"/>
        <w:rPr>
          <w:rFonts w:ascii="Arial" w:cs="Arial" w:eastAsia="Arial" w:hAnsi="Arial"/>
          <w:sz w:val="17"/>
          <w:szCs w:val="17"/>
          <w:color w:val="auto"/>
        </w:rPr>
      </w:pPr>
    </w:p>
    <w:p>
      <w:pPr>
        <w:ind w:left="640" w:right="80" w:firstLine="652"/>
        <w:spacing w:after="0" w:line="291" w:lineRule="auto"/>
        <w:tabs>
          <w:tab w:leader="none" w:pos="2068"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transferee will take delivery in the form of a beneficial interest in the IAI Global Note, then the transferor must deliver a certificate in the form of Exhibit B hereto, including the certifications, certificates and Opinion of Counsel required by item</w:t>
      </w: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If any such transfer is effected at a time when an IAI Global Note has not yet been issued, the Company shall issue and, upon receipt of an Authentication Order in accordance with Section 2.02, the Trustee shall authenticate one or more IAI Global Notes in an aggregate principal amount equal to the aggregate principal amount of beneficial interests transferred pursuant to this subparagraph.</w:t>
      </w:r>
    </w:p>
    <w:p>
      <w:pPr>
        <w:spacing w:after="0" w:line="165" w:lineRule="exact"/>
        <w:rPr>
          <w:sz w:val="20"/>
          <w:szCs w:val="20"/>
          <w:color w:val="auto"/>
        </w:rPr>
      </w:pPr>
    </w:p>
    <w:p>
      <w:pPr>
        <w:ind w:right="260" w:firstLine="644"/>
        <w:spacing w:after="0" w:line="301" w:lineRule="auto"/>
        <w:tabs>
          <w:tab w:leader="none" w:pos="1397"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Transfer and Exchange of Beneficial Interests in a Restricted Global Note for Beneficial Interests in an Unrestricted Global Note</w:t>
      </w:r>
      <w:r>
        <w:rPr>
          <w:rFonts w:ascii="Arial" w:cs="Arial" w:eastAsia="Arial" w:hAnsi="Arial"/>
          <w:sz w:val="16"/>
          <w:szCs w:val="16"/>
          <w:color w:val="auto"/>
        </w:rPr>
        <w:t>. A beneficial interest in any Restricted Global Note may be exchanged by any holder thereof for a beneficial interest in an Unrestricted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157" w:lineRule="exact"/>
        <w:rPr>
          <w:rFonts w:ascii="Arial" w:cs="Arial" w:eastAsia="Arial" w:hAnsi="Arial"/>
          <w:sz w:val="16"/>
          <w:szCs w:val="16"/>
          <w:color w:val="auto"/>
        </w:rPr>
      </w:pPr>
    </w:p>
    <w:p>
      <w:pPr>
        <w:ind w:left="640" w:firstLine="652"/>
        <w:spacing w:after="0" w:line="263" w:lineRule="auto"/>
        <w:tabs>
          <w:tab w:leader="none" w:pos="2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3" w:lineRule="exact"/>
        <w:rPr>
          <w:rFonts w:ascii="Arial" w:cs="Arial" w:eastAsia="Arial" w:hAnsi="Arial"/>
          <w:sz w:val="18"/>
          <w:szCs w:val="18"/>
          <w:color w:val="auto"/>
        </w:rPr>
      </w:pPr>
    </w:p>
    <w:p>
      <w:pPr>
        <w:ind w:left="640" w:firstLine="652"/>
        <w:spacing w:after="0" w:line="273" w:lineRule="auto"/>
        <w:tabs>
          <w:tab w:leader="none" w:pos="2068"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 and, in each such case set forth in this subparagraph (4),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44" w:name="page45"/>
    <w:bookmarkEnd w:id="44"/>
    <w:p>
      <w:pPr>
        <w:ind w:right="60" w:firstLine="648"/>
        <w:spacing w:after="0" w:line="259" w:lineRule="auto"/>
        <w:rPr>
          <w:sz w:val="20"/>
          <w:szCs w:val="20"/>
          <w:color w:val="auto"/>
        </w:rPr>
      </w:pPr>
      <w:r>
        <w:rPr>
          <w:rFonts w:ascii="Arial" w:cs="Arial" w:eastAsia="Arial" w:hAnsi="Arial"/>
          <w:sz w:val="18"/>
          <w:szCs w:val="18"/>
          <w:color w:val="auto"/>
        </w:rPr>
        <w:t>If any such transfer is effected pursuant to subparagraph (4) above at a time when an Unrestricted Global Note has not yet been issued, the Company shall issue and, upon receipt of an Authentication Order in accordance with Section 2.02, the Trustee shall authenticate one or more Unrestricted Global Notes in an aggregate principal amount equal to the aggregate principal amount of beneficial interests transferred pursuant to subparagraph (4) above.</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70" w:lineRule="exact"/>
        <w:rPr>
          <w:sz w:val="20"/>
          <w:szCs w:val="20"/>
          <w:color w:val="auto"/>
        </w:rPr>
      </w:pPr>
    </w:p>
    <w:p>
      <w:pPr>
        <w:ind w:left="1400" w:hanging="74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644"/>
        <w:spacing w:after="0" w:line="311" w:lineRule="auto"/>
        <w:tabs>
          <w:tab w:leader="none" w:pos="2013"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Restricted Global Notes to Restricted Definitive Notes. </w:t>
      </w:r>
      <w:r>
        <w:rPr>
          <w:rFonts w:ascii="Arial" w:cs="Arial" w:eastAsia="Arial" w:hAnsi="Arial"/>
          <w:sz w:val="16"/>
          <w:szCs w:val="16"/>
          <w:color w:val="auto"/>
        </w:rPr>
        <w:t>If any holder of a beneficial interest in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48" w:lineRule="exact"/>
        <w:rPr>
          <w:rFonts w:ascii="Arial" w:cs="Arial" w:eastAsia="Arial" w:hAnsi="Arial"/>
          <w:sz w:val="16"/>
          <w:szCs w:val="16"/>
          <w:color w:val="auto"/>
        </w:rPr>
      </w:pPr>
    </w:p>
    <w:p>
      <w:pPr>
        <w:ind w:left="1300" w:firstLine="652"/>
        <w:spacing w:after="0" w:line="274" w:lineRule="auto"/>
        <w:tabs>
          <w:tab w:leader="none" w:pos="2738"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the holder of such beneficial interest in a Restricted Global Note proposes to exchange such beneficial interest for a Restricted Definitive Note, a certificate from such holder in the form of Exhibit C hereto, including the certifications in item (2)</w:t>
      </w:r>
    </w:p>
    <w:p>
      <w:pPr>
        <w:ind w:left="1300"/>
        <w:spacing w:after="0"/>
        <w:rPr>
          <w:rFonts w:ascii="Arial" w:cs="Arial" w:eastAsia="Arial" w:hAnsi="Arial"/>
          <w:sz w:val="17"/>
          <w:szCs w:val="17"/>
          <w:color w:val="auto"/>
        </w:rPr>
      </w:pPr>
      <w:r>
        <w:rPr>
          <w:rFonts w:ascii="Arial" w:cs="Arial" w:eastAsia="Arial" w:hAnsi="Arial"/>
          <w:sz w:val="18"/>
          <w:szCs w:val="18"/>
          <w:color w:val="auto"/>
        </w:rPr>
        <w:t>(a) thereof;</w:t>
      </w:r>
    </w:p>
    <w:p>
      <w:pPr>
        <w:spacing w:after="0" w:line="210" w:lineRule="exact"/>
        <w:rPr>
          <w:rFonts w:ascii="Arial" w:cs="Arial" w:eastAsia="Arial" w:hAnsi="Arial"/>
          <w:sz w:val="17"/>
          <w:szCs w:val="17"/>
          <w:color w:val="auto"/>
        </w:rPr>
      </w:pPr>
    </w:p>
    <w:p>
      <w:pPr>
        <w:ind w:left="1300" w:right="260" w:firstLine="652"/>
        <w:spacing w:after="0" w:line="277" w:lineRule="auto"/>
        <w:tabs>
          <w:tab w:leader="none" w:pos="272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170" w:lineRule="exact"/>
        <w:rPr>
          <w:rFonts w:ascii="Arial" w:cs="Arial" w:eastAsia="Arial" w:hAnsi="Arial"/>
          <w:sz w:val="18"/>
          <w:szCs w:val="18"/>
          <w:color w:val="auto"/>
        </w:rPr>
      </w:pPr>
    </w:p>
    <w:p>
      <w:pPr>
        <w:ind w:left="1300" w:right="380" w:firstLine="652"/>
        <w:spacing w:after="0" w:line="308" w:lineRule="auto"/>
        <w:tabs>
          <w:tab w:leader="none" w:pos="2728"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46" w:lineRule="exact"/>
        <w:rPr>
          <w:rFonts w:ascii="Arial" w:cs="Arial" w:eastAsia="Arial" w:hAnsi="Arial"/>
          <w:sz w:val="17"/>
          <w:szCs w:val="17"/>
          <w:color w:val="auto"/>
        </w:rPr>
      </w:pPr>
    </w:p>
    <w:p>
      <w:pPr>
        <w:ind w:left="1300" w:right="80" w:firstLine="652"/>
        <w:spacing w:after="0" w:line="291" w:lineRule="auto"/>
        <w:tabs>
          <w:tab w:leader="none" w:pos="2738" w:val="left"/>
        </w:tabs>
        <w:numPr>
          <w:ilvl w:val="2"/>
          <w:numId w:val="60"/>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w:t>
      </w:r>
    </w:p>
    <w:p>
      <w:pPr>
        <w:ind w:left="1300"/>
        <w:spacing w:after="0"/>
        <w:rPr>
          <w:rFonts w:ascii="Arial" w:cs="Arial" w:eastAsia="Arial" w:hAnsi="Arial"/>
          <w:sz w:val="16"/>
          <w:szCs w:val="16"/>
          <w:color w:val="auto"/>
        </w:rPr>
      </w:pPr>
      <w:r>
        <w:rPr>
          <w:rFonts w:ascii="Arial" w:cs="Arial" w:eastAsia="Arial" w:hAnsi="Arial"/>
          <w:sz w:val="18"/>
          <w:szCs w:val="18"/>
          <w:color w:val="auto"/>
        </w:rPr>
        <w:t>(a) thereof;</w:t>
      </w:r>
    </w:p>
    <w:p>
      <w:pPr>
        <w:spacing w:after="0" w:line="210" w:lineRule="exact"/>
        <w:rPr>
          <w:rFonts w:ascii="Arial" w:cs="Arial" w:eastAsia="Arial" w:hAnsi="Arial"/>
          <w:sz w:val="16"/>
          <w:szCs w:val="16"/>
          <w:color w:val="auto"/>
        </w:rPr>
      </w:pPr>
    </w:p>
    <w:p>
      <w:pPr>
        <w:ind w:left="1300" w:right="20" w:firstLine="652"/>
        <w:spacing w:after="0" w:line="259" w:lineRule="auto"/>
        <w:tabs>
          <w:tab w:leader="none" w:pos="271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an Institutional Accredited Investor in reliance on an exemption from the registration requirements of the Securities Act other than those listed in subparagraphs (A) through (B) above, a certificate to the effect set forth in Exhibit B hereto, including the certifications, certificates and Opinion of Counsel required by item (3) thereof, if applicable;</w:t>
      </w:r>
    </w:p>
    <w:p>
      <w:pPr>
        <w:spacing w:after="0" w:line="186" w:lineRule="exact"/>
        <w:rPr>
          <w:rFonts w:ascii="Arial" w:cs="Arial" w:eastAsia="Arial" w:hAnsi="Arial"/>
          <w:sz w:val="18"/>
          <w:szCs w:val="18"/>
          <w:color w:val="auto"/>
        </w:rPr>
      </w:pPr>
    </w:p>
    <w:p>
      <w:pPr>
        <w:ind w:left="1300" w:right="160" w:firstLine="652"/>
        <w:spacing w:after="0" w:line="277" w:lineRule="auto"/>
        <w:tabs>
          <w:tab w:leader="none" w:pos="270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1300" w:right="80" w:firstLine="652"/>
        <w:spacing w:after="0" w:line="277" w:lineRule="auto"/>
        <w:tabs>
          <w:tab w:leader="none" w:pos="273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the Trustee shall cause the aggregate principal amount of the applicable Global Note to be reduced accordingly pursuant to Section 2.06(g),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left="4" w:firstLine="644"/>
        <w:spacing w:after="0" w:line="286" w:lineRule="auto"/>
        <w:tabs>
          <w:tab w:leader="none" w:pos="1401"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Unrestricted Definitive Notes. </w:t>
      </w:r>
      <w:r>
        <w:rPr>
          <w:rFonts w:ascii="Arial" w:cs="Arial" w:eastAsia="Arial" w:hAnsi="Arial"/>
          <w:sz w:val="17"/>
          <w:szCs w:val="17"/>
          <w:color w:val="auto"/>
        </w:rPr>
        <w:t>A holder of a beneficial interest in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65" w:lineRule="exact"/>
        <w:rPr>
          <w:rFonts w:ascii="Arial" w:cs="Arial" w:eastAsia="Arial" w:hAnsi="Arial"/>
          <w:sz w:val="17"/>
          <w:szCs w:val="17"/>
          <w:color w:val="auto"/>
        </w:rPr>
      </w:pPr>
    </w:p>
    <w:p>
      <w:pPr>
        <w:ind w:left="644" w:right="120" w:firstLine="652"/>
        <w:spacing w:after="0" w:line="291" w:lineRule="auto"/>
        <w:tabs>
          <w:tab w:leader="none" w:pos="2082"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w:t>
      </w:r>
    </w:p>
    <w:p>
      <w:pPr>
        <w:ind w:left="644"/>
        <w:spacing w:after="0"/>
        <w:rPr>
          <w:rFonts w:ascii="Arial" w:cs="Arial" w:eastAsia="Arial" w:hAnsi="Arial"/>
          <w:sz w:val="16"/>
          <w:szCs w:val="16"/>
          <w:color w:val="auto"/>
        </w:rPr>
      </w:pPr>
      <w:r>
        <w:rPr>
          <w:rFonts w:ascii="Arial" w:cs="Arial" w:eastAsia="Arial" w:hAnsi="Arial"/>
          <w:sz w:val="18"/>
          <w:szCs w:val="18"/>
          <w:color w:val="auto"/>
        </w:rPr>
        <w:t>(b) thereof; or</w:t>
      </w:r>
    </w:p>
    <w:p>
      <w:pPr>
        <w:spacing w:after="0" w:line="210" w:lineRule="exact"/>
        <w:rPr>
          <w:rFonts w:ascii="Arial" w:cs="Arial" w:eastAsia="Arial" w:hAnsi="Arial"/>
          <w:sz w:val="16"/>
          <w:szCs w:val="16"/>
          <w:color w:val="auto"/>
        </w:rPr>
      </w:pPr>
    </w:p>
    <w:p>
      <w:pPr>
        <w:ind w:left="644" w:right="200" w:firstLine="652"/>
        <w:spacing w:after="0" w:line="263" w:lineRule="auto"/>
        <w:tabs>
          <w:tab w:leader="none" w:pos="20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84" w:lineRule="exact"/>
        <w:rPr>
          <w:sz w:val="20"/>
          <w:szCs w:val="20"/>
          <w:color w:val="auto"/>
        </w:rPr>
      </w:pPr>
    </w:p>
    <w:p>
      <w:pPr>
        <w:ind w:left="4" w:right="140"/>
        <w:spacing w:after="0" w:line="286" w:lineRule="auto"/>
        <w:rPr>
          <w:sz w:val="20"/>
          <w:szCs w:val="20"/>
          <w:color w:val="auto"/>
        </w:rPr>
      </w:pPr>
      <w:r>
        <w:rPr>
          <w:rFonts w:ascii="Arial" w:cs="Arial" w:eastAsia="Arial" w:hAnsi="Arial"/>
          <w:sz w:val="17"/>
          <w:szCs w:val="17"/>
          <w:color w:val="auto"/>
        </w:rPr>
        <w:t>and, in each such case set forth in this subparagraph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5" w:lineRule="exact"/>
        <w:rPr>
          <w:sz w:val="20"/>
          <w:szCs w:val="20"/>
          <w:color w:val="auto"/>
        </w:rPr>
      </w:pPr>
    </w:p>
    <w:p>
      <w:pPr>
        <w:ind w:left="4" w:firstLine="644"/>
        <w:spacing w:after="0" w:line="283" w:lineRule="auto"/>
        <w:tabs>
          <w:tab w:leader="none" w:pos="1401"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Beneficial Interests in Unrestricted Global Notes to Unrestricted Definitive Notes. </w:t>
      </w:r>
      <w:r>
        <w:rPr>
          <w:rFonts w:ascii="Arial" w:cs="Arial" w:eastAsia="Arial" w:hAnsi="Arial"/>
          <w:sz w:val="16"/>
          <w:szCs w:val="16"/>
          <w:color w:val="auto"/>
        </w:rPr>
        <w:t>If any holder of a beneficial interest in an</w:t>
      </w:r>
      <w:r>
        <w:rPr>
          <w:rFonts w:ascii="Arial" w:cs="Arial" w:eastAsia="Arial" w:hAnsi="Arial"/>
          <w:sz w:val="16"/>
          <w:szCs w:val="16"/>
          <w:i w:val="1"/>
          <w:iCs w:val="1"/>
          <w:color w:val="auto"/>
        </w:rPr>
        <w:t xml:space="preserve"> </w:t>
      </w:r>
      <w:r>
        <w:rPr>
          <w:rFonts w:ascii="Arial" w:cs="Arial" w:eastAsia="Arial" w:hAnsi="Arial"/>
          <w:sz w:val="16"/>
          <w:szCs w:val="16"/>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the Trustee will cause the aggregate principal amount of the applicable Global Note to be reduced accordingly pursuant to Section 2.06(g),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not bear the Private Placement Legend.</w:t>
      </w:r>
    </w:p>
    <w:p>
      <w:pPr>
        <w:spacing w:after="0" w:line="211" w:lineRule="exact"/>
        <w:rPr>
          <w:sz w:val="20"/>
          <w:szCs w:val="20"/>
          <w:color w:val="auto"/>
        </w:rPr>
      </w:pPr>
    </w:p>
    <w:p>
      <w:pPr>
        <w:ind w:left="744" w:hanging="744"/>
        <w:spacing w:after="0"/>
        <w:tabs>
          <w:tab w:leader="none" w:pos="744"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300" w:firstLine="644"/>
        <w:spacing w:after="0" w:line="259" w:lineRule="auto"/>
        <w:tabs>
          <w:tab w:leader="none" w:pos="1401"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6" w:lineRule="exact"/>
        <w:rPr>
          <w:rFonts w:ascii="Arial" w:cs="Arial" w:eastAsia="Arial" w:hAnsi="Arial"/>
          <w:sz w:val="18"/>
          <w:szCs w:val="18"/>
          <w:color w:val="auto"/>
        </w:rPr>
      </w:pPr>
    </w:p>
    <w:p>
      <w:pPr>
        <w:ind w:left="644" w:right="80" w:firstLine="652"/>
        <w:spacing w:after="0" w:line="342" w:lineRule="auto"/>
        <w:tabs>
          <w:tab w:leader="none" w:pos="2082" w:val="left"/>
        </w:tabs>
        <w:numPr>
          <w:ilvl w:val="2"/>
          <w:numId w:val="64"/>
        </w:numPr>
        <w:rPr>
          <w:rFonts w:ascii="Arial" w:cs="Arial" w:eastAsia="Arial" w:hAnsi="Arial"/>
          <w:sz w:val="16"/>
          <w:szCs w:val="16"/>
          <w:color w:val="auto"/>
        </w:rPr>
      </w:pPr>
      <w:r>
        <w:rPr>
          <w:rFonts w:ascii="Arial" w:cs="Arial" w:eastAsia="Arial" w:hAnsi="Arial"/>
          <w:sz w:val="16"/>
          <w:szCs w:val="16"/>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4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46" w:name="page47"/>
    <w:bookmarkEnd w:id="46"/>
    <w:p>
      <w:pPr>
        <w:ind w:left="644" w:right="320" w:firstLine="652"/>
        <w:spacing w:after="0" w:line="277" w:lineRule="auto"/>
        <w:tabs>
          <w:tab w:leader="none" w:pos="20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170" w:lineRule="exact"/>
        <w:rPr>
          <w:rFonts w:ascii="Arial" w:cs="Arial" w:eastAsia="Arial" w:hAnsi="Arial"/>
          <w:sz w:val="18"/>
          <w:szCs w:val="18"/>
          <w:color w:val="auto"/>
        </w:rPr>
      </w:pPr>
    </w:p>
    <w:p>
      <w:pPr>
        <w:ind w:left="644" w:right="120" w:firstLine="652"/>
        <w:spacing w:after="0" w:line="342" w:lineRule="auto"/>
        <w:tabs>
          <w:tab w:leader="none" w:pos="207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23" w:lineRule="exact"/>
        <w:rPr>
          <w:rFonts w:ascii="Arial" w:cs="Arial" w:eastAsia="Arial" w:hAnsi="Arial"/>
          <w:sz w:val="16"/>
          <w:szCs w:val="16"/>
          <w:color w:val="auto"/>
        </w:rPr>
      </w:pPr>
    </w:p>
    <w:p>
      <w:pPr>
        <w:jc w:val="both"/>
        <w:ind w:left="644" w:right="20" w:firstLine="652"/>
        <w:spacing w:after="0" w:line="291" w:lineRule="auto"/>
        <w:tabs>
          <w:tab w:leader="none" w:pos="2082"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w:t>
      </w:r>
    </w:p>
    <w:p>
      <w:pPr>
        <w:ind w:left="904" w:hanging="256"/>
        <w:spacing w:after="0"/>
        <w:tabs>
          <w:tab w:leader="none" w:pos="90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thereof;</w:t>
      </w:r>
    </w:p>
    <w:p>
      <w:pPr>
        <w:spacing w:after="0" w:line="210" w:lineRule="exact"/>
        <w:rPr>
          <w:rFonts w:ascii="Arial" w:cs="Arial" w:eastAsia="Arial" w:hAnsi="Arial"/>
          <w:sz w:val="18"/>
          <w:szCs w:val="18"/>
          <w:color w:val="auto"/>
        </w:rPr>
      </w:pPr>
    </w:p>
    <w:p>
      <w:pPr>
        <w:ind w:left="644" w:right="320" w:firstLine="652"/>
        <w:spacing w:after="0" w:line="287" w:lineRule="auto"/>
        <w:tabs>
          <w:tab w:leader="none" w:pos="20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Exhibit B hereto, including the certifications, certificates and Opinion of Counsel required by item</w:t>
      </w:r>
    </w:p>
    <w:p>
      <w:pPr>
        <w:spacing w:after="0" w:line="2" w:lineRule="exact"/>
        <w:rPr>
          <w:rFonts w:ascii="Arial" w:cs="Arial" w:eastAsia="Arial" w:hAnsi="Arial"/>
          <w:sz w:val="16"/>
          <w:szCs w:val="16"/>
          <w:color w:val="auto"/>
        </w:rPr>
      </w:pPr>
    </w:p>
    <w:p>
      <w:pPr>
        <w:ind w:left="904" w:hanging="256"/>
        <w:spacing w:after="0"/>
        <w:tabs>
          <w:tab w:leader="none" w:pos="9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thereof, if applicable;</w:t>
      </w:r>
    </w:p>
    <w:p>
      <w:pPr>
        <w:spacing w:after="0" w:line="210" w:lineRule="exact"/>
        <w:rPr>
          <w:rFonts w:ascii="Arial" w:cs="Arial" w:eastAsia="Arial" w:hAnsi="Arial"/>
          <w:sz w:val="18"/>
          <w:szCs w:val="18"/>
          <w:color w:val="auto"/>
        </w:rPr>
      </w:pPr>
    </w:p>
    <w:p>
      <w:pPr>
        <w:ind w:left="644" w:right="220" w:firstLine="652"/>
        <w:spacing w:after="0" w:line="277" w:lineRule="auto"/>
        <w:tabs>
          <w:tab w:leader="none" w:pos="20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170" w:lineRule="exact"/>
        <w:rPr>
          <w:rFonts w:ascii="Arial" w:cs="Arial" w:eastAsia="Arial" w:hAnsi="Arial"/>
          <w:sz w:val="18"/>
          <w:szCs w:val="18"/>
          <w:color w:val="auto"/>
        </w:rPr>
      </w:pPr>
    </w:p>
    <w:p>
      <w:pPr>
        <w:ind w:left="644" w:right="540" w:firstLine="652"/>
        <w:spacing w:after="0" w:line="342" w:lineRule="auto"/>
        <w:tabs>
          <w:tab w:leader="none" w:pos="2082" w:val="left"/>
        </w:tabs>
        <w:numPr>
          <w:ilvl w:val="1"/>
          <w:numId w:val="67"/>
        </w:numPr>
        <w:rPr>
          <w:rFonts w:ascii="Arial" w:cs="Arial" w:eastAsia="Arial" w:hAnsi="Arial"/>
          <w:sz w:val="16"/>
          <w:szCs w:val="16"/>
          <w:color w:val="auto"/>
        </w:rPr>
      </w:pPr>
      <w:r>
        <w:rPr>
          <w:rFonts w:ascii="Arial" w:cs="Arial" w:eastAsia="Arial" w:hAnsi="Arial"/>
          <w:sz w:val="16"/>
          <w:szCs w:val="16"/>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Trustee will cancel the Restricted Definitive Note and increase or cause to be increased the aggregate principal amount of, in the case of clause</w:t>
      </w:r>
    </w:p>
    <w:p>
      <w:pPr>
        <w:spacing w:after="0" w:line="46" w:lineRule="exact"/>
        <w:rPr>
          <w:sz w:val="20"/>
          <w:szCs w:val="20"/>
          <w:color w:val="auto"/>
        </w:rPr>
      </w:pPr>
    </w:p>
    <w:p>
      <w:pPr>
        <w:ind w:left="4" w:right="360" w:hanging="4"/>
        <w:spacing w:after="0" w:line="260" w:lineRule="auto"/>
        <w:tabs>
          <w:tab w:leader="none" w:pos="2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the appropriate Restricted Global Note, in the case of clause (B) above, the 144A Global Note, in the case of clause (C) above, the Regulation S Global Note, and in all other cases, the IAI Global Note.</w:t>
      </w:r>
    </w:p>
    <w:p>
      <w:pPr>
        <w:spacing w:after="0" w:line="185" w:lineRule="exact"/>
        <w:rPr>
          <w:sz w:val="20"/>
          <w:szCs w:val="20"/>
          <w:color w:val="auto"/>
        </w:rPr>
      </w:pPr>
    </w:p>
    <w:p>
      <w:pPr>
        <w:ind w:left="4" w:right="40" w:firstLine="648"/>
        <w:spacing w:after="0" w:line="311" w:lineRule="auto"/>
        <w:rPr>
          <w:sz w:val="20"/>
          <w:szCs w:val="20"/>
          <w:color w:val="auto"/>
        </w:rPr>
      </w:pPr>
      <w:r>
        <w:rPr>
          <w:rFonts w:ascii="Arial" w:cs="Arial" w:eastAsia="Arial" w:hAnsi="Arial"/>
          <w:sz w:val="16"/>
          <w:szCs w:val="16"/>
          <w:color w:val="auto"/>
        </w:rPr>
        <w:t>If any transfer to an IAI Global Note is effected at a time when an IAI Global Note has not yet been issued, the Company shall issue and, upon receipt of an Authentication Order in accordance with Section 2.02, the Trustee shall authenticate one or more IAI Global Notes in an aggregate principal amount equal to the aggregate principal amount of the Restricted Definitive Note transferred pursuant to this subparagraph.</w:t>
      </w:r>
    </w:p>
    <w:p>
      <w:pPr>
        <w:spacing w:after="0" w:line="149" w:lineRule="exact"/>
        <w:rPr>
          <w:sz w:val="20"/>
          <w:szCs w:val="20"/>
          <w:color w:val="auto"/>
        </w:rPr>
      </w:pPr>
    </w:p>
    <w:p>
      <w:pPr>
        <w:ind w:left="4" w:right="80" w:firstLine="644"/>
        <w:spacing w:after="0" w:line="286" w:lineRule="auto"/>
        <w:tabs>
          <w:tab w:leader="none" w:pos="1401"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65" w:lineRule="exact"/>
        <w:rPr>
          <w:rFonts w:ascii="Arial" w:cs="Arial" w:eastAsia="Arial" w:hAnsi="Arial"/>
          <w:sz w:val="17"/>
          <w:szCs w:val="17"/>
          <w:color w:val="auto"/>
        </w:rPr>
      </w:pPr>
    </w:p>
    <w:p>
      <w:pPr>
        <w:ind w:left="644" w:right="200" w:firstLine="652"/>
        <w:spacing w:after="0" w:line="342" w:lineRule="auto"/>
        <w:tabs>
          <w:tab w:leader="none" w:pos="2082"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23" w:lineRule="exact"/>
        <w:rPr>
          <w:rFonts w:ascii="Arial" w:cs="Arial" w:eastAsia="Arial" w:hAnsi="Arial"/>
          <w:sz w:val="16"/>
          <w:szCs w:val="16"/>
          <w:color w:val="auto"/>
        </w:rPr>
      </w:pPr>
    </w:p>
    <w:p>
      <w:pPr>
        <w:ind w:left="644" w:right="20" w:firstLine="652"/>
        <w:spacing w:after="0" w:line="263" w:lineRule="auto"/>
        <w:tabs>
          <w:tab w:leader="none" w:pos="207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84" w:lineRule="exact"/>
        <w:rPr>
          <w:sz w:val="20"/>
          <w:szCs w:val="20"/>
          <w:color w:val="auto"/>
        </w:rPr>
      </w:pPr>
    </w:p>
    <w:p>
      <w:pPr>
        <w:jc w:val="both"/>
        <w:ind w:left="4" w:right="20"/>
        <w:spacing w:after="0" w:line="286" w:lineRule="auto"/>
        <w:rPr>
          <w:sz w:val="20"/>
          <w:szCs w:val="20"/>
          <w:color w:val="auto"/>
        </w:rPr>
      </w:pPr>
      <w:r>
        <w:rPr>
          <w:rFonts w:ascii="Arial" w:cs="Arial" w:eastAsia="Arial" w:hAnsi="Arial"/>
          <w:sz w:val="17"/>
          <w:szCs w:val="17"/>
          <w:color w:val="auto"/>
        </w:rPr>
        <w:t>and, in each such case set forth in this paragraph (2), if the Registrar so requests or if the Applicable Procedures so require,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8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47" w:name="page48"/>
    <w:bookmarkEnd w:id="47"/>
    <w:p>
      <w:pPr>
        <w:ind w:left="620" w:right="260" w:firstLine="648"/>
        <w:spacing w:after="0" w:line="277" w:lineRule="auto"/>
        <w:rPr>
          <w:sz w:val="20"/>
          <w:szCs w:val="20"/>
          <w:color w:val="auto"/>
        </w:rPr>
      </w:pPr>
      <w:r>
        <w:rPr>
          <w:rFonts w:ascii="Arial" w:cs="Arial" w:eastAsia="Arial" w:hAnsi="Arial"/>
          <w:sz w:val="18"/>
          <w:szCs w:val="18"/>
          <w:color w:val="auto"/>
        </w:rPr>
        <w:t>Upon satisfaction of the conditions of any of the subparagraphs in this Section 2.06(d)(2), the Trustee will cancel the Definitive Notes and increase or cause to be increased the aggregate principal amount of the Unrestricted Global Note.</w:t>
      </w:r>
    </w:p>
    <w:p>
      <w:pPr>
        <w:spacing w:after="0" w:line="170" w:lineRule="exact"/>
        <w:rPr>
          <w:sz w:val="20"/>
          <w:szCs w:val="20"/>
          <w:color w:val="auto"/>
        </w:rPr>
      </w:pPr>
    </w:p>
    <w:p>
      <w:pPr>
        <w:ind w:left="620" w:firstLine="644"/>
        <w:spacing w:after="0" w:line="257" w:lineRule="auto"/>
        <w:tabs>
          <w:tab w:leader="none" w:pos="2017"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w:t>
      </w:r>
      <w:r>
        <w:rPr>
          <w:rFonts w:ascii="Arial" w:cs="Arial" w:eastAsia="Arial" w:hAnsi="Arial"/>
          <w:sz w:val="18"/>
          <w:szCs w:val="18"/>
          <w:i w:val="1"/>
          <w:iCs w:val="1"/>
          <w:color w:val="auto"/>
        </w:rPr>
        <w:t xml:space="preserve"> </w:t>
      </w:r>
      <w:r>
        <w:rPr>
          <w:rFonts w:ascii="Arial" w:cs="Arial" w:eastAsia="Arial" w:hAnsi="Arial"/>
          <w:sz w:val="18"/>
          <w:szCs w:val="18"/>
          <w:color w:val="auto"/>
        </w:rPr>
        <w:t>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88" w:lineRule="exact"/>
        <w:rPr>
          <w:sz w:val="20"/>
          <w:szCs w:val="20"/>
          <w:color w:val="auto"/>
        </w:rPr>
      </w:pPr>
    </w:p>
    <w:p>
      <w:pPr>
        <w:ind w:left="620" w:right="120" w:firstLine="648"/>
        <w:spacing w:after="0" w:line="259"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subparagraphs (2)(B) or (3) above at a time when an Unrestricted Global Note has not yet been issued, the Company will issue and, upon receipt of an Authentication Order in accordance with Section 2.02, the Trustee will authenticate one or more Unrestricted Global Notes in an aggregate principal amount equal to the principal amount of Definitive Notes so transferred.</w:t>
      </w:r>
    </w:p>
    <w:p>
      <w:pPr>
        <w:spacing w:after="0" w:line="187" w:lineRule="exact"/>
        <w:rPr>
          <w:sz w:val="20"/>
          <w:szCs w:val="20"/>
          <w:color w:val="auto"/>
        </w:rPr>
      </w:pPr>
    </w:p>
    <w:p>
      <w:pPr>
        <w:ind w:left="-40" w:right="80" w:firstLine="656"/>
        <w:spacing w:after="0" w:line="255" w:lineRule="auto"/>
        <w:tabs>
          <w:tab w:leader="none" w:pos="1257"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2" w:lineRule="exact"/>
        <w:rPr>
          <w:rFonts w:ascii="Arial" w:cs="Arial" w:eastAsia="Arial" w:hAnsi="Arial"/>
          <w:sz w:val="18"/>
          <w:szCs w:val="18"/>
          <w:color w:val="auto"/>
        </w:rPr>
      </w:pPr>
    </w:p>
    <w:p>
      <w:pPr>
        <w:ind w:left="620" w:right="60" w:firstLine="644"/>
        <w:spacing w:after="0" w:line="342" w:lineRule="auto"/>
        <w:tabs>
          <w:tab w:leader="none" w:pos="2017"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Restricted Definitive Notes to Restricted Definitive Notes. </w:t>
      </w:r>
      <w:r>
        <w:rPr>
          <w:rFonts w:ascii="Arial" w:cs="Arial" w:eastAsia="Arial" w:hAnsi="Arial"/>
          <w:sz w:val="16"/>
          <w:szCs w:val="16"/>
          <w:color w:val="auto"/>
        </w:rPr>
        <w:t>Any Restricted Definitive Note may be transferred to and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name of Persons who take delivery thereof in the form of a Restricted Definitive Note if the Registrar receives the following:</w:t>
      </w:r>
    </w:p>
    <w:p>
      <w:pPr>
        <w:spacing w:after="0" w:line="123" w:lineRule="exact"/>
        <w:rPr>
          <w:rFonts w:ascii="Arial" w:cs="Arial" w:eastAsia="Arial" w:hAnsi="Arial"/>
          <w:sz w:val="16"/>
          <w:szCs w:val="16"/>
          <w:color w:val="auto"/>
        </w:rPr>
      </w:pPr>
    </w:p>
    <w:p>
      <w:pPr>
        <w:ind w:left="1260" w:right="560" w:firstLine="652"/>
        <w:spacing w:after="0" w:line="277" w:lineRule="auto"/>
        <w:tabs>
          <w:tab w:leader="none" w:pos="269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170" w:lineRule="exact"/>
        <w:rPr>
          <w:rFonts w:ascii="Arial" w:cs="Arial" w:eastAsia="Arial" w:hAnsi="Arial"/>
          <w:sz w:val="18"/>
          <w:szCs w:val="18"/>
          <w:color w:val="auto"/>
        </w:rPr>
      </w:pPr>
    </w:p>
    <w:p>
      <w:pPr>
        <w:ind w:left="1260" w:firstLine="652"/>
        <w:spacing w:after="0" w:line="277"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170" w:lineRule="exact"/>
        <w:rPr>
          <w:rFonts w:ascii="Arial" w:cs="Arial" w:eastAsia="Arial" w:hAnsi="Arial"/>
          <w:sz w:val="18"/>
          <w:szCs w:val="18"/>
          <w:color w:val="auto"/>
        </w:rPr>
      </w:pPr>
    </w:p>
    <w:p>
      <w:pPr>
        <w:ind w:left="1260" w:right="80" w:firstLine="652"/>
        <w:spacing w:after="0" w:line="263"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83" w:lineRule="exact"/>
        <w:rPr>
          <w:rFonts w:ascii="Arial" w:cs="Arial" w:eastAsia="Arial" w:hAnsi="Arial"/>
          <w:sz w:val="18"/>
          <w:szCs w:val="18"/>
          <w:color w:val="auto"/>
        </w:rPr>
      </w:pPr>
    </w:p>
    <w:p>
      <w:pPr>
        <w:ind w:left="620" w:right="60" w:firstLine="644"/>
        <w:spacing w:after="0" w:line="263" w:lineRule="auto"/>
        <w:tabs>
          <w:tab w:leader="none" w:pos="2018"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Restricted Definitive Notes to Unrestricted Definitive Notes.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183" w:lineRule="exact"/>
        <w:rPr>
          <w:rFonts w:ascii="Arial" w:cs="Arial" w:eastAsia="Arial" w:hAnsi="Arial"/>
          <w:sz w:val="18"/>
          <w:szCs w:val="18"/>
          <w:color w:val="auto"/>
        </w:rPr>
      </w:pPr>
    </w:p>
    <w:p>
      <w:pPr>
        <w:ind w:left="1260" w:right="340" w:firstLine="652"/>
        <w:spacing w:after="0" w:line="342" w:lineRule="auto"/>
        <w:tabs>
          <w:tab w:leader="none" w:pos="2698" w:val="left"/>
        </w:tabs>
        <w:numPr>
          <w:ilvl w:val="2"/>
          <w:numId w:val="71"/>
        </w:numPr>
        <w:rPr>
          <w:rFonts w:ascii="Arial" w:cs="Arial" w:eastAsia="Arial" w:hAnsi="Arial"/>
          <w:sz w:val="16"/>
          <w:szCs w:val="16"/>
          <w:color w:val="auto"/>
        </w:rPr>
      </w:pPr>
      <w:r>
        <w:rPr>
          <w:rFonts w:ascii="Arial" w:cs="Arial" w:eastAsia="Arial" w:hAnsi="Arial"/>
          <w:sz w:val="16"/>
          <w:szCs w:val="16"/>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123" w:lineRule="exact"/>
        <w:rPr>
          <w:rFonts w:ascii="Arial" w:cs="Arial" w:eastAsia="Arial" w:hAnsi="Arial"/>
          <w:sz w:val="16"/>
          <w:szCs w:val="16"/>
          <w:color w:val="auto"/>
        </w:rPr>
      </w:pPr>
    </w:p>
    <w:p>
      <w:pPr>
        <w:ind w:left="1260" w:right="100" w:firstLine="652"/>
        <w:spacing w:after="0" w:line="263" w:lineRule="auto"/>
        <w:tabs>
          <w:tab w:leader="none" w:pos="2688" w:val="left"/>
        </w:tabs>
        <w:numPr>
          <w:ilvl w:val="2"/>
          <w:numId w:val="71"/>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48" w:name="page49"/>
    <w:bookmarkEnd w:id="48"/>
    <w:p>
      <w:pPr>
        <w:ind w:left="640" w:right="140"/>
        <w:spacing w:after="0" w:line="263" w:lineRule="auto"/>
        <w:rPr>
          <w:sz w:val="20"/>
          <w:szCs w:val="20"/>
          <w:color w:val="auto"/>
        </w:rPr>
      </w:pPr>
      <w:r>
        <w:rPr>
          <w:rFonts w:ascii="Arial" w:cs="Arial" w:eastAsia="Arial" w:hAnsi="Arial"/>
          <w:sz w:val="18"/>
          <w:szCs w:val="18"/>
          <w:color w:val="auto"/>
        </w:rPr>
        <w:t>and, in each such case set forth in this subparagraph (2), if the Registrar so requests, an Opinion of Counsel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4" w:lineRule="exact"/>
        <w:rPr>
          <w:sz w:val="20"/>
          <w:szCs w:val="20"/>
          <w:color w:val="auto"/>
        </w:rPr>
      </w:pPr>
    </w:p>
    <w:p>
      <w:pPr>
        <w:ind w:left="640" w:right="180" w:firstLine="644"/>
        <w:spacing w:after="0" w:line="286" w:lineRule="auto"/>
        <w:tabs>
          <w:tab w:leader="none" w:pos="2037" w:val="left"/>
        </w:tabs>
        <w:numPr>
          <w:ilvl w:val="1"/>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Unrestricted Definitive Notes to Unrestricted Definitive Notes. </w:t>
      </w:r>
      <w:r>
        <w:rPr>
          <w:rFonts w:ascii="Arial" w:cs="Arial" w:eastAsia="Arial" w:hAnsi="Arial"/>
          <w:sz w:val="17"/>
          <w:szCs w:val="17"/>
          <w:color w:val="auto"/>
        </w:rPr>
        <w:t>A Holder of Unrestricted Definitive Notes may transfer such</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65" w:lineRule="exact"/>
        <w:rPr>
          <w:rFonts w:ascii="Arial" w:cs="Arial" w:eastAsia="Arial" w:hAnsi="Arial"/>
          <w:sz w:val="17"/>
          <w:szCs w:val="17"/>
          <w:color w:val="auto"/>
        </w:rPr>
      </w:pPr>
    </w:p>
    <w:p>
      <w:pPr>
        <w:ind w:left="-20" w:right="400" w:firstLine="656"/>
        <w:spacing w:after="0" w:line="277" w:lineRule="auto"/>
        <w:tabs>
          <w:tab w:leader="none" w:pos="1348"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Legends. </w:t>
      </w:r>
      <w:r>
        <w:rPr>
          <w:rFonts w:ascii="Arial" w:cs="Arial" w:eastAsia="Arial" w:hAnsi="Arial"/>
          <w:sz w:val="18"/>
          <w:szCs w:val="18"/>
          <w:color w:val="auto"/>
        </w:rPr>
        <w:t>The following legends will appear on the face of all Global Notes and Definitive Notes issued under this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Indenture.</w:t>
      </w:r>
    </w:p>
    <w:p>
      <w:pPr>
        <w:spacing w:after="0" w:line="170" w:lineRule="exact"/>
        <w:rPr>
          <w:rFonts w:ascii="Arial" w:cs="Arial" w:eastAsia="Arial" w:hAnsi="Arial"/>
          <w:sz w:val="18"/>
          <w:szCs w:val="18"/>
          <w:color w:val="auto"/>
        </w:rPr>
      </w:pPr>
    </w:p>
    <w:p>
      <w:pPr>
        <w:ind w:left="2040" w:hanging="756"/>
        <w:spacing w:after="0"/>
        <w:tabs>
          <w:tab w:leader="none" w:pos="2040" w:val="left"/>
        </w:tabs>
        <w:numPr>
          <w:ilvl w:val="1"/>
          <w:numId w:val="73"/>
        </w:numPr>
        <w:rPr>
          <w:rFonts w:ascii="Arial" w:cs="Arial" w:eastAsia="Arial" w:hAnsi="Arial"/>
          <w:sz w:val="18"/>
          <w:szCs w:val="18"/>
          <w:color w:val="auto"/>
        </w:rPr>
      </w:pPr>
      <w:r>
        <w:rPr>
          <w:rFonts w:ascii="Arial" w:cs="Arial" w:eastAsia="Arial" w:hAnsi="Arial"/>
          <w:sz w:val="18"/>
          <w:szCs w:val="18"/>
          <w:i w:val="1"/>
          <w:iCs w:val="1"/>
          <w:color w:val="auto"/>
        </w:rPr>
        <w:t>Private Placement Legend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120" w:firstLine="652"/>
        <w:spacing w:after="0" w:line="277" w:lineRule="auto"/>
        <w:tabs>
          <w:tab w:leader="none" w:pos="2718" w:val="left"/>
        </w:tabs>
        <w:numPr>
          <w:ilvl w:val="2"/>
          <w:numId w:val="73"/>
        </w:numPr>
        <w:rPr>
          <w:rFonts w:ascii="Arial" w:cs="Arial" w:eastAsia="Arial" w:hAnsi="Arial"/>
          <w:sz w:val="18"/>
          <w:szCs w:val="18"/>
          <w:color w:val="auto"/>
        </w:rPr>
      </w:pPr>
      <w:r>
        <w:rPr>
          <w:rFonts w:ascii="Arial" w:cs="Arial" w:eastAsia="Arial" w:hAnsi="Arial"/>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“THIS SECURITY HAS NOT BEEN REGISTERED UNDER THE SECURITIES ACT OF 1933, AS AMENDED (THE</w:t>
      </w:r>
    </w:p>
    <w:p>
      <w:pPr>
        <w:spacing w:after="0" w:line="23" w:lineRule="exact"/>
        <w:rPr>
          <w:sz w:val="20"/>
          <w:szCs w:val="20"/>
          <w:color w:val="auto"/>
        </w:rPr>
      </w:pPr>
    </w:p>
    <w:p>
      <w:pPr>
        <w:ind w:left="1280" w:right="1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76" w:lineRule="exact"/>
        <w:rPr>
          <w:sz w:val="20"/>
          <w:szCs w:val="20"/>
          <w:color w:val="auto"/>
        </w:rPr>
      </w:pPr>
    </w:p>
    <w:p>
      <w:pPr>
        <w:ind w:left="1280"/>
        <w:spacing w:after="0" w:line="267" w:lineRule="auto"/>
        <w:rPr>
          <w:sz w:val="20"/>
          <w:szCs w:val="20"/>
          <w:color w:val="auto"/>
        </w:rPr>
      </w:pPr>
      <w:r>
        <w:rPr>
          <w:rFonts w:ascii="Arial" w:cs="Arial" w:eastAsia="Arial" w:hAnsi="Arial"/>
          <w:sz w:val="17"/>
          <w:szCs w:val="17"/>
          <w:color w:val="auto"/>
        </w:rPr>
        <w:t>THE HOLDER OF THIS SECURITY, BY ITS ACCEPTANCE HEREOF, AGREES ON ITS OWN BEHALF AND ON BEHALF OF ANY INVESTOR ACCOUNT FOR WHICH IT HAS PURCHASED SECURITIES, TO OFFER, SELL OR OTHERWISE TRANSFER SUCH SECURITY, PRIOR TO THE DATE (THE “</w:t>
      </w:r>
      <w:r>
        <w:rPr>
          <w:rFonts w:ascii="Arial" w:cs="Arial" w:eastAsia="Arial" w:hAnsi="Arial"/>
          <w:sz w:val="17"/>
          <w:szCs w:val="17"/>
          <w:b w:val="1"/>
          <w:bCs w:val="1"/>
          <w:i w:val="1"/>
          <w:iCs w:val="1"/>
          <w:color w:val="auto"/>
        </w:rPr>
        <w:t>RESALE RESTRICTION TERMINATION DATE</w:t>
      </w:r>
      <w:r>
        <w:rPr>
          <w:rFonts w:ascii="Arial" w:cs="Arial" w:eastAsia="Arial" w:hAnsi="Arial"/>
          <w:sz w:val="17"/>
          <w:szCs w:val="17"/>
          <w:color w:val="auto"/>
        </w:rPr>
        <w:t>”) THAT IS [IN THE CASE OF RULE 144A NOTES: ONE YEAR] [IN THE CASE OF REGULATION S NOTES: 40 DAYS] AFTER THE LATER OF THE ORIGINAL ISSUE DATE HEREOF AND THE LAST DATE ON WHICH THE COMPANY OR ANY AFFILIATE OF THE COMPANY WAS THE OWNER OF THIS SECURITY (OR ANY PREDECESSOR OF SUCH SECURITY), ONLY (A) TO THE COMPANY,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PURSUANT TO OFFERS AND SALES THAT OCCUR OUTSIDE THE UNITED STATES WITHIN THE MEANING OF REGULATION S UNDER THE SECURITIES ACT, (E) TO AN INSTITUTIONAL “ACCREDITED INVESTOR” WITHIN THE MEANING OF RULE 501(a)(1), (2), (3) OR (7) UNDER THE SECURITIES ACT THAT IS ACQUIRING THE SECURITY FOR ITS OWN ACCOUNT OR FOR THE ACCOUNT OF ANOTHER SUCH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THE COMPANY’S AND THE TRUSTEE’S RIGHT PRIOR TO ANY SUCH OFFER, SALE OR TRANSFER PURSUANT TO CLAUSES (D), (E) OR (F) TO REQUIRE THE DELIVERY OF AN OPINION OF COUNSEL, CERTIFICATION AND/OR OTHER INFORMATION SATISFACTORY TO EACH OF THEM. THIS LEGEND SHALL BE REMOVED UPON THE REQUEST OF THE HOLDER AFTER THE RESALE RESTRICTION TERMINATION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49" w:name="page50"/>
    <w:bookmarkEnd w:id="49"/>
    <w:p>
      <w:pPr>
        <w:ind w:left="1384" w:hanging="736"/>
        <w:spacing w:after="0"/>
        <w:tabs>
          <w:tab w:leader="none" w:pos="1384" w:val="left"/>
        </w:tabs>
        <w:numPr>
          <w:ilvl w:val="1"/>
          <w:numId w:val="74"/>
        </w:numPr>
        <w:rPr>
          <w:rFonts w:ascii="Arial" w:cs="Arial" w:eastAsia="Arial" w:hAnsi="Arial"/>
          <w:sz w:val="17"/>
          <w:szCs w:val="17"/>
          <w:color w:val="auto"/>
        </w:rPr>
      </w:pPr>
      <w:r>
        <w:rPr>
          <w:rFonts w:ascii="Arial" w:cs="Arial" w:eastAsia="Arial" w:hAnsi="Arial"/>
          <w:sz w:val="17"/>
          <w:szCs w:val="17"/>
          <w:color w:val="auto"/>
        </w:rPr>
        <w:t>Notwithstanding the foregoing, any Global Note or Definitive Note issued pursuant to subparagraphs (b)(4), (c)(2), (c)(3),</w:t>
      </w:r>
    </w:p>
    <w:p>
      <w:pPr>
        <w:spacing w:after="0" w:line="34" w:lineRule="exact"/>
        <w:rPr>
          <w:rFonts w:ascii="Arial" w:cs="Arial" w:eastAsia="Arial" w:hAnsi="Arial"/>
          <w:sz w:val="17"/>
          <w:szCs w:val="17"/>
          <w:color w:val="auto"/>
        </w:rPr>
      </w:pPr>
    </w:p>
    <w:p>
      <w:pPr>
        <w:ind w:left="4" w:right="400" w:hanging="4"/>
        <w:spacing w:after="0" w:line="260"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(2), (d)(3), (e)(2), or (e)(3) of this Section 2.06 (and all Notes issued in exchange therefor or substitution thereof) will not bear the Private Placement Legend.</w:t>
      </w:r>
    </w:p>
    <w:p>
      <w:pPr>
        <w:spacing w:after="0" w:line="185" w:lineRule="exact"/>
        <w:rPr>
          <w:rFonts w:ascii="Arial" w:cs="Arial" w:eastAsia="Arial" w:hAnsi="Arial"/>
          <w:sz w:val="18"/>
          <w:szCs w:val="18"/>
          <w:color w:val="auto"/>
        </w:rPr>
      </w:pPr>
    </w:p>
    <w:p>
      <w:pPr>
        <w:ind w:left="2044" w:hanging="748"/>
        <w:spacing w:after="0"/>
        <w:tabs>
          <w:tab w:leader="none" w:pos="2044" w:val="left"/>
        </w:tabs>
        <w:numPr>
          <w:ilvl w:val="2"/>
          <w:numId w:val="75"/>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ind w:left="644" w:right="140"/>
        <w:spacing w:after="0" w:line="254"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9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UNLESS AND UNTIL IT IS EXCHANGED IN WHOLE OR IN PART FOR NOTES IN DEFINITIVE FORM, THIS NOTE</w:t>
      </w:r>
    </w:p>
    <w:p>
      <w:pPr>
        <w:spacing w:after="0" w:line="23" w:lineRule="exact"/>
        <w:rPr>
          <w:sz w:val="20"/>
          <w:szCs w:val="20"/>
          <w:color w:val="auto"/>
        </w:rPr>
      </w:pPr>
    </w:p>
    <w:p>
      <w:pPr>
        <w:ind w:left="644"/>
        <w:spacing w:after="0" w:line="251" w:lineRule="auto"/>
        <w:rPr>
          <w:sz w:val="20"/>
          <w:szCs w:val="20"/>
          <w:color w:val="auto"/>
        </w:rPr>
      </w:pPr>
      <w:r>
        <w:rPr>
          <w:rFonts w:ascii="Arial" w:cs="Arial" w:eastAsia="Arial" w:hAnsi="Arial"/>
          <w:sz w:val="18"/>
          <w:szCs w:val="18"/>
          <w:color w:val="auto"/>
        </w:rPr>
        <w:t>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6" w:lineRule="exact"/>
        <w:rPr>
          <w:sz w:val="20"/>
          <w:szCs w:val="20"/>
          <w:color w:val="auto"/>
        </w:rPr>
      </w:pPr>
    </w:p>
    <w:p>
      <w:pPr>
        <w:ind w:left="2044" w:hanging="748"/>
        <w:spacing w:after="0"/>
        <w:tabs>
          <w:tab w:leader="none" w:pos="204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Regulation S Legend</w:t>
      </w:r>
      <w:r>
        <w:rPr>
          <w:rFonts w:ascii="Arial" w:cs="Arial" w:eastAsia="Arial" w:hAnsi="Arial"/>
          <w:sz w:val="18"/>
          <w:szCs w:val="18"/>
          <w:color w:val="auto"/>
        </w:rPr>
        <w:t>. Each Regulation S Global Note will bear a legend in substantially the following form:</w:t>
      </w:r>
    </w:p>
    <w:p>
      <w:pPr>
        <w:spacing w:after="0" w:line="225" w:lineRule="exact"/>
        <w:rPr>
          <w:sz w:val="20"/>
          <w:szCs w:val="20"/>
          <w:color w:val="auto"/>
        </w:rPr>
      </w:pPr>
    </w:p>
    <w:p>
      <w:pPr>
        <w:ind w:left="644" w:right="740"/>
        <w:spacing w:after="0" w:line="263" w:lineRule="auto"/>
        <w:rPr>
          <w:sz w:val="20"/>
          <w:szCs w:val="20"/>
          <w:color w:val="auto"/>
        </w:rPr>
      </w:pPr>
      <w:r>
        <w:rPr>
          <w:rFonts w:ascii="Arial" w:cs="Arial" w:eastAsia="Arial" w:hAnsi="Arial"/>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8" w:right="379" w:bottom="1440" w:gutter="0" w:footer="0" w:header="0"/>
        </w:sectPr>
      </w:pPr>
    </w:p>
    <w:bookmarkStart w:id="50" w:name="page51"/>
    <w:bookmarkEnd w:id="50"/>
    <w:p>
      <w:pPr>
        <w:ind w:left="-40" w:firstLine="656"/>
        <w:spacing w:after="0" w:line="253" w:lineRule="auto"/>
        <w:tabs>
          <w:tab w:leader="none" w:pos="135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96" w:lineRule="exact"/>
        <w:rPr>
          <w:rFonts w:ascii="Arial" w:cs="Arial" w:eastAsia="Arial" w:hAnsi="Arial"/>
          <w:sz w:val="18"/>
          <w:szCs w:val="18"/>
          <w:color w:val="auto"/>
        </w:rPr>
      </w:pPr>
    </w:p>
    <w:p>
      <w:pPr>
        <w:ind w:left="1360" w:hanging="744"/>
        <w:spacing w:after="0"/>
        <w:tabs>
          <w:tab w:leader="none" w:pos="13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right="260" w:firstLine="644"/>
        <w:spacing w:after="0" w:line="308" w:lineRule="auto"/>
        <w:tabs>
          <w:tab w:leader="none" w:pos="1969" w:val="left"/>
        </w:tabs>
        <w:numPr>
          <w:ilvl w:val="1"/>
          <w:numId w:val="77"/>
        </w:numPr>
        <w:rPr>
          <w:rFonts w:ascii="Arial" w:cs="Arial" w:eastAsia="Arial" w:hAnsi="Arial"/>
          <w:sz w:val="17"/>
          <w:szCs w:val="17"/>
          <w:color w:val="auto"/>
        </w:rPr>
      </w:pPr>
      <w:r>
        <w:rPr>
          <w:rFonts w:ascii="Arial" w:cs="Arial" w:eastAsia="Arial" w:hAnsi="Arial"/>
          <w:sz w:val="17"/>
          <w:szCs w:val="17"/>
          <w:color w:val="auto"/>
        </w:rPr>
        <w:t>To permit registrations of transfers and exchanges, the Company will execute and the Trustee will authenticate Global Notes and Definitive Notes upon receipt of an Authentication Order in accordance with Section 2.02 or at the Registrar’s request.</w:t>
      </w:r>
    </w:p>
    <w:p>
      <w:pPr>
        <w:spacing w:after="0" w:line="146" w:lineRule="exact"/>
        <w:rPr>
          <w:rFonts w:ascii="Arial" w:cs="Arial" w:eastAsia="Arial" w:hAnsi="Arial"/>
          <w:sz w:val="17"/>
          <w:szCs w:val="17"/>
          <w:color w:val="auto"/>
        </w:rPr>
      </w:pPr>
    </w:p>
    <w:p>
      <w:pPr>
        <w:jc w:val="both"/>
        <w:ind w:left="620" w:right="60" w:firstLine="644"/>
        <w:spacing w:after="0" w:line="259" w:lineRule="auto"/>
        <w:tabs>
          <w:tab w:leader="none" w:pos="1973"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and the Trustee may require payment of a sum sufficient to cover any transfer tax or similar governmental charge payable in connection therewith (other than any such transfer taxes or similar governmental charge payable upon exchange or transfer pursuant to Sections 2.10, 3.06, 3.09, 4.10, 4.15 and 9.05).</w:t>
      </w:r>
    </w:p>
    <w:p>
      <w:pPr>
        <w:spacing w:after="0" w:line="186" w:lineRule="exact"/>
        <w:rPr>
          <w:rFonts w:ascii="Arial" w:cs="Arial" w:eastAsia="Arial" w:hAnsi="Arial"/>
          <w:sz w:val="18"/>
          <w:szCs w:val="18"/>
          <w:color w:val="auto"/>
        </w:rPr>
      </w:pPr>
    </w:p>
    <w:p>
      <w:pPr>
        <w:ind w:left="620" w:right="340" w:firstLine="644"/>
        <w:spacing w:after="0" w:line="277" w:lineRule="auto"/>
        <w:tabs>
          <w:tab w:leader="none" w:pos="1969"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jc w:val="both"/>
        <w:ind w:left="620" w:right="40" w:firstLine="644"/>
        <w:spacing w:after="0" w:line="263" w:lineRule="auto"/>
        <w:tabs>
          <w:tab w:leader="none" w:pos="196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83" w:lineRule="exact"/>
        <w:rPr>
          <w:rFonts w:ascii="Arial" w:cs="Arial" w:eastAsia="Arial" w:hAnsi="Arial"/>
          <w:sz w:val="18"/>
          <w:szCs w:val="18"/>
          <w:color w:val="auto"/>
        </w:rPr>
      </w:pPr>
    </w:p>
    <w:p>
      <w:pPr>
        <w:ind w:left="1960" w:hanging="696"/>
        <w:spacing w:after="0"/>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225" w:lineRule="exact"/>
        <w:rPr>
          <w:rFonts w:ascii="Arial" w:cs="Arial" w:eastAsia="Arial" w:hAnsi="Arial"/>
          <w:sz w:val="18"/>
          <w:szCs w:val="18"/>
          <w:color w:val="auto"/>
        </w:rPr>
      </w:pPr>
    </w:p>
    <w:p>
      <w:pPr>
        <w:ind w:left="1260" w:right="140" w:firstLine="652"/>
        <w:spacing w:after="0" w:line="263" w:lineRule="auto"/>
        <w:tabs>
          <w:tab w:leader="none" w:pos="2698"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83" w:lineRule="exact"/>
        <w:rPr>
          <w:rFonts w:ascii="Arial" w:cs="Arial" w:eastAsia="Arial" w:hAnsi="Arial"/>
          <w:sz w:val="18"/>
          <w:szCs w:val="18"/>
          <w:color w:val="auto"/>
        </w:rPr>
      </w:pPr>
    </w:p>
    <w:p>
      <w:pPr>
        <w:ind w:left="1260" w:right="40" w:firstLine="652"/>
        <w:spacing w:after="0" w:line="277" w:lineRule="auto"/>
        <w:tabs>
          <w:tab w:leader="none" w:pos="2688"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170" w:lineRule="exact"/>
        <w:rPr>
          <w:rFonts w:ascii="Arial" w:cs="Arial" w:eastAsia="Arial" w:hAnsi="Arial"/>
          <w:sz w:val="18"/>
          <w:szCs w:val="18"/>
          <w:color w:val="auto"/>
        </w:rPr>
      </w:pPr>
    </w:p>
    <w:p>
      <w:pPr>
        <w:ind w:left="2700" w:hanging="788"/>
        <w:spacing w:after="0"/>
        <w:tabs>
          <w:tab w:leader="none" w:pos="2700" w:val="left"/>
        </w:tabs>
        <w:numPr>
          <w:ilvl w:val="2"/>
          <w:numId w:val="77"/>
        </w:numPr>
        <w:rPr>
          <w:rFonts w:ascii="Arial" w:cs="Arial" w:eastAsia="Arial" w:hAnsi="Arial"/>
          <w:sz w:val="16"/>
          <w:szCs w:val="16"/>
          <w:color w:val="auto"/>
        </w:rPr>
      </w:pPr>
      <w:r>
        <w:rPr>
          <w:rFonts w:ascii="Arial" w:cs="Arial" w:eastAsia="Arial" w:hAnsi="Arial"/>
          <w:sz w:val="16"/>
          <w:szCs w:val="16"/>
          <w:color w:val="auto"/>
        </w:rPr>
        <w:t>to register the transfer of or to exchange a Note between a record date and the next succeeding interest payment date.</w:t>
      </w:r>
    </w:p>
    <w:p>
      <w:pPr>
        <w:spacing w:after="0" w:line="248" w:lineRule="exact"/>
        <w:rPr>
          <w:rFonts w:ascii="Arial" w:cs="Arial" w:eastAsia="Arial" w:hAnsi="Arial"/>
          <w:sz w:val="16"/>
          <w:szCs w:val="16"/>
          <w:color w:val="auto"/>
        </w:rPr>
      </w:pPr>
    </w:p>
    <w:p>
      <w:pPr>
        <w:jc w:val="both"/>
        <w:ind w:left="620" w:right="60" w:firstLine="644"/>
        <w:spacing w:after="0" w:line="311" w:lineRule="auto"/>
        <w:tabs>
          <w:tab w:leader="none" w:pos="2018" w:val="left"/>
        </w:tabs>
        <w:numPr>
          <w:ilvl w:val="1"/>
          <w:numId w:val="77"/>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1" w:name="page52"/>
    <w:bookmarkEnd w:id="51"/>
    <w:p>
      <w:pPr>
        <w:ind w:left="2060" w:hanging="756"/>
        <w:spacing w:after="0"/>
        <w:tabs>
          <w:tab w:leader="none" w:pos="2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2.02 hereof.</w:t>
      </w:r>
    </w:p>
    <w:p>
      <w:pPr>
        <w:spacing w:after="0" w:line="236" w:lineRule="exact"/>
        <w:rPr>
          <w:rFonts w:ascii="Arial" w:cs="Arial" w:eastAsia="Arial" w:hAnsi="Arial"/>
          <w:sz w:val="17"/>
          <w:szCs w:val="17"/>
          <w:color w:val="auto"/>
        </w:rPr>
      </w:pPr>
    </w:p>
    <w:p>
      <w:pPr>
        <w:ind w:left="660" w:firstLine="644"/>
        <w:spacing w:after="0" w:line="277" w:lineRule="auto"/>
        <w:tabs>
          <w:tab w:leader="none" w:pos="20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PDF.</w:t>
      </w:r>
    </w:p>
    <w:p>
      <w:pPr>
        <w:spacing w:after="0" w:line="170" w:lineRule="exact"/>
        <w:rPr>
          <w:rFonts w:ascii="Arial" w:cs="Arial" w:eastAsia="Arial" w:hAnsi="Arial"/>
          <w:sz w:val="18"/>
          <w:szCs w:val="18"/>
          <w:color w:val="auto"/>
        </w:rPr>
      </w:pPr>
    </w:p>
    <w:p>
      <w:pPr>
        <w:ind w:left="660" w:firstLine="644"/>
        <w:spacing w:after="0" w:line="291" w:lineRule="auto"/>
        <w:tabs>
          <w:tab w:leader="none" w:pos="20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Trustee nor the Registrar shall have any duty to monitor the Company’s compliance with or have any responsibility with respect to the Company’s compliance with any federal or state securities laws in connection with registrations of transfers and exchanges of the Notes.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Depository’s participants or beneficial owners of interests in any Global Note) other than to require delivery of such certificates and other documentation, as is expressly required by, and to do so if and when expressly required by, the terms of this Indenture or the Notes and to examine the same to determine substantial compliance as to form with the express requirements hereof.</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i w:val="1"/>
          <w:iCs w:val="1"/>
          <w:color w:val="auto"/>
        </w:rPr>
        <w:t>Replacement Notes.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any mutilated Note is surrendered to the Trustee or either the Company or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for its expenses in replacing a Note.</w:t>
      </w:r>
    </w:p>
    <w:p>
      <w:pPr>
        <w:spacing w:after="0" w:line="16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Every replacement Note issued in accordance with this Section 2.07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i w:val="1"/>
          <w:iCs w:val="1"/>
          <w:color w:val="auto"/>
        </w:rPr>
        <w:t>Outstanding Notes.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however, Notes held by the Company or a Subsidiary of the Company shall not be deemed to be outstanding for purposes of Section 3.07(a).</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Trustee receives proof satisfactory to it that the replaced Note is held by a protected purchaser for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principal amount of any Note is considered paid under Section 4.01, it ceases to be outstanding and interest on it ceases to accrue.</w:t>
      </w:r>
    </w:p>
    <w:p>
      <w:pPr>
        <w:spacing w:after="0" w:line="237"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i w:val="1"/>
          <w:iCs w:val="1"/>
          <w:color w:val="auto"/>
        </w:rPr>
        <w:t>Treasury Notes.</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determining whether the Holders of the required principal amount of Notes have concurred in any direction, waiver or consent, Notes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Notes that a Responsible Officer of the Trustee knows are so owned will be so disregarded.</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left="660"/>
        <w:spacing w:after="0"/>
        <w:tabs>
          <w:tab w:leader="none" w:pos="19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i w:val="1"/>
          <w:iCs w:val="1"/>
          <w:color w:val="auto"/>
        </w:rPr>
        <w:t>Temporary Notes.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22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i w:val="1"/>
          <w:iCs w:val="1"/>
          <w:color w:val="auto"/>
        </w:rPr>
        <w:t>Cancellation.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dispose of canceled Notes in its customary manner. Certification of the disposition of all canceled Notes will be delivered to the Company upon its written request therefor. The Company may not issue new Notes to replace Notes that it has paid or that have been delivered to the Trustee for cancellation.</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Defaulted Interest.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If the Company defaults in a payment of interest on the Notes, it will pay the defaulted interest in any lawful manner </w:t>
      </w:r>
      <w:r>
        <w:rPr>
          <w:rFonts w:ascii="Arial" w:cs="Arial" w:eastAsia="Arial" w:hAnsi="Arial"/>
          <w:sz w:val="17"/>
          <w:szCs w:val="17"/>
          <w:i w:val="1"/>
          <w:iCs w:val="1"/>
          <w:color w:val="auto"/>
        </w:rPr>
        <w:t>plus</w:t>
      </w:r>
      <w:r>
        <w:rPr>
          <w:rFonts w:ascii="Arial" w:cs="Arial" w:eastAsia="Arial" w:hAnsi="Arial"/>
          <w:sz w:val="17"/>
          <w:szCs w:val="17"/>
          <w:color w:val="auto"/>
        </w:rPr>
        <w:t xml:space="preserve">, to the extent lawful, interest payable on the defaulted interest, to the Persons who are Holders on a subsequent special record date, in each case at the rate provided in the Notes and in Section 4.01.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special record date may be less than 10 days prior to the related payment date for such defaulted interest. At least 15 days before the special record date, the Company (or, upon the written request of the Company, the Trustee in the name and at the expense of the Company) will send or cause to be sent to Holders a notice that states the special record date, the related payment date and the amount of such interest to be paid.</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i w:val="1"/>
          <w:iCs w:val="1"/>
          <w:color w:val="auto"/>
        </w:rPr>
        <w:t>CUSIP, ISIN and Common Code Numbers.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in issuing the Notes may use “CUSIP” numbers, ISINs and “Common Code” numbers (in each case, if then generally in use) and, if so, the Trustee will use “CUSIP” numbers, ISINs and “Common Code” numbers in notices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and that reliance may be placed only on the other identification numbers printed on the Notes, and any such notice will not be affected by any defect in or omission of such numbers. The Company will promptly notify the Trustee in writing of any change in the “CUSIP” numbers, ISINs and “Common Code” numbers applicable to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i w:val="1"/>
          <w:iCs w:val="1"/>
          <w:color w:val="auto"/>
        </w:rPr>
        <w:t>Notices to Trustee.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Company elects to redeem Notes pursuant to the optional redemption provisions of Section 3.07, it must furnish to the Trustee, at least 15 days but not more than 60 days before a redemption date, an Officer’s Certificate setting forth: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principal amount of Notes to be redeemed;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redemption complies with any applicable covenants or conditions precedent set forth in this Indenture; and</w:t>
      </w:r>
    </w:p>
    <w:p>
      <w:pPr>
        <w:spacing w:after="0" w:line="225" w:lineRule="exact"/>
        <w:rPr>
          <w:rFonts w:ascii="Arial" w:cs="Arial" w:eastAsia="Arial" w:hAnsi="Arial"/>
          <w:sz w:val="18"/>
          <w:szCs w:val="18"/>
          <w:color w:val="auto"/>
        </w:rPr>
      </w:pPr>
    </w:p>
    <w:p>
      <w:pPr>
        <w:ind w:left="660" w:right="80" w:firstLine="644"/>
        <w:spacing w:after="0" w:line="263" w:lineRule="auto"/>
        <w:tabs>
          <w:tab w:leader="none" w:pos="20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price. If the redemption price is not known at the time such Officer’s Certificate is to be given, the actual redemption price calculated as described in the terms of the Notes will be set forth in an Officer’s Certificate delivered to the Trustee no later than two Business Days prior to the redemption date.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i w:val="1"/>
          <w:iCs w:val="1"/>
          <w:color w:val="auto"/>
        </w:rPr>
        <w:t>Selection of Notes to Be Redeemed or Purchased.</w:t>
      </w:r>
    </w:p>
    <w:p>
      <w:pPr>
        <w:spacing w:after="0" w:line="225"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 xml:space="preserve">If less than all of the Notes are to be redeemed or purchased in an offer to purchase at any time, Notes for redemption or purchase will be selected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by such method as the Trustee deems fair and appropriate (or, in the case of Global Notes, beneficial interests in such Notes may be selected for redemption by the applicable clearing system in accordance with customary procedures), in whole multiples of $1,000.</w:t>
      </w:r>
    </w:p>
    <w:p>
      <w:pPr>
        <w:spacing w:after="0" w:line="14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the event of partial redemption or purchase of certificated Notes, the particular Notes to be redeemed or purchased will be selected, unless otherwise provided herein, not less than 15 days nor more than 60 days prior to the redemption or purchase date by the Trustee from the outstanding Notes not previously called for redemption or purchase.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Trustee will promptly notify the Company in writing of the certificated Notes selected for redemption or purchase and, in the case of any Note selected for partial redemption or purchase, the principal amount thereof to be redeemed or purchased. Notes and portions of Notes selected will be in amounts of $2,000 or whole multiples of $1,000 in excess thereof; except that if all of the Notes of a Holder are to be redeemed or purchased, the entire outstanding amount of Notes held by such Holder, even if not in the amount of $2,000 or a whole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9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i w:val="1"/>
          <w:iCs w:val="1"/>
          <w:color w:val="auto"/>
        </w:rPr>
        <w:t>Notice of Redemption.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Subject to the provisions of Section 3.09, at least 15 days but not more than 60 days before a redemption date, the Company will send or cause to be sent a notice of redemption to each Holder whose Notes are to be redeemed at its registered address, except that redemption notices may be sent more than 60 days prior to a redemption date if the notice is issued in connection with a defeasance of the Notes or a satisfaction and discharge of this Indenture pursuant to Articles VIII or XI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225" w:lineRule="exact"/>
        <w:rPr>
          <w:sz w:val="20"/>
          <w:szCs w:val="20"/>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right="20" w:firstLine="644"/>
        <w:spacing w:after="0" w:line="263" w:lineRule="auto"/>
        <w:tabs>
          <w:tab w:leader="none" w:pos="20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in the name of the Holder of Notes upon cancellation of the original Note (or through book entry transfer);</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2060" w:hanging="756"/>
        <w:spacing w:after="0"/>
        <w:tabs>
          <w:tab w:leader="none" w:pos="2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firstLine="644"/>
        <w:spacing w:after="0" w:line="277" w:lineRule="auto"/>
        <w:tabs>
          <w:tab w:leader="none" w:pos="205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or any conditions precedent are not satisfied, interest on Notes called for redemption ceases to accrue on and after the redemption date;</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redeemed;</w:t>
      </w:r>
    </w:p>
    <w:p>
      <w:pPr>
        <w:spacing w:after="0" w:line="210" w:lineRule="exact"/>
        <w:rPr>
          <w:rFonts w:ascii="Arial" w:cs="Arial" w:eastAsia="Arial" w:hAnsi="Arial"/>
          <w:sz w:val="17"/>
          <w:szCs w:val="17"/>
          <w:color w:val="auto"/>
        </w:rPr>
      </w:pPr>
    </w:p>
    <w:p>
      <w:pPr>
        <w:ind w:left="2060" w:hanging="756"/>
        <w:spacing w:after="0"/>
        <w:tabs>
          <w:tab w:leader="none" w:pos="2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precedent to such redemption described in reasonable detail;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has delivered to the Trustee, at least 45 days prior to the redemption date (unless a shorter period shall be satisfactory to the Trustee), an Officer’s Certificate requesting that the Trustee give such notice together with the notice to be given setting forth the information to be stated in such notice as provided in the preceding paragraph.</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i w:val="1"/>
          <w:iCs w:val="1"/>
          <w:color w:val="auto"/>
        </w:rPr>
        <w:t>Effect of Notice of Redemption.</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Once notice of redemption is sent in accordance with Section 3.03, Notes called for redemption become irrevocably due and payable on the redemption date at the redemption price, subject to any applicable conditions stated therein.</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Notices of any redemption of the Notes may be subject to the satisfaction of one or more conditions precedent established by the Company, in its sole discretion. If applicable, such notice shall state that, at the discretion of the Company, the redemption date may be delayed until such time as any or all such conditions have been satisfied (or waived). In addition, the Company may provide in any such notice that payment of the redemption price and the performance of its obligations with respect to such redemption may not be performed by another Person. The Company will provide written notice to the Trustee prior to the close of business three Business Days prior to the redemption date (or such shorter period as may be acceptable to the Trustee) if any such redemption has been rescinded or delayed, and upon receipt the Trustee shall provide such notice to each Holder of the Notes in the same manner in which the notice of redemption was given.</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Deposit of Redemption or Purchase Price.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One Business Day prior to the redemption or purchase date, the Company will deposit with the Trustee or with the Paying Agent money sufficient to pay the redemption or purchase price, as applicable, of and accrued and unpaid interest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5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ind w:left="660"/>
        <w:spacing w:after="0"/>
        <w:tabs>
          <w:tab w:leader="none" w:pos="20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i w:val="1"/>
          <w:iCs w:val="1"/>
          <w:color w:val="auto"/>
        </w:rPr>
        <w:t>Notes Redeemed or Purchased in Part.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Upon surrender of a Note that is redeemed or purchased in part, the Company will issue and, upon receipt of an Authentication Order, the Trustee will transfer by book entry or authenticate for the Holder at the expense of the Company a new Note equal in principal amount to the unredeemed or unpurchased portion of the Note surrendered.</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80" w:firstLine="656"/>
        <w:spacing w:after="0" w:line="257" w:lineRule="auto"/>
        <w:tabs>
          <w:tab w:leader="none" w:pos="13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At any time prior to August 15, 2023, the Company may on any one or more occasions redeem up to 40% of the aggregate principal amount of Notes issued under this Indenture upon not less than 15 days nor more than 60 days prior notice at a redemption price of 103.875%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if any, on the Notes to be redeemed to, but excluding, the redemption date, subject to the rights of Holders of record on the relevant record date to receive interest due on the relevant interest payment date, with the net cash proceeds of one or more Equity Offerings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right="280" w:firstLine="644"/>
        <w:spacing w:after="0" w:line="277" w:lineRule="auto"/>
        <w:tabs>
          <w:tab w:leader="none" w:pos="20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 least 60% of the aggregate principal amount of Notes originally issued under this Indenture (excluding Notes held by the Company and its Subsidiaries) remains outstanding immediately after the occurrence of such redemption;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Equity Offering.</w:t>
      </w:r>
    </w:p>
    <w:p>
      <w:pPr>
        <w:spacing w:after="0" w:line="225" w:lineRule="exact"/>
        <w:rPr>
          <w:rFonts w:ascii="Arial" w:cs="Arial" w:eastAsia="Arial" w:hAnsi="Arial"/>
          <w:sz w:val="18"/>
          <w:szCs w:val="18"/>
          <w:color w:val="auto"/>
        </w:rPr>
      </w:pPr>
    </w:p>
    <w:p>
      <w:pPr>
        <w:ind w:right="40" w:firstLine="656"/>
        <w:spacing w:after="0" w:line="263" w:lineRule="auto"/>
        <w:tabs>
          <w:tab w:leader="none" w:pos="134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redemption or notice of any redemption with the proceeds of an Equity Offering pursuant to Section 3.07(a) may, at the Company’s discretion, be subject to one or more conditions precedent, including, but not limited to, completion of such Equity Offering and may be given prior to the completion thereof.</w:t>
      </w:r>
    </w:p>
    <w:p>
      <w:pPr>
        <w:spacing w:after="0" w:line="183" w:lineRule="exact"/>
        <w:rPr>
          <w:rFonts w:ascii="Arial" w:cs="Arial" w:eastAsia="Arial" w:hAnsi="Arial"/>
          <w:sz w:val="18"/>
          <w:szCs w:val="18"/>
          <w:color w:val="auto"/>
        </w:rPr>
      </w:pPr>
    </w:p>
    <w:p>
      <w:pPr>
        <w:ind w:right="60" w:firstLine="656"/>
        <w:spacing w:after="0" w:line="275" w:lineRule="auto"/>
        <w:tabs>
          <w:tab w:leader="none" w:pos="133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At any time prior to August 15, 2023, the Company may redeem all or a part of the notes upon notice as described in Section 3.03 at a redemption price equal to 100% of the principal amount of the notes redeemed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Premium as of, and accrued and unpaid interest, if any, to, but excluding the date of redemption, subject to the rights of holders of record on the relevant record date to receive interest due on the relevant interest payment date. Calculation of the Applicable Premium will be made by the Company or on its behalf by such Person as the Company may designate;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calculation or the correctness thereof shall not be a duty or obligation of the Trustee.</w:t>
      </w:r>
    </w:p>
    <w:p>
      <w:pPr>
        <w:spacing w:after="0" w:line="176" w:lineRule="exact"/>
        <w:rPr>
          <w:rFonts w:ascii="Arial" w:cs="Arial" w:eastAsia="Arial" w:hAnsi="Arial"/>
          <w:sz w:val="17"/>
          <w:szCs w:val="17"/>
          <w:color w:val="auto"/>
        </w:rPr>
      </w:pPr>
    </w:p>
    <w:p>
      <w:pPr>
        <w:ind w:left="1360" w:hanging="704"/>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Except pursuant to paragraphs (a), (b) and (c) of this Section 3.07, the Notes will not be redeemable at the Company’s option prior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August 15, 2023.</w:t>
      </w:r>
    </w:p>
    <w:p>
      <w:pPr>
        <w:spacing w:after="0" w:line="210" w:lineRule="exact"/>
        <w:rPr>
          <w:rFonts w:ascii="Arial" w:cs="Arial" w:eastAsia="Arial" w:hAnsi="Arial"/>
          <w:sz w:val="16"/>
          <w:szCs w:val="16"/>
          <w:color w:val="auto"/>
        </w:rPr>
      </w:pPr>
    </w:p>
    <w:p>
      <w:pPr>
        <w:ind w:firstLine="656"/>
        <w:spacing w:after="0" w:line="279" w:lineRule="auto"/>
        <w:tabs>
          <w:tab w:leader="none" w:pos="134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On or after August 15, 2023, the Company may redeem all or a part of the Notes upon not less than 15 nor more than 60 days’ notice, at the redemption prices (expressed as percentages of principal amount) set forth below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on the Notes redeemed, to, but excluding,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7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101.938%</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100.969%</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170" w:lineRule="exact"/>
        <w:rPr>
          <w:sz w:val="20"/>
          <w:szCs w:val="20"/>
          <w:color w:val="auto"/>
        </w:rPr>
      </w:pPr>
    </w:p>
    <w:p>
      <w:pPr>
        <w:ind w:right="100" w:firstLine="656"/>
        <w:spacing w:after="0" w:line="277" w:lineRule="auto"/>
        <w:tabs>
          <w:tab w:leader="none" w:pos="13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 For the avoidance of doubt, the Company may at any time and from time to time purchase the Notes in the open market or otherwise.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6" w:name="page57"/>
    <w:bookmarkEnd w:id="56"/>
    <w:p>
      <w:pPr>
        <w:ind w:left="660"/>
        <w:spacing w:after="0"/>
        <w:tabs>
          <w:tab w:leader="none" w:pos="204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other than as set forth in Section 3.10.</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i w:val="1"/>
          <w:iCs w:val="1"/>
          <w:color w:val="auto"/>
        </w:rPr>
        <w:t>Offer to Purchase by Application of Excess Proceeds.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Asset Sale Offer, it will follow the procedures specified below.</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Asset Sale Offer shall be made to all Holders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7"/>
          <w:szCs w:val="17"/>
          <w:b w:val="1"/>
          <w:bCs w:val="1"/>
          <w:i w:val="1"/>
          <w:iCs w:val="1"/>
          <w:color w:val="auto"/>
        </w:rPr>
        <w:t>Offer Period</w:t>
      </w:r>
      <w:r>
        <w:rPr>
          <w:rFonts w:ascii="Arial" w:cs="Arial" w:eastAsia="Arial" w:hAnsi="Arial"/>
          <w:sz w:val="17"/>
          <w:szCs w:val="17"/>
          <w:color w:val="auto"/>
        </w:rPr>
        <w:t>”). No later than three Business Days after the termination of the Offer Period (the “</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the Company will apply all Excess Proceeds (the “</w:t>
      </w:r>
      <w:r>
        <w:rPr>
          <w:rFonts w:ascii="Arial" w:cs="Arial" w:eastAsia="Arial" w:hAnsi="Arial"/>
          <w:sz w:val="17"/>
          <w:szCs w:val="17"/>
          <w:b w:val="1"/>
          <w:bCs w:val="1"/>
          <w:i w:val="1"/>
          <w:iCs w:val="1"/>
          <w:color w:val="auto"/>
        </w:rPr>
        <w:t>Offer Amount</w:t>
      </w:r>
      <w:r>
        <w:rPr>
          <w:rFonts w:ascii="Arial" w:cs="Arial" w:eastAsia="Arial" w:hAnsi="Arial"/>
          <w:sz w:val="17"/>
          <w:szCs w:val="17"/>
          <w:color w:val="auto"/>
        </w:rPr>
        <w:t xml:space="preserve">”) to the purchase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if any, will be paid to the Person in whose name a Note is registered at the close of business on such record date, and no additional interest will be payable to Holders who tender Notes pursuant to the Asset Sale Offer.</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Upon the commencement of an Asset Sale Offer, the Company will deliver a notice to the Trustee and each of the Holders. The notice will contain all instructions and materials necessary to enable such Holders to tender Notes pursuant to the Asset Sale Offer. The notice, which will govern the terms of the Asset Sale Offer, will state:</w:t>
      </w:r>
    </w:p>
    <w:p>
      <w:pPr>
        <w:spacing w:after="0" w:line="184" w:lineRule="exact"/>
        <w:rPr>
          <w:sz w:val="20"/>
          <w:szCs w:val="20"/>
          <w:color w:val="auto"/>
        </w:rPr>
      </w:pPr>
    </w:p>
    <w:p>
      <w:pPr>
        <w:ind w:left="660" w:right="34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and the length of time the Asset Sale Offer will remain open;</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225" w:lineRule="exact"/>
        <w:rPr>
          <w:rFonts w:ascii="Arial" w:cs="Arial" w:eastAsia="Arial" w:hAnsi="Arial"/>
          <w:sz w:val="18"/>
          <w:szCs w:val="18"/>
          <w:color w:val="auto"/>
        </w:rPr>
      </w:pPr>
    </w:p>
    <w:p>
      <w:pPr>
        <w:ind w:left="660" w:right="26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unless the Company defaults in making such payment, any Note accepted for payment pursuant to the Asset Sale Offer will cease to accrue interest on and after the Purchase Date;</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20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may elect to have Notes purchased in whole multiples of $1,000 only;</w:t>
      </w:r>
    </w:p>
    <w:p>
      <w:pPr>
        <w:spacing w:after="0" w:line="170" w:lineRule="exact"/>
        <w:rPr>
          <w:rFonts w:ascii="Arial" w:cs="Arial" w:eastAsia="Arial" w:hAnsi="Arial"/>
          <w:sz w:val="18"/>
          <w:szCs w:val="18"/>
          <w:color w:val="auto"/>
        </w:rPr>
      </w:pPr>
    </w:p>
    <w:p>
      <w:pPr>
        <w:ind w:left="660" w:right="60" w:firstLine="644"/>
        <w:spacing w:after="0" w:line="311" w:lineRule="auto"/>
        <w:tabs>
          <w:tab w:leader="none" w:pos="20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148" w:lineRule="exact"/>
        <w:rPr>
          <w:rFonts w:ascii="Arial" w:cs="Arial" w:eastAsia="Arial" w:hAnsi="Arial"/>
          <w:sz w:val="16"/>
          <w:szCs w:val="16"/>
          <w:color w:val="auto"/>
        </w:rPr>
      </w:pPr>
    </w:p>
    <w:p>
      <w:pPr>
        <w:ind w:left="660" w:right="20" w:firstLine="644"/>
        <w:spacing w:after="0" w:line="311" w:lineRule="auto"/>
        <w:tabs>
          <w:tab w:leader="none" w:pos="20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Company, the Depositary or the Paying Agent, as the case may be, receives, not later than the expiration of the Offer Period, a facsimile transmission or letter setting forth the name of the Holder, the principal amount of the Note the Holder delivered for purchase and a statement that such Holder is withdrawing his election to have such Note purchased;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right="120" w:firstLine="644"/>
        <w:spacing w:after="0" w:line="301" w:lineRule="auto"/>
        <w:tabs>
          <w:tab w:leader="none" w:pos="20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by holders thereof exceeds the Offer Amount, the Company will select the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(with such adjustments as may be deemed appropriate by the Company so that only Notes in minimum denominations of $2,000, or whole multiples of $1,000 in excess thereof, will be purchased); and</w:t>
      </w:r>
    </w:p>
    <w:p>
      <w:pPr>
        <w:spacing w:after="0" w:line="157" w:lineRule="exact"/>
        <w:rPr>
          <w:rFonts w:ascii="Arial" w:cs="Arial" w:eastAsia="Arial" w:hAnsi="Arial"/>
          <w:sz w:val="16"/>
          <w:szCs w:val="16"/>
          <w:color w:val="auto"/>
        </w:rPr>
      </w:pPr>
    </w:p>
    <w:p>
      <w:pPr>
        <w:ind w:left="660" w:right="140" w:firstLine="644"/>
        <w:spacing w:after="0" w:line="277" w:lineRule="auto"/>
        <w:tabs>
          <w:tab w:leader="none" w:pos="20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Holders whose Notes were purchased only in part will be issued new Notes equal in principal amount to the unpurchased portion of the Notes surrendered (or transferred by book-entry transfer).</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the Offer Amount of Notes or portions thereof properly tendered and not withdrawn pursuant to the Asset Sale Offer, or if less than the Offer Amount has been properly tendered and not withdrawn, all Notes properly tendered and not withdrawn,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Business Days after the Purchase Date) deliver to each Holder of the Notes properly tendered and not withdrawn an amount equal to the purchase price of the Notes tendered by such Holder and accepted by the Company for purchase, and the Company will promptly issue a new Note, and the Trustee, upon receipt of an Authentication Order from the Company, will authenticate and deliver (or cause to be transferred by book entry) such new Note to such Holder, in a principal amount equal to any unpurchased portion of the Note surrendered. Any Note not so accepted shall be promptly delivered by the Company to the Holder thereof. The Company will publicly announce the results of the Asset Sale Offer on the Purchase Date.</w:t>
      </w:r>
    </w:p>
    <w:p>
      <w:pPr>
        <w:spacing w:after="0" w:line="16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Sections 3.01 through 3.06.</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5"/>
          <w:szCs w:val="15"/>
          <w:i w:val="1"/>
          <w:iCs w:val="1"/>
          <w:color w:val="auto"/>
        </w:rPr>
        <w:t>Payment of Notes.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will pay or cause to be paid the principal of, premium, if any, and interest, if any, on, the Notes on the dates and in the manner provided in the Notes. Principal and premium, if any, and interest, if any,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i w:val="1"/>
          <w:iCs w:val="1"/>
          <w:color w:val="auto"/>
        </w:rPr>
        <w:t>Maintenance of Office or Agency.</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will maintain an office or agency in the continental United States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ind w:firstLine="648"/>
        <w:spacing w:after="0" w:line="301"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designation or rescission will in any manner relieve the Company of its obligation to maintain an office or agency in the continental United States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Company hereby designates the Corporate Trust Office of the Trustee as one such office or agency of the Company in accordance with Section 2.03, provided, that such office shall not serve as an office of the Company for purposes of service of legal process on the Company.</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5"/>
          <w:szCs w:val="15"/>
          <w:i w:val="1"/>
          <w:iCs w:val="1"/>
          <w:color w:val="auto"/>
        </w:rPr>
        <w:t>Reports.</w:t>
      </w:r>
    </w:p>
    <w:p>
      <w:pPr>
        <w:spacing w:after="0" w:line="225" w:lineRule="exact"/>
        <w:rPr>
          <w:sz w:val="20"/>
          <w:szCs w:val="20"/>
          <w:color w:val="auto"/>
        </w:rPr>
      </w:pPr>
    </w:p>
    <w:p>
      <w:pPr>
        <w:ind w:firstLine="656"/>
        <w:spacing w:after="0" w:line="263" w:lineRule="auto"/>
        <w:tabs>
          <w:tab w:leader="none" w:pos="12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or not required by the rules and regulations of the SEC, so long as any Notes are outstanding, the Company will furnish to the Trustee and, upon request, the Holders of Notes, within the time periods specified in the SEC’s rules and regulations (after giving effect to any extension or deferral period permitted by the SEC from time to time):</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05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Company were required to file such reports;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Company were required to file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reports.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based 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status as an “accelerated filer” or “large accelerated filer” (each as defined in Rule 12b-2 under the Exchange Act) or as a “non-accelerated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filer” (as used in Rule 12b-2 under the Exchange Act), as the case may be, under the SEC’s rules and regulations. Each annual report on Form 10-K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 a report on the Company’s consolidated financial statements by the Company’s certified independent accountants. In addition,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file a copy of each of the reports referred to in clauses (1) and (2) above with the SEC for public availability within the time periods specified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and regulations applicable to such reports (unless the SEC will not accept such a filing) and will post the reports on its website as soon as practicable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at any time, the Company is no longer subject to the periodic reporting requirements of the Exchange Act for any reason, the Company will nevertheless continue filing the reports specified in this Section 4.03(a) with the SEC within the time periods specified above unless the SEC will not accept such a filing. The Company will not take any action for the purpose of causing the SEC not to accept any such filings. If, notwithstanding the foregoing, the SEC will not accept the Company’s filings for any reason, the Company will post the reports referred to in this Section 4.03(a) on its website within the time periods that would apply if the Company were required to file those reports with the SEC.</w:t>
      </w:r>
    </w:p>
    <w:p>
      <w:pPr>
        <w:spacing w:after="0" w:line="176" w:lineRule="exact"/>
        <w:rPr>
          <w:sz w:val="20"/>
          <w:szCs w:val="20"/>
          <w:color w:val="auto"/>
        </w:rPr>
      </w:pPr>
    </w:p>
    <w:p>
      <w:pPr>
        <w:ind w:right="120" w:firstLine="656"/>
        <w:spacing w:after="0" w:line="301" w:lineRule="auto"/>
        <w:tabs>
          <w:tab w:leader="none" w:pos="1398" w:val="left"/>
        </w:tabs>
        <w:numPr>
          <w:ilvl w:val="1"/>
          <w:numId w:val="87"/>
        </w:numPr>
        <w:rPr>
          <w:rFonts w:ascii="Arial" w:cs="Arial" w:eastAsia="Arial" w:hAnsi="Arial"/>
          <w:sz w:val="16"/>
          <w:szCs w:val="16"/>
          <w:color w:val="auto"/>
        </w:rPr>
      </w:pPr>
      <w:r>
        <w:rPr>
          <w:rFonts w:ascii="Arial" w:cs="Arial" w:eastAsia="Arial" w:hAnsi="Arial"/>
          <w:sz w:val="16"/>
          <w:szCs w:val="16"/>
          <w:color w:val="auto"/>
        </w:rPr>
        <w:t>If the Company has designated any of its Subsidiaries as Unrestricted Subsidiaries, then the quarterly and annual financial information required by Section 4.03(a)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57" w:lineRule="exact"/>
        <w:rPr>
          <w:rFonts w:ascii="Arial" w:cs="Arial" w:eastAsia="Arial" w:hAnsi="Arial"/>
          <w:sz w:val="16"/>
          <w:szCs w:val="16"/>
          <w:color w:val="auto"/>
        </w:rPr>
      </w:pPr>
    </w:p>
    <w:p>
      <w:pPr>
        <w:ind w:left="1400" w:hanging="744"/>
        <w:spacing w:after="0"/>
        <w:tabs>
          <w:tab w:leader="none" w:pos="14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For so long as any Notes remain outstanding, if at any time they are not required to file with the SEC the reports required by paragraphs</w:t>
      </w:r>
    </w:p>
    <w:p>
      <w:pPr>
        <w:spacing w:after="0" w:line="46" w:lineRule="exact"/>
        <w:rPr>
          <w:rFonts w:ascii="Arial" w:cs="Arial" w:eastAsia="Arial" w:hAnsi="Arial"/>
          <w:sz w:val="16"/>
          <w:szCs w:val="16"/>
          <w:color w:val="auto"/>
        </w:rPr>
      </w:pPr>
    </w:p>
    <w:p>
      <w:pPr>
        <w:ind w:right="160" w:firstLine="8"/>
        <w:spacing w:after="0" w:line="260"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 (b) of this Section 4.03, the Company and the Guarantors will furnish to the Holders of Notes and to securities analysts and prospective investors, upon their request, the information required to be delivered pursuant to Rule 144A(d)(4) under the Securities Act.</w:t>
      </w:r>
    </w:p>
    <w:p>
      <w:pPr>
        <w:spacing w:after="0" w:line="185" w:lineRule="exact"/>
        <w:rPr>
          <w:rFonts w:ascii="Arial" w:cs="Arial" w:eastAsia="Arial" w:hAnsi="Arial"/>
          <w:sz w:val="18"/>
          <w:szCs w:val="18"/>
          <w:color w:val="auto"/>
        </w:rPr>
      </w:pPr>
    </w:p>
    <w:p>
      <w:pPr>
        <w:ind w:right="40" w:firstLine="656"/>
        <w:spacing w:after="0" w:line="257" w:lineRule="auto"/>
        <w:tabs>
          <w:tab w:leader="none" w:pos="13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Notwithstanding the foregoing, the Company will be deemed to have delivered such reports and information referred to above to the Holders and the Trustee for all purposes of this Indenture if the Company has filed such reports with the SEC via the EDGAR filing system (or any successor system) and such reports are publicly available. In addition, the requirements of this Section 4.03 will be deemed satisfied and the Company will be deemed to have delivered such reports and information referred to above to the Trustee for all purposes of this Indenture by the posting of reports and information that would be required to be provided on the Company’s website.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9" w:name="page60"/>
    <w:bookmarkEnd w:id="59"/>
    <w:p>
      <w:pPr>
        <w:ind w:right="60" w:firstLine="656"/>
        <w:spacing w:after="0" w:line="255" w:lineRule="auto"/>
        <w:tabs>
          <w:tab w:leader="none" w:pos="13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that any direct or indirect parent of the Company is or becomes a Guarantor of the Notes, the Company may satisfy its obligations under this Section 4.03 with respect to financial information relating to the Company by furnishing financial information relating to such direct or indirect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same is accompanied by consolidating information that explains in reasonable detail the differences between the information relating to such direct or indirect parent and any of its Subsidiaries other than the Company and its Restricted Subsidiaries, on the one hand, and the information relating to the Company, the Guarantors and the other Restricted Subsidiaries of the Company on a standalone basis, on the other hand.</w:t>
      </w:r>
    </w:p>
    <w:p>
      <w:pPr>
        <w:spacing w:after="0" w:line="192" w:lineRule="exact"/>
        <w:rPr>
          <w:rFonts w:ascii="Arial" w:cs="Arial" w:eastAsia="Arial" w:hAnsi="Arial"/>
          <w:sz w:val="18"/>
          <w:szCs w:val="18"/>
          <w:color w:val="auto"/>
        </w:rPr>
      </w:pPr>
    </w:p>
    <w:p>
      <w:pPr>
        <w:ind w:right="180" w:firstLine="656"/>
        <w:spacing w:after="0" w:line="296" w:lineRule="auto"/>
        <w:tabs>
          <w:tab w:leader="none" w:pos="1368"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Delivery of reports, information and documents to the Trustee is for informational purposes only and the Trustee’s receipt of such reports or other documents, as applicable, shall not constitute constructive notice of any information contained therein or determinable from information contained therein, including the Company’s compliance with any of its covenants under this Indenture (as to which the Trustee is entitled to rely exclusively on Officer’s Certificates). The Trustee shall not be obligated to monitor or confirm, on a continuing basis or otherwise, the Company’s or any other Person’s compliance with the covenants described above or with respect to any reports or other documents filed under this Indenture.</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i w:val="1"/>
          <w:iCs w:val="1"/>
          <w:color w:val="auto"/>
        </w:rPr>
        <w:t>Compliance Certificate.</w:t>
      </w:r>
    </w:p>
    <w:p>
      <w:pPr>
        <w:spacing w:after="0" w:line="225" w:lineRule="exact"/>
        <w:rPr>
          <w:sz w:val="20"/>
          <w:szCs w:val="20"/>
          <w:color w:val="auto"/>
        </w:rPr>
      </w:pPr>
    </w:p>
    <w:p>
      <w:pPr>
        <w:ind w:firstLine="656"/>
        <w:spacing w:after="0" w:line="289" w:lineRule="auto"/>
        <w:tabs>
          <w:tab w:leader="none" w:pos="13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and each Guarantor shall deliver to the Trustee, within 90 days after the end of each fiscal year, an Officer’s Certificate that need not comply with Section 12.04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66" w:lineRule="exact"/>
        <w:rPr>
          <w:rFonts w:ascii="Arial" w:cs="Arial" w:eastAsia="Arial" w:hAnsi="Arial"/>
          <w:sz w:val="16"/>
          <w:szCs w:val="16"/>
          <w:color w:val="auto"/>
        </w:rPr>
      </w:pPr>
    </w:p>
    <w:p>
      <w:pPr>
        <w:ind w:right="460" w:firstLine="656"/>
        <w:spacing w:after="0" w:line="263" w:lineRule="auto"/>
        <w:tabs>
          <w:tab w:leader="none" w:pos="1398"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 long as any of the Notes are outstanding, the Company will deliver to a Responsible Officer of the Trustee, promptly upon any Officer becoming aware of any Default or Event of Default, an Officer’s Certificate specifying such Default or Event of Default and what action the Company is taking or proposes to take with respect thereto.</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3"/>
          <w:szCs w:val="13"/>
          <w:i w:val="1"/>
          <w:iCs w:val="1"/>
          <w:color w:val="auto"/>
        </w:rPr>
        <w:t>Taxes.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Stay, Extension and Usury Laws.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ind w:left="660"/>
        <w:spacing w:after="0"/>
        <w:tabs>
          <w:tab w:leader="none" w:pos="204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5"/>
          <w:szCs w:val="15"/>
          <w:i w:val="1"/>
          <w:iCs w:val="1"/>
          <w:color w:val="auto"/>
        </w:rPr>
        <w:t>Restricted Payments.</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225" w:lineRule="exact"/>
        <w:rPr>
          <w:rFonts w:ascii="Arial" w:cs="Arial" w:eastAsia="Arial" w:hAnsi="Arial"/>
          <w:sz w:val="18"/>
          <w:szCs w:val="18"/>
          <w:color w:val="auto"/>
        </w:rPr>
      </w:pPr>
    </w:p>
    <w:p>
      <w:pPr>
        <w:ind w:left="660" w:right="80" w:firstLine="644"/>
        <w:spacing w:after="0" w:line="257"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(whether in cash, securities or other property)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except dividends or distributions payable solely in Equity Interests (other than Disqualified Stock) of the Company;</w:t>
      </w:r>
    </w:p>
    <w:p>
      <w:pPr>
        <w:spacing w:after="0" w:line="187" w:lineRule="exact"/>
        <w:rPr>
          <w:rFonts w:ascii="Arial" w:cs="Arial" w:eastAsia="Arial" w:hAnsi="Arial"/>
          <w:sz w:val="18"/>
          <w:szCs w:val="18"/>
          <w:color w:val="auto"/>
        </w:rPr>
      </w:pPr>
    </w:p>
    <w:p>
      <w:pPr>
        <w:ind w:left="660" w:firstLine="644"/>
        <w:spacing w:after="0" w:line="263"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direct or indirect parent of the Company held by Persons other than the Company or a Restricted Subsidiary;</w:t>
      </w:r>
    </w:p>
    <w:p>
      <w:pPr>
        <w:spacing w:after="0" w:line="183" w:lineRule="exact"/>
        <w:rPr>
          <w:rFonts w:ascii="Arial" w:cs="Arial" w:eastAsia="Arial" w:hAnsi="Arial"/>
          <w:sz w:val="18"/>
          <w:szCs w:val="18"/>
          <w:color w:val="auto"/>
        </w:rPr>
      </w:pPr>
    </w:p>
    <w:p>
      <w:pPr>
        <w:ind w:left="660" w:right="100" w:firstLine="644"/>
        <w:spacing w:after="0" w:line="255"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any payment (whether in cash, securities or other property) on or with respect to, or purchase, redeem, defease or otherwise acquire or retire for value any Indebtedness of the Company or any Guarantor that is contractually subordinated in right of payment to the Notes or to any Note Guarantee (excluding any intercompany Indebtedness between or among the Company and any of its Restricted Subsidiaries), except any purchase, redemption or other acquisition thereof or a payment of interest or principal, in each case, at the Stated Maturity thereof or in anticipation of the Stated Maturity thereof when due within one year of such redemption, repurchase, defeasance or other acquisition or retirement; or</w:t>
      </w:r>
    </w:p>
    <w:p>
      <w:pPr>
        <w:spacing w:after="0" w:line="192" w:lineRule="exact"/>
        <w:rPr>
          <w:rFonts w:ascii="Arial" w:cs="Arial" w:eastAsia="Arial" w:hAnsi="Arial"/>
          <w:sz w:val="18"/>
          <w:szCs w:val="18"/>
          <w:color w:val="auto"/>
        </w:rPr>
      </w:pPr>
    </w:p>
    <w:p>
      <w:pPr>
        <w:ind w:left="660" w:right="280" w:firstLine="644"/>
        <w:spacing w:after="0" w:line="277" w:lineRule="auto"/>
        <w:tabs>
          <w:tab w:leader="none" w:pos="20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these clauses (1) through (4) above being collectively referred to as “</w:t>
      </w:r>
      <w:r>
        <w:rPr>
          <w:rFonts w:ascii="Arial" w:cs="Arial" w:eastAsia="Arial" w:hAnsi="Arial"/>
          <w:sz w:val="18"/>
          <w:szCs w:val="18"/>
          <w:b w:val="1"/>
          <w:bCs w:val="1"/>
          <w:i w:val="1"/>
          <w:iCs w:val="1"/>
          <w:color w:val="auto"/>
        </w:rPr>
        <w:t>Restricted Payments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25" w:lineRule="exact"/>
        <w:rPr>
          <w:sz w:val="20"/>
          <w:szCs w:val="20"/>
          <w:color w:val="auto"/>
        </w:rPr>
      </w:pPr>
    </w:p>
    <w:p>
      <w:pPr>
        <w:ind w:left="2060" w:hanging="756"/>
        <w:spacing w:after="0"/>
        <w:tabs>
          <w:tab w:leader="none" w:pos="2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has occurred and is continuing or would occur as a consequence of such Restricted Payment;</w:t>
      </w:r>
    </w:p>
    <w:p>
      <w:pPr>
        <w:spacing w:after="0" w:line="225" w:lineRule="exact"/>
        <w:rPr>
          <w:rFonts w:ascii="Arial" w:cs="Arial" w:eastAsia="Arial" w:hAnsi="Arial"/>
          <w:sz w:val="18"/>
          <w:szCs w:val="18"/>
          <w:color w:val="auto"/>
        </w:rPr>
      </w:pPr>
    </w:p>
    <w:p>
      <w:pPr>
        <w:ind w:left="660" w:right="340" w:firstLine="644"/>
        <w:spacing w:after="0" w:line="286" w:lineRule="auto"/>
        <w:tabs>
          <w:tab w:leader="none" w:pos="20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hereof; and</w:t>
      </w:r>
    </w:p>
    <w:p>
      <w:pPr>
        <w:spacing w:after="0" w:line="165" w:lineRule="exact"/>
        <w:rPr>
          <w:rFonts w:ascii="Arial" w:cs="Arial" w:eastAsia="Arial" w:hAnsi="Arial"/>
          <w:sz w:val="17"/>
          <w:szCs w:val="17"/>
          <w:color w:val="auto"/>
        </w:rPr>
      </w:pPr>
    </w:p>
    <w:p>
      <w:pPr>
        <w:ind w:left="660" w:right="80" w:firstLine="644"/>
        <w:spacing w:after="0" w:line="263" w:lineRule="auto"/>
        <w:tabs>
          <w:tab w:leader="none" w:pos="205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date of this Indenture (excluding Restricted Payments permitted by clauses (2) through (13) of Section 4.07(b)), is less than the sum, without duplication (the “</w:t>
      </w:r>
      <w:r>
        <w:rPr>
          <w:rFonts w:ascii="Arial" w:cs="Arial" w:eastAsia="Arial" w:hAnsi="Arial"/>
          <w:sz w:val="18"/>
          <w:szCs w:val="18"/>
          <w:b w:val="1"/>
          <w:bCs w:val="1"/>
          <w:i w:val="1"/>
          <w:iCs w:val="1"/>
          <w:color w:val="auto"/>
        </w:rPr>
        <w:t>Cumulative Credit</w:t>
      </w:r>
      <w:r>
        <w:rPr>
          <w:rFonts w:ascii="Arial" w:cs="Arial" w:eastAsia="Arial" w:hAnsi="Arial"/>
          <w:sz w:val="18"/>
          <w:szCs w:val="18"/>
          <w:color w:val="auto"/>
        </w:rPr>
        <w:t>”), of:</w:t>
      </w:r>
    </w:p>
    <w:p>
      <w:pPr>
        <w:spacing w:after="0" w:line="183" w:lineRule="exact"/>
        <w:rPr>
          <w:rFonts w:ascii="Arial" w:cs="Arial" w:eastAsia="Arial" w:hAnsi="Arial"/>
          <w:sz w:val="18"/>
          <w:szCs w:val="18"/>
          <w:color w:val="auto"/>
        </w:rPr>
      </w:pPr>
    </w:p>
    <w:p>
      <w:pPr>
        <w:ind w:left="1300" w:right="220" w:firstLine="652"/>
        <w:spacing w:after="0" w:line="259" w:lineRule="auto"/>
        <w:tabs>
          <w:tab w:leader="none" w:pos="2738"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sum of (i) $50.0 million and (ii) 50% of the Consolidated Net Income of the Company for the period (taken as one accounting period) from July 1, 2020 to the end of the Company’s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1" w:name="page62"/>
    <w:bookmarkEnd w:id="61"/>
    <w:p>
      <w:pPr>
        <w:ind w:left="644" w:right="260" w:firstLine="652"/>
        <w:spacing w:after="0" w:line="255" w:lineRule="auto"/>
        <w:tabs>
          <w:tab w:leader="none" w:pos="2072"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100% of the aggregate net cash proceeds and the Fair Market Value of marketable securities or other property received by the Company since the date of this Indenture as a contribution to its common equity capital or from the issue or sale of Equity Interests (other than Disqualified Stock) of the Company or from the issue or sale of convertible or exchangeable Disqualified Stock or convertible or exchangeable debt securities of the Company that have been converted into or exchanged for such Equity Interests other than Disqualified Stock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192" w:lineRule="exact"/>
        <w:rPr>
          <w:rFonts w:ascii="Arial" w:cs="Arial" w:eastAsia="Arial" w:hAnsi="Arial"/>
          <w:sz w:val="18"/>
          <w:szCs w:val="18"/>
          <w:color w:val="auto"/>
        </w:rPr>
      </w:pPr>
    </w:p>
    <w:p>
      <w:pPr>
        <w:ind w:left="644" w:right="20" w:firstLine="652"/>
        <w:spacing w:after="0" w:line="257" w:lineRule="auto"/>
        <w:tabs>
          <w:tab w:leader="none" w:pos="2072" w:val="left"/>
        </w:tabs>
        <w:numPr>
          <w:ilvl w:val="2"/>
          <w:numId w:val="93"/>
        </w:numPr>
        <w:rPr>
          <w:rFonts w:ascii="Arial" w:cs="Arial" w:eastAsia="Arial" w:hAnsi="Arial"/>
          <w:sz w:val="18"/>
          <w:szCs w:val="18"/>
          <w:color w:val="auto"/>
        </w:rPr>
      </w:pPr>
      <w:r>
        <w:rPr>
          <w:rFonts w:ascii="Arial" w:cs="Arial" w:eastAsia="Arial" w:hAnsi="Arial"/>
          <w:sz w:val="18"/>
          <w:szCs w:val="18"/>
          <w:color w:val="auto"/>
        </w:rPr>
        <w:t xml:space="preserve">to the extent that any Restricted Investment made by the Company or any of its Restricted Subsidiaries in any Person after the date of this Indenture is subsequently sold for cash or otherwise liquidated or repaid for cash (including, without limitation, by repurchase, repayment or redemption of such Restricted Investment by such Person), the cash return of capital (excluding dividends and distributions) to the Company or any of its Restricted Subsidiaries with respect to such Restricted Investment (less the cost of disposition, if any);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left="644" w:right="460" w:firstLine="652"/>
        <w:spacing w:after="0" w:line="301" w:lineRule="auto"/>
        <w:tabs>
          <w:tab w:leader="none" w:pos="2082" w:val="left"/>
        </w:tabs>
        <w:numPr>
          <w:ilvl w:val="2"/>
          <w:numId w:val="93"/>
        </w:numPr>
        <w:rPr>
          <w:rFonts w:ascii="Arial" w:cs="Arial" w:eastAsia="Arial" w:hAnsi="Arial"/>
          <w:sz w:val="16"/>
          <w:szCs w:val="16"/>
          <w:color w:val="auto"/>
        </w:rPr>
      </w:pPr>
      <w:r>
        <w:rPr>
          <w:rFonts w:ascii="Arial" w:cs="Arial" w:eastAsia="Arial" w:hAnsi="Arial"/>
          <w:sz w:val="16"/>
          <w:szCs w:val="16"/>
          <w:color w:val="auto"/>
        </w:rPr>
        <w:t>if any Unrestricted Subsidiary of the Company (i) is redesignated as a Restricted Subsidiary, or merged or consolidated into the Company or a Restricted Subsidiary, the Fair Market Value of the Company’s Investment in such Unrestricted Subsidiary as of the date of such redesignation or (ii) pays any cash dividends or cash distributions to the Company or any of its Restricted Subsidiaries, 100% of any such cash dividends or cash distributions made after the date of this Indenture.</w:t>
      </w:r>
    </w:p>
    <w:p>
      <w:pPr>
        <w:spacing w:after="0" w:line="157" w:lineRule="exact"/>
        <w:rPr>
          <w:rFonts w:ascii="Arial" w:cs="Arial" w:eastAsia="Arial" w:hAnsi="Arial"/>
          <w:sz w:val="16"/>
          <w:szCs w:val="16"/>
          <w:color w:val="auto"/>
        </w:rPr>
      </w:pPr>
    </w:p>
    <w:p>
      <w:pPr>
        <w:ind w:left="664" w:hanging="664"/>
        <w:spacing w:after="0"/>
        <w:tabs>
          <w:tab w:leader="none" w:pos="6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provisions of Section 4.07(a) will not prohibit:</w:t>
      </w:r>
    </w:p>
    <w:p>
      <w:pPr>
        <w:spacing w:after="0" w:line="225" w:lineRule="exact"/>
        <w:rPr>
          <w:rFonts w:ascii="Arial" w:cs="Arial" w:eastAsia="Arial" w:hAnsi="Arial"/>
          <w:sz w:val="18"/>
          <w:szCs w:val="18"/>
          <w:color w:val="auto"/>
        </w:rPr>
      </w:pPr>
    </w:p>
    <w:p>
      <w:pPr>
        <w:ind w:left="4" w:right="20" w:firstLine="644"/>
        <w:spacing w:after="0" w:line="286" w:lineRule="auto"/>
        <w:tabs>
          <w:tab w:leader="none" w:pos="140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payment of any dividend or distribution or the consummation of any irrevocable redemption within 60 days after the date of declaration of the dividend or distribution or the giving of a redemption notice, as the case may be, if at the date of declaration or the giving of a redemption notice, the dividend, distribution or redemption payment would have complied with the provisions of this Indenture;</w:t>
      </w:r>
    </w:p>
    <w:p>
      <w:pPr>
        <w:spacing w:after="0" w:line="165" w:lineRule="exact"/>
        <w:rPr>
          <w:rFonts w:ascii="Arial" w:cs="Arial" w:eastAsia="Arial" w:hAnsi="Arial"/>
          <w:sz w:val="17"/>
          <w:szCs w:val="17"/>
          <w:color w:val="auto"/>
        </w:rPr>
      </w:pPr>
    </w:p>
    <w:p>
      <w:pPr>
        <w:ind w:left="4" w:right="80" w:firstLine="644"/>
        <w:spacing w:after="0" w:line="259" w:lineRule="auto"/>
        <w:tabs>
          <w:tab w:leader="none" w:pos="1402"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within 60 days out of the net cash proceeds of the sale (other than to a Subsidiary of the Company) of, Equity Interests of the Company (other than Disqualified Stock) or within 60 days from the contribution of common equity capital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Section 4.07(a) hereof;</w:t>
      </w:r>
    </w:p>
    <w:p>
      <w:pPr>
        <w:spacing w:after="0" w:line="186" w:lineRule="exact"/>
        <w:rPr>
          <w:rFonts w:ascii="Arial" w:cs="Arial" w:eastAsia="Arial" w:hAnsi="Arial"/>
          <w:sz w:val="18"/>
          <w:szCs w:val="18"/>
          <w:color w:val="auto"/>
        </w:rPr>
      </w:pPr>
    </w:p>
    <w:p>
      <w:pPr>
        <w:ind w:left="4" w:right="240" w:firstLine="644"/>
        <w:spacing w:after="0" w:line="311" w:lineRule="auto"/>
        <w:tabs>
          <w:tab w:leader="none" w:pos="1402"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repurchase, redemption, defeasance or other acquisition or retirement for value of Indebtedness of the Company or any Guarantor that is contractually subordinated or junior in right of payment to the Notes or to any Note Guarantee, including premium, if any, and accrued interest, within 60 days with the net cash proceeds from an incurrence of Permitted Refinancing Indebtedness;</w:t>
      </w:r>
    </w:p>
    <w:p>
      <w:pPr>
        <w:spacing w:after="0" w:line="148" w:lineRule="exact"/>
        <w:rPr>
          <w:rFonts w:ascii="Arial" w:cs="Arial" w:eastAsia="Arial" w:hAnsi="Arial"/>
          <w:sz w:val="16"/>
          <w:szCs w:val="16"/>
          <w:color w:val="auto"/>
        </w:rPr>
      </w:pPr>
    </w:p>
    <w:p>
      <w:pPr>
        <w:ind w:left="4" w:right="340" w:firstLine="644"/>
        <w:spacing w:after="0" w:line="308" w:lineRule="auto"/>
        <w:tabs>
          <w:tab w:leader="none" w:pos="1402"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the payment of any dividend (or, in the case of any partnership or limited liability company, any similar distribution) or the making of any loan or advance by a Restricted Subsidiary of the Company to the holders of its Equity Interests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w:t>
      </w:r>
    </w:p>
    <w:p>
      <w:pPr>
        <w:spacing w:after="0" w:line="146" w:lineRule="exact"/>
        <w:rPr>
          <w:rFonts w:ascii="Arial" w:cs="Arial" w:eastAsia="Arial" w:hAnsi="Arial"/>
          <w:sz w:val="17"/>
          <w:szCs w:val="17"/>
          <w:color w:val="auto"/>
        </w:rPr>
      </w:pPr>
    </w:p>
    <w:p>
      <w:pPr>
        <w:ind w:left="4" w:firstLine="644"/>
        <w:spacing w:after="0" w:line="288" w:lineRule="auto"/>
        <w:tabs>
          <w:tab w:leader="none" w:pos="1402"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Company or any Restricted Subsidiary of the Company held by any current or former officer, director, employee or consultant of the Company or any of its Restricted Subsidiaries (or permitted transferees, heirs or estates of such current or former officer, director, employee or consultant) pursuant to any equity subscription agreement, stock option agreement, shareholders’ agreement or similar agreement, plan or arrangement;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price paid for all such repurchased, redeemed, acquired or retired Equity Interests may not exceed (a) $3.75 million in any fiscal year (with unused amounts in any fiscal year being carried over to succeeding calendar years subject to a maximum (without giving effect to clause (b)) of $7.5 million in any fiscal year),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cash proceeds received by the Company and its Restricted Subsidiaries from any issuance or reissuance of Equity Interests to directors, officers, employees and consultants and the proceeds of any “key man” life insurance policies;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the cancellation of Indebtedness owing to the Company or its Restricted Subsidiaries from members of management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such repurchase of Equity Interests will not be deemed to be a Restricted Payment;</w:t>
      </w:r>
    </w:p>
    <w:p>
      <w:pPr>
        <w:spacing w:after="0" w:line="38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ind w:left="-460" w:right="180" w:firstLine="644"/>
        <w:spacing w:after="0" w:line="311" w:lineRule="auto"/>
        <w:tabs>
          <w:tab w:leader="none" w:pos="93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repurchase of Equity Interests deemed to occur upon the exercise of stock options, warrants or similar rights to the extent such Equity Interests represent a portion of the exercise price of those stock options, warrants or similar rights and the sale of common Equity Interests of the Company or any warrants or options with respect thereto pursuant to any executive compensation or stock option plan;</w:t>
      </w:r>
    </w:p>
    <w:p>
      <w:pPr>
        <w:spacing w:after="0" w:line="148" w:lineRule="exact"/>
        <w:rPr>
          <w:rFonts w:ascii="Arial" w:cs="Arial" w:eastAsia="Arial" w:hAnsi="Arial"/>
          <w:sz w:val="16"/>
          <w:szCs w:val="16"/>
          <w:color w:val="auto"/>
        </w:rPr>
      </w:pPr>
    </w:p>
    <w:p>
      <w:pPr>
        <w:ind w:left="-460" w:right="160" w:firstLine="644"/>
        <w:spacing w:after="0" w:line="257" w:lineRule="auto"/>
        <w:tabs>
          <w:tab w:leader="none" w:pos="9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cash payments in lieu of issuance of fractional shares (x) in connection with the exercise of stock options, warrants, other securities convertible into or exchangeable for the common Equity Interests or similar rights, (y) in connection with any dividend, split or combination of the Company’s common Equity Interests or any Permitted Acquisition (or similar Permitted Investment) and (z) to any holder of the Convertible Senior Notes in connection with a conversion of the Convertible Senior Notes into Equity Interests at the election of such holder pursuant to the terms of the Convertible Senior Notes Indenture;</w:t>
      </w:r>
    </w:p>
    <w:p>
      <w:pPr>
        <w:spacing w:after="0" w:line="187" w:lineRule="exact"/>
        <w:rPr>
          <w:rFonts w:ascii="Arial" w:cs="Arial" w:eastAsia="Arial" w:hAnsi="Arial"/>
          <w:sz w:val="18"/>
          <w:szCs w:val="18"/>
          <w:color w:val="auto"/>
        </w:rPr>
      </w:pPr>
    </w:p>
    <w:p>
      <w:pPr>
        <w:jc w:val="both"/>
        <w:ind w:left="-460" w:right="300" w:firstLine="644"/>
        <w:spacing w:after="0" w:line="286" w:lineRule="auto"/>
        <w:tabs>
          <w:tab w:leader="none" w:pos="9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declaration and payment of regularly scheduled or accrued dividends or distributions to holders of any class or series of Disqualified Stock of the Company or any class or series of preferred stock of any Restricted Subsidiary of the Company issued on or after the date of this Indenture in accordance with the Fixed Charge Coverage Ratio test described in Section 4.09 hereof;</w:t>
      </w:r>
    </w:p>
    <w:p>
      <w:pPr>
        <w:spacing w:after="0" w:line="165" w:lineRule="exact"/>
        <w:rPr>
          <w:rFonts w:ascii="Arial" w:cs="Arial" w:eastAsia="Arial" w:hAnsi="Arial"/>
          <w:sz w:val="17"/>
          <w:szCs w:val="17"/>
          <w:color w:val="auto"/>
        </w:rPr>
      </w:pPr>
    </w:p>
    <w:p>
      <w:pPr>
        <w:jc w:val="both"/>
        <w:ind w:left="-460" w:right="140" w:firstLine="644"/>
        <w:spacing w:after="0" w:line="263" w:lineRule="auto"/>
        <w:tabs>
          <w:tab w:leader="none" w:pos="9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purchases of fractional Equity Interests of the Company, (x) for aggregate consideration not to exceed $3.75 million since the date of this Indenture or (y) arising out of a consolidation, merger or sale of all or substantially all of the properties or assets of the Company and its Restricted Subsidiaries, taken as a whole, that is permitted pursuant to Section 5.01 hereof;</w:t>
      </w:r>
    </w:p>
    <w:p>
      <w:pPr>
        <w:spacing w:after="0" w:line="183" w:lineRule="exact"/>
        <w:rPr>
          <w:rFonts w:ascii="Arial" w:cs="Arial" w:eastAsia="Arial" w:hAnsi="Arial"/>
          <w:sz w:val="18"/>
          <w:szCs w:val="18"/>
          <w:color w:val="auto"/>
        </w:rPr>
      </w:pPr>
    </w:p>
    <w:p>
      <w:pPr>
        <w:ind w:left="-460" w:firstLine="644"/>
        <w:spacing w:after="0" w:line="263"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dividend payments or other distributions by the Company or its Restricted Subsidiaries payable solely in the common stock or other Qualified Equity Interests of such Person (including in connection with any stock split, combination or reclassification of common stock or other Qualified Equity Interests of such Person);</w:t>
      </w:r>
    </w:p>
    <w:p>
      <w:pPr>
        <w:spacing w:after="0" w:line="183" w:lineRule="exact"/>
        <w:rPr>
          <w:rFonts w:ascii="Arial" w:cs="Arial" w:eastAsia="Arial" w:hAnsi="Arial"/>
          <w:sz w:val="18"/>
          <w:szCs w:val="18"/>
          <w:color w:val="auto"/>
        </w:rPr>
      </w:pPr>
    </w:p>
    <w:p>
      <w:pPr>
        <w:jc w:val="both"/>
        <w:ind w:left="-460" w:right="100" w:firstLine="644"/>
        <w:spacing w:after="0" w:line="263" w:lineRule="auto"/>
        <w:tabs>
          <w:tab w:leader="none" w:pos="10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payments or distributions in an amount determined by judgment or settlement approved by a court of competent jurisdiction, solely in the nature of satisfaction of dissenting stockholder rights, pursuant to or in connection with a consolidation, merger or transfer of assets that complies with Section 5.01 hereof;</w:t>
      </w:r>
    </w:p>
    <w:p>
      <w:pPr>
        <w:spacing w:after="0" w:line="183" w:lineRule="exact"/>
        <w:rPr>
          <w:rFonts w:ascii="Arial" w:cs="Arial" w:eastAsia="Arial" w:hAnsi="Arial"/>
          <w:sz w:val="18"/>
          <w:szCs w:val="18"/>
          <w:color w:val="auto"/>
        </w:rPr>
      </w:pPr>
    </w:p>
    <w:p>
      <w:pPr>
        <w:ind w:left="-460" w:right="100" w:firstLine="644"/>
        <w:spacing w:after="0" w:line="255"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the occurrence of a Change of Control and within 60 days after completion of the offer to purchase pursuant to the repurchase of Notes upon a Change of Control covenant in accordance with the terms of this Indenture (including the purchase of all Notes tendered), any purchase or redemption of Indebtedness of the Company or any Guarantor, that is contractually subordinated or junior in right of payment to the Notes or to any Note Guarantee, or Disqualified Stock of the Company that is required to be repurchased or redeemed pursuant to the terms thereof as a result of a Change of Control, at a purchase price not greater than 101% of the outstanding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thereon);</w:t>
      </w:r>
    </w:p>
    <w:p>
      <w:pPr>
        <w:spacing w:after="0" w:line="192" w:lineRule="exact"/>
        <w:rPr>
          <w:rFonts w:ascii="Arial" w:cs="Arial" w:eastAsia="Arial" w:hAnsi="Arial"/>
          <w:sz w:val="18"/>
          <w:szCs w:val="18"/>
          <w:color w:val="auto"/>
        </w:rPr>
      </w:pPr>
    </w:p>
    <w:p>
      <w:pPr>
        <w:ind w:left="-460" w:right="120" w:firstLine="644"/>
        <w:spacing w:after="0" w:line="277"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$100.0 million, so long as no Event of Default has occurred and is continuing or would be caused thereby;</w:t>
      </w:r>
    </w:p>
    <w:p>
      <w:pPr>
        <w:spacing w:after="0" w:line="170" w:lineRule="exact"/>
        <w:rPr>
          <w:rFonts w:ascii="Arial" w:cs="Arial" w:eastAsia="Arial" w:hAnsi="Arial"/>
          <w:sz w:val="18"/>
          <w:szCs w:val="18"/>
          <w:color w:val="auto"/>
        </w:rPr>
      </w:pPr>
    </w:p>
    <w:p>
      <w:pPr>
        <w:ind w:left="-460" w:right="80" w:firstLine="644"/>
        <w:spacing w:after="0" w:line="259" w:lineRule="auto"/>
        <w:tabs>
          <w:tab w:leader="none" w:pos="10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dividends or distributions on account of the Company’s or any of its Restricted Subsidiaries’ Equity Interests in an aggregate annual amount not to exceed $25.0 million in any calendar year (with unused amounts in any calendar year being carried over to the next succeeding calendar year subject to a maximum of $100.0 million in any calendar year), so long as no Event of Default has occurred and is continuing or would be caused thereby;</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63" w:name="page64"/>
    <w:bookmarkEnd w:id="63"/>
    <w:p>
      <w:pPr>
        <w:ind w:left="600" w:right="40" w:firstLine="644"/>
        <w:spacing w:after="0" w:line="263" w:lineRule="auto"/>
        <w:tabs>
          <w:tab w:leader="none" w:pos="20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Restricted Payments (in addition to Restricted Payments under the above clauses (1) through (14) or (16) and (17) below), so long as, after giving pro forma effect to the payment of any such Restricted Payment, the Total Leverage Ratio shall be no greater than 3.00 to 1.00, so long as no Event of Default has occurred and is continuing or would be caused thereby;</w:t>
      </w:r>
    </w:p>
    <w:p>
      <w:pPr>
        <w:spacing w:after="0" w:line="183" w:lineRule="exact"/>
        <w:rPr>
          <w:rFonts w:ascii="Arial" w:cs="Arial" w:eastAsia="Arial" w:hAnsi="Arial"/>
          <w:sz w:val="18"/>
          <w:szCs w:val="18"/>
          <w:color w:val="auto"/>
        </w:rPr>
      </w:pPr>
    </w:p>
    <w:p>
      <w:pPr>
        <w:ind w:left="2080" w:hanging="836"/>
        <w:spacing w:after="0"/>
        <w:tabs>
          <w:tab w:leader="none" w:pos="20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sale of Equity Interests of the Company to the extent constituting Qualified Equity Interests;</w:t>
      </w:r>
    </w:p>
    <w:p>
      <w:pPr>
        <w:spacing w:after="0" w:line="225" w:lineRule="exact"/>
        <w:rPr>
          <w:rFonts w:ascii="Arial" w:cs="Arial" w:eastAsia="Arial" w:hAnsi="Arial"/>
          <w:sz w:val="18"/>
          <w:szCs w:val="18"/>
          <w:color w:val="auto"/>
        </w:rPr>
      </w:pPr>
    </w:p>
    <w:p>
      <w:pPr>
        <w:ind w:left="600" w:right="460" w:firstLine="644"/>
        <w:spacing w:after="0" w:line="277" w:lineRule="auto"/>
        <w:tabs>
          <w:tab w:leader="none" w:pos="20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conversion of any Indebtedness (including the Convertible Senior Notes) or other Equity Interests into the common Equity Interests of the Company from time to time; and</w:t>
      </w:r>
    </w:p>
    <w:p>
      <w:pPr>
        <w:spacing w:after="0" w:line="170" w:lineRule="exact"/>
        <w:rPr>
          <w:rFonts w:ascii="Arial" w:cs="Arial" w:eastAsia="Arial" w:hAnsi="Arial"/>
          <w:sz w:val="18"/>
          <w:szCs w:val="18"/>
          <w:color w:val="auto"/>
        </w:rPr>
      </w:pPr>
    </w:p>
    <w:p>
      <w:pPr>
        <w:ind w:left="2080" w:hanging="836"/>
        <w:spacing w:after="0"/>
        <w:tabs>
          <w:tab w:leader="none" w:pos="20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payments or deliveries in connection with (a) a Permitted Bond Hedge Transaction or (b) Permitted Warrant Transaction</w:t>
      </w:r>
    </w:p>
    <w:p>
      <w:pPr>
        <w:spacing w:after="0" w:line="46" w:lineRule="exact"/>
        <w:rPr>
          <w:rFonts w:ascii="Arial" w:cs="Arial" w:eastAsia="Arial" w:hAnsi="Arial"/>
          <w:sz w:val="16"/>
          <w:szCs w:val="16"/>
          <w:color w:val="auto"/>
        </w:rPr>
      </w:pPr>
    </w:p>
    <w:p>
      <w:pPr>
        <w:ind w:left="600" w:right="20" w:hanging="4"/>
        <w:spacing w:after="0" w:line="255" w:lineRule="auto"/>
        <w:tabs>
          <w:tab w:leader="none" w:pos="8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delivery of shares of the Company’s Equity Interests (other than Disqualified Stock) or (ii) otherwise, to the extent of a payment or delivery received from a Permitted Bond Hedge Transaction (whether such payment or delivery on the Permitted Warrant Transaction is effected by netting, set-off or otherwise).</w:t>
      </w:r>
    </w:p>
    <w:p>
      <w:pPr>
        <w:spacing w:after="0" w:line="190" w:lineRule="exact"/>
        <w:rPr>
          <w:sz w:val="20"/>
          <w:szCs w:val="20"/>
          <w:color w:val="auto"/>
        </w:rPr>
      </w:pPr>
    </w:p>
    <w:p>
      <w:pPr>
        <w:ind w:left="-60" w:right="40" w:firstLine="656"/>
        <w:spacing w:after="0" w:line="259" w:lineRule="auto"/>
        <w:tabs>
          <w:tab w:leader="none" w:pos="12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w:t>
      </w:r>
    </w:p>
    <w:p>
      <w:pPr>
        <w:spacing w:after="0" w:line="186" w:lineRule="exact"/>
        <w:rPr>
          <w:rFonts w:ascii="Arial" w:cs="Arial" w:eastAsia="Arial" w:hAnsi="Arial"/>
          <w:sz w:val="18"/>
          <w:szCs w:val="18"/>
          <w:color w:val="auto"/>
        </w:rPr>
      </w:pPr>
    </w:p>
    <w:p>
      <w:pPr>
        <w:ind w:left="-60" w:right="40" w:firstLine="656"/>
        <w:spacing w:after="0" w:line="279" w:lineRule="auto"/>
        <w:tabs>
          <w:tab w:leader="none" w:pos="1293"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determining compliance with this Section 4.07, in the event that a proposed Restricted Payment (or a portion thereof) meets the criteria of clauses (1) through (18) of Section 4.07(b) or is entitled to be made pursuant to Section 4.07(a), the Company will be entitled to classify or later reclassify (based on circumstances existing on the date of such reclassification) such Restricted Payment (or portion thereof) between such clauses (1) through (18) of Section 4.07(b) and Section 4.07(a) in a manner that otherwise complies with this Section 4.07.</w:t>
      </w:r>
    </w:p>
    <w:p>
      <w:pPr>
        <w:spacing w:after="0" w:line="171" w:lineRule="exact"/>
        <w:rPr>
          <w:sz w:val="20"/>
          <w:szCs w:val="20"/>
          <w:color w:val="auto"/>
        </w:rPr>
      </w:pPr>
    </w:p>
    <w:p>
      <w:pPr>
        <w:ind w:left="600"/>
        <w:spacing w:after="0"/>
        <w:tabs>
          <w:tab w:leader="none" w:pos="17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i w:val="1"/>
          <w:iCs w:val="1"/>
          <w:color w:val="auto"/>
        </w:rPr>
        <w:t>Dividend and Other Payment Restrictions Affecting Restricted Subsidiaries.</w:t>
      </w:r>
    </w:p>
    <w:p>
      <w:pPr>
        <w:spacing w:after="0" w:line="225" w:lineRule="exact"/>
        <w:rPr>
          <w:sz w:val="20"/>
          <w:szCs w:val="20"/>
          <w:color w:val="auto"/>
        </w:rPr>
      </w:pPr>
    </w:p>
    <w:p>
      <w:pPr>
        <w:ind w:left="-60" w:firstLine="656"/>
        <w:spacing w:after="0" w:line="277" w:lineRule="auto"/>
        <w:tabs>
          <w:tab w:leader="none" w:pos="12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consensual encumbrance or restriction on the ability of any Restricted Subsidiary to:</w:t>
      </w:r>
    </w:p>
    <w:p>
      <w:pPr>
        <w:spacing w:after="0" w:line="170" w:lineRule="exact"/>
        <w:rPr>
          <w:rFonts w:ascii="Arial" w:cs="Arial" w:eastAsia="Arial" w:hAnsi="Arial"/>
          <w:sz w:val="18"/>
          <w:szCs w:val="18"/>
          <w:color w:val="auto"/>
        </w:rPr>
      </w:pPr>
    </w:p>
    <w:p>
      <w:pPr>
        <w:ind w:left="600" w:right="240" w:firstLine="644"/>
        <w:spacing w:after="0" w:line="263" w:lineRule="auto"/>
        <w:tabs>
          <w:tab w:leader="none" w:pos="20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83" w:lineRule="exact"/>
        <w:rPr>
          <w:rFonts w:ascii="Arial" w:cs="Arial" w:eastAsia="Arial" w:hAnsi="Arial"/>
          <w:sz w:val="18"/>
          <w:szCs w:val="18"/>
          <w:color w:val="auto"/>
        </w:rPr>
      </w:pPr>
    </w:p>
    <w:p>
      <w:pPr>
        <w:ind w:left="2080" w:hanging="836"/>
        <w:spacing w:after="0"/>
        <w:tabs>
          <w:tab w:leader="none" w:pos="20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make loans or advances to the Company or any of its Restricted Subsidiaries; or</w:t>
      </w:r>
    </w:p>
    <w:p>
      <w:pPr>
        <w:spacing w:after="0" w:line="225" w:lineRule="exact"/>
        <w:rPr>
          <w:rFonts w:ascii="Arial" w:cs="Arial" w:eastAsia="Arial" w:hAnsi="Arial"/>
          <w:sz w:val="18"/>
          <w:szCs w:val="18"/>
          <w:color w:val="auto"/>
        </w:rPr>
      </w:pPr>
    </w:p>
    <w:p>
      <w:pPr>
        <w:ind w:left="2080" w:hanging="836"/>
        <w:spacing w:after="0"/>
        <w:tabs>
          <w:tab w:leader="none" w:pos="20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its Restricted Subsidiaries.</w:t>
      </w:r>
    </w:p>
    <w:p>
      <w:pPr>
        <w:spacing w:after="0" w:line="225" w:lineRule="exact"/>
        <w:rPr>
          <w:rFonts w:ascii="Arial" w:cs="Arial" w:eastAsia="Arial" w:hAnsi="Arial"/>
          <w:sz w:val="18"/>
          <w:szCs w:val="18"/>
          <w:color w:val="auto"/>
        </w:rPr>
      </w:pPr>
    </w:p>
    <w:p>
      <w:pPr>
        <w:ind w:left="1300" w:hanging="70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restrictions in Section 4.08(a) will not apply to encumbrances or restrictions existing under or by reason of:</w:t>
      </w:r>
    </w:p>
    <w:p>
      <w:pPr>
        <w:spacing w:after="0" w:line="225" w:lineRule="exact"/>
        <w:rPr>
          <w:rFonts w:ascii="Arial" w:cs="Arial" w:eastAsia="Arial" w:hAnsi="Arial"/>
          <w:sz w:val="18"/>
          <w:szCs w:val="18"/>
          <w:color w:val="auto"/>
        </w:rPr>
      </w:pPr>
    </w:p>
    <w:p>
      <w:pPr>
        <w:ind w:left="600" w:right="260" w:firstLine="644"/>
        <w:spacing w:after="0" w:line="257" w:lineRule="auto"/>
        <w:tabs>
          <w:tab w:leader="none" w:pos="20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agreements governing Existing Indebtedness and Credit Facilities as in effect on the date of this Indenture and any amendments, modifications, restatements, renewals, increases, supplements, refundings, replacements or refinancings of those agreements;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amendments, modifications, restatements, renewals, increases, supplements, refundings, replacements or refinancings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more restrictive, taken as a whole, with respect to such dividend and other payment restrictions than those contained in those agreements on the date of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24" w:right="399" w:bottom="1440" w:gutter="0" w:footer="0" w:header="0"/>
        </w:sectPr>
      </w:pPr>
    </w:p>
    <w:bookmarkStart w:id="64" w:name="page65"/>
    <w:bookmarkEnd w:id="64"/>
    <w:p>
      <w:pPr>
        <w:ind w:left="1480" w:hanging="836"/>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Indenture, the Notes and the Note Guarantees;</w:t>
      </w:r>
    </w:p>
    <w:p>
      <w:pPr>
        <w:spacing w:after="0" w:line="225"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applicable law, rule, regulation or order (or other governmental approval, license or permit);</w:t>
      </w:r>
    </w:p>
    <w:p>
      <w:pPr>
        <w:spacing w:after="0" w:line="225" w:lineRule="exact"/>
        <w:rPr>
          <w:rFonts w:ascii="Arial" w:cs="Arial" w:eastAsia="Arial" w:hAnsi="Arial"/>
          <w:sz w:val="18"/>
          <w:szCs w:val="18"/>
          <w:color w:val="auto"/>
        </w:rPr>
      </w:pPr>
    </w:p>
    <w:p>
      <w:pPr>
        <w:ind w:right="20" w:firstLine="644"/>
        <w:spacing w:after="0" w:line="25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this Indenture to be incurred;</w:t>
      </w:r>
    </w:p>
    <w:p>
      <w:pPr>
        <w:spacing w:after="0" w:line="187"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customary non-assignment provisions or subletting restrictions in leases, contracts and licenses entered into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right="480" w:firstLine="644"/>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restrict the transfer of the property purchased or leased;</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(including, without limitation, the Capital Stock or all or substantially all of the assets of that Restricted Subsidiary) that restricts distributions by that Restricted Subsidiary pending the sale or other disposition (which limitation, in the case of a sale or disposition of all or substantially all assets, is applicable only to the property or assets that are the subject of such agreement);</w:t>
      </w:r>
    </w:p>
    <w:p>
      <w:pPr>
        <w:spacing w:after="0" w:line="186" w:lineRule="exact"/>
        <w:rPr>
          <w:rFonts w:ascii="Arial" w:cs="Arial" w:eastAsia="Arial" w:hAnsi="Arial"/>
          <w:sz w:val="18"/>
          <w:szCs w:val="18"/>
          <w:color w:val="auto"/>
        </w:rPr>
      </w:pPr>
    </w:p>
    <w:p>
      <w:pPr>
        <w:ind w:right="20" w:firstLine="644"/>
        <w:spacing w:after="0" w:line="263"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183" w:lineRule="exact"/>
        <w:rPr>
          <w:rFonts w:ascii="Arial" w:cs="Arial" w:eastAsia="Arial" w:hAnsi="Arial"/>
          <w:sz w:val="18"/>
          <w:szCs w:val="18"/>
          <w:color w:val="auto"/>
        </w:rPr>
      </w:pPr>
    </w:p>
    <w:p>
      <w:pPr>
        <w:ind w:right="240" w:firstLine="644"/>
        <w:spacing w:after="0" w:line="277" w:lineRule="auto"/>
        <w:tabs>
          <w:tab w:leader="none" w:pos="14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that limit the right of the debtor to dispose of the assets subject to such Liens;</w:t>
      </w:r>
    </w:p>
    <w:p>
      <w:pPr>
        <w:spacing w:after="0" w:line="170" w:lineRule="exact"/>
        <w:rPr>
          <w:rFonts w:ascii="Arial" w:cs="Arial" w:eastAsia="Arial" w:hAnsi="Arial"/>
          <w:sz w:val="18"/>
          <w:szCs w:val="18"/>
          <w:color w:val="auto"/>
        </w:rPr>
      </w:pPr>
    </w:p>
    <w:p>
      <w:pPr>
        <w:ind w:left="1480" w:hanging="836"/>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provisions limiting the disposition or distribution of assets or property in joint venture agreements, asset sale agreements,</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sale-leaseback agreements, stock sale agreements, limited liability company organizational documents and other similar agreements entered into with the approval of the Company’s Board of Directors, which limitation is applicable only to the property or assets that are the subject of such agreements;</w:t>
      </w:r>
    </w:p>
    <w:p>
      <w:pPr>
        <w:spacing w:after="0" w:line="190" w:lineRule="exact"/>
        <w:rPr>
          <w:sz w:val="20"/>
          <w:szCs w:val="20"/>
          <w:color w:val="auto"/>
        </w:rPr>
      </w:pPr>
    </w:p>
    <w:p>
      <w:pPr>
        <w:ind w:right="680" w:firstLine="644"/>
        <w:spacing w:after="0" w:line="308" w:lineRule="auto"/>
        <w:tabs>
          <w:tab w:leader="none" w:pos="148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contracts with customers or leases with lessors entered into in the ordinary course of business that impose customary restrictions on cash, Cash Equivalents, marketable securities, or other deposits or net worth or transfers of property;</w:t>
      </w:r>
    </w:p>
    <w:p>
      <w:pPr>
        <w:spacing w:after="0" w:line="146" w:lineRule="exact"/>
        <w:rPr>
          <w:rFonts w:ascii="Arial" w:cs="Arial" w:eastAsia="Arial" w:hAnsi="Arial"/>
          <w:sz w:val="17"/>
          <w:szCs w:val="17"/>
          <w:color w:val="auto"/>
        </w:rPr>
      </w:pPr>
    </w:p>
    <w:p>
      <w:pPr>
        <w:ind w:right="160" w:firstLine="644"/>
        <w:spacing w:after="0" w:line="259" w:lineRule="auto"/>
        <w:tabs>
          <w:tab w:leader="none" w:pos="14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agreements governing Indebtedness of Foreign Subsidiaries that are Restricted Subsidiaries incurred pursuant to clause (13) of Section 4.09(b)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determines in good faith that such encumbrances and restrictions (x) will not cause the Company to not have the funds necessary to pay the principal of or interest on the Notes and (y) are not materially more restrictive, taken as a whole, than is customary in comparable financings;</w:t>
      </w:r>
    </w:p>
    <w:p>
      <w:pPr>
        <w:spacing w:after="0" w:line="186" w:lineRule="exact"/>
        <w:rPr>
          <w:rFonts w:ascii="Arial" w:cs="Arial" w:eastAsia="Arial" w:hAnsi="Arial"/>
          <w:sz w:val="18"/>
          <w:szCs w:val="18"/>
          <w:color w:val="auto"/>
        </w:rPr>
      </w:pPr>
    </w:p>
    <w:p>
      <w:pPr>
        <w:ind w:right="20" w:firstLine="644"/>
        <w:spacing w:after="0" w:line="275" w:lineRule="auto"/>
        <w:tabs>
          <w:tab w:leader="none" w:pos="148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agreements governing Hedging Obligations incurred in the ordinary course of business and permitted to be incurred under the provisions of Section 4.09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 (1) or (2) of this Section 4.08(b);</w:t>
      </w:r>
    </w:p>
    <w:p>
      <w:pPr>
        <w:spacing w:after="0" w:line="3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65" w:name="page66"/>
    <w:bookmarkEnd w:id="65"/>
    <w:p>
      <w:pPr>
        <w:ind w:left="660" w:right="40" w:firstLine="644"/>
        <w:spacing w:after="0" w:line="259"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instrument governing any Indebtedness or Capital Stock of any Unrestricted Subsidiary as in effect on the date, if any, that such Unrestricted Subsidiary is redesignated as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encumbrance or restriction is not applicable to any Person, or to the property or assets of any Person, other than such redesignated Restricted Subsidiary and its Subsidiaries (immediately prior to such redesignation) and their respective properties and assets;</w:t>
      </w:r>
    </w:p>
    <w:p>
      <w:pPr>
        <w:spacing w:after="0" w:line="186" w:lineRule="exact"/>
        <w:rPr>
          <w:rFonts w:ascii="Arial" w:cs="Arial" w:eastAsia="Arial" w:hAnsi="Arial"/>
          <w:sz w:val="18"/>
          <w:szCs w:val="18"/>
          <w:color w:val="auto"/>
        </w:rPr>
      </w:pPr>
    </w:p>
    <w:p>
      <w:pPr>
        <w:ind w:left="660" w:right="440" w:firstLine="644"/>
        <w:spacing w:after="0" w:line="277"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in effect on the Issue Date that are contained in charter documents or shareholder agreements relating to any Restricted Subsidiary;</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customary provisions which prohibit the payment or making of dividends or other distributions other than on a pro rata basis;</w:t>
      </w:r>
    </w:p>
    <w:p>
      <w:pPr>
        <w:spacing w:after="0" w:line="248" w:lineRule="exact"/>
        <w:rPr>
          <w:rFonts w:ascii="Arial" w:cs="Arial" w:eastAsia="Arial" w:hAnsi="Arial"/>
          <w:sz w:val="16"/>
          <w:szCs w:val="16"/>
          <w:color w:val="auto"/>
        </w:rPr>
      </w:pPr>
    </w:p>
    <w:p>
      <w:pPr>
        <w:ind w:left="660" w:right="100" w:firstLine="644"/>
        <w:spacing w:after="0" w:line="259"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arising or agreed to in the ordinary course of business, not relating to any Indebtedness, and that do not, individually or in the aggregate, (x) detract from the value of property or assets of the Company or any Restricted Subsidiary in any manner material to the Company or any Restricted Subsidiary or (y) materially affect the Company’s ability to make future principal or interest payments on the Notes, in each case, as determined in good faith by the Company; and</w:t>
      </w:r>
    </w:p>
    <w:p>
      <w:pPr>
        <w:spacing w:after="0" w:line="186" w:lineRule="exact"/>
        <w:rPr>
          <w:rFonts w:ascii="Arial" w:cs="Arial" w:eastAsia="Arial" w:hAnsi="Arial"/>
          <w:sz w:val="18"/>
          <w:szCs w:val="18"/>
          <w:color w:val="auto"/>
        </w:rPr>
      </w:pPr>
    </w:p>
    <w:p>
      <w:pPr>
        <w:ind w:left="660" w:right="80" w:firstLine="644"/>
        <w:spacing w:after="0" w:line="257" w:lineRule="auto"/>
        <w:tabs>
          <w:tab w:leader="none" w:pos="21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agreements governing other Indebtedness permitted to be incurred under Section 4.09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determines in good faith that such encumbrances and restrictions (x) will not cause the Company to not have the funds necessary to pay the principal of or interest on the Notes and (y) such restrictions are not materially more restrictive, taken as a whole, with respect to such dividend and other payment restrictions applicable to such Restricted Subsidiary than those contained in the agreements covered by clause (1) or (2) of this Section 4.08(b).</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6"/>
          <w:szCs w:val="16"/>
          <w:i w:val="1"/>
          <w:iCs w:val="1"/>
          <w:color w:val="auto"/>
        </w:rPr>
        <w:t>Incurrence of Indebtedness and Issuance of Preferred Stock.</w:t>
      </w:r>
    </w:p>
    <w:p>
      <w:pPr>
        <w:spacing w:after="0" w:line="225" w:lineRule="exact"/>
        <w:rPr>
          <w:sz w:val="20"/>
          <w:szCs w:val="20"/>
          <w:color w:val="auto"/>
        </w:rPr>
      </w:pPr>
    </w:p>
    <w:p>
      <w:pPr>
        <w:ind w:firstLine="656"/>
        <w:spacing w:after="0" w:line="283" w:lineRule="auto"/>
        <w:tabs>
          <w:tab w:leader="none" w:pos="13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6"/>
          <w:szCs w:val="16"/>
          <w:b w:val="1"/>
          <w:bCs w:val="1"/>
          <w:i w:val="1"/>
          <w:iCs w:val="1"/>
          <w:color w:val="auto"/>
        </w:rPr>
        <w:t>incur</w:t>
      </w:r>
      <w:r>
        <w:rPr>
          <w:rFonts w:ascii="Arial" w:cs="Arial" w:eastAsia="Arial" w:hAnsi="Arial"/>
          <w:sz w:val="16"/>
          <w:szCs w:val="16"/>
          <w:color w:val="auto"/>
        </w:rPr>
        <w:t xml:space="preserve">”) any Indebtedness (including Acquired Debt), and the Company will not issue any Disqualified Stock and will not permit any of its Restricted Subsidiaries to issue any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may incur Indebtedness (including Acquired Debt) or issue Disqualified Stock and any Restricted Subsidiary may incur Indebtedness (including Acquired Debt) or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such preferred stock is issued, as the case may be, would have been at least 2.0 to 1.0, determined on a pro forma basis (including a pro forma application of the net proceeds therefrom), as if the additional Indebtedness had been incurred or the Disqualified Stock or the preferred stock had been issued, as the case may be, at the beginning of such four-quarter period;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Restricted Subsidiaries that are not Guarantors may not incur Indebtedness pursuant to this Section 4.09(a) if,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the aggregate amount of Indebtedness of Restricted Subsidiaries that are not Guarantors incurred pursuant to this Section 4.09(a) and clauses (1) and (15) of</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4.09(b) would exceed 100% of Consolidated EBITDA for the most recent twelve month period immediately prior to the date of such incurrence.</w:t>
      </w:r>
    </w:p>
    <w:p>
      <w:pPr>
        <w:spacing w:after="0" w:line="233" w:lineRule="exact"/>
        <w:rPr>
          <w:rFonts w:ascii="Arial" w:cs="Arial" w:eastAsia="Arial" w:hAnsi="Arial"/>
          <w:sz w:val="16"/>
          <w:szCs w:val="16"/>
          <w:color w:val="auto"/>
        </w:rPr>
      </w:pPr>
    </w:p>
    <w:p>
      <w:pPr>
        <w:ind w:left="1360" w:hanging="704"/>
        <w:spacing w:after="0"/>
        <w:tabs>
          <w:tab w:leader="none" w:pos="13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provisions of Section 4.09(a) will not prohibit the incurrence of any of the following items of Indebtedness (collectively, “</w:t>
      </w:r>
      <w:r>
        <w:rPr>
          <w:rFonts w:ascii="Arial" w:cs="Arial" w:eastAsia="Arial" w:hAnsi="Arial"/>
          <w:sz w:val="16"/>
          <w:szCs w:val="16"/>
          <w:b w:val="1"/>
          <w:bCs w:val="1"/>
          <w:i w:val="1"/>
          <w:iCs w:val="1"/>
          <w:color w:val="auto"/>
        </w:rPr>
        <w:t>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right="40" w:firstLine="644"/>
        <w:spacing w:after="0" w:line="284" w:lineRule="auto"/>
        <w:tabs>
          <w:tab w:leader="none" w:pos="214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incurrence by the Company and any Restricted Subsidiary of Indebtedness and letters of credit and bank guarantees under Credit Facilities in an aggregate principal amount at any one time outstanding under this clause (1) (with letters of credit and bank guarantees being deemed to have a principal amount equal to the maximum potential liability of the Company and its Restricted Subsidiaries thereunder) not to exceed the greater of (a) $1,330.0 million and (b) an amount such that,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incurrence of such Indebtedness (and the application of the net proceeds therefrom), the Secured Leverage Ratio would be less than 3.75 to 1.00;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determining the amount that may be incurred under clause (1)(b), all Indebtedness incurred under clause (1)(b) shall be deemed to be Secured Indebtedness;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Restricted Subsidiaries that are not Guarantors may not incur Indebtedness pursuant to this clause</w:t>
      </w:r>
    </w:p>
    <w:p>
      <w:pPr>
        <w:spacing w:after="0" w:line="2" w:lineRule="exact"/>
        <w:rPr>
          <w:rFonts w:ascii="Arial" w:cs="Arial" w:eastAsia="Arial" w:hAnsi="Arial"/>
          <w:sz w:val="16"/>
          <w:szCs w:val="16"/>
          <w:color w:val="auto"/>
        </w:rPr>
      </w:pP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(1) if,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the aggregate amount of Indebtedness of Restricted Subsidiaries that are not Guarantors incurred pursuant to this clause (1), Section 4.09(a) and clause (15) of this Section 4.09(b) would exceed 100% of Consolidated EBITDA for the most recent twelve month period immediately prior to the date of such incurrence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p>
      <w:pPr>
        <w:ind w:left="1484" w:hanging="836"/>
        <w:spacing w:after="0"/>
        <w:tabs>
          <w:tab w:leader="none" w:pos="148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the Existing Indebtedness;</w:t>
      </w:r>
    </w:p>
    <w:p>
      <w:pPr>
        <w:spacing w:after="0" w:line="225" w:lineRule="exact"/>
        <w:rPr>
          <w:rFonts w:ascii="Arial" w:cs="Arial" w:eastAsia="Arial" w:hAnsi="Arial"/>
          <w:sz w:val="18"/>
          <w:szCs w:val="18"/>
          <w:color w:val="auto"/>
        </w:rPr>
      </w:pPr>
    </w:p>
    <w:p>
      <w:pPr>
        <w:ind w:left="4" w:firstLine="644"/>
        <w:spacing w:after="0" w:line="284" w:lineRule="auto"/>
        <w:tabs>
          <w:tab w:leader="none" w:pos="149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Indebtedness represented by: Capital Lease Obligations, mortgage financings, industrial revenue bonds and purchase money obligations, in each case, incurred for the purpose of financing all or any part of the purchase price or cost of design, development, construction, installation or improvement of property, plant or equipment or other assets used or useful in the business of the Company or any of its Restricted Subsidiaries (whether through the direct purchase of assets or the Capital Stock of any Person owning such assets and whether such Indebtedness is owed to the seller or Person carrying out such construction or improvement or to any third party) in an aggregate principal amount, including all Permitted Refinancing Indebtedness incurred to renew, refund, refinance, replace, defease or discharge any Indebtedness incurred pursuant to this clause (3), not to exceed the greater of (x) $100.0 million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5.0% of Total Assets at any time outstanding;</w:t>
      </w:r>
    </w:p>
    <w:p>
      <w:pPr>
        <w:spacing w:after="0" w:line="210" w:lineRule="exact"/>
        <w:rPr>
          <w:rFonts w:ascii="Arial" w:cs="Arial" w:eastAsia="Arial" w:hAnsi="Arial"/>
          <w:sz w:val="18"/>
          <w:szCs w:val="18"/>
          <w:color w:val="auto"/>
        </w:rPr>
      </w:pPr>
    </w:p>
    <w:p>
      <w:pPr>
        <w:ind w:left="4" w:right="160" w:firstLine="644"/>
        <w:spacing w:after="0" w:line="311" w:lineRule="auto"/>
        <w:tabs>
          <w:tab w:leader="none" w:pos="149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Permitted Refinancing Indebtedness in exchange for, or the net proceeds of which are used to renew, refund, refinance, replace, defease or discharge any Indebtedness (other than intercompany Indebtedness) that was permitted by this Indenture to be incurred under Section 4.09(a) or clauses (2), (5), (14) or (17) of this Section 4.09(b);</w:t>
      </w:r>
    </w:p>
    <w:p>
      <w:pPr>
        <w:spacing w:after="0" w:line="148" w:lineRule="exact"/>
        <w:rPr>
          <w:rFonts w:ascii="Arial" w:cs="Arial" w:eastAsia="Arial" w:hAnsi="Arial"/>
          <w:sz w:val="16"/>
          <w:szCs w:val="16"/>
          <w:color w:val="auto"/>
        </w:rPr>
      </w:pPr>
    </w:p>
    <w:p>
      <w:pPr>
        <w:ind w:left="4" w:right="360" w:firstLine="644"/>
        <w:spacing w:after="0" w:line="277" w:lineRule="auto"/>
        <w:tabs>
          <w:tab w:leader="none" w:pos="14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and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644" w:right="60" w:firstLine="652"/>
        <w:spacing w:after="0" w:line="263" w:lineRule="auto"/>
        <w:tabs>
          <w:tab w:leader="none" w:pos="208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Notes, in the case of the Company, or the Note Guarantee, in the case of a Guarantor; and</w:t>
      </w:r>
    </w:p>
    <w:p>
      <w:pPr>
        <w:spacing w:after="0" w:line="183" w:lineRule="exact"/>
        <w:rPr>
          <w:rFonts w:ascii="Arial" w:cs="Arial" w:eastAsia="Arial" w:hAnsi="Arial"/>
          <w:sz w:val="18"/>
          <w:szCs w:val="18"/>
          <w:color w:val="auto"/>
        </w:rPr>
      </w:pPr>
    </w:p>
    <w:p>
      <w:pPr>
        <w:ind w:left="644" w:right="80" w:firstLine="652"/>
        <w:spacing w:after="0" w:line="286" w:lineRule="auto"/>
        <w:tabs>
          <w:tab w:leader="none" w:pos="2072" w:val="left"/>
        </w:tabs>
        <w:numPr>
          <w:ilvl w:val="2"/>
          <w:numId w:val="105"/>
        </w:numPr>
        <w:rPr>
          <w:rFonts w:ascii="Arial" w:cs="Arial" w:eastAsia="Arial" w:hAnsi="Arial"/>
          <w:sz w:val="16"/>
          <w:szCs w:val="16"/>
          <w:color w:val="auto"/>
        </w:rPr>
      </w:pPr>
      <w:r>
        <w:rPr>
          <w:rFonts w:ascii="Arial" w:cs="Arial" w:eastAsia="Arial" w:hAnsi="Arial"/>
          <w:sz w:val="16"/>
          <w:szCs w:val="16"/>
          <w:color w:val="auto"/>
        </w:rPr>
        <w:t>(B) (i) any subsequent issuance or transfer of Equity Interests that results in any such Indebtedness being held by a Person other than the Company or a Restricted Subsidiary of the Company and (ii) any sale or other transfer of any such Indebtedness to a Person that is not either the Company or a Restricted Subsidiary of the Company, will be deemed, in each case, to constitute an incurrence of such Indebtedness by the Company or such Restricted Subsidiary, as the case may be, that was not permitted by this clause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10" w:lineRule="exact"/>
        <w:rPr>
          <w:rFonts w:ascii="Arial" w:cs="Arial" w:eastAsia="Arial" w:hAnsi="Arial"/>
          <w:sz w:val="16"/>
          <w:szCs w:val="16"/>
          <w:color w:val="auto"/>
        </w:rPr>
      </w:pPr>
    </w:p>
    <w:p>
      <w:pPr>
        <w:ind w:left="4" w:right="460" w:firstLine="644"/>
        <w:spacing w:after="0" w:line="277" w:lineRule="auto"/>
        <w:tabs>
          <w:tab w:leader="none" w:pos="14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the issuance by any of the Company’s Restricted Subsidiaries to the Company or to any of its Restricted Subsidiaries of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w:t>
      </w:r>
    </w:p>
    <w:p>
      <w:pPr>
        <w:spacing w:after="0" w:line="170" w:lineRule="exact"/>
        <w:rPr>
          <w:rFonts w:ascii="Arial" w:cs="Arial" w:eastAsia="Arial" w:hAnsi="Arial"/>
          <w:sz w:val="18"/>
          <w:szCs w:val="18"/>
          <w:color w:val="auto"/>
        </w:rPr>
      </w:pPr>
    </w:p>
    <w:p>
      <w:pPr>
        <w:ind w:left="644" w:right="40" w:firstLine="652"/>
        <w:spacing w:after="0" w:line="277" w:lineRule="auto"/>
        <w:tabs>
          <w:tab w:leader="none" w:pos="2082"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170" w:lineRule="exact"/>
        <w:rPr>
          <w:rFonts w:ascii="Arial" w:cs="Arial" w:eastAsia="Arial" w:hAnsi="Arial"/>
          <w:sz w:val="18"/>
          <w:szCs w:val="18"/>
          <w:color w:val="auto"/>
        </w:rPr>
      </w:pPr>
    </w:p>
    <w:p>
      <w:pPr>
        <w:ind w:left="644" w:right="80" w:firstLine="652"/>
        <w:spacing w:after="0" w:line="263" w:lineRule="auto"/>
        <w:tabs>
          <w:tab w:leader="none" w:pos="2117"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either the Company or a Restricted Subsidiary of the Company, will be deemed, in each case, to constitute an issuance of such preferred stock by such Restricted Subsidiary that was not permitted by this clause (6);</w:t>
      </w:r>
    </w:p>
    <w:p>
      <w:pPr>
        <w:spacing w:after="0" w:line="400"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7" w:name="page68"/>
    <w:bookmarkEnd w:id="67"/>
    <w:p>
      <w:pPr>
        <w:jc w:val="both"/>
        <w:ind w:left="4" w:firstLine="644"/>
        <w:spacing w:after="0" w:line="263"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entered into for bona fide hedging purposes (and not for speculative purposes) as determined in good faith by the Board of Directors or senior management of the Company;</w:t>
      </w:r>
    </w:p>
    <w:p>
      <w:pPr>
        <w:spacing w:after="0" w:line="183" w:lineRule="exact"/>
        <w:rPr>
          <w:rFonts w:ascii="Arial" w:cs="Arial" w:eastAsia="Arial" w:hAnsi="Arial"/>
          <w:sz w:val="18"/>
          <w:szCs w:val="18"/>
          <w:color w:val="auto"/>
        </w:rPr>
      </w:pPr>
    </w:p>
    <w:p>
      <w:pPr>
        <w:ind w:left="4" w:right="32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of the Guarantors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186" w:lineRule="exact"/>
        <w:rPr>
          <w:rFonts w:ascii="Arial" w:cs="Arial" w:eastAsia="Arial" w:hAnsi="Arial"/>
          <w:sz w:val="18"/>
          <w:szCs w:val="18"/>
          <w:color w:val="auto"/>
        </w:rPr>
      </w:pPr>
    </w:p>
    <w:p>
      <w:pPr>
        <w:ind w:left="4" w:right="10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Indebtedness incurred by the Company or any of its Restricted Subsidiaries constituting reimbursement obligations with respect to letters of credit issued or incurred in the ordinary course of business, including without limitation letters of credit or bank guarantees in respect of workers’ compensation claims or self-insurance, or other Indebtedness with respect to reimbursement type obligations regarding workers’ compensation claims or self-insurance;</w:t>
      </w:r>
    </w:p>
    <w:p>
      <w:pPr>
        <w:spacing w:after="0" w:line="186" w:lineRule="exact"/>
        <w:rPr>
          <w:rFonts w:ascii="Arial" w:cs="Arial" w:eastAsia="Arial" w:hAnsi="Arial"/>
          <w:sz w:val="18"/>
          <w:szCs w:val="18"/>
          <w:color w:val="auto"/>
        </w:rPr>
      </w:pPr>
    </w:p>
    <w:p>
      <w:pPr>
        <w:ind w:left="4" w:right="40" w:firstLine="644"/>
        <w:spacing w:after="0" w:line="275" w:lineRule="auto"/>
        <w:tabs>
          <w:tab w:leader="none" w:pos="1492"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in respect of workers’ compensation claims, health and other types of social security benefits, unemployment and other self-insurance obligations, property, casualty or liability insurance or other similar bonds, the financing of insurance premiums in the ordinary course of business, bankers’ acceptances, performance, surety, judgment, appeal, bid and performance bonds, cash management obligations and netting, overdraft protection and other similar facilities or arrangements and completion guarantees in the ordinary course of business;</w:t>
      </w:r>
    </w:p>
    <w:p>
      <w:pPr>
        <w:spacing w:after="0" w:line="176" w:lineRule="exact"/>
        <w:rPr>
          <w:rFonts w:ascii="Arial" w:cs="Arial" w:eastAsia="Arial" w:hAnsi="Arial"/>
          <w:sz w:val="17"/>
          <w:szCs w:val="17"/>
          <w:color w:val="auto"/>
        </w:rPr>
      </w:pPr>
    </w:p>
    <w:p>
      <w:pPr>
        <w:ind w:left="4" w:right="200" w:firstLine="644"/>
        <w:spacing w:after="0" w:line="263" w:lineRule="auto"/>
        <w:tabs>
          <w:tab w:leader="none" w:pos="148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the honoring by a bank or other financial institution of a check, draft or similar instrument inadvertently drawn against insufficient funds, so long as such Indebtedness is covered within five Business Days;</w:t>
      </w:r>
    </w:p>
    <w:p>
      <w:pPr>
        <w:spacing w:after="0" w:line="183" w:lineRule="exact"/>
        <w:rPr>
          <w:rFonts w:ascii="Arial" w:cs="Arial" w:eastAsia="Arial" w:hAnsi="Arial"/>
          <w:sz w:val="18"/>
          <w:szCs w:val="18"/>
          <w:color w:val="auto"/>
        </w:rPr>
      </w:pPr>
    </w:p>
    <w:p>
      <w:pPr>
        <w:ind w:left="4" w:right="4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arising from agreements of the Company or any of its Restricted Subsidiaries providing for indemnification, guarantees, adjustment of purchase price, earn-outs, milestones, deferred compensation, contingent payment obligations or similar obligations, in each case, incurred in connection with the acquisition or disposition of any Restricted Subsidiary, business, property or asset;</w:t>
      </w:r>
    </w:p>
    <w:p>
      <w:pPr>
        <w:spacing w:after="0" w:line="186" w:lineRule="exact"/>
        <w:rPr>
          <w:rFonts w:ascii="Arial" w:cs="Arial" w:eastAsia="Arial" w:hAnsi="Arial"/>
          <w:sz w:val="18"/>
          <w:szCs w:val="18"/>
          <w:color w:val="auto"/>
        </w:rPr>
      </w:pPr>
    </w:p>
    <w:p>
      <w:pPr>
        <w:ind w:left="4" w:right="160" w:firstLine="644"/>
        <w:spacing w:after="0" w:line="259"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Foreign Subsidiaries that are Restricted Subsidiaries of Indebtedness in an aggregate principal amount at any time outstanding, including all Permitted Refinancing Indebtedness incurred to renew, refund, refinance, replace, defease or discharge any Indebtedness incurred pursuant to this clause (13), not to exceed the greater of (x) $50 million (or the equivalent thereof, measured at the time of each incurrence, in applicable foreign currency) and (y) 2.5% of Total Assets;</w:t>
      </w:r>
    </w:p>
    <w:p>
      <w:pPr>
        <w:spacing w:after="0" w:line="186" w:lineRule="exact"/>
        <w:rPr>
          <w:rFonts w:ascii="Arial" w:cs="Arial" w:eastAsia="Arial" w:hAnsi="Arial"/>
          <w:sz w:val="18"/>
          <w:szCs w:val="18"/>
          <w:color w:val="auto"/>
        </w:rPr>
      </w:pPr>
    </w:p>
    <w:p>
      <w:pPr>
        <w:ind w:left="4" w:right="60" w:firstLine="644"/>
        <w:spacing w:after="0" w:line="263" w:lineRule="auto"/>
        <w:tabs>
          <w:tab w:leader="none" w:pos="149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to the extent the net proceeds thereof are promptly deposited in trust to defease the Notes or to satisfy and discharge this Indenture, in each case in accordance with the terms of this Indenture;</w:t>
      </w:r>
    </w:p>
    <w:p>
      <w:pPr>
        <w:spacing w:after="0" w:line="183" w:lineRule="exact"/>
        <w:rPr>
          <w:rFonts w:ascii="Arial" w:cs="Arial" w:eastAsia="Arial" w:hAnsi="Arial"/>
          <w:sz w:val="18"/>
          <w:szCs w:val="18"/>
          <w:color w:val="auto"/>
        </w:rPr>
      </w:pPr>
    </w:p>
    <w:p>
      <w:pPr>
        <w:ind w:left="4" w:right="420" w:firstLine="644"/>
        <w:spacing w:after="0" w:line="286" w:lineRule="auto"/>
        <w:tabs>
          <w:tab w:leader="none" w:pos="149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Restricted Subsidiary incurred to finance an acquisition, merger, consolidation or amalgamation, including all Permitted Refinancing Indebtedness incurred to renew, refund, refinance, replace, defease or discharge any Indebtedness incurred pursuant to this clause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the date of such acquisition, merger, consolidation or amalgamation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as if the same had occurred at the beginning of the applicable four-quarter period, the Company would either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be permitted to incur at least $1.00 of additional Indebtedness pursuant to the Fixed Charge Coverage Ratio test set forth in Section 4.09(a) or</w:t>
      </w:r>
    </w:p>
    <w:p>
      <w:pPr>
        <w:spacing w:after="0" w:line="32" w:lineRule="exact"/>
        <w:rPr>
          <w:rFonts w:ascii="Arial" w:cs="Arial" w:eastAsia="Arial" w:hAnsi="Arial"/>
          <w:sz w:val="16"/>
          <w:szCs w:val="16"/>
          <w:color w:val="auto"/>
        </w:rPr>
      </w:pPr>
    </w:p>
    <w:p>
      <w:pPr>
        <w:ind w:left="4" w:right="60" w:hanging="4"/>
        <w:spacing w:after="0" w:line="271" w:lineRule="auto"/>
        <w:tabs>
          <w:tab w:leader="none" w:pos="2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have a Fixed Charge Coverage Ratio of not less than the Fixed Charge Coverage Ratio of the Company immediately prior to such acquisition, merger, consolidation or amalgamation;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Restricted Subsidiaries that are not Guarantors may not incur Indebtedness pursuant to this clause (15) if,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the aggregate amount of Indebtedness of Restricted Subsidiaries that are not Guarantors incurred pursuant to this clause (15), Section 4.09(a) and clause (1) of this Section 4.09(b) would exceed 100% of Consolidated EBITDA for the most recent twelve month period immediately prior to the date of such incurrence;</w:t>
      </w:r>
    </w:p>
    <w:p>
      <w:pPr>
        <w:spacing w:after="0" w:line="394"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68" w:name="page69"/>
    <w:bookmarkEnd w:id="68"/>
    <w:p>
      <w:pPr>
        <w:ind w:left="-460" w:right="120" w:firstLine="644"/>
        <w:spacing w:after="0" w:line="286" w:lineRule="auto"/>
        <w:tabs>
          <w:tab w:leader="none" w:pos="102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owed on a short-term basis of not longer than 30 days to banks and other financial institutions incurred in the ordinary course of business with such banks or financial institutions in connection with ordinary banking arrangements to manage cash balances of the Company or the Restricted Subsidiaries;</w:t>
      </w:r>
    </w:p>
    <w:p>
      <w:pPr>
        <w:spacing w:after="0" w:line="165" w:lineRule="exact"/>
        <w:rPr>
          <w:rFonts w:ascii="Arial" w:cs="Arial" w:eastAsia="Arial" w:hAnsi="Arial"/>
          <w:sz w:val="17"/>
          <w:szCs w:val="17"/>
          <w:color w:val="auto"/>
        </w:rPr>
      </w:pPr>
    </w:p>
    <w:p>
      <w:pPr>
        <w:ind w:left="-460" w:right="220" w:firstLine="644"/>
        <w:spacing w:after="0" w:line="277"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(not including any Additional Notes) issued on the Issue Date and the related Notes Guarantees;</w:t>
      </w:r>
    </w:p>
    <w:p>
      <w:pPr>
        <w:spacing w:after="0" w:line="170" w:lineRule="exact"/>
        <w:rPr>
          <w:rFonts w:ascii="Arial" w:cs="Arial" w:eastAsia="Arial" w:hAnsi="Arial"/>
          <w:sz w:val="18"/>
          <w:szCs w:val="18"/>
          <w:color w:val="auto"/>
        </w:rPr>
      </w:pPr>
    </w:p>
    <w:p>
      <w:pPr>
        <w:ind w:left="-460" w:firstLine="644"/>
        <w:spacing w:after="0" w:line="290" w:lineRule="auto"/>
        <w:tabs>
          <w:tab w:leader="none" w:pos="102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Indebtedness consisting of Acquired Debt of any Person that becomes a Restricted Subsidiary of the Company existing at the time such Person is acquired by the Company or any Restricted Subsidiary or merged into, amalgamated or consolidated with the Company or a Restricted Subsidiary in accordance with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Acquired Debt (i) is not incurred in connection with, or in contemplation of, such Person merging into, amalgamating or consolidating with, or becoming a Restricted Subsidiary of, such Person and (ii) on the date of such acquisition, merger, consolidation or amalgamation after giving pro forma effect thereto as if the same had occurred at the beginning of the applicable four-quarter period, the Company would either (A) be permitted to incur at least $1.00 of additional Indebtedness pursuant to the Fixed Charge Coverage Ratio test set forth in Section 4.09(a) or (B) have a Fixed Charge Coverage Ratio of not less than the Fixed Charge Coverage Ratio of the Company immediately prior to such acquisition, merger, consolidation or amalgamation;</w:t>
      </w:r>
    </w:p>
    <w:p>
      <w:pPr>
        <w:spacing w:after="0" w:line="165" w:lineRule="exact"/>
        <w:rPr>
          <w:rFonts w:ascii="Arial" w:cs="Arial" w:eastAsia="Arial" w:hAnsi="Arial"/>
          <w:sz w:val="16"/>
          <w:szCs w:val="16"/>
          <w:color w:val="auto"/>
        </w:rPr>
      </w:pPr>
    </w:p>
    <w:p>
      <w:pPr>
        <w:ind w:left="-460" w:right="26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Disqualified Stock or preferred stock in an aggregate principal amount (or accreted value, as applicable) at any time outstanding, including all Permitted Refinancing Indebtedness incurred to renew, refund, refinance, replace, defease or discharge any Indebtedness incurred pursuant to this clause (19), not to exceed the greater of (x) $100.0 million and (y) 5.0% of Total Assets;</w:t>
      </w:r>
    </w:p>
    <w:p>
      <w:pPr>
        <w:spacing w:after="0" w:line="186" w:lineRule="exact"/>
        <w:rPr>
          <w:rFonts w:ascii="Arial" w:cs="Arial" w:eastAsia="Arial" w:hAnsi="Arial"/>
          <w:sz w:val="18"/>
          <w:szCs w:val="18"/>
          <w:color w:val="auto"/>
        </w:rPr>
      </w:pPr>
    </w:p>
    <w:p>
      <w:pPr>
        <w:jc w:val="both"/>
        <w:ind w:left="-460" w:right="34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Indebtedness of the Company or any of its Restricted Subsidiaries arising in connection with any economic development incentive program or grant from any State or any subdivision thereof (including any city or county) in connection with the Company’s or such Restricted Subsidiary’s business development activities in such State or subdivision;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such Indebtedness outstanding at any time shall not exceed $22.5 million;</w:t>
      </w:r>
    </w:p>
    <w:p>
      <w:pPr>
        <w:spacing w:after="0" w:line="186" w:lineRule="exact"/>
        <w:rPr>
          <w:rFonts w:ascii="Arial" w:cs="Arial" w:eastAsia="Arial" w:hAnsi="Arial"/>
          <w:sz w:val="18"/>
          <w:szCs w:val="18"/>
          <w:color w:val="auto"/>
        </w:rPr>
      </w:pPr>
    </w:p>
    <w:p>
      <w:pPr>
        <w:ind w:left="-460" w:right="20" w:firstLine="644"/>
        <w:spacing w:after="0" w:line="263"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unsecured Indebtedness consisting of promissory notes issued to current or former officers, directors, consultants and employees, their respective estates, spouses or former spouses to finance the purchase or redemption of Equity Interests of the Company permitted in Section 4.07;</w:t>
      </w:r>
    </w:p>
    <w:p>
      <w:pPr>
        <w:spacing w:after="0" w:line="183" w:lineRule="exact"/>
        <w:rPr>
          <w:rFonts w:ascii="Arial" w:cs="Arial" w:eastAsia="Arial" w:hAnsi="Arial"/>
          <w:sz w:val="18"/>
          <w:szCs w:val="18"/>
          <w:color w:val="auto"/>
        </w:rPr>
      </w:pPr>
    </w:p>
    <w:p>
      <w:pPr>
        <w:ind w:left="-460" w:right="24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obligations of the Company or any Restricted Subsidiary under letters of credit, banker’s acceptances or bank guarantee denominated in a currency other than U.S. dollars issued for the account of the Company or any of its Restricted Subsidiaries, provided that the aggregate amount of all such obligations (including the maximum amount to be drawn under all such letters of credit) shall not exceed $10.0 million at any time outstanding;</w:t>
      </w:r>
    </w:p>
    <w:p>
      <w:pPr>
        <w:spacing w:after="0" w:line="186" w:lineRule="exact"/>
        <w:rPr>
          <w:rFonts w:ascii="Arial" w:cs="Arial" w:eastAsia="Arial" w:hAnsi="Arial"/>
          <w:sz w:val="18"/>
          <w:szCs w:val="18"/>
          <w:color w:val="auto"/>
        </w:rPr>
      </w:pPr>
    </w:p>
    <w:p>
      <w:pPr>
        <w:ind w:left="-460" w:right="20" w:firstLine="644"/>
        <w:spacing w:after="0" w:line="259" w:lineRule="auto"/>
        <w:tabs>
          <w:tab w:leader="none" w:pos="10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payable on insurance policies maintained by the Company or any Restricted Subsidiary thereof, (ii) take or pay obligations contained in any supply arrangements, in each case, in the ordinary course of business or (iii) arising from customer deposits and advance payments received from customers for goods purchased in the ordinary course of business; and</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69" w:name="page70"/>
    <w:bookmarkEnd w:id="69"/>
    <w:p>
      <w:pPr>
        <w:ind w:left="2140" w:hanging="836"/>
        <w:spacing w:after="0"/>
        <w:tabs>
          <w:tab w:leader="none" w:pos="214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Company and its Subsidiaries incurred in the ordinary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course of business.</w:t>
      </w:r>
    </w:p>
    <w:p>
      <w:pPr>
        <w:spacing w:after="0" w:line="210" w:lineRule="exact"/>
        <w:rPr>
          <w:rFonts w:ascii="Arial" w:cs="Arial" w:eastAsia="Arial" w:hAnsi="Arial"/>
          <w:sz w:val="16"/>
          <w:szCs w:val="16"/>
          <w:color w:val="auto"/>
        </w:rPr>
      </w:pPr>
    </w:p>
    <w:p>
      <w:pPr>
        <w:ind w:right="120" w:firstLine="656"/>
        <w:spacing w:after="0" w:line="286" w:lineRule="auto"/>
        <w:tabs>
          <w:tab w:leader="none" w:pos="133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Company will not incur, and will not permit any Guarantor to incur, any Indebtedness (including Permitted Debt) that is contractually subordinated in right of payment to any other Indebtedness of the Company or such Guarantor unless such Indebtedness is also contractually subordinated in right of payment to the Notes and the applicable Note Guarantee on substantially identical terms. For all purposes of the Notes and this Indenture, subordination will refer to contractual payment subordination and not to structural subordination. The Notes and this Indenture will not treat</w:t>
      </w:r>
    </w:p>
    <w:p>
      <w:pPr>
        <w:spacing w:after="0" w:line="1" w:lineRule="exact"/>
        <w:rPr>
          <w:rFonts w:ascii="Arial" w:cs="Arial" w:eastAsia="Arial" w:hAnsi="Arial"/>
          <w:sz w:val="16"/>
          <w:szCs w:val="16"/>
          <w:color w:val="auto"/>
        </w:rPr>
      </w:pPr>
    </w:p>
    <w:p>
      <w:pPr>
        <w:ind w:right="760" w:firstLine="8"/>
        <w:spacing w:after="0" w:line="281" w:lineRule="auto"/>
        <w:tabs>
          <w:tab w:leader="none" w:pos="2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unsecured Indebtedness as subordinated or junior to Secured Indebtedness merely because it is unsecured, (2) unsubordinated Indebtedness as subordinated or junior to any other unsubordinated Indebtedness merely because it has a junior priority with respect to the same collateral or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 as subordinated or junior Indebtedness merely because it is structurally subordinated to other Indebtedness.</w:t>
      </w:r>
    </w:p>
    <w:p>
      <w:pPr>
        <w:spacing w:after="0" w:line="210" w:lineRule="exact"/>
        <w:rPr>
          <w:rFonts w:ascii="Arial" w:cs="Arial" w:eastAsia="Arial" w:hAnsi="Arial"/>
          <w:sz w:val="18"/>
          <w:szCs w:val="18"/>
          <w:color w:val="auto"/>
        </w:rPr>
      </w:pPr>
    </w:p>
    <w:p>
      <w:pPr>
        <w:ind w:right="20" w:firstLine="656"/>
        <w:spacing w:after="0" w:line="268" w:lineRule="auto"/>
        <w:tabs>
          <w:tab w:leader="none" w:pos="135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this Section 4.09, in the event that an item of proposed Indebtedness, Disqualified Stock or preferred stock meets the criteria of more than one of the categories of Permitted Debt described in clauses (1) through (24) above, or is entitled to be incurred pursuant to Section 4.09(a) hereof, the Company will be permitted to classify such item of Indebtedness, Disqualified Stock or preferred stock on the date of its incurrence, or later reclassify all or any portion of such item of Indebtedness, Disqualified Stock or preferred stock in any manner that complies with this Section 4.09. Notwithstanding the foregoing, Indebtedness under Credit Facilities that is outstanding on the Issue Date will at all times be deemed to have been incurred on such date in reliance on the exception provided by clause (1)(a)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of any such accrual, accretion or payment is included in Fixed Charges of the Company as accrued. Notwithstanding any other provision of this Section 4.09, the maximum amount of Indebtedness that the Company or any Restricted Subsidiary may incur pursuant to this Section 4.09 shall not be deemed to be exceeded solely as a result of fluctuations in exchange rates or currency values.</w:t>
      </w:r>
    </w:p>
    <w:p>
      <w:pPr>
        <w:spacing w:after="0" w:line="186" w:lineRule="exact"/>
        <w:rPr>
          <w:rFonts w:ascii="Arial" w:cs="Arial" w:eastAsia="Arial" w:hAnsi="Arial"/>
          <w:sz w:val="17"/>
          <w:szCs w:val="17"/>
          <w:color w:val="auto"/>
        </w:rPr>
      </w:pPr>
    </w:p>
    <w:p>
      <w:pPr>
        <w:ind w:right="140" w:firstLine="656"/>
        <w:spacing w:after="0" w:line="263" w:lineRule="auto"/>
        <w:tabs>
          <w:tab w:leader="none" w:pos="138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purposes of determining compliance with this Section 4.09, in the event that the Company or a Restricted Subsidiary incurs Indebtedness in connection with a Limited Condition Transaction, the date of determination of the Secured Leverage Ratio or the Total Leverage Ratio, as applicable, shall, at the option of the Company, be:</w:t>
      </w:r>
    </w:p>
    <w:p>
      <w:pPr>
        <w:spacing w:after="0" w:line="183" w:lineRule="exact"/>
        <w:rPr>
          <w:rFonts w:ascii="Arial" w:cs="Arial" w:eastAsia="Arial" w:hAnsi="Arial"/>
          <w:sz w:val="18"/>
          <w:szCs w:val="18"/>
          <w:color w:val="auto"/>
        </w:rPr>
      </w:pPr>
    </w:p>
    <w:p>
      <w:pPr>
        <w:ind w:left="660" w:firstLine="644"/>
        <w:spacing w:after="0" w:line="286" w:lineRule="auto"/>
        <w:tabs>
          <w:tab w:leader="none" w:pos="2148"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date that a definitive agreement for such acquisition is entered into and the Secured Leverage Ratio or the Total Leverage Ratio, as applicable, shall be calculated giving pro forma effect to such acquisition and any actions or transactions related thereto (including acquisitions, Investments, the Incurrence or issuance of Indebtedness, Disqualified Stock or preferred stock and the use of proceeds thereof) consistent with the definition of the “Secured Leverage Ratio” or the “Total Leverage Ratio”, as applicable, and, for the avoidance of doubt, (A) if any such ratios are exceeded as a result of fluctuations in such ratio (including due to fluctuations in the Consolidated EBITDA of the Company or the target company) at or prior to the consummation of the relevant acquisition, such ratios will not be deemed to have been exceeded as a result of such fluctuations solely for purposes of determining whether such acquisition and any related transactions are permitted hereunder and (B) such ratios shall not be tested at the time of consummation of such Limited Condition Transaction; provided, further, that if the Company elects to have such determinations occur at the time of entry into such definitive agreement, (i) any such transaction shall be deemed to have occurred on the date the definitive agreement is entered into and to be outstanding thereafter for purposes of calculating any ratios under this Indenture after the date of such agreement and before the earlier of the date of consummation of such acquisition or the date such agreement is terminated or expires without consummation of such acquisition and (ii) to the extent any covenant baskets were utilized in satisfying any covenants, such baskets shall be deemed utilized until the earlier of the date of consummation of such acquisition or the date such agreement is terminated or expires without consummation of such acquisition, but any calculation of Consolidated EBITDA for purposes of other incurrences of Indebtedness or Liens or making of Restricted Payments (not related to such acquisition) shall not reflect such acquisition until it has been consummated,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2132" w:hanging="836"/>
        <w:spacing w:after="0"/>
        <w:tabs>
          <w:tab w:leader="none" w:pos="213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the date such Indebtedness is incurred.</w:t>
      </w:r>
    </w:p>
    <w:p>
      <w:pPr>
        <w:spacing w:after="0" w:line="225" w:lineRule="exact"/>
        <w:rPr>
          <w:rFonts w:ascii="Arial" w:cs="Arial" w:eastAsia="Arial" w:hAnsi="Arial"/>
          <w:sz w:val="18"/>
          <w:szCs w:val="18"/>
          <w:color w:val="auto"/>
        </w:rPr>
      </w:pPr>
    </w:p>
    <w:p>
      <w:pPr>
        <w:ind w:left="-8" w:right="20" w:firstLine="656"/>
        <w:spacing w:after="0" w:line="284" w:lineRule="auto"/>
        <w:tabs>
          <w:tab w:leader="none" w:pos="13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w:t>
      </w:r>
    </w:p>
    <w:p>
      <w:pPr>
        <w:spacing w:after="0" w:line="4" w:lineRule="exact"/>
        <w:rPr>
          <w:rFonts w:ascii="Arial" w:cs="Arial" w:eastAsia="Arial" w:hAnsi="Arial"/>
          <w:sz w:val="16"/>
          <w:szCs w:val="16"/>
          <w:color w:val="auto"/>
        </w:rPr>
      </w:pPr>
    </w:p>
    <w:p>
      <w:pPr>
        <w:ind w:left="-8" w:firstLine="8"/>
        <w:spacing w:after="0" w:line="260" w:lineRule="auto"/>
        <w:tabs>
          <w:tab w:leader="none" w:pos="2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principal amount of such Indebtedness being refinanced plus (ii) the aggregate amount of fees, underwriting discounts, premiums and other costs and expenses incurred in connection with such refinancing.</w:t>
      </w:r>
    </w:p>
    <w:p>
      <w:pPr>
        <w:spacing w:after="0" w:line="185" w:lineRule="exact"/>
        <w:rPr>
          <w:rFonts w:ascii="Arial" w:cs="Arial" w:eastAsia="Arial" w:hAnsi="Arial"/>
          <w:sz w:val="18"/>
          <w:szCs w:val="18"/>
          <w:color w:val="auto"/>
        </w:rPr>
      </w:pPr>
    </w:p>
    <w:p>
      <w:pPr>
        <w:ind w:left="-8" w:right="140" w:firstLine="656"/>
        <w:spacing w:after="0" w:line="257" w:lineRule="auto"/>
        <w:tabs>
          <w:tab w:leader="none" w:pos="134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87" w:lineRule="exact"/>
        <w:rPr>
          <w:rFonts w:ascii="Arial" w:cs="Arial" w:eastAsia="Arial" w:hAnsi="Arial"/>
          <w:sz w:val="18"/>
          <w:szCs w:val="18"/>
          <w:color w:val="auto"/>
        </w:rPr>
      </w:pPr>
    </w:p>
    <w:p>
      <w:pPr>
        <w:ind w:left="-8" w:right="60" w:firstLine="656"/>
        <w:spacing w:after="0" w:line="285" w:lineRule="auto"/>
        <w:tabs>
          <w:tab w:leader="none" w:pos="134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For purposes of calculating any ratio-based basket, with respect to any revolving Indebtedness, delayed draw facility or other committed debt financing incurred under such ratio-based basket, the Company may elect (which election may be changed with respect to such Indebtedness upon written notice to the Trustee), at any time, to either (x) give pro forma effect to the incurrence of the entire committed amount of such Indebtedness as if fully drawn on such date, in which case such committed amount may thereafter be borrowed or reborrowed, in whole or in part, from time to time, without further compliance with any ratio-based component of any provision of this Indenture unless the Company changes such election by written notice, or</w:t>
      </w:r>
    </w:p>
    <w:p>
      <w:pPr>
        <w:spacing w:after="0" w:line="1" w:lineRule="exact"/>
        <w:rPr>
          <w:rFonts w:ascii="Arial" w:cs="Arial" w:eastAsia="Arial" w:hAnsi="Arial"/>
          <w:sz w:val="16"/>
          <w:szCs w:val="16"/>
          <w:color w:val="auto"/>
        </w:rPr>
      </w:pPr>
    </w:p>
    <w:p>
      <w:pPr>
        <w:ind w:left="-8" w:right="80" w:firstLine="8"/>
        <w:spacing w:after="0" w:line="268" w:lineRule="auto"/>
        <w:tabs>
          <w:tab w:leader="none" w:pos="2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give pro forma effect to the incurrence of the actual amount drawn under such revolving Indebtedness, delayed draw facility or other committed debt financing, in which case, the ability to incur the amounts committed to under such Indebtedness will be subject to such ratio-based basket (to the extent being incurred pursuant to such ratio) at the time of each such incurrence. To the extent clause (x) of the immediately preceding sentence is elected, such revolving Indebtedness, delayed draw facility or other committed debt financing shall be deemed to be incurred (and the fully committed amount of Indebtedness as outstanding) at all times thereafter for purposes of testing any ratio-based baskets, regardless of whether such Indebtedness is outstanding, except to the extent such commitments have been permanently terminated in full or in part or until the Company has written notice to the Trustee changing its election; provided that, for the avoidance of doubt, at any time the Company elects clause (x) of the immediately preceding sentence (including as a result of a change in election), whether such Indebtedness is permitted to be incurred under such ratio-based basket shall be tested as of the date of such election or change in election, as applicable.</w:t>
      </w:r>
    </w:p>
    <w:p>
      <w:pPr>
        <w:spacing w:after="0" w:line="181" w:lineRule="exact"/>
        <w:rPr>
          <w:sz w:val="20"/>
          <w:szCs w:val="20"/>
          <w:color w:val="auto"/>
        </w:rPr>
      </w:pPr>
    </w:p>
    <w:p>
      <w:pPr>
        <w:ind w:left="652"/>
        <w:spacing w:after="0"/>
        <w:tabs>
          <w:tab w:leader="none" w:pos="1792"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5"/>
          <w:szCs w:val="15"/>
          <w:i w:val="1"/>
          <w:iCs w:val="1"/>
          <w:color w:val="auto"/>
        </w:rPr>
        <w:t>Asset Sales.</w:t>
      </w:r>
    </w:p>
    <w:p>
      <w:pPr>
        <w:spacing w:after="0" w:line="225" w:lineRule="exact"/>
        <w:rPr>
          <w:sz w:val="20"/>
          <w:szCs w:val="20"/>
          <w:color w:val="auto"/>
        </w:rPr>
      </w:pPr>
    </w:p>
    <w:p>
      <w:pPr>
        <w:ind w:left="1332" w:hanging="684"/>
        <w:spacing w:after="0"/>
        <w:tabs>
          <w:tab w:leader="none" w:pos="13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225" w:lineRule="exact"/>
        <w:rPr>
          <w:rFonts w:ascii="Arial" w:cs="Arial" w:eastAsia="Arial" w:hAnsi="Arial"/>
          <w:sz w:val="18"/>
          <w:szCs w:val="18"/>
          <w:color w:val="auto"/>
        </w:rPr>
      </w:pPr>
    </w:p>
    <w:p>
      <w:pPr>
        <w:ind w:left="652" w:right="280" w:firstLine="644"/>
        <w:spacing w:after="0" w:line="277" w:lineRule="auto"/>
        <w:tabs>
          <w:tab w:leader="none" w:pos="21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the Asset Sale at least equal to the Fair Market Value of the assets or Equity Interests issued or sold or otherwise disposed of; and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71" w:name="page72"/>
    <w:bookmarkEnd w:id="71"/>
    <w:p>
      <w:pPr>
        <w:ind w:left="640" w:right="240" w:firstLine="644"/>
        <w:spacing w:after="0" w:line="277" w:lineRule="auto"/>
        <w:tabs>
          <w:tab w:leader="none" w:pos="21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or Cash Equivalents. For purposes of this provision, each of the following will be deemed to be cash:</w:t>
      </w:r>
    </w:p>
    <w:p>
      <w:pPr>
        <w:spacing w:after="0" w:line="170" w:lineRule="exact"/>
        <w:rPr>
          <w:rFonts w:ascii="Arial" w:cs="Arial" w:eastAsia="Arial" w:hAnsi="Arial"/>
          <w:sz w:val="18"/>
          <w:szCs w:val="18"/>
          <w:color w:val="auto"/>
        </w:rPr>
      </w:pPr>
    </w:p>
    <w:p>
      <w:pPr>
        <w:ind w:left="1280" w:firstLine="652"/>
        <w:spacing w:after="0" w:line="293" w:lineRule="auto"/>
        <w:tabs>
          <w:tab w:leader="none" w:pos="2718"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liabilities, as shown on the Company’s most recent consolidated balance sheet or in the footnotes thereto (or, if incurred or accrued subsequent to the date of such balance sheet, such liabilities that would have been reflected on the Company’s most recent consolidated balance sheet or in the footnotes thereto if such incurrence or accrual had taken place on or prior to the date of such balance sheet, as determined in good faith by the Company), of the Company or any Restricted Subsidiary (other than contingent liabilities and liabilities that are by their terms subordinated to the Notes or any Note Guarantee) that are assumed by the transferee of any such assets and for which the Company or such Restricted Subsidiary has been released in writing;</w:t>
      </w:r>
    </w:p>
    <w:p>
      <w:pPr>
        <w:spacing w:after="0" w:line="164" w:lineRule="exact"/>
        <w:rPr>
          <w:rFonts w:ascii="Arial" w:cs="Arial" w:eastAsia="Arial" w:hAnsi="Arial"/>
          <w:sz w:val="16"/>
          <w:szCs w:val="16"/>
          <w:color w:val="auto"/>
        </w:rPr>
      </w:pPr>
    </w:p>
    <w:p>
      <w:pPr>
        <w:ind w:left="1280" w:right="120" w:firstLine="652"/>
        <w:spacing w:after="0" w:line="263" w:lineRule="auto"/>
        <w:tabs>
          <w:tab w:leader="none" w:pos="2753"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converted by the Company or such Restricted Subsidiary into cash or Cash Equivalents within 180 days of the receipt thereof, to the extent of the cash or Cash Equivalents received in that conversion;</w:t>
      </w:r>
    </w:p>
    <w:p>
      <w:pPr>
        <w:spacing w:after="0" w:line="183" w:lineRule="exact"/>
        <w:rPr>
          <w:rFonts w:ascii="Arial" w:cs="Arial" w:eastAsia="Arial" w:hAnsi="Arial"/>
          <w:sz w:val="18"/>
          <w:szCs w:val="18"/>
          <w:color w:val="auto"/>
        </w:rPr>
      </w:pPr>
    </w:p>
    <w:p>
      <w:pPr>
        <w:jc w:val="both"/>
        <w:ind w:left="1280" w:right="140" w:firstLine="652"/>
        <w:spacing w:after="0" w:line="287" w:lineRule="auto"/>
        <w:tabs>
          <w:tab w:leader="none" w:pos="2753"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Designated Non-cash Consideration received by the Company or such Restricted Subsidiary in such Asset Sale having an aggregate fair market value (as determined in good faith by the Company), taken together with all other Designated Non-cash Consideration received pursuant to this clause (C) that is at that time outstanding, not to exceed the greater of (x) $50.0 million and</w:t>
      </w:r>
    </w:p>
    <w:p>
      <w:pPr>
        <w:spacing w:after="0" w:line="2" w:lineRule="exact"/>
        <w:rPr>
          <w:rFonts w:ascii="Arial" w:cs="Arial" w:eastAsia="Arial" w:hAnsi="Arial"/>
          <w:sz w:val="16"/>
          <w:szCs w:val="16"/>
          <w:color w:val="auto"/>
        </w:rPr>
      </w:pPr>
    </w:p>
    <w:p>
      <w:pPr>
        <w:ind w:left="1280" w:right="20"/>
        <w:spacing w:after="0" w:line="302" w:lineRule="auto"/>
        <w:rPr>
          <w:rFonts w:ascii="Arial" w:cs="Arial" w:eastAsia="Arial" w:hAnsi="Arial"/>
          <w:sz w:val="16"/>
          <w:szCs w:val="16"/>
          <w:color w:val="auto"/>
        </w:rPr>
      </w:pPr>
      <w:r>
        <w:rPr>
          <w:rFonts w:ascii="Arial" w:cs="Arial" w:eastAsia="Arial" w:hAnsi="Arial"/>
          <w:sz w:val="16"/>
          <w:szCs w:val="16"/>
          <w:color w:val="auto"/>
        </w:rPr>
        <w:t>(y) 2.5% of Total Assets at the time of the receipt of such Designated Non-cash Consideration, with the Fair Market Value of each item of Designated Non-cash Consideration being measured at the time received and determined in good faith by the Company as of the closing of the applicable Asset Sale where such non-cash consideration is received and without giving effect to subsequent changes in value; and</w:t>
      </w:r>
    </w:p>
    <w:p>
      <w:pPr>
        <w:spacing w:after="0" w:line="155" w:lineRule="exact"/>
        <w:rPr>
          <w:rFonts w:ascii="Arial" w:cs="Arial" w:eastAsia="Arial" w:hAnsi="Arial"/>
          <w:sz w:val="16"/>
          <w:szCs w:val="16"/>
          <w:color w:val="auto"/>
        </w:rPr>
      </w:pPr>
    </w:p>
    <w:p>
      <w:pPr>
        <w:ind w:left="2720" w:hanging="788"/>
        <w:spacing w:after="0"/>
        <w:tabs>
          <w:tab w:leader="none" w:pos="27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stock or assets of the kind referred to in clause (2) or (4) of Section 4.10(b).</w:t>
      </w:r>
    </w:p>
    <w:p>
      <w:pPr>
        <w:spacing w:after="0" w:line="225" w:lineRule="exact"/>
        <w:rPr>
          <w:rFonts w:ascii="Arial" w:cs="Arial" w:eastAsia="Arial" w:hAnsi="Arial"/>
          <w:sz w:val="18"/>
          <w:szCs w:val="18"/>
          <w:color w:val="auto"/>
        </w:rPr>
      </w:pPr>
    </w:p>
    <w:p>
      <w:pPr>
        <w:ind w:left="-20" w:right="180" w:firstLine="656"/>
        <w:spacing w:after="0" w:line="277" w:lineRule="auto"/>
        <w:tabs>
          <w:tab w:leader="none" w:pos="132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Within 365 days after the receipt of any Net Proceeds from an Asset Sale, the Company (or the applicable Restricted Subsidiary, as the case may be) may apply such Net Proceeds:</w:t>
      </w:r>
    </w:p>
    <w:p>
      <w:pPr>
        <w:spacing w:after="0" w:line="170" w:lineRule="exact"/>
        <w:rPr>
          <w:rFonts w:ascii="Arial" w:cs="Arial" w:eastAsia="Arial" w:hAnsi="Arial"/>
          <w:sz w:val="18"/>
          <w:szCs w:val="18"/>
          <w:color w:val="auto"/>
        </w:rPr>
      </w:pPr>
    </w:p>
    <w:p>
      <w:pPr>
        <w:jc w:val="both"/>
        <w:ind w:left="640" w:firstLine="644"/>
        <w:spacing w:after="0" w:line="259" w:lineRule="auto"/>
        <w:tabs>
          <w:tab w:leader="none" w:pos="21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to prepay, repay or purchase (x) Indebtedness and other Obligations under the Credit Agreement or (y) any other Indebtedness that is secured;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any prepayment, repayment or purchase of Indebtedness pursuant to this clause (1), the Company or such Restricted Subsidiary shall retire such Indebtedness and shall cause the related commitment (if any) to be permanently reduced in an amount equal to the principal amount so prepaid, repaid or purchased;</w:t>
      </w:r>
    </w:p>
    <w:p>
      <w:pPr>
        <w:spacing w:after="0" w:line="186" w:lineRule="exact"/>
        <w:rPr>
          <w:rFonts w:ascii="Arial" w:cs="Arial" w:eastAsia="Arial" w:hAnsi="Arial"/>
          <w:sz w:val="18"/>
          <w:szCs w:val="18"/>
          <w:color w:val="auto"/>
        </w:rPr>
      </w:pPr>
    </w:p>
    <w:p>
      <w:pPr>
        <w:ind w:left="640" w:right="300" w:firstLine="644"/>
        <w:spacing w:after="0" w:line="342" w:lineRule="auto"/>
        <w:tabs>
          <w:tab w:leader="none" w:pos="2128"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or a majority of the Capital Stock of, another Permitted Business, if, after giving effect to any such acquisition of Capital Stock, the Permitted Business is or becomes a Restricted Subsidiary of the Company;</w:t>
      </w:r>
    </w:p>
    <w:p>
      <w:pPr>
        <w:spacing w:after="0" w:line="123" w:lineRule="exact"/>
        <w:rPr>
          <w:rFonts w:ascii="Arial" w:cs="Arial" w:eastAsia="Arial" w:hAnsi="Arial"/>
          <w:sz w:val="16"/>
          <w:szCs w:val="16"/>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make a capital expenditure or purchase construction or industrial equipment;</w:t>
      </w:r>
    </w:p>
    <w:p>
      <w:pPr>
        <w:spacing w:after="0" w:line="225" w:lineRule="exact"/>
        <w:rPr>
          <w:rFonts w:ascii="Arial" w:cs="Arial" w:eastAsia="Arial" w:hAnsi="Arial"/>
          <w:sz w:val="18"/>
          <w:szCs w:val="18"/>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acquire or license other assets (other than Capital Stock) and that are used or useful in a Permitted Business;</w:t>
      </w:r>
    </w:p>
    <w:p>
      <w:pPr>
        <w:spacing w:after="0" w:line="225" w:lineRule="exact"/>
        <w:rPr>
          <w:rFonts w:ascii="Arial" w:cs="Arial" w:eastAsia="Arial" w:hAnsi="Arial"/>
          <w:sz w:val="18"/>
          <w:szCs w:val="18"/>
          <w:color w:val="auto"/>
        </w:rPr>
      </w:pPr>
    </w:p>
    <w:p>
      <w:pPr>
        <w:ind w:left="2120" w:hanging="836"/>
        <w:spacing w:after="0"/>
        <w:tabs>
          <w:tab w:leader="none" w:pos="21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acquire Replacement Assets; or</w:t>
      </w:r>
    </w:p>
    <w:p>
      <w:pPr>
        <w:spacing w:after="0" w:line="225" w:lineRule="exact"/>
        <w:rPr>
          <w:rFonts w:ascii="Arial" w:cs="Arial" w:eastAsia="Arial" w:hAnsi="Arial"/>
          <w:sz w:val="18"/>
          <w:szCs w:val="18"/>
          <w:color w:val="auto"/>
        </w:rPr>
      </w:pPr>
    </w:p>
    <w:p>
      <w:pPr>
        <w:ind w:left="640" w:right="340" w:firstLine="644"/>
        <w:spacing w:after="0" w:line="277" w:lineRule="auto"/>
        <w:tabs>
          <w:tab w:leader="none" w:pos="21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to repay Indebtedness of a Restricted Subsidiary that is not a Guarantor, other than Indebtedness owed to the Company or another Restricted Subsidiary;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2" w:name="page73"/>
    <w:bookmarkEnd w:id="72"/>
    <w:p>
      <w:pPr>
        <w:ind w:right="80"/>
        <w:spacing w:after="0" w:line="296" w:lineRule="auto"/>
        <w:rPr>
          <w:sz w:val="20"/>
          <w:szCs w:val="20"/>
          <w:color w:val="auto"/>
        </w:rPr>
      </w:pP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in the case of clause (2), (3), (4) or (5) above, a binding commitment shall be treated as a permitted application of the Net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such commitment so long as the Company or such other Restricted Subsidiary enters into such commitment with a good faith expectation that such Net Proceeds will be applied to satisfy such commitment within 180 days of such commitment (an “</w:t>
      </w:r>
      <w:r>
        <w:rPr>
          <w:rFonts w:ascii="Arial" w:cs="Arial" w:eastAsia="Arial" w:hAnsi="Arial"/>
          <w:sz w:val="16"/>
          <w:szCs w:val="16"/>
          <w:b w:val="1"/>
          <w:bCs w:val="1"/>
          <w:i w:val="1"/>
          <w:iCs w:val="1"/>
          <w:color w:val="auto"/>
        </w:rPr>
        <w:t>Acceptable Commitment</w:t>
      </w:r>
      <w:r>
        <w:rPr>
          <w:rFonts w:ascii="Arial" w:cs="Arial" w:eastAsia="Arial" w:hAnsi="Arial"/>
          <w:sz w:val="16"/>
          <w:szCs w:val="16"/>
          <w:color w:val="auto"/>
        </w:rPr>
        <w:t>”); and provided, further, that if any Acceptable Commitment is later terminated or cancelled before such Net Proceeds are applied, then such Net Proceeds shall constitute Excess Proceeds (as defined below) if not otherwise applied as provided above within 365 days of the receipt of such Net Proceeds.</w:t>
      </w:r>
    </w:p>
    <w:p>
      <w:pPr>
        <w:spacing w:after="0" w:line="161" w:lineRule="exact"/>
        <w:rPr>
          <w:sz w:val="20"/>
          <w:szCs w:val="20"/>
          <w:color w:val="auto"/>
        </w:rPr>
      </w:pPr>
    </w:p>
    <w:p>
      <w:pPr>
        <w:ind w:right="20" w:firstLine="656"/>
        <w:spacing w:after="0" w:line="277" w:lineRule="auto"/>
        <w:tabs>
          <w:tab w:leader="none" w:pos="13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Notwithstanding the foregoing, to the extent that (i) any of or all the Net Proceeds from any Asset Sale by a Foreign Subsidiary (a</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Foreign Disposition</w:t>
      </w:r>
      <w:r>
        <w:rPr>
          <w:rFonts w:ascii="Arial" w:cs="Arial" w:eastAsia="Arial" w:hAnsi="Arial"/>
          <w:sz w:val="16"/>
          <w:szCs w:val="16"/>
          <w:color w:val="auto"/>
        </w:rPr>
        <w:t>”) is prohibited or delayed by applicable local law from being repatriated to the United States or (ii) the Company, in its sole discretion, has determined in good faith that repatriation of any of or all of the Net Proceeds of any Foreign Disposition would result in material adverse tax consequences, the portion of such Net Proceeds so affected will not be required to be applied in compliance with this covenant; provided that within 365 days of the receipt of the Net Proceeds of any Foreign Disposition, the Company shall use commercially reasonable efforts to permit repatriation of such proceeds that would otherwise be subject to this covenant without violating applicable local law or incurring material adverse tax consequences, and, if such proceeds may be repatriated, within such 365 day period, such proceeds shall be applied in compliance with this covenant.</w:t>
      </w:r>
    </w:p>
    <w:p>
      <w:pPr>
        <w:spacing w:after="0" w:line="164" w:lineRule="exact"/>
        <w:rPr>
          <w:sz w:val="20"/>
          <w:szCs w:val="20"/>
          <w:color w:val="auto"/>
        </w:rPr>
      </w:pPr>
    </w:p>
    <w:p>
      <w:pPr>
        <w:ind w:right="20" w:firstLine="656"/>
        <w:spacing w:after="0" w:line="269" w:lineRule="auto"/>
        <w:tabs>
          <w:tab w:leader="none" w:pos="133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Net Proceeds from Asset Sales that are not applied or invested as described above will constitute “</w:t>
      </w:r>
      <w:r>
        <w:rPr>
          <w:rFonts w:ascii="Arial" w:cs="Arial" w:eastAsia="Arial" w:hAnsi="Arial"/>
          <w:sz w:val="17"/>
          <w:szCs w:val="17"/>
          <w:b w:val="1"/>
          <w:bCs w:val="1"/>
          <w:i w:val="1"/>
          <w:iCs w:val="1"/>
          <w:color w:val="auto"/>
        </w:rPr>
        <w:t>Excess Proceeds</w:t>
      </w:r>
      <w:r>
        <w:rPr>
          <w:rFonts w:ascii="Arial" w:cs="Arial" w:eastAsia="Arial" w:hAnsi="Arial"/>
          <w:sz w:val="17"/>
          <w:szCs w:val="17"/>
          <w:color w:val="auto"/>
        </w:rPr>
        <w:t>.” When the aggregate amount of Excess Proceeds exceeds $100.0 million, within 30 days thereof, unless waived or modified with the consent of the Holders of at least a majority in aggregate principal amount of the Notes then outstanding, the Company will make an offer (an “</w:t>
      </w:r>
      <w:r>
        <w:rPr>
          <w:rFonts w:ascii="Arial" w:cs="Arial" w:eastAsia="Arial" w:hAnsi="Arial"/>
          <w:sz w:val="17"/>
          <w:szCs w:val="17"/>
          <w:b w:val="1"/>
          <w:bCs w:val="1"/>
          <w:i w:val="1"/>
          <w:iCs w:val="1"/>
          <w:color w:val="auto"/>
        </w:rPr>
        <w:t>Asset Sale Offer</w:t>
      </w:r>
      <w:r>
        <w:rPr>
          <w:rFonts w:ascii="Arial" w:cs="Arial" w:eastAsia="Arial" w:hAnsi="Arial"/>
          <w:sz w:val="17"/>
          <w:szCs w:val="17"/>
          <w:color w:val="auto"/>
        </w:rPr>
        <w:t xml:space="preserve">”) to the Holders of Notes (with a copy to the Trustee)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this Indenture with respect to offers to purchase or redeem with the proceeds of sales of assets in accordance with Section 3.09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 Proceeds, the Company will select the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181" w:lineRule="exact"/>
        <w:rPr>
          <w:rFonts w:ascii="Arial" w:cs="Arial" w:eastAsia="Arial" w:hAnsi="Arial"/>
          <w:sz w:val="17"/>
          <w:szCs w:val="17"/>
          <w:color w:val="auto"/>
        </w:rPr>
      </w:pPr>
    </w:p>
    <w:p>
      <w:pPr>
        <w:ind w:firstLine="656"/>
        <w:spacing w:after="0" w:line="257" w:lineRule="auto"/>
        <w:tabs>
          <w:tab w:leader="none" w:pos="13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3.09 or this Section 4.10, the Company will comply with the applicable securities laws and regulations and will not be deemed to have breached its obligations under Section 3.09 or this Section 4.10 by virtue of such compliance.</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i w:val="1"/>
          <w:iCs w:val="1"/>
          <w:color w:val="auto"/>
        </w:rPr>
        <w:t>Transactions with Affiliates.</w:t>
      </w:r>
    </w:p>
    <w:p>
      <w:pPr>
        <w:spacing w:after="0" w:line="225" w:lineRule="exact"/>
        <w:rPr>
          <w:sz w:val="20"/>
          <w:szCs w:val="20"/>
          <w:color w:val="auto"/>
        </w:rPr>
      </w:pPr>
    </w:p>
    <w:p>
      <w:pPr>
        <w:ind w:right="20" w:firstLine="656"/>
        <w:spacing w:after="0" w:line="259" w:lineRule="auto"/>
        <w:tabs>
          <w:tab w:leader="none" w:pos="138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b w:val="1"/>
          <w:bCs w:val="1"/>
          <w:i w:val="1"/>
          <w:iCs w:val="1"/>
          <w:color w:val="auto"/>
        </w:rPr>
        <w:t>Affiliate Transaction</w:t>
      </w:r>
      <w:r>
        <w:rPr>
          <w:rFonts w:ascii="Arial" w:cs="Arial" w:eastAsia="Arial" w:hAnsi="Arial"/>
          <w:sz w:val="18"/>
          <w:szCs w:val="18"/>
          <w:color w:val="auto"/>
        </w:rPr>
        <w:t>”) involving aggregate payments or consideration in excess of $25.0 million, unless: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left="660" w:right="400" w:firstLine="644"/>
        <w:spacing w:after="0" w:line="263" w:lineRule="auto"/>
        <w:tabs>
          <w:tab w:leader="none" w:pos="214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Affiliate Transaction is on terms that, when taken as a whole, are not materially less favorable to the Company or the relevant Restricted Subsidiary than those that would have been obtained in a comparable transaction by the Company or such Restricted Subsidiary with an unrelated Person; and</w:t>
      </w:r>
    </w:p>
    <w:p>
      <w:pPr>
        <w:spacing w:after="0" w:line="183" w:lineRule="exact"/>
        <w:rPr>
          <w:rFonts w:ascii="Arial" w:cs="Arial" w:eastAsia="Arial" w:hAnsi="Arial"/>
          <w:sz w:val="18"/>
          <w:szCs w:val="18"/>
          <w:color w:val="auto"/>
        </w:rPr>
      </w:pPr>
    </w:p>
    <w:p>
      <w:pPr>
        <w:jc w:val="both"/>
        <w:ind w:left="660" w:right="180" w:firstLine="644"/>
        <w:spacing w:after="0" w:line="279" w:lineRule="auto"/>
        <w:tabs>
          <w:tab w:leader="none" w:pos="214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Company delivers to the Trustee with respect to any Affiliate Transaction or series of related Affiliate Transactions involving aggregate consideration in excess of $50.0 million, a resolution of the Board of Directors of the Company set forth in an Officer’s Certificate certifying that such Affiliate Transaction complies with clause (1) of this Section 4.11(a) and that such Affiliate Transaction has been approved by a majority of the disinterested members of the Board of Directors of the Company.</w:t>
      </w:r>
    </w:p>
    <w:p>
      <w:pPr>
        <w:spacing w:after="0" w:line="171" w:lineRule="exact"/>
        <w:rPr>
          <w:rFonts w:ascii="Arial" w:cs="Arial" w:eastAsia="Arial" w:hAnsi="Arial"/>
          <w:sz w:val="17"/>
          <w:szCs w:val="17"/>
          <w:color w:val="auto"/>
        </w:rPr>
      </w:pPr>
    </w:p>
    <w:p>
      <w:pPr>
        <w:ind w:left="1360" w:hanging="704"/>
        <w:spacing w:after="0"/>
        <w:tabs>
          <w:tab w:leader="none" w:pos="1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following items will not be deemed to be Affiliate Transactions and, therefore, will not be subject to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4.11(a) hereof:</w:t>
      </w:r>
    </w:p>
    <w:p>
      <w:pPr>
        <w:spacing w:after="0" w:line="211" w:lineRule="exact"/>
        <w:rPr>
          <w:sz w:val="20"/>
          <w:szCs w:val="20"/>
          <w:color w:val="auto"/>
        </w:rPr>
      </w:pPr>
    </w:p>
    <w:p>
      <w:pPr>
        <w:ind w:left="660" w:right="160" w:firstLine="644"/>
        <w:spacing w:after="0" w:line="259"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employment agreement, employee benefit plan, indemnification agreement or arrangement for directors, officers, employees, agents and consultants, stock option, stock repurchase agreement, consulting agreement, severance agreement, insurance plan or any similar agreement, plan or arrangement, in each case entered into by the Company or any of its Restricted Subsidiaries in the ordinary course of business and payments pursuant thereto;</w:t>
      </w:r>
    </w:p>
    <w:p>
      <w:pPr>
        <w:spacing w:after="0" w:line="186" w:lineRule="exact"/>
        <w:rPr>
          <w:rFonts w:ascii="Arial" w:cs="Arial" w:eastAsia="Arial" w:hAnsi="Arial"/>
          <w:sz w:val="18"/>
          <w:szCs w:val="18"/>
          <w:color w:val="auto"/>
        </w:rPr>
      </w:pPr>
    </w:p>
    <w:p>
      <w:pPr>
        <w:ind w:left="2140" w:hanging="836"/>
        <w:spacing w:after="0"/>
        <w:tabs>
          <w:tab w:leader="none" w:pos="2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225" w:lineRule="exact"/>
        <w:rPr>
          <w:rFonts w:ascii="Arial" w:cs="Arial" w:eastAsia="Arial" w:hAnsi="Arial"/>
          <w:sz w:val="18"/>
          <w:szCs w:val="18"/>
          <w:color w:val="auto"/>
        </w:rPr>
      </w:pPr>
    </w:p>
    <w:p>
      <w:pPr>
        <w:ind w:left="660" w:right="120" w:firstLine="644"/>
        <w:spacing w:after="0" w:line="308" w:lineRule="auto"/>
        <w:tabs>
          <w:tab w:leader="none" w:pos="21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transactions with a Person (other than an Unrestricted Subsidiary of the Company) that is an Affiliate of the Company solely because the Company owns, directly or through a Restricted Subsidiary, an Equity Interest in, or controls, such Person;</w:t>
      </w:r>
    </w:p>
    <w:p>
      <w:pPr>
        <w:spacing w:after="0" w:line="146" w:lineRule="exact"/>
        <w:rPr>
          <w:rFonts w:ascii="Arial" w:cs="Arial" w:eastAsia="Arial" w:hAnsi="Arial"/>
          <w:sz w:val="17"/>
          <w:szCs w:val="17"/>
          <w:color w:val="auto"/>
        </w:rPr>
      </w:pPr>
    </w:p>
    <w:p>
      <w:pPr>
        <w:ind w:left="660" w:right="240" w:firstLine="644"/>
        <w:spacing w:after="0" w:line="263"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payment of reasonable directors’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fees paid or payable in any calendar year to any director who is an Affiliate of the Company in a capacity other than as a director of the Company shall not be greater than the aggregate fees paid or payable in such year to any other director who is not otherwise an Affiliate of the Company;</w:t>
      </w:r>
    </w:p>
    <w:p>
      <w:pPr>
        <w:spacing w:after="0" w:line="183" w:lineRule="exact"/>
        <w:rPr>
          <w:rFonts w:ascii="Arial" w:cs="Arial" w:eastAsia="Arial" w:hAnsi="Arial"/>
          <w:sz w:val="18"/>
          <w:szCs w:val="18"/>
          <w:color w:val="auto"/>
        </w:rPr>
      </w:pPr>
    </w:p>
    <w:p>
      <w:pPr>
        <w:ind w:left="660" w:right="40" w:firstLine="644"/>
        <w:spacing w:after="0" w:line="277" w:lineRule="auto"/>
        <w:tabs>
          <w:tab w:leader="none" w:pos="21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directors, officers or employees of the Company or its Restricted Subsidiaries or to holders of Equity Interests in the Company;</w:t>
      </w:r>
    </w:p>
    <w:p>
      <w:pPr>
        <w:spacing w:after="0" w:line="170" w:lineRule="exact"/>
        <w:rPr>
          <w:rFonts w:ascii="Arial" w:cs="Arial" w:eastAsia="Arial" w:hAnsi="Arial"/>
          <w:sz w:val="18"/>
          <w:szCs w:val="18"/>
          <w:color w:val="auto"/>
        </w:rPr>
      </w:pPr>
    </w:p>
    <w:p>
      <w:pPr>
        <w:ind w:left="660" w:right="40" w:firstLine="644"/>
        <w:spacing w:after="0" w:line="301" w:lineRule="auto"/>
        <w:tabs>
          <w:tab w:leader="none" w:pos="21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issuances of securities or other payments, awards or grants in cash, securities or otherwise pursuant to, or the funding of, employment arrangements, stock option, stock ownership, severance or termination plans and similar employee benefit agreements, arrangements or plans approved by the Board of Directors of the Company and entered into by the Company or any of its Restricted Subsidiaries in the ordinary course of business or consistent with past practices and advances, reimbursements and payments pursuant thereto;</w:t>
      </w:r>
    </w:p>
    <w:p>
      <w:pPr>
        <w:spacing w:after="0" w:line="157" w:lineRule="exact"/>
        <w:rPr>
          <w:rFonts w:ascii="Arial" w:cs="Arial" w:eastAsia="Arial" w:hAnsi="Arial"/>
          <w:sz w:val="16"/>
          <w:szCs w:val="16"/>
          <w:color w:val="auto"/>
        </w:rPr>
      </w:pPr>
    </w:p>
    <w:p>
      <w:pPr>
        <w:ind w:left="2140" w:hanging="836"/>
        <w:spacing w:after="0"/>
        <w:tabs>
          <w:tab w:leader="none" w:pos="2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Restricted Payments and Permitted Investments that do not violate Section 4.07 hereof;</w:t>
      </w:r>
    </w:p>
    <w:p>
      <w:pPr>
        <w:spacing w:after="0" w:line="225" w:lineRule="exact"/>
        <w:rPr>
          <w:rFonts w:ascii="Arial" w:cs="Arial" w:eastAsia="Arial" w:hAnsi="Arial"/>
          <w:sz w:val="18"/>
          <w:szCs w:val="18"/>
          <w:color w:val="auto"/>
        </w:rPr>
      </w:pPr>
    </w:p>
    <w:p>
      <w:pPr>
        <w:ind w:left="660" w:right="160" w:firstLine="644"/>
        <w:spacing w:after="0" w:line="342" w:lineRule="auto"/>
        <w:tabs>
          <w:tab w:leader="none" w:pos="21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loans and advances paid (and cancellation of loans and advances) to officers, directors or employees of the Company or any of its Restricted Subsidiaries in the ordinary course of business in accordance with past practice of the Company or such Restricted Subsidiary;</w:t>
      </w:r>
    </w:p>
    <w:p>
      <w:pPr>
        <w:spacing w:after="0" w:line="123" w:lineRule="exact"/>
        <w:rPr>
          <w:rFonts w:ascii="Arial" w:cs="Arial" w:eastAsia="Arial" w:hAnsi="Arial"/>
          <w:sz w:val="16"/>
          <w:szCs w:val="16"/>
          <w:color w:val="auto"/>
        </w:rPr>
      </w:pPr>
    </w:p>
    <w:p>
      <w:pPr>
        <w:ind w:left="660" w:firstLine="644"/>
        <w:spacing w:after="0" w:line="279" w:lineRule="auto"/>
        <w:tabs>
          <w:tab w:leader="none" w:pos="21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transactions entered into after the Reversion Date pursuant to a contract, agreement, loan, advance or guaranty with, or for the benefit of, any Affiliate of the Company entered into during the Suspension Period, or as the same may be amended, modified or replaced from time to time so long as any such amendment, modification or replacement is not materially less favorable to the Company or the Holders of Notes than the applicable contract, agreement, loan, advance or guaranty entered into during the Suspension Period;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left="660" w:firstLine="644"/>
        <w:spacing w:after="0" w:line="254"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with Affiliates that are customers, suppliers, contractors, joint venture partners or purchasers or sellers of goods or services, in each case which are in the ordinary course of business and otherwise in compliance with the terms of this Indenture, and which are fair to the Company and its Restricted Subsidiaries, as applicable, in the reasonable determination of the Board of Directors, chief executive officer or chief financial officer of the Company or its Restricted Subsidiaries, as applicable, or are on terms that, taken as a whole, are materially not less favorable to the Company or such Restricted Subsidiary than could reasonably be obtained, at the time of such transaction or, if such transaction is pursuant to a written agreement, at the time of the execution of the agreement providing therefor, in a comparable arm’s-length transaction with a Person that is not an Affiliate;</w:t>
      </w:r>
    </w:p>
    <w:p>
      <w:pPr>
        <w:spacing w:after="0" w:line="194" w:lineRule="exact"/>
        <w:rPr>
          <w:rFonts w:ascii="Arial" w:cs="Arial" w:eastAsia="Arial" w:hAnsi="Arial"/>
          <w:sz w:val="18"/>
          <w:szCs w:val="18"/>
          <w:color w:val="auto"/>
        </w:rPr>
      </w:pPr>
    </w:p>
    <w:p>
      <w:pPr>
        <w:ind w:left="1960" w:hanging="656"/>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permitted under Section 5.01 hereof;</w:t>
      </w:r>
    </w:p>
    <w:p>
      <w:pPr>
        <w:spacing w:after="0" w:line="225" w:lineRule="exact"/>
        <w:rPr>
          <w:rFonts w:ascii="Arial" w:cs="Arial" w:eastAsia="Arial" w:hAnsi="Arial"/>
          <w:sz w:val="18"/>
          <w:szCs w:val="18"/>
          <w:color w:val="auto"/>
        </w:rPr>
      </w:pPr>
    </w:p>
    <w:p>
      <w:pPr>
        <w:ind w:left="660" w:right="80" w:firstLine="644"/>
        <w:spacing w:after="0" w:line="263"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transactions between the Company or any of its Restricted Subsidiaries and any Person that is an Affiliate of the Company or any of its Restricted Subsidiaries solely because a director of such Person is also a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director abstains from voting as a director on any matter involving such other Person; and</w:t>
      </w:r>
    </w:p>
    <w:p>
      <w:pPr>
        <w:spacing w:after="0" w:line="183" w:lineRule="exact"/>
        <w:rPr>
          <w:rFonts w:ascii="Arial" w:cs="Arial" w:eastAsia="Arial" w:hAnsi="Arial"/>
          <w:sz w:val="18"/>
          <w:szCs w:val="18"/>
          <w:color w:val="auto"/>
        </w:rPr>
      </w:pPr>
    </w:p>
    <w:p>
      <w:pPr>
        <w:jc w:val="both"/>
        <w:ind w:left="660" w:right="320" w:firstLine="644"/>
        <w:spacing w:after="0" w:line="263" w:lineRule="auto"/>
        <w:tabs>
          <w:tab w:leader="none" w:pos="196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with any Person solely in its capacity as a holder of Indebtedness or Capital Stock of the Company or any of its Restricted Subsidiaries if such transaction provides for equal treatment of such Person and all other holders, in their capacity as holders, of the same series of such Indebtedness or of the same class of such Capital Stock;</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transactions permitted under Section 4.09.</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i w:val="1"/>
          <w:iCs w:val="1"/>
          <w:color w:val="auto"/>
        </w:rPr>
        <w:t>Liens.</w:t>
      </w:r>
    </w:p>
    <w:p>
      <w:pPr>
        <w:spacing w:after="0" w:line="225" w:lineRule="exact"/>
        <w:rPr>
          <w:sz w:val="20"/>
          <w:szCs w:val="20"/>
          <w:color w:val="auto"/>
        </w:rPr>
      </w:pPr>
    </w:p>
    <w:p>
      <w:pPr>
        <w:ind w:right="140" w:firstLine="656"/>
        <w:spacing w:after="0" w:line="255" w:lineRule="auto"/>
        <w:tabs>
          <w:tab w:leader="none" w:pos="13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incur, assume or otherwise cause or suffer to exist or become effective any Lien of any kind upon any of their property or assets securing Indebtedness, now owned or hereafter acquired, unless all payments due under this Indenture and the Notes are secured on an equal and ratable basis with the obligations so secured until such time as such obligations are no longer secured by a Lien. Any Lien created for the benefit of the holders of Notes pursuant to the preceding sentence shall provide that such Lien shall be automatically and unconditionally released upon the release of the other Lien referred to in the preceding sentence. The foregoing shall not apply to:</w:t>
      </w:r>
    </w:p>
    <w:p>
      <w:pPr>
        <w:spacing w:after="0" w:line="192" w:lineRule="exact"/>
        <w:rPr>
          <w:rFonts w:ascii="Arial" w:cs="Arial" w:eastAsia="Arial" w:hAnsi="Arial"/>
          <w:sz w:val="18"/>
          <w:szCs w:val="18"/>
          <w:color w:val="auto"/>
        </w:rPr>
      </w:pPr>
    </w:p>
    <w:p>
      <w:pPr>
        <w:ind w:left="660" w:right="20" w:firstLine="644"/>
        <w:spacing w:after="0" w:line="308" w:lineRule="auto"/>
        <w:tabs>
          <w:tab w:leader="none" w:pos="196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Liens to secure Indebtedness permitted to be incurred under Section 4.09;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(1), at the time of incurrence and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the Secured Leverage Ratio shall not exceed 3.50 to 1.00; and</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purposes of determining compliance with this Section 4.12, (x) a Lien need not be incurred solely by reference to one category of Permitted Liens or one category of permitted Liens described in the proviso to clause (1) above but may be incurred under any combination of such categories (including in part under one such category and in part under any one or more of such other such categories) and (y) in the event that a Lien (or any portion thereof) meets the criteria of one or more of such categories, the Company, in its sole discretion, may divide and/or classify, or at any later time re-divide and/or reclassify, such Lien (or any portion thereof) in any manner that complies with this Section 4.12 and the definition of “Permitted Liens”. Notwithstanding the foregoing, any Lien under Credit Facilities that is outstanding on the Issue Date will at all times be deemed to have been incurred on such date in reliance on the exception provided by clause (1) of the definition of “Permitted Liens” and may not be reclassified.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5" w:name="page76"/>
    <w:bookmarkEnd w:id="75"/>
    <w:p>
      <w:pPr>
        <w:ind w:left="640"/>
        <w:spacing w:after="0"/>
        <w:tabs>
          <w:tab w:leader="none" w:pos="192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6"/>
          <w:szCs w:val="16"/>
          <w:i w:val="1"/>
          <w:iCs w:val="1"/>
          <w:color w:val="auto"/>
        </w:rPr>
        <w:t>Corporate Existence.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Article V, the Company shall do or cause to be done all things necessary to preserve and keep in full force and effect:</w:t>
      </w:r>
    </w:p>
    <w:p>
      <w:pPr>
        <w:spacing w:after="0" w:line="225" w:lineRule="exact"/>
        <w:rPr>
          <w:sz w:val="20"/>
          <w:szCs w:val="20"/>
          <w:color w:val="auto"/>
        </w:rPr>
      </w:pPr>
    </w:p>
    <w:p>
      <w:pPr>
        <w:ind w:left="640" w:right="480" w:firstLine="644"/>
        <w:spacing w:after="0" w:line="342" w:lineRule="auto"/>
        <w:tabs>
          <w:tab w:leader="none" w:pos="19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123" w:lineRule="exact"/>
        <w:rPr>
          <w:rFonts w:ascii="Arial" w:cs="Arial" w:eastAsia="Arial" w:hAnsi="Arial"/>
          <w:sz w:val="16"/>
          <w:szCs w:val="16"/>
          <w:color w:val="auto"/>
        </w:rPr>
      </w:pPr>
    </w:p>
    <w:p>
      <w:pPr>
        <w:ind w:left="640" w:right="400" w:firstLine="644"/>
        <w:spacing w:after="0" w:line="301" w:lineRule="auto"/>
        <w:tabs>
          <w:tab w:leader="none" w:pos="19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rights (charter and statutory), licenses and franchises of the Company and its Subsidiaries;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the Notes.</w:t>
      </w:r>
    </w:p>
    <w:p>
      <w:pPr>
        <w:spacing w:after="0" w:line="157"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i w:val="1"/>
          <w:iCs w:val="1"/>
          <w:color w:val="auto"/>
        </w:rPr>
        <w:t>Offer to Repurchase Upon Change of Control.</w:t>
      </w:r>
    </w:p>
    <w:p>
      <w:pPr>
        <w:spacing w:after="0" w:line="225" w:lineRule="exact"/>
        <w:rPr>
          <w:sz w:val="20"/>
          <w:szCs w:val="20"/>
          <w:color w:val="auto"/>
        </w:rPr>
      </w:pPr>
    </w:p>
    <w:p>
      <w:pPr>
        <w:ind w:left="-20" w:right="280" w:firstLine="656"/>
        <w:spacing w:after="0" w:line="293" w:lineRule="auto"/>
        <w:tabs>
          <w:tab w:leader="none" w:pos="13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Upon the occurrence of a Change of Control, the Company will make an offer (a “</w:t>
      </w:r>
      <w:r>
        <w:rPr>
          <w:rFonts w:ascii="Arial" w:cs="Arial" w:eastAsia="Arial" w:hAnsi="Arial"/>
          <w:sz w:val="16"/>
          <w:szCs w:val="16"/>
          <w:b w:val="1"/>
          <w:bCs w:val="1"/>
          <w:i w:val="1"/>
          <w:iCs w:val="1"/>
          <w:color w:val="auto"/>
        </w:rPr>
        <w:t>Change of Control Offer</w:t>
      </w:r>
      <w:r>
        <w:rPr>
          <w:rFonts w:ascii="Arial" w:cs="Arial" w:eastAsia="Arial" w:hAnsi="Arial"/>
          <w:sz w:val="16"/>
          <w:szCs w:val="16"/>
          <w:color w:val="auto"/>
        </w:rPr>
        <w:t xml:space="preserve">”) to each Holder to repurchase all or any part (equal to $2,000 or an integral multiple of $1,000 in excess thereof) of that Holder’s Notes at a purchase price in cash equal to 101% of the aggregate principal amount of Notes repurchased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on the Notes repurchased to the date of purchase (the “</w:t>
      </w:r>
      <w:r>
        <w:rPr>
          <w:rFonts w:ascii="Arial" w:cs="Arial" w:eastAsia="Arial" w:hAnsi="Arial"/>
          <w:sz w:val="16"/>
          <w:szCs w:val="16"/>
          <w:b w:val="1"/>
          <w:bCs w:val="1"/>
          <w:i w:val="1"/>
          <w:iCs w:val="1"/>
          <w:color w:val="auto"/>
        </w:rPr>
        <w:t>Change of Control Payment Date</w:t>
      </w:r>
      <w:r>
        <w:rPr>
          <w:rFonts w:ascii="Arial" w:cs="Arial" w:eastAsia="Arial" w:hAnsi="Arial"/>
          <w:sz w:val="16"/>
          <w:szCs w:val="16"/>
          <w:color w:val="auto"/>
        </w:rPr>
        <w:t>”), subject to the rights of Holders of Notes on the relevant record date to receive interest due on the relevant interest payment date (the “</w:t>
      </w:r>
      <w:r>
        <w:rPr>
          <w:rFonts w:ascii="Arial" w:cs="Arial" w:eastAsia="Arial" w:hAnsi="Arial"/>
          <w:sz w:val="16"/>
          <w:szCs w:val="16"/>
          <w:b w:val="1"/>
          <w:bCs w:val="1"/>
          <w:i w:val="1"/>
          <w:iCs w:val="1"/>
          <w:color w:val="auto"/>
        </w:rPr>
        <w:t>Change of Control Payment</w:t>
      </w:r>
      <w:r>
        <w:rPr>
          <w:rFonts w:ascii="Arial" w:cs="Arial" w:eastAsia="Arial" w:hAnsi="Arial"/>
          <w:sz w:val="16"/>
          <w:szCs w:val="16"/>
          <w:color w:val="auto"/>
        </w:rPr>
        <w:t>”). Within 30 days following any Change of Control, the Company will send a notice to each Holder (with a copy to the Trustee) describing the transaction or transactions that constitute the Change of Control and stating:</w:t>
      </w:r>
    </w:p>
    <w:p>
      <w:pPr>
        <w:spacing w:after="0" w:line="164" w:lineRule="exact"/>
        <w:rPr>
          <w:rFonts w:ascii="Arial" w:cs="Arial" w:eastAsia="Arial" w:hAnsi="Arial"/>
          <w:sz w:val="16"/>
          <w:szCs w:val="16"/>
          <w:color w:val="auto"/>
        </w:rPr>
      </w:pPr>
    </w:p>
    <w:p>
      <w:pPr>
        <w:ind w:left="640" w:right="58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4.15 and that all Notes properly tendered and not withdrawn will be accepted for payment;</w:t>
      </w:r>
    </w:p>
    <w:p>
      <w:pPr>
        <w:spacing w:after="0" w:line="170" w:lineRule="exact"/>
        <w:rPr>
          <w:rFonts w:ascii="Arial" w:cs="Arial" w:eastAsia="Arial" w:hAnsi="Arial"/>
          <w:sz w:val="18"/>
          <w:szCs w:val="18"/>
          <w:color w:val="auto"/>
        </w:rPr>
      </w:pPr>
    </w:p>
    <w:p>
      <w:pPr>
        <w:ind w:left="640" w:right="30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purchase price and the Change of Control Payment Date, which shall be no earlier than 15 days and no later than 60 days from the date such notice is sent;</w:t>
      </w:r>
    </w:p>
    <w:p>
      <w:pPr>
        <w:spacing w:after="0" w:line="170" w:lineRule="exact"/>
        <w:rPr>
          <w:rFonts w:ascii="Arial" w:cs="Arial" w:eastAsia="Arial" w:hAnsi="Arial"/>
          <w:sz w:val="18"/>
          <w:szCs w:val="18"/>
          <w:color w:val="auto"/>
        </w:rPr>
      </w:pPr>
    </w:p>
    <w:p>
      <w:pPr>
        <w:ind w:left="1940" w:hanging="656"/>
        <w:spacing w:after="0"/>
        <w:tabs>
          <w:tab w:leader="none" w:pos="19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25" w:lineRule="exact"/>
        <w:rPr>
          <w:rFonts w:ascii="Arial" w:cs="Arial" w:eastAsia="Arial" w:hAnsi="Arial"/>
          <w:sz w:val="18"/>
          <w:szCs w:val="18"/>
          <w:color w:val="auto"/>
        </w:rPr>
      </w:pPr>
    </w:p>
    <w:p>
      <w:pPr>
        <w:ind w:left="640" w:right="40" w:firstLine="644"/>
        <w:spacing w:after="0" w:line="277"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on and after the Change of Control Payment Date;</w:t>
      </w:r>
    </w:p>
    <w:p>
      <w:pPr>
        <w:spacing w:after="0" w:line="170" w:lineRule="exact"/>
        <w:rPr>
          <w:rFonts w:ascii="Arial" w:cs="Arial" w:eastAsia="Arial" w:hAnsi="Arial"/>
          <w:sz w:val="18"/>
          <w:szCs w:val="18"/>
          <w:color w:val="auto"/>
        </w:rPr>
      </w:pPr>
    </w:p>
    <w:p>
      <w:pPr>
        <w:ind w:left="640" w:firstLine="644"/>
        <w:spacing w:after="0" w:line="259" w:lineRule="auto"/>
        <w:tabs>
          <w:tab w:leader="none" w:pos="194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6" w:lineRule="exact"/>
        <w:rPr>
          <w:rFonts w:ascii="Arial" w:cs="Arial" w:eastAsia="Arial" w:hAnsi="Arial"/>
          <w:sz w:val="18"/>
          <w:szCs w:val="18"/>
          <w:color w:val="auto"/>
        </w:rPr>
      </w:pPr>
    </w:p>
    <w:p>
      <w:pPr>
        <w:jc w:val="both"/>
        <w:ind w:left="640" w:right="180" w:firstLine="644"/>
        <w:spacing w:after="0" w:line="311" w:lineRule="auto"/>
        <w:tabs>
          <w:tab w:leader="none" w:pos="194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that Holders will be entitled to withdraw their election if the Paying Agent receives, not later than the close of business on the second Business Day preceding the Change of Control Payment Date, a facsimile transmission or letter setting forth the name of the Holder, the principal amount of Notes delivered for purchase, and a statement that such Holder is withdrawing his election to have the Notes purchased;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76" w:name="page77"/>
    <w:bookmarkEnd w:id="76"/>
    <w:p>
      <w:pPr>
        <w:ind w:left="660" w:right="180" w:firstLine="644"/>
        <w:spacing w:after="0" w:line="263" w:lineRule="auto"/>
        <w:tabs>
          <w:tab w:leader="none" w:pos="19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thereof.</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provisions of Section 3.09 or 4.15, the Company will comply with the applicable securities laws and regulations and will not be deemed to have breached its obligations under Section 3.09 or 4.15 by virtue of such compliance.</w:t>
      </w:r>
    </w:p>
    <w:p>
      <w:pPr>
        <w:spacing w:after="0" w:line="157" w:lineRule="exact"/>
        <w:rPr>
          <w:sz w:val="20"/>
          <w:szCs w:val="20"/>
          <w:color w:val="auto"/>
        </w:rPr>
      </w:pPr>
    </w:p>
    <w:p>
      <w:pPr>
        <w:ind w:left="1400" w:hanging="744"/>
        <w:spacing w:after="0"/>
        <w:tabs>
          <w:tab w:leader="none" w:pos="14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right="160" w:firstLine="644"/>
        <w:spacing w:after="0" w:line="277" w:lineRule="auto"/>
        <w:tabs>
          <w:tab w:leader="none" w:pos="20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20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The Paying Agent will promptly deliver to each Holder of Notes properly tendered the Change of Control Payment for such Notes, and the Trustee will promptly authenticate and deliver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 in excess thereof. Any Notes so accepted for payment will cease to accrue interest on and after the Change of Control Payment Date. The Company will publicly announce the results of the Change of Control Offer on or as soon as practicable after the Change of Control Payment Date.</w:t>
      </w:r>
    </w:p>
    <w:p>
      <w:pPr>
        <w:spacing w:after="0" w:line="176" w:lineRule="exact"/>
        <w:rPr>
          <w:sz w:val="20"/>
          <w:szCs w:val="20"/>
          <w:color w:val="auto"/>
        </w:rPr>
      </w:pPr>
    </w:p>
    <w:p>
      <w:pPr>
        <w:ind w:right="40" w:firstLine="656"/>
        <w:spacing w:after="0" w:line="279" w:lineRule="auto"/>
        <w:tabs>
          <w:tab w:leader="none" w:pos="138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4.15, the Company may make a Change of Control Offer prior to the consummation of a Change of Control, and conditioned on the occurrence of such Change of Control, if a definitive agreement is in place for such Change of Control at the time the Company makes such Change of Control Offer. In such case, the notice described in Section 4.15(a) shall state that the Change of Control Offer is conditioned on the Change of Control being consummated on or prior to the Change of Control Payment Date.</w:t>
      </w:r>
    </w:p>
    <w:p>
      <w:pPr>
        <w:spacing w:after="0" w:line="171" w:lineRule="exact"/>
        <w:rPr>
          <w:rFonts w:ascii="Arial" w:cs="Arial" w:eastAsia="Arial" w:hAnsi="Arial"/>
          <w:sz w:val="17"/>
          <w:szCs w:val="17"/>
          <w:color w:val="auto"/>
        </w:rPr>
      </w:pPr>
    </w:p>
    <w:p>
      <w:pPr>
        <w:ind w:right="20" w:firstLine="656"/>
        <w:spacing w:after="0" w:line="255" w:lineRule="auto"/>
        <w:tabs>
          <w:tab w:leader="none" w:pos="139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and purchases all Notes properly tendered and not withdrawn under the Change of Control Offer, (2) notice of redemption has been given pursuant to Section 3.07, unless and until there is a default in payment of the applicable redemption price, or (3) the requirements set forth in this Section 4.15 are waived or modified with the consent of the Holders of a majority in aggregate principal amount of Notes then outstanding.</w:t>
      </w:r>
    </w:p>
    <w:p>
      <w:pPr>
        <w:spacing w:after="0" w:line="192" w:lineRule="exact"/>
        <w:rPr>
          <w:rFonts w:ascii="Arial" w:cs="Arial" w:eastAsia="Arial" w:hAnsi="Arial"/>
          <w:sz w:val="18"/>
          <w:szCs w:val="18"/>
          <w:color w:val="auto"/>
        </w:rPr>
      </w:pPr>
    </w:p>
    <w:p>
      <w:pPr>
        <w:ind w:firstLine="656"/>
        <w:spacing w:after="0" w:line="273" w:lineRule="auto"/>
        <w:tabs>
          <w:tab w:leader="none" w:pos="138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 the event that Holders of Notes of not less than 90% of the aggregate principal amount of the outstanding Notes accept a Change of Control Offer and the Company purchases all of the Notes held by such Holders, within 90 days of such purchase, the Company will have the right, upon not less than 15 days’ nor more than 60 days’ prior notice, to redeem all of the Notes that remain outstanding following such purchase at a redemption price equal to the Change of Control Payment plus, to, but excluding, the extent not included in the Change of Control Payment, accrued and unpaid interest, if any, on the Notes redeemed, to the applicable redemption date, (subject to the right of Holders of record on the relevant record date to receive interest due on an interest payment date falling on or prior to such redemption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color w:val="auto"/>
        </w:rPr>
        <w:t>Section 4.16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440"/>
            <w:col w:w="9220"/>
          </w:cols>
          <w:pgMar w:left="320" w:top="908" w:right="359" w:bottom="1440" w:gutter="0" w:footer="0" w:header="0"/>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[Reserved]</w:t>
      </w:r>
    </w:p>
    <w:p>
      <w:pPr>
        <w:spacing w:after="0" w:line="200" w:lineRule="exact"/>
        <w:rPr>
          <w:sz w:val="20"/>
          <w:szCs w:val="20"/>
          <w:color w:val="auto"/>
        </w:rPr>
      </w:pPr>
    </w:p>
    <w:p>
      <w:pPr>
        <w:sectPr>
          <w:pgSz w:w="11900" w:h="16838" w:orient="portrait"/>
          <w:cols w:equalWidth="0" w:num="2">
            <w:col w:w="1560" w:space="400"/>
            <w:col w:w="9260"/>
          </w:cols>
          <w:pgMar w:left="320" w:top="90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4.18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Note Guarantees.</w:t>
      </w:r>
    </w:p>
    <w:p>
      <w:pPr>
        <w:spacing w:after="0" w:line="200" w:lineRule="exact"/>
        <w:rPr>
          <w:sz w:val="20"/>
          <w:szCs w:val="20"/>
          <w:color w:val="auto"/>
        </w:rPr>
      </w:pPr>
    </w:p>
    <w:p>
      <w:pPr>
        <w:sectPr>
          <w:pgSz w:w="11900" w:h="16838" w:orient="portrait"/>
          <w:cols w:equalWidth="0" w:num="2">
            <w:col w:w="1560" w:space="400"/>
            <w:col w:w="9260"/>
          </w:cols>
          <w:pgMar w:left="320" w:top="908" w:right="359" w:bottom="1440" w:gutter="0" w:footer="0" w:header="0"/>
          <w:type w:val="continuous"/>
        </w:sectPr>
      </w:pPr>
    </w:p>
    <w:p>
      <w:pPr>
        <w:spacing w:after="0" w:line="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shall cause each Restricted Subsidiary that guarantees Indebtedness of the Company under any Credit Facility to become a Guarantor and execute a supplemental indenture substantially in the form of supplemental indenture appearing as an exhibit to this Indenture and deliver an Opinion of Counsel within 30 days of the date on which it became a guarantor of borrowings of the Company under any Credit Facility. The form of such supplemental indenture is attached as Exhibit E hereto.</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4.19</w:t>
      </w:r>
      <w:r>
        <w:rPr>
          <w:sz w:val="20"/>
          <w:szCs w:val="20"/>
          <w:color w:val="auto"/>
        </w:rPr>
        <w:tab/>
      </w:r>
      <w:r>
        <w:rPr>
          <w:rFonts w:ascii="Arial" w:cs="Arial" w:eastAsia="Arial" w:hAnsi="Arial"/>
          <w:sz w:val="16"/>
          <w:szCs w:val="16"/>
          <w:i w:val="1"/>
          <w:iCs w:val="1"/>
          <w:color w:val="auto"/>
        </w:rPr>
        <w:t>Designation of Restricted and Unrestricted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Board of Directors of the Company may designate any Restricted Subsidiary to be an Unrestricted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225" w:lineRule="exact"/>
        <w:rPr>
          <w:sz w:val="20"/>
          <w:szCs w:val="20"/>
          <w:color w:val="auto"/>
        </w:rPr>
      </w:pPr>
    </w:p>
    <w:p>
      <w:pPr>
        <w:ind w:left="1400" w:hanging="744"/>
        <w:spacing w:after="0"/>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designation would not cause a Default or Event of Default;</w:t>
      </w:r>
    </w:p>
    <w:p>
      <w:pPr>
        <w:spacing w:after="0" w:line="225" w:lineRule="exact"/>
        <w:rPr>
          <w:rFonts w:ascii="Arial" w:cs="Arial" w:eastAsia="Arial" w:hAnsi="Arial"/>
          <w:sz w:val="18"/>
          <w:szCs w:val="18"/>
          <w:color w:val="auto"/>
        </w:rPr>
      </w:pPr>
    </w:p>
    <w:p>
      <w:pPr>
        <w:ind w:right="40" w:firstLine="656"/>
        <w:spacing w:after="0" w:line="279" w:lineRule="auto"/>
        <w:tabs>
          <w:tab w:leader="none" w:pos="139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Section 4.07 or under one or more clauses of the definition of “Permitted Investments,” as determined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such designation will only be permitted if the Investment would be permitted at that time; and</w:t>
      </w:r>
    </w:p>
    <w:p>
      <w:pPr>
        <w:spacing w:after="0" w:line="171" w:lineRule="exact"/>
        <w:rPr>
          <w:rFonts w:ascii="Arial" w:cs="Arial" w:eastAsia="Arial" w:hAnsi="Arial"/>
          <w:sz w:val="17"/>
          <w:szCs w:val="17"/>
          <w:color w:val="auto"/>
        </w:rPr>
      </w:pPr>
    </w:p>
    <w:p>
      <w:pPr>
        <w:ind w:left="1400" w:hanging="744"/>
        <w:spacing w:after="0"/>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designation otherwise meets the definition of “Unrestricted Subsidiary.”</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by delivery to the Trustee of an Officer’s Certificate setting forth such designation;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designation will be deemed to be an incurrence of Indebtedness by a Restricted Subsidiary of the Company of any outstanding Indebtedness of such Unrestricted Subsidiary and such designation will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designation of any Person as an Unrestricted Subsidiary shall be deemed to include a designation of all Subsidiaries of such Person as Unrestricted Subsidiaries.</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Any designation of a Subsidiary of the Company as a 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this Indenture.</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5"/>
          <w:szCs w:val="15"/>
          <w:i w:val="1"/>
          <w:iCs w:val="1"/>
          <w:color w:val="auto"/>
        </w:rPr>
        <w:t>Covenant Suspension.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on any date, (i) the Notes have Investment Grade Ratings from both Rating Agencies, and (ii) no Default has occurred and is continuing under this Indenture (the occurrence of the events described in the foregoing clauses (i) and (ii) being collectively referred to as a “</w:t>
      </w:r>
      <w:r>
        <w:rPr>
          <w:rFonts w:ascii="Arial" w:cs="Arial" w:eastAsia="Arial" w:hAnsi="Arial"/>
          <w:sz w:val="17"/>
          <w:szCs w:val="17"/>
          <w:b w:val="1"/>
          <w:bCs w:val="1"/>
          <w:i w:val="1"/>
          <w:iCs w:val="1"/>
          <w:color w:val="auto"/>
        </w:rPr>
        <w:t>Covenant Suspension Event</w:t>
      </w:r>
      <w:r>
        <w:rPr>
          <w:rFonts w:ascii="Arial" w:cs="Arial" w:eastAsia="Arial" w:hAnsi="Arial"/>
          <w:sz w:val="17"/>
          <w:szCs w:val="17"/>
          <w:color w:val="auto"/>
        </w:rPr>
        <w:t>”) then, beginning on that day and continuing at all times thereafter until the Reversion Date (as defined below), the restrictions described in Sections 4.07, 4.08, 4.09, 4.10, 4.11 and 5.01(4) shall no longer be applicable to the Notes (collectively, the “</w:t>
      </w:r>
      <w:r>
        <w:rPr>
          <w:rFonts w:ascii="Arial" w:cs="Arial" w:eastAsia="Arial" w:hAnsi="Arial"/>
          <w:sz w:val="17"/>
          <w:szCs w:val="17"/>
          <w:b w:val="1"/>
          <w:bCs w:val="1"/>
          <w:i w:val="1"/>
          <w:iCs w:val="1"/>
          <w:color w:val="auto"/>
        </w:rPr>
        <w:t>Suspended Covenants</w:t>
      </w:r>
      <w:r>
        <w:rPr>
          <w:rFonts w:ascii="Arial" w:cs="Arial" w:eastAsia="Arial" w:hAnsi="Arial"/>
          <w:sz w:val="17"/>
          <w:szCs w:val="17"/>
          <w:color w:val="auto"/>
        </w:rPr>
        <w: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78" w:name="page79"/>
    <w:bookmarkEnd w:id="78"/>
    <w:p>
      <w:pPr>
        <w:ind w:firstLine="648"/>
        <w:spacing w:after="0" w:line="275"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under this Indenture for any period of time as a result of the foregoing, and on any subsequent date (the “</w:t>
      </w:r>
      <w:r>
        <w:rPr>
          <w:rFonts w:ascii="Arial" w:cs="Arial" w:eastAsia="Arial" w:hAnsi="Arial"/>
          <w:sz w:val="17"/>
          <w:szCs w:val="17"/>
          <w:b w:val="1"/>
          <w:bCs w:val="1"/>
          <w:i w:val="1"/>
          <w:iCs w:val="1"/>
          <w:color w:val="auto"/>
        </w:rPr>
        <w:t>Reversion Date</w:t>
      </w:r>
      <w:r>
        <w:rPr>
          <w:rFonts w:ascii="Arial" w:cs="Arial" w:eastAsia="Arial" w:hAnsi="Arial"/>
          <w:sz w:val="17"/>
          <w:szCs w:val="17"/>
          <w:color w:val="auto"/>
        </w:rPr>
        <w:t>”) one or both of the Rating Agencies withdraw their Investment Grade Rating or downgrade the rating assigned to the Notes below an Investment Grade Rating, then the Company and the Restricted Subsidiaries will thereafter again be subject to the Suspended Covenants under this Indenture with respect to future events. The period of time between the Covenant Suspension Event and the Reversion Date is referred to in this description as the “</w:t>
      </w:r>
      <w:r>
        <w:rPr>
          <w:rFonts w:ascii="Arial" w:cs="Arial" w:eastAsia="Arial" w:hAnsi="Arial"/>
          <w:sz w:val="17"/>
          <w:szCs w:val="17"/>
          <w:b w:val="1"/>
          <w:bCs w:val="1"/>
          <w:i w:val="1"/>
          <w:iCs w:val="1"/>
          <w:color w:val="auto"/>
        </w:rPr>
        <w:t>Suspension Period</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each Reversion Date, all Indebtedness incurred, or Disqualified Stock or preferred stock issued, during the preceding Suspension Period will be classified as having been incurred or issued pursuant to Section 4.09(b)(2). Calculations made after the Reversion Date of the amount available to be made as Restricted Payments in Section 4.07 will be made as though the covenant described in Section 4.07 had been in effect prior to, and during, the Suspension Period. As described above, no Default or Event of Default will be deemed to have occurred on the Reversion Date as a result of any actions taken or omitted to be taken by the Company or the Restricted Subsidiaries during the Suspension Period. On and after each Reversion Date, the Company and its Subsidiaries shall be permitted to consummate the transactions contemplated by any contract entered into during the Suspension Period so long as such contract and such consummation would have been permitted during such Suspension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Section 4.08, on the Reversion Date, any consensual encumbrances or restrictions of the type specified in Section 4.08 (a)(1),</w:t>
      </w:r>
    </w:p>
    <w:p>
      <w:pPr>
        <w:spacing w:after="0" w:line="46" w:lineRule="exact"/>
        <w:rPr>
          <w:sz w:val="20"/>
          <w:szCs w:val="20"/>
          <w:color w:val="auto"/>
        </w:rPr>
      </w:pPr>
    </w:p>
    <w:p>
      <w:pPr>
        <w:ind w:right="340" w:firstLine="8"/>
        <w:spacing w:after="0" w:line="260"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or (3) entered into during the Suspension Period will be deemed to have been in effect on the date of this Indenture, so that they are permitted under Section 4.08(b)(1).</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purposes of Section 4.10, on the Reversion Date, the unutilized Excess Proceeds amount will be reset to zero. During a Suspension Period, the Company may not designate any of its Subsidiaries as Unrestricted Subsidiaries.</w:t>
      </w:r>
    </w:p>
    <w:p>
      <w:pPr>
        <w:spacing w:after="0" w:line="17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Company shall deliver an Officer’s Certificate to the Trustee notifying the Trustee of the commencement of any Suspension Period or the occurrence of any Reversion Date promptly after such commencement or occurrence, as the case may be, and the Trustee shall have no obligation to monitor or determine whether a Suspension Period or a Reversion Date has occurred or exists.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Merger, Consolidation or Sale of Assets.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shall not, directly or indirectly: (1) consolidate or merge with or into another Person or consummate a Division as the Dividing Person (whether or not the Company is the surviving corporation or Division Successor, as applicable); or (2) sell, assign, transfer, convey or otherwise dispose of all or substantially all of the properties or assets of the Company and its Restricted Subsidiaries taken as a whole, in one or more related transactions, to another Person, unless:</w:t>
      </w:r>
    </w:p>
    <w:p>
      <w:pPr>
        <w:spacing w:after="0" w:line="187" w:lineRule="exact"/>
        <w:rPr>
          <w:sz w:val="20"/>
          <w:szCs w:val="20"/>
          <w:color w:val="auto"/>
        </w:rPr>
      </w:pPr>
    </w:p>
    <w:p>
      <w:pPr>
        <w:ind w:left="660" w:right="80" w:firstLine="644"/>
        <w:spacing w:after="0" w:line="296" w:lineRule="auto"/>
        <w:tabs>
          <w:tab w:leader="none" w:pos="196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either: (a) in the case of a Division where the Company is the Dividing Person, either all Division Successors shall become co-issuers of the Notes or the Division, as to any Division Successor that will not be a co-issuer, is permitted by Section 4.10 or (b) in the case of any consolidation or merger either (i) the Company is the surviving corporation; or (ii) the Person formed by or surviving any such consolidation or merger (if other than the Company) or to which such sale, assignment, transfer, conveyance or other disposition has been made (the “</w:t>
      </w:r>
      <w:r>
        <w:rPr>
          <w:rFonts w:ascii="Arial" w:cs="Arial" w:eastAsia="Arial" w:hAnsi="Arial"/>
          <w:sz w:val="16"/>
          <w:szCs w:val="16"/>
          <w:b w:val="1"/>
          <w:bCs w:val="1"/>
          <w:i w:val="1"/>
          <w:iCs w:val="1"/>
          <w:color w:val="auto"/>
        </w:rPr>
        <w:t>Surviving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is a corporation organized or existing under the laws of the United States, any state of the United States or the District of Columbia;</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left="660" w:right="60" w:firstLine="644"/>
        <w:spacing w:after="0" w:line="277" w:lineRule="auto"/>
        <w:tabs>
          <w:tab w:leader="none" w:pos="196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Surviving Entity or Division Successor, as applicable expressly assumes all the obligations of the Company under the Notes and this Indenture pursuant to a supplemental indenture reasonably satisfactory to the Trustee;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shall have occurred and be continuing;</w:t>
      </w:r>
    </w:p>
    <w:p>
      <w:pPr>
        <w:spacing w:after="0" w:line="225" w:lineRule="exact"/>
        <w:rPr>
          <w:rFonts w:ascii="Arial" w:cs="Arial" w:eastAsia="Arial" w:hAnsi="Arial"/>
          <w:sz w:val="18"/>
          <w:szCs w:val="18"/>
          <w:color w:val="auto"/>
        </w:rPr>
      </w:pPr>
    </w:p>
    <w:p>
      <w:pPr>
        <w:jc w:val="both"/>
        <w:ind w:left="660" w:firstLine="644"/>
        <w:spacing w:after="0" w:line="291" w:lineRule="auto"/>
        <w:tabs>
          <w:tab w:leader="none" w:pos="196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or the Surviving Entity or Division Successor, as applicable would, on the date of such transaction after giving pro forma effect thereto and any related financing transactions as if the same had occurred at the beginning of the applicable four-quarter period, either</w:t>
      </w:r>
    </w:p>
    <w:p>
      <w:pPr>
        <w:ind w:left="960" w:hanging="304"/>
        <w:spacing w:after="0"/>
        <w:tabs>
          <w:tab w:leader="none" w:pos="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be permitted to incur at least $1.00 of additional Indebtedness pursuant to the Fixed Charge Coverage Ratio test set forth in Section 4.09(a) or</w:t>
      </w:r>
    </w:p>
    <w:p>
      <w:pPr>
        <w:spacing w:after="0" w:line="32" w:lineRule="exact"/>
        <w:rPr>
          <w:rFonts w:ascii="Arial" w:cs="Arial" w:eastAsia="Arial" w:hAnsi="Arial"/>
          <w:sz w:val="16"/>
          <w:szCs w:val="16"/>
          <w:color w:val="auto"/>
        </w:rPr>
      </w:pPr>
    </w:p>
    <w:p>
      <w:pPr>
        <w:ind w:left="660" w:right="340" w:hanging="4"/>
        <w:spacing w:after="0" w:line="260" w:lineRule="auto"/>
        <w:tabs>
          <w:tab w:leader="none" w:pos="9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have a Fixed Charge Coverage Ratio of not less than the Fixed Charge Coverage Ratio of the Company immediately prior to such merger, sale, assignment, transfer, lease, conveyance or other disposition; and</w:t>
      </w:r>
    </w:p>
    <w:p>
      <w:pPr>
        <w:spacing w:after="0" w:line="185" w:lineRule="exact"/>
        <w:rPr>
          <w:rFonts w:ascii="Arial" w:cs="Arial" w:eastAsia="Arial" w:hAnsi="Arial"/>
          <w:sz w:val="18"/>
          <w:szCs w:val="18"/>
          <w:color w:val="auto"/>
        </w:rPr>
      </w:pPr>
    </w:p>
    <w:p>
      <w:pPr>
        <w:ind w:left="660" w:right="220" w:firstLine="644"/>
        <w:spacing w:after="0" w:line="279" w:lineRule="auto"/>
        <w:tabs>
          <w:tab w:leader="none" w:pos="196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the Company or the Surviving Entity or Division Successor, as applicable has delivered to the Trustee an Officer’s Certificate and an Opinion of Counsel, each stating that such consolidation, merger, sale, assignment, transfer, conveyance, lease or other disposition and such supplemental indenture, if any, comply with this Indenture as evidence of the satisfaction of the conditions precedent set forth in this Section 5.01, in which event it will be conclusive and binding on the Holders.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the Company will not, directly or indirectly, lease all or substantially all of the properties and assets of the Company and its Restricted Subsidiaries taken as a whole, in one or more related transactions, to any 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5.01 will not apply to:</w:t>
      </w:r>
    </w:p>
    <w:p>
      <w:pPr>
        <w:spacing w:after="0" w:line="225" w:lineRule="exact"/>
        <w:rPr>
          <w:sz w:val="20"/>
          <w:szCs w:val="20"/>
          <w:color w:val="auto"/>
        </w:rPr>
      </w:pPr>
    </w:p>
    <w:p>
      <w:pPr>
        <w:ind w:left="660" w:right="80" w:firstLine="644"/>
        <w:spacing w:after="0" w:line="277" w:lineRule="auto"/>
        <w:tabs>
          <w:tab w:leader="none" w:pos="19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merger of the Company with an Affiliate solely for the purpose of reincorporating the Company in another jurisdiction within the United States of America; or</w:t>
      </w:r>
    </w:p>
    <w:p>
      <w:pPr>
        <w:spacing w:after="0" w:line="170" w:lineRule="exact"/>
        <w:rPr>
          <w:rFonts w:ascii="Arial" w:cs="Arial" w:eastAsia="Arial" w:hAnsi="Arial"/>
          <w:sz w:val="18"/>
          <w:szCs w:val="18"/>
          <w:color w:val="auto"/>
        </w:rPr>
      </w:pPr>
    </w:p>
    <w:p>
      <w:pPr>
        <w:ind w:left="660" w:right="520" w:firstLine="644"/>
        <w:spacing w:after="0" w:line="277" w:lineRule="auto"/>
        <w:tabs>
          <w:tab w:leader="none" w:pos="19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Company and its Restricted Subsidiaries.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Successor Corporation Substituted.</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p>
    <w:p>
      <w:pPr>
        <w:spacing w:after="0" w:line="225" w:lineRule="exact"/>
        <w:rPr>
          <w:sz w:val="20"/>
          <w:szCs w:val="20"/>
          <w:color w:val="auto"/>
        </w:rPr>
      </w:pPr>
    </w:p>
    <w:p>
      <w:pPr>
        <w:ind w:left="1960" w:hanging="656"/>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of the following is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225" w:lineRule="exact"/>
        <w:rPr>
          <w:sz w:val="20"/>
          <w:szCs w:val="20"/>
          <w:color w:val="auto"/>
        </w:rPr>
      </w:pPr>
    </w:p>
    <w:p>
      <w:pPr>
        <w:ind w:left="5480" w:right="4280" w:hanging="4176"/>
        <w:spacing w:after="0" w:line="778" w:lineRule="auto"/>
        <w:tabs>
          <w:tab w:leader="none" w:pos="19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0" w:name="page81"/>
    <w:bookmarkEnd w:id="80"/>
    <w:p>
      <w:pPr>
        <w:ind w:left="1300" w:hanging="656"/>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default in the payment when due (at maturity, upon redemption or otherwise) of the principal of, or premium, if any,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left="1300" w:hanging="656"/>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5.01;</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comply with the provisions of Section 4.15;</w:t>
      </w:r>
    </w:p>
    <w:p>
      <w:pPr>
        <w:spacing w:after="0" w:line="225" w:lineRule="exact"/>
        <w:rPr>
          <w:rFonts w:ascii="Arial" w:cs="Arial" w:eastAsia="Arial" w:hAnsi="Arial"/>
          <w:sz w:val="18"/>
          <w:szCs w:val="18"/>
          <w:color w:val="auto"/>
        </w:rPr>
      </w:pPr>
    </w:p>
    <w:p>
      <w:pPr>
        <w:jc w:val="both"/>
        <w:ind w:firstLine="644"/>
        <w:spacing w:after="0" w:line="279" w:lineRule="auto"/>
        <w:tabs>
          <w:tab w:leader="none" w:pos="130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for 60 days after written notice to the Company by the Trustee or to the Company and the Trustee by the Holders of at least 25% in aggregate principal amount of the Notes then outstanding voting as a single class to comply with any of the other agreements in this Indenture; provided that in the case of a failure to comply with Section 4.03, such period of continuance of such default or breach shall be 90 days after a written notice described in this clause (5) has been given;</w:t>
      </w:r>
    </w:p>
    <w:p>
      <w:pPr>
        <w:spacing w:after="0" w:line="171" w:lineRule="exact"/>
        <w:rPr>
          <w:rFonts w:ascii="Arial" w:cs="Arial" w:eastAsia="Arial" w:hAnsi="Arial"/>
          <w:sz w:val="17"/>
          <w:szCs w:val="17"/>
          <w:color w:val="auto"/>
        </w:rPr>
      </w:pPr>
    </w:p>
    <w:p>
      <w:pPr>
        <w:ind w:right="120" w:firstLine="644"/>
        <w:spacing w:after="0" w:line="279" w:lineRule="auto"/>
        <w:tabs>
          <w:tab w:leader="none" w:pos="130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this Indenture, if that default:</w:t>
      </w:r>
    </w:p>
    <w:p>
      <w:pPr>
        <w:spacing w:after="0" w:line="171" w:lineRule="exact"/>
        <w:rPr>
          <w:rFonts w:ascii="Arial" w:cs="Arial" w:eastAsia="Arial" w:hAnsi="Arial"/>
          <w:sz w:val="17"/>
          <w:szCs w:val="17"/>
          <w:color w:val="auto"/>
        </w:rPr>
      </w:pPr>
    </w:p>
    <w:p>
      <w:pPr>
        <w:ind w:left="640" w:right="240" w:firstLine="652"/>
        <w:spacing w:after="0" w:line="342" w:lineRule="auto"/>
        <w:tabs>
          <w:tab w:leader="none" w:pos="207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is caused by a failure to pay principal of, or interest or premium, if any, on, such Indebtedness at final maturity thereof, prior to the expiration of the grace period provided in such Indebtedness on the date of such default (a “</w:t>
      </w:r>
      <w:r>
        <w:rPr>
          <w:rFonts w:ascii="Arial" w:cs="Arial" w:eastAsia="Arial" w:hAnsi="Arial"/>
          <w:sz w:val="16"/>
          <w:szCs w:val="16"/>
          <w:b w:val="1"/>
          <w:bCs w:val="1"/>
          <w:i w:val="1"/>
          <w:iCs w:val="1"/>
          <w:color w:val="auto"/>
        </w:rPr>
        <w:t>Payment Default</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jc w:val="both"/>
        <w:ind w:left="640" w:right="20" w:firstLine="652"/>
        <w:spacing w:after="0" w:line="311" w:lineRule="auto"/>
        <w:tabs>
          <w:tab w:leader="none" w:pos="206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$50.0 million (or its foreign currency equivalent) or more;</w:t>
      </w:r>
    </w:p>
    <w:p>
      <w:pPr>
        <w:spacing w:after="0" w:line="148" w:lineRule="exact"/>
        <w:rPr>
          <w:rFonts w:ascii="Arial" w:cs="Arial" w:eastAsia="Arial" w:hAnsi="Arial"/>
          <w:sz w:val="16"/>
          <w:szCs w:val="16"/>
          <w:color w:val="auto"/>
        </w:rPr>
      </w:pPr>
    </w:p>
    <w:p>
      <w:pPr>
        <w:ind w:right="300" w:firstLine="644"/>
        <w:spacing w:after="0" w:line="259"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pay final judgments entered by a court or courts of competent jurisdiction aggregating in excess of $50.0 million (or its foreign currency equivalent) net of any amounts covered by independent third party insurance and as to which such insurer has not disputed coverage, which judgments are not paid, discharged or stayed for a period of 60 consecutive days;</w:t>
      </w:r>
    </w:p>
    <w:p>
      <w:pPr>
        <w:spacing w:after="0" w:line="186" w:lineRule="exact"/>
        <w:rPr>
          <w:rFonts w:ascii="Arial" w:cs="Arial" w:eastAsia="Arial" w:hAnsi="Arial"/>
          <w:sz w:val="18"/>
          <w:szCs w:val="18"/>
          <w:color w:val="auto"/>
        </w:rPr>
      </w:pPr>
    </w:p>
    <w:p>
      <w:pPr>
        <w:ind w:right="240" w:firstLine="644"/>
        <w:spacing w:after="0" w:line="263"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permitted by this Indenture, any Note Guarantee is held in any judicial proceeding to be unenforceable or invalid or ceases for any reason to be in full force and effect, or any Guarantor, or any Person acting on behalf of any Guarantor, denies or disaffirms its obligations under its Note Guarantee;</w:t>
      </w:r>
    </w:p>
    <w:p>
      <w:pPr>
        <w:spacing w:after="0" w:line="183" w:lineRule="exact"/>
        <w:rPr>
          <w:rFonts w:ascii="Arial" w:cs="Arial" w:eastAsia="Arial" w:hAnsi="Arial"/>
          <w:sz w:val="18"/>
          <w:szCs w:val="18"/>
          <w:color w:val="auto"/>
        </w:rPr>
      </w:pPr>
    </w:p>
    <w:p>
      <w:pPr>
        <w:ind w:right="140" w:firstLine="644"/>
        <w:spacing w:after="0" w:line="263" w:lineRule="auto"/>
        <w:tabs>
          <w:tab w:leader="none" w:pos="130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that, taken together (as of the latest audited consolidated financial statements for the Company), would constitute a Significant Subsidiary, pursuant to or within the meaning of any Bankruptcy Law:</w:t>
      </w:r>
    </w:p>
    <w:p>
      <w:pPr>
        <w:spacing w:after="0" w:line="183" w:lineRule="exact"/>
        <w:rPr>
          <w:rFonts w:ascii="Arial" w:cs="Arial" w:eastAsia="Arial" w:hAnsi="Arial"/>
          <w:sz w:val="18"/>
          <w:szCs w:val="18"/>
          <w:color w:val="auto"/>
        </w:rPr>
      </w:pPr>
    </w:p>
    <w:p>
      <w:pPr>
        <w:ind w:left="2080" w:hanging="788"/>
        <w:spacing w:after="0"/>
        <w:tabs>
          <w:tab w:leader="none" w:pos="2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640" w:firstLine="652"/>
        <w:spacing w:after="0" w:line="277" w:lineRule="auto"/>
        <w:tabs>
          <w:tab w:leader="none" w:pos="206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consents to the institution of bankruptcy or insolvency proceedings against it, or the filing by it of a petition or answer or consent seeking reorganization or relief under applicable Bankruptcy Law;</w:t>
      </w:r>
    </w:p>
    <w:p>
      <w:pPr>
        <w:spacing w:after="0" w:line="3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1" w:name="page82"/>
    <w:bookmarkEnd w:id="81"/>
    <w:p>
      <w:pPr>
        <w:ind w:left="1300" w:right="40" w:firstLine="652"/>
        <w:spacing w:after="0" w:line="277" w:lineRule="auto"/>
        <w:tabs>
          <w:tab w:leader="none" w:pos="272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consents to the appointment of a receiver, liquidator, assignee, trustee, sequestrator or other similar official of it or for all or substantially all of its property;</w:t>
      </w:r>
    </w:p>
    <w:p>
      <w:pPr>
        <w:spacing w:after="0" w:line="170" w:lineRule="exact"/>
        <w:rPr>
          <w:rFonts w:ascii="Arial" w:cs="Arial" w:eastAsia="Arial" w:hAnsi="Arial"/>
          <w:sz w:val="18"/>
          <w:szCs w:val="18"/>
          <w:color w:val="auto"/>
        </w:rPr>
      </w:pPr>
    </w:p>
    <w:p>
      <w:pPr>
        <w:ind w:left="2740" w:hanging="788"/>
        <w:spacing w:after="0"/>
        <w:tabs>
          <w:tab w:leader="none" w:pos="27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720" w:hanging="768"/>
        <w:spacing w:after="0"/>
        <w:tabs>
          <w:tab w:leader="none" w:pos="27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40" w:firstLine="652"/>
        <w:spacing w:after="0" w:line="296" w:lineRule="auto"/>
        <w:tabs>
          <w:tab w:leader="none" w:pos="273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is for relief against the Company or any of its Restricted Subsidiaries that is a Significant Subsidiary or any group of Restricted Subsidiaries that, taken together (as of the date of the latest audited consolidated financial statements for the Company), would constitute a Significant Subsidiary, in a proceeding in which the Company, any such Restricted Subsidiary that is a Significant Subsidiary or any such group of Restricted Subsidiaries that, taken together (as of the date of the latest audited consolidated financial statements for the Company), would constitute a Significant Subsidiary, is to be adjudicated bankrupt or insolvent;</w:t>
      </w:r>
    </w:p>
    <w:p>
      <w:pPr>
        <w:spacing w:after="0" w:line="161" w:lineRule="exact"/>
        <w:rPr>
          <w:rFonts w:ascii="Arial" w:cs="Arial" w:eastAsia="Arial" w:hAnsi="Arial"/>
          <w:sz w:val="16"/>
          <w:szCs w:val="16"/>
          <w:color w:val="auto"/>
        </w:rPr>
      </w:pPr>
    </w:p>
    <w:p>
      <w:pPr>
        <w:ind w:left="1300" w:right="40" w:firstLine="652"/>
        <w:spacing w:after="0" w:line="255" w:lineRule="auto"/>
        <w:tabs>
          <w:tab w:leader="none" w:pos="272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appoints a receiver, liquidator, assignee, trustee, sequestrator or other similar official of the Company or any of its Restricted Subsidiaries that is a Significant Subsidiary or any group of Restricted Subsidiaries that, taken together (as of the date of the latest audited consolidated financial statements for the Company), would constitute a Significant Subsidiary, or for all or substantially all of the property of the Company, any of its Restricted Subsidiaries that is a Significant Subsidiary or any group of Restricted Subsidiaries that, taken together (as of the date of the latest audited consolidated financial statements for the Company), would constitute a Significant Subsidiary; or</w:t>
      </w:r>
    </w:p>
    <w:p>
      <w:pPr>
        <w:spacing w:after="0" w:line="192" w:lineRule="exact"/>
        <w:rPr>
          <w:rFonts w:ascii="Arial" w:cs="Arial" w:eastAsia="Arial" w:hAnsi="Arial"/>
          <w:sz w:val="18"/>
          <w:szCs w:val="18"/>
          <w:color w:val="auto"/>
        </w:rPr>
      </w:pPr>
    </w:p>
    <w:p>
      <w:pPr>
        <w:ind w:left="1300" w:right="100" w:firstLine="652"/>
        <w:spacing w:after="0" w:line="263" w:lineRule="auto"/>
        <w:tabs>
          <w:tab w:leader="none" w:pos="272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orders the liquidation of the Company, any of its Restricted Subsidiaries that is a Significant Subsidiary or any group of Restricted Subsidiaries that, taken together (as of the date of the latest audited consolidated financial statements for the Company), would constitute a Significant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any such case, the order or decree remains unstayed and in effect for 60 consecutive days.</w:t>
      </w:r>
    </w:p>
    <w:p>
      <w:pPr>
        <w:spacing w:after="0" w:line="225" w:lineRule="exact"/>
        <w:rPr>
          <w:sz w:val="20"/>
          <w:szCs w:val="20"/>
          <w:color w:val="auto"/>
        </w:rPr>
      </w:pPr>
    </w:p>
    <w:p>
      <w:pPr>
        <w:ind w:firstLine="656"/>
        <w:spacing w:after="0" w:line="269" w:lineRule="auto"/>
        <w:tabs>
          <w:tab w:leader="none" w:pos="139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notice of Default or Event of Default, notice of acceleration or instruction to the Trustee to provide a notice of Default or Event of Default, notice of acceleration or take any other action (a “</w:t>
      </w:r>
      <w:r>
        <w:rPr>
          <w:rFonts w:ascii="Arial" w:cs="Arial" w:eastAsia="Arial" w:hAnsi="Arial"/>
          <w:sz w:val="17"/>
          <w:szCs w:val="17"/>
          <w:b w:val="1"/>
          <w:bCs w:val="1"/>
          <w:i w:val="1"/>
          <w:iCs w:val="1"/>
          <w:color w:val="auto"/>
        </w:rPr>
        <w:t>Noteholder Direction</w:t>
      </w:r>
      <w:r>
        <w:rPr>
          <w:rFonts w:ascii="Arial" w:cs="Arial" w:eastAsia="Arial" w:hAnsi="Arial"/>
          <w:sz w:val="17"/>
          <w:szCs w:val="17"/>
          <w:color w:val="auto"/>
        </w:rPr>
        <w:t>”) provided by any one or more Holders of the Notes (other than a Regulated Bank) (each a “</w:t>
      </w:r>
      <w:r>
        <w:rPr>
          <w:rFonts w:ascii="Arial" w:cs="Arial" w:eastAsia="Arial" w:hAnsi="Arial"/>
          <w:sz w:val="17"/>
          <w:szCs w:val="17"/>
          <w:b w:val="1"/>
          <w:bCs w:val="1"/>
          <w:i w:val="1"/>
          <w:iCs w:val="1"/>
          <w:color w:val="auto"/>
        </w:rPr>
        <w:t>Directing Holder</w:t>
      </w:r>
      <w:r>
        <w:rPr>
          <w:rFonts w:ascii="Arial" w:cs="Arial" w:eastAsia="Arial" w:hAnsi="Arial"/>
          <w:sz w:val="17"/>
          <w:szCs w:val="17"/>
          <w:color w:val="auto"/>
        </w:rPr>
        <w:t>”) must be accompanied by a written representation from each such Directing Holder to the Company and the Trustee that such Directing Holder is not (or, in the case such Directing Holder is DTC or its nominee, that such Directing Holder is being instructed solely by beneficial owners that have represented to such Directing Holder that they are not) Net Short (a “</w:t>
      </w:r>
      <w:r>
        <w:rPr>
          <w:rFonts w:ascii="Arial" w:cs="Arial" w:eastAsia="Arial" w:hAnsi="Arial"/>
          <w:sz w:val="17"/>
          <w:szCs w:val="17"/>
          <w:b w:val="1"/>
          <w:bCs w:val="1"/>
          <w:i w:val="1"/>
          <w:iCs w:val="1"/>
          <w:color w:val="auto"/>
        </w:rPr>
        <w:t>Position Representation</w:t>
      </w:r>
      <w:r>
        <w:rPr>
          <w:rFonts w:ascii="Arial" w:cs="Arial" w:eastAsia="Arial" w:hAnsi="Arial"/>
          <w:sz w:val="17"/>
          <w:szCs w:val="17"/>
          <w:color w:val="auto"/>
        </w:rPr>
        <w:t>”), which representation, in the case of a Noteholder Direction relating to the delivery of a notice of Default or Event of Default shall be deemed repeated at all times until the resulting Default or Event of Default is cured or otherwise ceases to exist or the Notes are accelerated. In addition, each Directing Holder must at the time of providing a Noteholder Direction covenant, provide the Company with such other information as the Company may reasonably request from time to time in order to verify the accuracy of such Noteholder’s Position Representation within five Business Days of request therefor (a “</w:t>
      </w:r>
      <w:r>
        <w:rPr>
          <w:rFonts w:ascii="Arial" w:cs="Arial" w:eastAsia="Arial" w:hAnsi="Arial"/>
          <w:sz w:val="17"/>
          <w:szCs w:val="17"/>
          <w:b w:val="1"/>
          <w:bCs w:val="1"/>
          <w:i w:val="1"/>
          <w:iCs w:val="1"/>
          <w:color w:val="auto"/>
        </w:rPr>
        <w:t>Verification Covenant</w:t>
      </w:r>
      <w:r>
        <w:rPr>
          <w:rFonts w:ascii="Arial" w:cs="Arial" w:eastAsia="Arial" w:hAnsi="Arial"/>
          <w:sz w:val="17"/>
          <w:szCs w:val="17"/>
          <w:color w:val="auto"/>
        </w:rPr>
        <w:t>”). In any case in which the Directing Holder is DTC or its nominee, any Position Representation or Verification Covenant required hereunder shall be provided by the beneficial owner of the Notes in lieu of DTC or its nominee.</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with a court of competent jurisdiction seeking a determination that such Directing Holder was, at such time, in breach of its Position Representation, and seeking to invalidate any Default or Event of Default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right="380" w:firstLine="648"/>
        <w:spacing w:after="0" w:line="263" w:lineRule="auto"/>
        <w:rPr>
          <w:sz w:val="20"/>
          <w:szCs w:val="20"/>
          <w:color w:val="auto"/>
        </w:rPr>
      </w:pPr>
      <w:r>
        <w:rPr>
          <w:rFonts w:ascii="Arial" w:cs="Arial" w:eastAsia="Arial" w:hAnsi="Arial"/>
          <w:sz w:val="18"/>
          <w:szCs w:val="18"/>
          <w:color w:val="auto"/>
        </w:rPr>
        <w:t>Notwithstanding anything in this Section 6.01(b) to the contrary, any Noteholder Direction delivered to the Trustee during the pendency of an Event of Default as the result of a bankruptcy or similar proceeding shall not require compliance with the foregoing paragraphs. In addition, for the avoidance of doubt, the foregoing paragraphs shall not apply to any Holder that is a Regulated Bank.</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Company, any holder or any other Person in acting in good faith on a Noteholder Direction.</w:t>
      </w:r>
    </w:p>
    <w:p>
      <w:pPr>
        <w:spacing w:after="0" w:line="176" w:lineRule="exact"/>
        <w:rPr>
          <w:sz w:val="20"/>
          <w:szCs w:val="20"/>
          <w:color w:val="auto"/>
        </w:rPr>
      </w:pPr>
    </w:p>
    <w:p>
      <w:pPr>
        <w:ind w:right="240" w:firstLine="656"/>
        <w:spacing w:after="0" w:line="275" w:lineRule="auto"/>
        <w:tabs>
          <w:tab w:leader="none" w:pos="138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 to the extent such actual or alleged Default or Event of Default is the subject of litigation.</w:t>
      </w:r>
    </w:p>
    <w:p>
      <w:pPr>
        <w:spacing w:after="0" w:line="17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Acceleration.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the case of an Event of Default specified in clause (9) or (10) of Section 6.01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w:t>
      </w:r>
      <w:r>
        <w:rPr>
          <w:rFonts w:ascii="Arial" w:cs="Arial" w:eastAsia="Arial" w:hAnsi="Arial"/>
          <w:sz w:val="17"/>
          <w:szCs w:val="17"/>
          <w:i w:val="1"/>
          <w:iCs w:val="1"/>
          <w:color w:val="auto"/>
        </w:rPr>
        <w:t>provided</w:t>
      </w:r>
      <w:r>
        <w:rPr>
          <w:rFonts w:ascii="Arial" w:cs="Arial" w:eastAsia="Arial" w:hAnsi="Arial"/>
          <w:sz w:val="17"/>
          <w:szCs w:val="17"/>
          <w:color w:val="auto"/>
        </w:rPr>
        <w:t>, that a notice of a Default or Event of Default may not be given with respect to any action taken, and reported publicly or to Holders, more than two years prior to such notice of Default or Event of Default. If an Event of Default arises pursuant to clause (6) of Section 6.01 hereof, such Event of Default shall cease to exist if, at any time prior to the acceleration of the Notes, (x) the Company cures the underlying Payment Default or the Holders of the applicable Indebtedness waive the underlying Payment Default or rescind the acceleration of such Indebtedness, in each case in accordance with the terms of the applicable Indebtedness and (y) the cure, waiver or rescission does not conflict with any judgment or decree of a court of competent jurisdiction.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any such declaration, the Notes shall become due and payable immediately.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right="20" w:firstLine="648"/>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notice to the Trustee may, on behalf of the Holders of all of the Notes, rescind an acceleration provided all amounts owing to the Trustee have been paid or waive any existing Default or Event of Default (except a continuing Default or Event of Default in the payment of interest or premium, if any, on, or the principal of, the Notes) and its consequences under this Indenture, if:</w:t>
      </w:r>
    </w:p>
    <w:p>
      <w:pPr>
        <w:spacing w:after="0" w:line="187" w:lineRule="exact"/>
        <w:rPr>
          <w:sz w:val="20"/>
          <w:szCs w:val="20"/>
          <w:color w:val="auto"/>
        </w:rPr>
      </w:pPr>
    </w:p>
    <w:p>
      <w:pPr>
        <w:ind w:left="1960" w:hanging="656"/>
        <w:spacing w:after="0"/>
        <w:tabs>
          <w:tab w:leader="none" w:pos="1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such rescission or waiver would not conflict with any judgment or decree of a court of competent jurisdiction;</w:t>
      </w:r>
    </w:p>
    <w:p>
      <w:pPr>
        <w:spacing w:after="0" w:line="225" w:lineRule="exact"/>
        <w:rPr>
          <w:rFonts w:ascii="Arial" w:cs="Arial" w:eastAsia="Arial" w:hAnsi="Arial"/>
          <w:sz w:val="18"/>
          <w:szCs w:val="18"/>
          <w:color w:val="auto"/>
        </w:rPr>
      </w:pPr>
    </w:p>
    <w:p>
      <w:pPr>
        <w:ind w:left="66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existing Events of Default, except nonpayment of principal or interest that has become due solely because of the acceleration, have been cured or waived;</w:t>
      </w:r>
    </w:p>
    <w:p>
      <w:pPr>
        <w:spacing w:after="0" w:line="170" w:lineRule="exact"/>
        <w:rPr>
          <w:rFonts w:ascii="Arial" w:cs="Arial" w:eastAsia="Arial" w:hAnsi="Arial"/>
          <w:sz w:val="18"/>
          <w:szCs w:val="18"/>
          <w:color w:val="auto"/>
        </w:rPr>
      </w:pPr>
    </w:p>
    <w:p>
      <w:pPr>
        <w:ind w:left="660" w:right="10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all interest on overdue installments of interest and overdue principal, which has become due otherwise than by such declaration of acceleration, has been paid, to the extent the payment of such interest is lawful; and</w:t>
      </w:r>
    </w:p>
    <w:p>
      <w:pPr>
        <w:spacing w:after="0" w:line="170" w:lineRule="exact"/>
        <w:rPr>
          <w:rFonts w:ascii="Arial" w:cs="Arial" w:eastAsia="Arial" w:hAnsi="Arial"/>
          <w:sz w:val="18"/>
          <w:szCs w:val="18"/>
          <w:color w:val="auto"/>
        </w:rPr>
      </w:pPr>
    </w:p>
    <w:p>
      <w:pPr>
        <w:ind w:left="660" w:right="780" w:firstLine="644"/>
        <w:spacing w:after="0" w:line="277" w:lineRule="auto"/>
        <w:tabs>
          <w:tab w:leader="none" w:pos="19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has paid the Trustee its reasonable compensation and reimbursed the Trustee for its reasonable expenses (including the fees and expenses of its counsel), disbursements and advances.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i w:val="1"/>
          <w:iCs w:val="1"/>
          <w:color w:val="auto"/>
        </w:rPr>
        <w:t>Other Remedies.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 Event of Default occurs and is continuing, the Trustee may pursue any available remedy to collect the payment of principal and premium, if any, and interest on the Notes or to enforce the performance of any provision of the Notes or this Indenture.</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i w:val="1"/>
          <w:iCs w:val="1"/>
          <w:color w:val="auto"/>
        </w:rPr>
        <w:t>Waiver of Past Defaults.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Holders of a majority in aggregate principal amount of the then outstanding Notes may rescind an acceleration and its consequences, including any related payment default that resulted from such acceleration.</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i w:val="1"/>
          <w:iCs w:val="1"/>
          <w:color w:val="auto"/>
        </w:rPr>
        <w:t>Control by Majority.</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in its sole discretion may be unduly prejudicial to the rights of other Holders of Notes (it being understood that the Trustee does not have an affirmative duty to ascertain whether or not any such directions are unduly prejudicial to such Holders), or that may involve the Trustee in personal liability. The Trustee may take any other action deemed proper by the Trustee which is not inconsistent with such direction.</w:t>
      </w:r>
    </w:p>
    <w:p>
      <w:pPr>
        <w:spacing w:after="0" w:line="19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Limitation on Suits.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may pursue a remedy with respect to this Indenture or the Notes only if:</w:t>
      </w:r>
    </w:p>
    <w:p>
      <w:pPr>
        <w:spacing w:after="0" w:line="225" w:lineRule="exact"/>
        <w:rPr>
          <w:sz w:val="20"/>
          <w:szCs w:val="20"/>
          <w:color w:val="auto"/>
        </w:rPr>
      </w:pPr>
    </w:p>
    <w:p>
      <w:pPr>
        <w:ind w:left="5480" w:right="3100" w:hanging="4176"/>
        <w:spacing w:after="0" w:line="778" w:lineRule="auto"/>
        <w:tabs>
          <w:tab w:leader="none" w:pos="19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660" w:right="320" w:firstLine="644"/>
        <w:spacing w:after="0" w:line="277" w:lineRule="auto"/>
        <w:tabs>
          <w:tab w:leader="none" w:pos="19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make a written request to the Trustee to pursue the remedy;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such Holder or Holders provide to the Trustee security or indemnity satisfactory to the Trustee against any loss, liability 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expense;</w:t>
      </w:r>
    </w:p>
    <w:p>
      <w:pPr>
        <w:spacing w:after="0" w:line="210" w:lineRule="exact"/>
        <w:rPr>
          <w:rFonts w:ascii="Arial" w:cs="Arial" w:eastAsia="Arial" w:hAnsi="Arial"/>
          <w:sz w:val="17"/>
          <w:szCs w:val="17"/>
          <w:color w:val="auto"/>
        </w:rPr>
      </w:pPr>
    </w:p>
    <w:p>
      <w:pPr>
        <w:ind w:left="1960" w:hanging="656"/>
        <w:spacing w:after="0"/>
        <w:tabs>
          <w:tab w:leader="none" w:pos="19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security and/or</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indemnity; and</w:t>
      </w:r>
    </w:p>
    <w:p>
      <w:pPr>
        <w:spacing w:after="0" w:line="210" w:lineRule="exact"/>
        <w:rPr>
          <w:rFonts w:ascii="Arial" w:cs="Arial" w:eastAsia="Arial" w:hAnsi="Arial"/>
          <w:sz w:val="17"/>
          <w:szCs w:val="17"/>
          <w:color w:val="auto"/>
        </w:rPr>
      </w:pPr>
    </w:p>
    <w:p>
      <w:pPr>
        <w:ind w:left="660" w:right="840" w:firstLine="644"/>
        <w:spacing w:after="0" w:line="277" w:lineRule="auto"/>
        <w:tabs>
          <w:tab w:leader="none" w:pos="196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do not give the Trustee a direction inconsistent with such request.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Holder of a Note may not use this Indenture to prejudice the rights of another Holder of a Note or to obtain a preference or priority over another Holder of a Note.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of Notes to Receive Payment.</w:t>
      </w:r>
    </w:p>
    <w:p>
      <w:pPr>
        <w:spacing w:after="0" w:line="22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Collection Suit by Trustee.</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If an Event of Default specified in Section 6.01(1) or (2)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i w:val="1"/>
          <w:iCs w:val="1"/>
          <w:color w:val="auto"/>
        </w:rPr>
        <w:t>Trustee May File Proofs of Claim.</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The Trustee may, on behalf of the Holders, vote for the election of a trustee in bankruptcy or similar official and be a member of a creditors’ committee or other similar committee.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ind w:left="660"/>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i w:val="1"/>
          <w:iCs w:val="1"/>
          <w:color w:val="auto"/>
        </w:rPr>
        <w:t>Priorities.</w:t>
      </w:r>
    </w:p>
    <w:p>
      <w:pPr>
        <w:spacing w:after="0" w:line="225"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Any money or property collected by the Trustee pursuant to this Article VI, and after an Event of Default any money or other property distributable in respect of the Company’s or Guarantors’ obligations under this Indenture, shall be paid or distributed in the following order:</w:t>
      </w:r>
    </w:p>
    <w:p>
      <w:pPr>
        <w:spacing w:after="0" w:line="124"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 Section 7.07, including payment of all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the Trustee and the costs and expenses of collection;</w:t>
      </w:r>
    </w:p>
    <w:p>
      <w:pPr>
        <w:spacing w:after="0" w:line="170" w:lineRule="exact"/>
        <w:rPr>
          <w:sz w:val="20"/>
          <w:szCs w:val="20"/>
          <w:color w:val="auto"/>
        </w:rPr>
      </w:pPr>
    </w:p>
    <w:p>
      <w:pPr>
        <w:ind w:left="660" w:firstLine="648"/>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of Notes for amounts due and unpaid on the Notes for principal, premium, if any, and interest, ratably,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or priority of any kind, according to the amounts due and payable on the Notes for principal, premium, if any and interest, respectively;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may fix a record date and payment date for any payment to Holders of Notes pursuant to this Section 6.10.</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i w:val="1"/>
          <w:iCs w:val="1"/>
          <w:color w:val="auto"/>
        </w:rPr>
        <w:t>Undertaking for Costs.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6.07, or a suit by Holders of more than 10% in aggregate principal amount of the then outstanding Notes.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i w:val="1"/>
          <w:iCs w:val="1"/>
          <w:color w:val="auto"/>
        </w:rPr>
        <w:t>Duties of Trustee.</w:t>
      </w:r>
    </w:p>
    <w:p>
      <w:pPr>
        <w:spacing w:after="0" w:line="225" w:lineRule="exact"/>
        <w:rPr>
          <w:sz w:val="20"/>
          <w:szCs w:val="20"/>
          <w:color w:val="auto"/>
        </w:rPr>
      </w:pPr>
    </w:p>
    <w:p>
      <w:pPr>
        <w:ind w:right="200" w:firstLine="656"/>
        <w:spacing w:after="0" w:line="263" w:lineRule="auto"/>
        <w:tabs>
          <w:tab w:leader="none" w:pos="138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in the conduct of such person’s own affairs under the circumstances.</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96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ind w:left="660" w:right="20" w:firstLine="644"/>
        <w:spacing w:after="0" w:line="296" w:lineRule="auto"/>
        <w:tabs>
          <w:tab w:leader="none" w:pos="196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without investigation, as to the truth of the statements and the correctness of the opinions expressed therein, upon certificates or opinions furnished to the Trustee and conforming to the requirements of this Indenture, but need not verify the contents thereof. However, in the case of certificates or opinions specifically required hereunder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61" w:lineRule="exact"/>
        <w:rPr>
          <w:rFonts w:ascii="Arial" w:cs="Arial" w:eastAsia="Arial" w:hAnsi="Arial"/>
          <w:sz w:val="16"/>
          <w:szCs w:val="16"/>
          <w:color w:val="auto"/>
        </w:rPr>
      </w:pPr>
    </w:p>
    <w:p>
      <w:pPr>
        <w:ind w:right="740" w:firstLine="656"/>
        <w:spacing w:after="0" w:line="277" w:lineRule="auto"/>
        <w:tabs>
          <w:tab w:leader="none" w:pos="13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negligent action, its own negligent failure to act, or its own willful misconduct, except that: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6" w:name="page87"/>
    <w:bookmarkEnd w:id="86"/>
    <w:p>
      <w:pPr>
        <w:ind w:left="1940" w:hanging="656"/>
        <w:spacing w:after="0"/>
        <w:tabs>
          <w:tab w:leader="none" w:pos="1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40" w:right="120" w:firstLine="644"/>
        <w:spacing w:after="0" w:line="277" w:lineRule="auto"/>
        <w:tabs>
          <w:tab w:leader="none" w:pos="19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unless it is proved that the Trustee was negligent in ascertaining the pertinent facts; and</w:t>
      </w:r>
    </w:p>
    <w:p>
      <w:pPr>
        <w:spacing w:after="0" w:line="170" w:lineRule="exact"/>
        <w:rPr>
          <w:rFonts w:ascii="Arial" w:cs="Arial" w:eastAsia="Arial" w:hAnsi="Arial"/>
          <w:sz w:val="18"/>
          <w:szCs w:val="18"/>
          <w:color w:val="auto"/>
        </w:rPr>
      </w:pPr>
    </w:p>
    <w:p>
      <w:pPr>
        <w:ind w:left="640" w:right="400" w:firstLine="644"/>
        <w:spacing w:after="0" w:line="277" w:lineRule="auto"/>
        <w:tabs>
          <w:tab w:leader="none" w:pos="19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6.02, 6.04 or 6.05 hereof.</w:t>
      </w:r>
    </w:p>
    <w:p>
      <w:pPr>
        <w:spacing w:after="0" w:line="170" w:lineRule="exact"/>
        <w:rPr>
          <w:rFonts w:ascii="Arial" w:cs="Arial" w:eastAsia="Arial" w:hAnsi="Arial"/>
          <w:sz w:val="18"/>
          <w:szCs w:val="18"/>
          <w:color w:val="auto"/>
        </w:rPr>
      </w:pPr>
    </w:p>
    <w:p>
      <w:pPr>
        <w:ind w:left="-20" w:right="520" w:firstLine="656"/>
        <w:spacing w:after="0" w:line="277" w:lineRule="auto"/>
        <w:tabs>
          <w:tab w:leader="none" w:pos="137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 and Section 7.02.</w:t>
      </w:r>
    </w:p>
    <w:p>
      <w:pPr>
        <w:spacing w:after="0" w:line="170" w:lineRule="exact"/>
        <w:rPr>
          <w:rFonts w:ascii="Arial" w:cs="Arial" w:eastAsia="Arial" w:hAnsi="Arial"/>
          <w:sz w:val="18"/>
          <w:szCs w:val="18"/>
          <w:color w:val="auto"/>
        </w:rPr>
      </w:pPr>
    </w:p>
    <w:p>
      <w:pPr>
        <w:ind w:left="-20" w:right="40" w:firstLine="656"/>
        <w:spacing w:after="0" w:line="311" w:lineRule="auto"/>
        <w:tabs>
          <w:tab w:leader="none" w:pos="136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provided to the Trustee security and/or indemnity satisfactory to it against any loss, liability or expense which might be incurred by it in compliance with such request or direction.</w:t>
      </w:r>
    </w:p>
    <w:p>
      <w:pPr>
        <w:spacing w:after="0" w:line="148" w:lineRule="exact"/>
        <w:rPr>
          <w:rFonts w:ascii="Arial" w:cs="Arial" w:eastAsia="Arial" w:hAnsi="Arial"/>
          <w:sz w:val="16"/>
          <w:szCs w:val="16"/>
          <w:color w:val="auto"/>
        </w:rPr>
      </w:pPr>
    </w:p>
    <w:p>
      <w:pPr>
        <w:ind w:left="-20" w:right="160" w:firstLine="656"/>
        <w:spacing w:after="0" w:line="263" w:lineRule="auto"/>
        <w:tabs>
          <w:tab w:leader="none" w:pos="13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 The Trustee shall not be required to give any bond or surety in respect of the performance of its powers or duties hereunder.</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i w:val="1"/>
          <w:iCs w:val="1"/>
          <w:color w:val="auto"/>
        </w:rPr>
        <w:t>Rights of Trustee.</w:t>
      </w:r>
    </w:p>
    <w:p>
      <w:pPr>
        <w:spacing w:after="0" w:line="225" w:lineRule="exact"/>
        <w:rPr>
          <w:sz w:val="20"/>
          <w:szCs w:val="20"/>
          <w:color w:val="auto"/>
        </w:rPr>
      </w:pPr>
    </w:p>
    <w:p>
      <w:pPr>
        <w:ind w:left="-20" w:right="300" w:firstLine="656"/>
        <w:spacing w:after="0" w:line="308" w:lineRule="auto"/>
        <w:tabs>
          <w:tab w:leader="none" w:pos="13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Trustee may conclusively rely upon any document (whether in its original or facsimile form) believed by it to be genuine and to have been signed or presented by the proper Person. The Trustee need not investigate any fact or matter stated in the document.</w:t>
      </w:r>
    </w:p>
    <w:p>
      <w:pPr>
        <w:spacing w:after="0" w:line="146" w:lineRule="exact"/>
        <w:rPr>
          <w:rFonts w:ascii="Arial" w:cs="Arial" w:eastAsia="Arial" w:hAnsi="Arial"/>
          <w:sz w:val="17"/>
          <w:szCs w:val="17"/>
          <w:color w:val="auto"/>
        </w:rPr>
      </w:pPr>
    </w:p>
    <w:p>
      <w:pPr>
        <w:ind w:left="-20" w:right="160" w:firstLine="656"/>
        <w:spacing w:after="0" w:line="279" w:lineRule="auto"/>
        <w:tabs>
          <w:tab w:leader="none" w:pos="137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spacing w:after="0" w:line="171" w:lineRule="exact"/>
        <w:rPr>
          <w:rFonts w:ascii="Arial" w:cs="Arial" w:eastAsia="Arial" w:hAnsi="Arial"/>
          <w:sz w:val="17"/>
          <w:szCs w:val="17"/>
          <w:color w:val="auto"/>
        </w:rPr>
      </w:pPr>
    </w:p>
    <w:p>
      <w:pPr>
        <w:ind w:left="-20" w:right="160" w:firstLine="656"/>
        <w:spacing w:after="0" w:line="263" w:lineRule="auto"/>
        <w:tabs>
          <w:tab w:leader="none" w:pos="136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may act through its attorneys, accountants, experts and such other professionals as the Trustee deems necessary, advisable or appropriate and will not be responsible for the misconduct or negligence of any attorney, accountant, expert or other such professional appointed with due care.</w:t>
      </w:r>
    </w:p>
    <w:p>
      <w:pPr>
        <w:spacing w:after="0" w:line="183" w:lineRule="exact"/>
        <w:rPr>
          <w:rFonts w:ascii="Arial" w:cs="Arial" w:eastAsia="Arial" w:hAnsi="Arial"/>
          <w:sz w:val="18"/>
          <w:szCs w:val="18"/>
          <w:color w:val="auto"/>
        </w:rPr>
      </w:pPr>
    </w:p>
    <w:p>
      <w:pPr>
        <w:ind w:left="-20" w:firstLine="656"/>
        <w:spacing w:after="0" w:line="277" w:lineRule="auto"/>
        <w:tabs>
          <w:tab w:leader="none" w:pos="13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left="-20" w:firstLine="656"/>
        <w:spacing w:after="0" w:line="277" w:lineRule="auto"/>
        <w:tabs>
          <w:tab w:leader="none" w:pos="13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of the Company.</w:t>
      </w:r>
    </w:p>
    <w:p>
      <w:pPr>
        <w:spacing w:after="0" w:line="170" w:lineRule="exact"/>
        <w:rPr>
          <w:rFonts w:ascii="Arial" w:cs="Arial" w:eastAsia="Arial" w:hAnsi="Arial"/>
          <w:sz w:val="18"/>
          <w:szCs w:val="18"/>
          <w:color w:val="auto"/>
        </w:rPr>
      </w:pPr>
    </w:p>
    <w:p>
      <w:pPr>
        <w:ind w:left="-20" w:right="160" w:firstLine="656"/>
        <w:spacing w:after="0" w:line="263" w:lineRule="auto"/>
        <w:tabs>
          <w:tab w:leader="none" w:pos="13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ind w:left="-20" w:right="40" w:firstLine="656"/>
        <w:spacing w:after="0" w:line="257" w:lineRule="auto"/>
        <w:tabs>
          <w:tab w:leader="none" w:pos="137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Default or Event of Default, or knowledge of any cure of any Default or Event of Default, unless (1) a Responsible Officer of the Trustee has received written notice of default from the Company in accordance with Section 4.04 or (2) other written notice of any event which is in fact any Default or Event of Default is received by a Responsible Officer of the Trustee at the Corporate Trust Office of the Trustee from the Company or the Holders of at least 25% in aggregate principal amount of the then outstanding Notes, and such notice references the Notes and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87" w:name="page88"/>
    <w:bookmarkEnd w:id="87"/>
    <w:p>
      <w:pPr>
        <w:ind w:right="320" w:firstLine="656"/>
        <w:spacing w:after="0" w:line="286" w:lineRule="auto"/>
        <w:tabs>
          <w:tab w:leader="none" w:pos="134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rights, privileges, protections, immunities and benefits given to the Trustee, including, without limitation, its right to be compensated, reimbursed and indemnified, are extended to, and shall be enforceable by, the Trustee in each of its capacities hereunder, and each agent, custodian and other Person employed by the Trustee to act hereunder pursuant to the terms of this Indenture.</w:t>
      </w:r>
    </w:p>
    <w:p>
      <w:pPr>
        <w:spacing w:after="0" w:line="165" w:lineRule="exact"/>
        <w:rPr>
          <w:rFonts w:ascii="Arial" w:cs="Arial" w:eastAsia="Arial" w:hAnsi="Arial"/>
          <w:sz w:val="17"/>
          <w:szCs w:val="17"/>
          <w:color w:val="auto"/>
        </w:rPr>
      </w:pPr>
    </w:p>
    <w:p>
      <w:pPr>
        <w:jc w:val="both"/>
        <w:ind w:right="80" w:firstLine="656"/>
        <w:spacing w:after="0" w:line="311" w:lineRule="auto"/>
        <w:tabs>
          <w:tab w:leader="none" w:pos="135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by the Company and not superseded.</w:t>
      </w:r>
    </w:p>
    <w:p>
      <w:pPr>
        <w:spacing w:after="0" w:line="148" w:lineRule="exact"/>
        <w:rPr>
          <w:rFonts w:ascii="Arial" w:cs="Arial" w:eastAsia="Arial" w:hAnsi="Arial"/>
          <w:sz w:val="16"/>
          <w:szCs w:val="16"/>
          <w:color w:val="auto"/>
        </w:rPr>
      </w:pPr>
    </w:p>
    <w:p>
      <w:pPr>
        <w:ind w:left="1360" w:hanging="704"/>
        <w:spacing w:after="0"/>
        <w:tabs>
          <w:tab w:leader="none" w:pos="13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permissive rights of the Trustee set forth herein shall not be construed as duties of the Trustee.</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i w:val="1"/>
          <w:iCs w:val="1"/>
          <w:color w:val="auto"/>
        </w:rPr>
        <w:t>Individual Rights of Trustee.</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as defined in the TIA, it must eliminate such conflict within 90 days or resign.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Agent may do the same with like rights and duties. The Trustee is also subject to Sections 7.10 and 7.11.</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i w:val="1"/>
          <w:iCs w:val="1"/>
          <w:color w:val="auto"/>
        </w:rPr>
        <w:t>Trustee’s Disclaimer.</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or the Note Guarantees,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in the Offering Memorandum or any other document in connection with the sale of the Notes or pursuant to this Indenture other than its certificate of authentication.</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Neither the Trustee nor any Paying Agent shall be responsible for determining whether any Asset Sale has occurred and whether any Asset Sale Offer with respect to the Notes is required. Neither the Trustee nor any Paying Agent shall be responsible for determining whether any Change of Control has occurred and whether any Change of Control Offer with respect to the Notes is required. Neither the Trustee nor any Paying Agent shall be responsible for monitoring the Company’s rating status, making any request upon any Rating Agency, or determining whether any rating event with respect to the Notes has occurred. The Trustee shall not be bound to ascertain or inquire as to the performance, observance, or breach of any covenants, conditions, representations, warranties or agreements on the part of the Company or the Guarantors. Under no circumstances shall the Trustee be liable in its individual capacity for the obligations evidenced by the Notes or the Note Guarantees. The Trustee shall have no obligation to pursue any action that is not in accordance with applicable law.</w:t>
      </w:r>
    </w:p>
    <w:p>
      <w:pPr>
        <w:spacing w:after="0" w:line="192"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i w:val="1"/>
          <w:iCs w:val="1"/>
          <w:color w:val="auto"/>
        </w:rPr>
        <w:t>Notice of Defaults.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a Default or Event of Default occurs and is continuing and if a Responsible Officer of the Trustee has received written notice thereof, the Trustee will send to Holders of Notes a notice of the Default or Event of Default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8" w:name="page89"/>
    <w:bookmarkEnd w:id="88"/>
    <w:p>
      <w:pPr>
        <w:ind w:left="600"/>
        <w:spacing w:after="0"/>
        <w:tabs>
          <w:tab w:leader="none" w:pos="17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i w:val="1"/>
          <w:iCs w:val="1"/>
          <w:color w:val="auto"/>
        </w:rPr>
        <w:t>Compensation and Indemnity.</w:t>
      </w:r>
    </w:p>
    <w:p>
      <w:pPr>
        <w:spacing w:after="0" w:line="225" w:lineRule="exact"/>
        <w:rPr>
          <w:sz w:val="20"/>
          <w:szCs w:val="20"/>
          <w:color w:val="auto"/>
        </w:rPr>
      </w:pPr>
    </w:p>
    <w:p>
      <w:pPr>
        <w:ind w:left="-60" w:right="60" w:firstLine="656"/>
        <w:spacing w:after="0" w:line="255"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will pay to the Trustee from time to time compensation for its acceptance of this Indenture and services hereunder which shall have from time to time been separately agreed to by the Company and the Trustee in writing.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attorneys, accountants, experts and other professionals as the Trustee deems necessary, advisable or appropriate.</w:t>
      </w:r>
    </w:p>
    <w:p>
      <w:pPr>
        <w:spacing w:after="0" w:line="192" w:lineRule="exact"/>
        <w:rPr>
          <w:rFonts w:ascii="Arial" w:cs="Arial" w:eastAsia="Arial" w:hAnsi="Arial"/>
          <w:sz w:val="18"/>
          <w:szCs w:val="18"/>
          <w:color w:val="auto"/>
        </w:rPr>
      </w:pPr>
    </w:p>
    <w:p>
      <w:pPr>
        <w:ind w:left="-60" w:firstLine="656"/>
        <w:spacing w:after="0" w:line="269" w:lineRule="auto"/>
        <w:tabs>
          <w:tab w:leader="none" w:pos="133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Company and the Guarantors, jointly and severally, will indemnify the Trustee, and hold it harmless, against any and all losses, claims, damages, liabilities, fees, costs or expenses incurred by it arising out of or in connection with this Indenture and the acceptance or administration of its duties under this Indenture, including the costs and expenses, reasonable attorneys’ fees and expenses and court costs of enforcing this Indenture against the Company and the Guarantors (including this Section 7.07) and defending itself against or investigating any claim (whether asserted by the Company, the Guarantors, any Holder or any other Person) or liability in connection with the exercise or performance of any of its powers or duties hereunder, except to the extent any such loss, liability or expense is determined by a court of competent jurisdiction in a final non-appealable order to have been caused by its own negligence or willful misconduct. The Trustee will notify the Company in writing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 All indemnifications and releases from liability granted hereunder to the Trustee shall extend to its officers, directors, employees, agents, attorneys, custodians, successors and assigns.</w:t>
      </w:r>
    </w:p>
    <w:p>
      <w:pPr>
        <w:spacing w:after="0" w:line="178" w:lineRule="exact"/>
        <w:rPr>
          <w:rFonts w:ascii="Arial" w:cs="Arial" w:eastAsia="Arial" w:hAnsi="Arial"/>
          <w:sz w:val="17"/>
          <w:szCs w:val="17"/>
          <w:color w:val="auto"/>
        </w:rPr>
      </w:pPr>
    </w:p>
    <w:p>
      <w:pPr>
        <w:ind w:left="-60" w:right="60" w:firstLine="656"/>
        <w:spacing w:after="0" w:line="277"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obligations of the Company and the Guarantors under this Section 7.07 will survive the satisfaction and discharge of this Indenture and the resignation or removal of the Trustee.</w:t>
      </w:r>
    </w:p>
    <w:p>
      <w:pPr>
        <w:spacing w:after="0" w:line="170" w:lineRule="exact"/>
        <w:rPr>
          <w:rFonts w:ascii="Arial" w:cs="Arial" w:eastAsia="Arial" w:hAnsi="Arial"/>
          <w:sz w:val="18"/>
          <w:szCs w:val="18"/>
          <w:color w:val="auto"/>
        </w:rPr>
      </w:pPr>
    </w:p>
    <w:p>
      <w:pPr>
        <w:jc w:val="both"/>
        <w:ind w:left="-60" w:right="120" w:firstLine="656"/>
        <w:spacing w:after="0" w:line="263" w:lineRule="auto"/>
        <w:tabs>
          <w:tab w:leader="none" w:pos="133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secure the Company’s and the Guarantors’ payment obligations in this Section 7.07, the Trustee will have a Lien prior to the Notes on all money or property held or collected by the Trustee, except that held in trust to pay principal and interest on particular Notes. Such Lien will survive the satisfaction and discharge of this Indenture and the resignation or removal of the Trustee.</w:t>
      </w:r>
    </w:p>
    <w:p>
      <w:pPr>
        <w:spacing w:after="0" w:line="183" w:lineRule="exact"/>
        <w:rPr>
          <w:rFonts w:ascii="Arial" w:cs="Arial" w:eastAsia="Arial" w:hAnsi="Arial"/>
          <w:sz w:val="18"/>
          <w:szCs w:val="18"/>
          <w:color w:val="auto"/>
        </w:rPr>
      </w:pPr>
    </w:p>
    <w:p>
      <w:pPr>
        <w:ind w:left="-60" w:firstLine="656"/>
        <w:spacing w:after="0" w:line="263" w:lineRule="auto"/>
        <w:tabs>
          <w:tab w:leader="none" w:pos="132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6.01(8) occurs, the expenses and the compensation for the services (including the fees and expenses of its agents and counsel) are intended to constitute expenses of administration under any Bankruptcy Law.</w:t>
      </w:r>
    </w:p>
    <w:p>
      <w:pPr>
        <w:spacing w:after="0" w:line="183" w:lineRule="exact"/>
        <w:rPr>
          <w:rFonts w:ascii="Arial" w:cs="Arial" w:eastAsia="Arial" w:hAnsi="Arial"/>
          <w:sz w:val="18"/>
          <w:szCs w:val="18"/>
          <w:color w:val="auto"/>
        </w:rPr>
      </w:pPr>
    </w:p>
    <w:p>
      <w:pPr>
        <w:ind w:left="-60" w:right="100" w:firstLine="656"/>
        <w:spacing w:after="0" w:line="263" w:lineRule="auto"/>
        <w:tabs>
          <w:tab w:leader="none" w:pos="130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for the purposes of this Section 7.07 shall include any predecessor Trustee and the Trustee in each of its capacities hereunder and each agent, custodian and other person employed to act hereunder; provided, however, that the negligence or willful misconduct of any Trustee hereunder shall not affect the rights of any other Trustee hereunder.</w:t>
      </w:r>
    </w:p>
    <w:p>
      <w:pPr>
        <w:spacing w:after="0" w:line="184" w:lineRule="exact"/>
        <w:rPr>
          <w:sz w:val="20"/>
          <w:szCs w:val="20"/>
          <w:color w:val="auto"/>
        </w:rPr>
      </w:pPr>
    </w:p>
    <w:p>
      <w:pPr>
        <w:ind w:left="600"/>
        <w:spacing w:after="0"/>
        <w:tabs>
          <w:tab w:leader="none" w:pos="17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5"/>
          <w:szCs w:val="15"/>
          <w:i w:val="1"/>
          <w:iCs w:val="1"/>
          <w:color w:val="auto"/>
        </w:rPr>
        <w:t>Replacement of Trustee.</w:t>
      </w:r>
    </w:p>
    <w:p>
      <w:pPr>
        <w:spacing w:after="0" w:line="225" w:lineRule="exact"/>
        <w:rPr>
          <w:sz w:val="20"/>
          <w:szCs w:val="20"/>
          <w:color w:val="auto"/>
        </w:rPr>
      </w:pPr>
    </w:p>
    <w:p>
      <w:pPr>
        <w:ind w:left="-60" w:right="480" w:firstLine="656"/>
        <w:spacing w:after="0" w:line="277" w:lineRule="auto"/>
        <w:tabs>
          <w:tab w:leader="none" w:pos="13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A resignation or removal of the Trustee and appointment of a successor Trustee will become effective only upon the successor Trustee’s acceptance of appointment as provided in this Section 7.08.</w:t>
      </w:r>
    </w:p>
    <w:p>
      <w:pPr>
        <w:spacing w:after="0" w:line="170" w:lineRule="exact"/>
        <w:rPr>
          <w:rFonts w:ascii="Arial" w:cs="Arial" w:eastAsia="Arial" w:hAnsi="Arial"/>
          <w:sz w:val="18"/>
          <w:szCs w:val="18"/>
          <w:color w:val="auto"/>
        </w:rPr>
      </w:pPr>
    </w:p>
    <w:p>
      <w:pPr>
        <w:ind w:left="-60" w:right="160" w:firstLine="656"/>
        <w:spacing w:after="0" w:line="286" w:lineRule="auto"/>
        <w:tabs>
          <w:tab w:leader="none" w:pos="13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Trustee may resign in writing at any time on 30 days’ prior written notice and be discharged from the trust hereby created by so notifying the Company. The Holders of a majority in aggregate principal amount of the then outstanding Notes may remove the Trustee on 30 days’ prior written notice by so notifying the Trustee and the Company in writing. The Company may remove the Trustee if: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80" w:top="908" w:right="379" w:bottom="1440" w:gutter="0" w:footer="0" w:header="0"/>
        </w:sectPr>
      </w:pPr>
    </w:p>
    <w:bookmarkStart w:id="89" w:name="page90"/>
    <w:bookmarkEnd w:id="89"/>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rFonts w:ascii="Arial" w:cs="Arial" w:eastAsia="Arial" w:hAnsi="Arial"/>
          <w:sz w:val="18"/>
          <w:szCs w:val="18"/>
          <w:color w:val="auto"/>
        </w:rPr>
      </w:pPr>
    </w:p>
    <w:p>
      <w:pPr>
        <w:ind w:right="80" w:firstLine="656"/>
        <w:spacing w:after="0" w:line="286" w:lineRule="auto"/>
        <w:tabs>
          <w:tab w:leader="none" w:pos="138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20" w:firstLine="656"/>
        <w:spacing w:after="0" w:line="263" w:lineRule="auto"/>
        <w:tabs>
          <w:tab w:leader="none" w:pos="13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expense of the Company, the Company, or the Holders of at least 10% in aggregate principal amount of the then outstanding Notes may petition any court of competent jurisdiction for the appointment of a successor Trustee.</w:t>
      </w:r>
    </w:p>
    <w:p>
      <w:pPr>
        <w:spacing w:after="0" w:line="183" w:lineRule="exact"/>
        <w:rPr>
          <w:rFonts w:ascii="Arial" w:cs="Arial" w:eastAsia="Arial" w:hAnsi="Arial"/>
          <w:sz w:val="18"/>
          <w:szCs w:val="18"/>
          <w:color w:val="auto"/>
        </w:rPr>
      </w:pPr>
    </w:p>
    <w:p>
      <w:pPr>
        <w:ind w:right="20" w:firstLine="656"/>
        <w:spacing w:after="0" w:line="308" w:lineRule="auto"/>
        <w:tabs>
          <w:tab w:leader="none" w:pos="1387"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firstLine="656"/>
        <w:spacing w:after="0" w:line="301" w:lineRule="auto"/>
        <w:tabs>
          <w:tab w:leader="none" w:pos="13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(f) 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send a notice of its succession to Holders. The retiring Trustee will promptly transfer all property held by it as Trustee to the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all sums owing to the Trustee hereunder have been paid and subject to the Lien provided for in Section 7.07.</w:t>
      </w:r>
    </w:p>
    <w:p>
      <w:pPr>
        <w:spacing w:after="0" w:line="15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Notwithstanding replacement of the Trustee pursuant to this Section 7.08, the Company’s obligations under Section 7.07 will continue for the benefit of the retiring Trustee.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i w:val="1"/>
          <w:iCs w:val="1"/>
          <w:color w:val="auto"/>
        </w:rPr>
        <w:t>Successor Trustee by Merger, etc.</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i w:val="1"/>
          <w:iCs w:val="1"/>
          <w:color w:val="auto"/>
        </w:rPr>
        <w:t>Eligibility; Disqualification.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(or, in the case of a Trustee included in a bank holding company system, the related bank holding company has) a combined capital and surplus of at least $50.0 million as set forth in its most recent published annual report of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i w:val="1"/>
          <w:iCs w:val="1"/>
          <w:color w:val="auto"/>
        </w:rPr>
        <w:t>Option to Effect Legal Defeasance or Covenant Defeasance.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may at any time, at the option of its Board of Directors evidenced by a resolution set forth in an Officer’s Certificate delivered to the Trustee, elect to have either Section 8.02 or 8.03 be applied to all outstanding Notes and Note Guarantees upon compliance with the conditions set forth below in this Article VIII.</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0" w:name="page91"/>
    <w:bookmarkEnd w:id="90"/>
    <w:p>
      <w:pPr>
        <w:ind w:left="660"/>
        <w:spacing w:after="0"/>
        <w:tabs>
          <w:tab w:leader="none" w:pos="17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i w:val="1"/>
          <w:iCs w:val="1"/>
          <w:color w:val="auto"/>
        </w:rPr>
        <w:t>Legal Defeasance and Discharge.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Upon the Company’s exercise under Section 8.01 of the option applicable to this Section 8.02, the Company and each of the Guarantors will, subject to the satisfaction of the conditions set forth in Section 8.04,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b w:val="1"/>
          <w:bCs w:val="1"/>
          <w:i w:val="1"/>
          <w:iCs w:val="1"/>
          <w:color w:val="auto"/>
        </w:rPr>
        <w:t>Legal Defeasance</w:t>
      </w:r>
      <w:r>
        <w:rPr>
          <w:rFonts w:ascii="Arial" w:cs="Arial" w:eastAsia="Arial" w:hAnsi="Arial"/>
          <w:sz w:val="17"/>
          <w:szCs w:val="17"/>
          <w:color w:val="auto"/>
        </w:rPr>
        <w:t>”).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8.05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in form and substance reasonably satisfactory to the Trustee), except for the following provisions which will survive until otherwise terminated or discharged hereunder:</w:t>
      </w:r>
    </w:p>
    <w:p>
      <w:pPr>
        <w:spacing w:after="0" w:line="181" w:lineRule="exact"/>
        <w:rPr>
          <w:sz w:val="20"/>
          <w:szCs w:val="20"/>
          <w:color w:val="auto"/>
        </w:rPr>
      </w:pPr>
    </w:p>
    <w:p>
      <w:pPr>
        <w:ind w:left="660" w:right="60" w:firstLine="644"/>
        <w:spacing w:after="0" w:line="277" w:lineRule="auto"/>
        <w:tabs>
          <w:tab w:leader="none" w:pos="20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in Section 8.04;</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obligations with respect to such Notes under Article II and Section 4.02;</w:t>
      </w:r>
    </w:p>
    <w:p>
      <w:pPr>
        <w:spacing w:after="0" w:line="225" w:lineRule="exact"/>
        <w:rPr>
          <w:rFonts w:ascii="Arial" w:cs="Arial" w:eastAsia="Arial" w:hAnsi="Arial"/>
          <w:sz w:val="18"/>
          <w:szCs w:val="18"/>
          <w:color w:val="auto"/>
        </w:rPr>
      </w:pPr>
    </w:p>
    <w:p>
      <w:pPr>
        <w:ind w:left="660" w:right="140" w:firstLine="644"/>
        <w:spacing w:after="0" w:line="277" w:lineRule="auto"/>
        <w:tabs>
          <w:tab w:leader="none" w:pos="20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Company’s and the Guarantors’ obligations in connection therewith;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Article VIII.</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VIII, the Company may exercise its option under this Section 8.02 notwithstanding the prior exercise of its option under Section 8.03.</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Upon the Company’s exercise under Section 8.01 of the option applicable to this Section 8.03, the Company and each of the Guarantors will, subject to the satisfaction of the conditions set forth in Section 8.04, be released from each of their obligations under the covenants contained in Sections</w:t>
      </w:r>
    </w:p>
    <w:p>
      <w:pPr>
        <w:spacing w:after="0" w:line="267" w:lineRule="auto"/>
        <w:rPr>
          <w:sz w:val="20"/>
          <w:szCs w:val="20"/>
          <w:color w:val="auto"/>
        </w:rPr>
      </w:pPr>
      <w:r>
        <w:rPr>
          <w:rFonts w:ascii="Arial" w:cs="Arial" w:eastAsia="Arial" w:hAnsi="Arial"/>
          <w:sz w:val="17"/>
          <w:szCs w:val="17"/>
          <w:color w:val="auto"/>
        </w:rPr>
        <w:t>4.07, 4.08, 4.09, 4.10, 4.11, 4.12, 4.13, 4.15, 4.16, 4.17, 4.18 and 4.19 and clause (4) of Section 5.01 with respect to the outstanding Notes on and after the date the conditions set forth in Section 8.04 are satisfied (hereinafter, “</w:t>
      </w:r>
      <w:r>
        <w:rPr>
          <w:rFonts w:ascii="Arial" w:cs="Arial" w:eastAsia="Arial" w:hAnsi="Arial"/>
          <w:sz w:val="17"/>
          <w:szCs w:val="17"/>
          <w:b w:val="1"/>
          <w:bCs w:val="1"/>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and Note Guarantees will be unaffected thereby. In addition, upon the Company’s exercise under Section 8.01 of the option applicable to this Section 8.03, subject to the satisfaction of the conditions set forth in Section 8.04, Sections 6.01(3) through 6.01(6) will not constitute Events of Default.</w:t>
      </w:r>
    </w:p>
    <w:p>
      <w:pPr>
        <w:spacing w:after="0" w:line="18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i w:val="1"/>
          <w:iCs w:val="1"/>
          <w:color w:val="auto"/>
        </w:rPr>
        <w:t>Conditions to Legal or Covenant Defeasance.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1" w:name="page92"/>
    <w:bookmarkEnd w:id="91"/>
    <w:p>
      <w:pPr>
        <w:ind w:left="640" w:right="20" w:firstLine="644"/>
        <w:spacing w:after="0" w:line="296"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61" w:lineRule="exact"/>
        <w:rPr>
          <w:rFonts w:ascii="Arial" w:cs="Arial" w:eastAsia="Arial" w:hAnsi="Arial"/>
          <w:sz w:val="16"/>
          <w:szCs w:val="16"/>
          <w:color w:val="auto"/>
        </w:rPr>
      </w:pPr>
    </w:p>
    <w:p>
      <w:pPr>
        <w:ind w:left="640" w:firstLine="644"/>
        <w:spacing w:after="0" w:line="293"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the case of an election under Section 8.02, the Company must deliver to the Trustee an Opinion of Counsel reasonably satisfactory to the Trustee confirming that (A) the Company has received from, or there has been published by, the Internal Revenue Service a ruling or (B) since the date of this Indenture, there has been a change in the applicable U.S. federal income tax law, in either case to the effect that, and based thereon such Opinion of Counsel will confirm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64" w:lineRule="exact"/>
        <w:rPr>
          <w:rFonts w:ascii="Arial" w:cs="Arial" w:eastAsia="Arial" w:hAnsi="Arial"/>
          <w:sz w:val="16"/>
          <w:szCs w:val="16"/>
          <w:color w:val="auto"/>
        </w:rPr>
      </w:pPr>
    </w:p>
    <w:p>
      <w:pPr>
        <w:ind w:left="640" w:right="220" w:firstLine="644"/>
        <w:spacing w:after="0" w:line="279" w:lineRule="auto"/>
        <w:tabs>
          <w:tab w:leader="none" w:pos="203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 the case of an election under Section 8.03, the Company must deliver to the Trustee an Opinion of Counsel reasonably acceptable to the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1" w:lineRule="exact"/>
        <w:rPr>
          <w:rFonts w:ascii="Arial" w:cs="Arial" w:eastAsia="Arial" w:hAnsi="Arial"/>
          <w:sz w:val="17"/>
          <w:szCs w:val="17"/>
          <w:color w:val="auto"/>
        </w:rPr>
      </w:pPr>
    </w:p>
    <w:p>
      <w:pPr>
        <w:ind w:left="640" w:right="6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 Default has occurred and is continuing on the date of such deposit (other than a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3" w:lineRule="exact"/>
        <w:rPr>
          <w:rFonts w:ascii="Arial" w:cs="Arial" w:eastAsia="Arial" w:hAnsi="Arial"/>
          <w:sz w:val="18"/>
          <w:szCs w:val="18"/>
          <w:color w:val="auto"/>
        </w:rPr>
      </w:pPr>
    </w:p>
    <w:p>
      <w:pPr>
        <w:ind w:left="640" w:right="12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183" w:lineRule="exact"/>
        <w:rPr>
          <w:rFonts w:ascii="Arial" w:cs="Arial" w:eastAsia="Arial" w:hAnsi="Arial"/>
          <w:sz w:val="18"/>
          <w:szCs w:val="18"/>
          <w:color w:val="auto"/>
        </w:rPr>
      </w:pPr>
    </w:p>
    <w:p>
      <w:pPr>
        <w:ind w:left="640" w:right="220" w:firstLine="644"/>
        <w:spacing w:after="0" w:line="263" w:lineRule="auto"/>
        <w:tabs>
          <w:tab w:leader="none" w:pos="20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83" w:lineRule="exact"/>
        <w:rPr>
          <w:rFonts w:ascii="Arial" w:cs="Arial" w:eastAsia="Arial" w:hAnsi="Arial"/>
          <w:sz w:val="18"/>
          <w:szCs w:val="18"/>
          <w:color w:val="auto"/>
        </w:rPr>
      </w:pPr>
    </w:p>
    <w:p>
      <w:pPr>
        <w:ind w:left="640" w:right="360" w:firstLine="644"/>
        <w:spacing w:after="0" w:line="342" w:lineRule="auto"/>
        <w:tabs>
          <w:tab w:leader="none" w:pos="203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Company must deliver to the Trustee an Officer’s Certificate and an Opinion of Counsel, reasonably satisfactory to the Trustee each stating that all conditions precedent relating to the Legal Defeasance or the Covenant Defeasance have been complied with.</w:t>
      </w:r>
    </w:p>
    <w:p>
      <w:pPr>
        <w:spacing w:after="0" w:line="124"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i w:val="1"/>
          <w:iCs w:val="1"/>
          <w:color w:val="auto"/>
        </w:rPr>
        <w:t>Deposited Money and Government Securities To Be Held in Trust; Other Miscellaneous Provisions.</w:t>
      </w:r>
    </w:p>
    <w:p>
      <w:pPr>
        <w:spacing w:after="0" w:line="225" w:lineRule="exact"/>
        <w:rPr>
          <w:sz w:val="20"/>
          <w:szCs w:val="20"/>
          <w:color w:val="auto"/>
        </w:rPr>
      </w:pPr>
    </w:p>
    <w:p>
      <w:pPr>
        <w:ind w:left="-20" w:right="120" w:firstLine="656"/>
        <w:spacing w:after="0" w:line="296" w:lineRule="auto"/>
        <w:tabs>
          <w:tab w:leader="none" w:pos="136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Subject to Section 8.06, all money and non-callable Government Securities (including the proceeds thereof) deposited with the Trustee (or other qualifying trustee, collectively for purposes of this Section 8.05,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pursuant to Section 8.04 in respect of the outstanding Notes will be held in trust and applied by the Trustee, in accordance with the provisions of such Notes and this Indenture, to the payment, either directly or through any Paying Agent (other than the Company)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1" w:lineRule="exact"/>
        <w:rPr>
          <w:rFonts w:ascii="Arial" w:cs="Arial" w:eastAsia="Arial" w:hAnsi="Arial"/>
          <w:sz w:val="16"/>
          <w:szCs w:val="16"/>
          <w:color w:val="auto"/>
        </w:rPr>
      </w:pPr>
    </w:p>
    <w:p>
      <w:pPr>
        <w:jc w:val="both"/>
        <w:ind w:left="-20" w:right="180" w:firstLine="656"/>
        <w:spacing w:after="0" w:line="263" w:lineRule="auto"/>
        <w:tabs>
          <w:tab w:leader="none" w:pos="13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will pay and indemnify the Trustee against any tax, fee or other charge imposed on or assessed against the cash or non-callable Government Securities deposited pursuant to Section 8.04 or the principal and interest received in respect thereof other than any such tax, fee or other charge which by law is for the account of the Holders of the outstanding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2" w:name="page93"/>
    <w:bookmarkEnd w:id="92"/>
    <w:p>
      <w:pPr>
        <w:ind w:right="40" w:firstLine="656"/>
        <w:spacing w:after="0" w:line="257" w:lineRule="auto"/>
        <w:tabs>
          <w:tab w:leader="none" w:pos="138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Notwithstanding anything in this Article VIII to the contrary, the Trustee will deliver or pay to the Company from time to time upon the request of the Company any money or non-callable Government Securities held by it as provided in Section 8.04 which, in the opinion of a nationally recognized firm of independent public accountants expressed in a written certification thereof delivered to the Trustee (which may be the opinion delivered under Section 8.04(1)), are in excess of the amount thereof that would then be required to be deposited to effect an equivalent Legal Defeasance or Covenant Defeasance.</w:t>
      </w:r>
    </w:p>
    <w:p>
      <w:pPr>
        <w:spacing w:after="0" w:line="18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5"/>
          <w:szCs w:val="15"/>
          <w:i w:val="1"/>
          <w:iCs w:val="1"/>
          <w:color w:val="auto"/>
        </w:rPr>
        <w:t>Repayment to Company.</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subject to compliance with applicable abandoned property law,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5"/>
          <w:szCs w:val="15"/>
          <w:i w:val="1"/>
          <w:iCs w:val="1"/>
          <w:color w:val="auto"/>
        </w:rPr>
        <w:t>Reinstatement.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If the Trustee or Paying Agent is unable to apply any U.S. dollars or non-callable Government Securities in accordance with Section 8.02 or 8.03, as the case may be, by reason of any order or judgment of any court or governmental authority enjoining, restraining or otherwise prohibiting such application, then the Company’s and the Guarantors’ obligations under this Indenture and the Notes and the Note Guarantees will be revived and reinstated as though no deposit had occurred pursuant to Section 8.02 or 8.03 until such time as the Trustee or Paying Agent is permitted to apply all such money in accordance with Section 8.02 or 8.03,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SUPPLEMENT AND WAIVER</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i w:val="1"/>
          <w:iCs w:val="1"/>
          <w:color w:val="auto"/>
        </w:rPr>
        <w:t>Without Consent of Holders of Notes.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Notwithstanding Section 9.02, the Company, the Guarantors and the Trustee may amend or supplement this Indenture, the Notes or the Note Guarantees without the consent of any Holder of Notes:</w:t>
      </w:r>
    </w:p>
    <w:p>
      <w:pPr>
        <w:spacing w:after="0" w:line="170" w:lineRule="exact"/>
        <w:rPr>
          <w:sz w:val="20"/>
          <w:szCs w:val="20"/>
          <w:color w:val="auto"/>
        </w:rPr>
      </w:pPr>
    </w:p>
    <w:p>
      <w:pPr>
        <w:ind w:left="2060" w:hanging="756"/>
        <w:spacing w:after="0"/>
        <w:tabs>
          <w:tab w:leader="none" w:pos="2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ind w:left="660" w:right="120" w:firstLine="644"/>
        <w:spacing w:after="0" w:line="277" w:lineRule="auto"/>
        <w:tabs>
          <w:tab w:leader="none" w:pos="20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the assumption of the Company’s or a Guarantor’s obligations to the Holders of the Notes and Note Guarantees by a successor to the Company or such Guarantor pursuant to Article V or Article X hereof;</w:t>
      </w:r>
    </w:p>
    <w:p>
      <w:pPr>
        <w:spacing w:after="0" w:line="170" w:lineRule="exact"/>
        <w:rPr>
          <w:rFonts w:ascii="Arial" w:cs="Arial" w:eastAsia="Arial" w:hAnsi="Arial"/>
          <w:sz w:val="18"/>
          <w:szCs w:val="18"/>
          <w:color w:val="auto"/>
        </w:rPr>
      </w:pPr>
    </w:p>
    <w:p>
      <w:pPr>
        <w:ind w:left="660" w:right="120" w:firstLine="644"/>
        <w:spacing w:after="0" w:line="342" w:lineRule="auto"/>
        <w:tabs>
          <w:tab w:leader="none" w:pos="205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the Notes (including the addition of collateral to secure the Notes and/or additional guarantees) or that does not adversely affect the legal rights hereunder of any such Holder;</w:t>
      </w:r>
    </w:p>
    <w:p>
      <w:pPr>
        <w:spacing w:after="0" w:line="123" w:lineRule="exact"/>
        <w:rPr>
          <w:rFonts w:ascii="Arial" w:cs="Arial" w:eastAsia="Arial" w:hAnsi="Arial"/>
          <w:sz w:val="16"/>
          <w:szCs w:val="16"/>
          <w:color w:val="auto"/>
        </w:rPr>
      </w:pPr>
    </w:p>
    <w:p>
      <w:pPr>
        <w:ind w:left="660" w:right="80" w:firstLine="644"/>
        <w:spacing w:after="0" w:line="286" w:lineRule="auto"/>
        <w:tabs>
          <w:tab w:leader="none" w:pos="20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conform the text of this Indenture, the Note Guarantees or the Notes to any provision of the “Description of Notes” section of the Offering Memorandum to the extent that such provision of this Indenture, the Note Guarantees or the Notes was intended to conform to the text of the “Description of Notes” section of the Offering Memorandum as evidenced by an Officer’s Certificate;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3" w:name="page94"/>
    <w:bookmarkEnd w:id="93"/>
    <w:p>
      <w:pPr>
        <w:ind w:left="2060" w:hanging="756"/>
        <w:spacing w:after="0"/>
        <w:tabs>
          <w:tab w:leader="none" w:pos="20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provide for the issuance of Additional Notes in accordance with the limitations set forth in this Indenture as of the date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jc w:val="both"/>
        <w:ind w:left="660" w:firstLine="644"/>
        <w:spacing w:after="0" w:line="263" w:lineRule="auto"/>
        <w:tabs>
          <w:tab w:leader="none" w:pos="20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to allow any Guarantor to execute a supplemental indenture and/or a Note Guarantee with respect to the Notes or to release any Guarantor from its Note Guarantee if such release is in accordance with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supplemental indenture may be signed by the Company, the Guarantor providing the Note Guarantee and the Trustee; or</w:t>
      </w:r>
    </w:p>
    <w:p>
      <w:pPr>
        <w:spacing w:after="0" w:line="183" w:lineRule="exact"/>
        <w:rPr>
          <w:rFonts w:ascii="Arial" w:cs="Arial" w:eastAsia="Arial" w:hAnsi="Arial"/>
          <w:sz w:val="18"/>
          <w:szCs w:val="18"/>
          <w:color w:val="auto"/>
        </w:rPr>
      </w:pPr>
    </w:p>
    <w:p>
      <w:pPr>
        <w:ind w:left="660" w:right="600" w:firstLine="644"/>
        <w:spacing w:after="0" w:line="277" w:lineRule="auto"/>
        <w:tabs>
          <w:tab w:leader="none" w:pos="20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this Indenture of a successor Trustee pursuant to the requirements of this Indenture.</w:t>
      </w:r>
    </w:p>
    <w:p>
      <w:pPr>
        <w:spacing w:after="0" w:line="170"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amended or supplemental indenture, and upon receipt by the Trustee of the documents described in Section 7.02, the Trustee will join with the Company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i w:val="1"/>
          <w:iCs w:val="1"/>
          <w:color w:val="auto"/>
        </w:rPr>
        <w:t>With Consent of Holders of Notes.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Except as provided below in this Section 9.02, the Company, the Guarantors, and the Trustee may amend or supplement this Indenture (including, without limitation, Sections 3.09, 4.10 and 4.15) or the Notes and the Note Guarantees with the consent of the Holders of at least a majority in aggregate principal amount of the Notes then outstanding (including, without limitation, Additional Notes, if any) voting as a single class (including, without limitation, consents obtained in connection with a purchase of, or tender offer or exchange offer for, the Notes), and, subject to Sections 6.04 and 6.07,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and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the Notes). Section 2.08 shall determine which Notes are considered to be “outstanding” for purposes of this Section 9.02.</w:t>
      </w:r>
    </w:p>
    <w:p>
      <w:pPr>
        <w:spacing w:after="0" w:line="1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7.02(b), the Trustee will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an amendment, supplement or waiver under this Section 9.02 or under Section 9.01 becomes effective, the Company will deliver or cause to be delivered to the Holders of Notes affected thereby a notice briefly describing such amendment, supplement or waiver. Any failure of the Company to deliver such notice, or any defect therein, will not, however, in any way impair or affect the validity of any such amended or supplemental indenture or waiver. Subject to Sections 6.04 and 6.07, the Holders of a majority in aggregate principal amount of the Notes then outstanding voting as a single class may waive compliance in a particular instance by the Company with any provision of this Indenture or the Notes or the Note Guarantees. However, without the consent of each Holder of Notes affected, an amendment, supplement or waiver under this Section 9.02 may not (with respect to any Notes held by a non-consenting Holder):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4" w:name="page95"/>
    <w:bookmarkEnd w:id="94"/>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ind w:left="660" w:right="60" w:firstLine="644"/>
        <w:spacing w:after="0" w:line="263"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change the date on which any Note may be subject to redemption or reduce the redemption price thereof as described in Section 3.07 (except as provided above with respect to Sections 3.09, 4.10 and 4.15);</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25" w:lineRule="exact"/>
        <w:rPr>
          <w:rFonts w:ascii="Arial" w:cs="Arial" w:eastAsia="Arial" w:hAnsi="Arial"/>
          <w:sz w:val="18"/>
          <w:szCs w:val="18"/>
          <w:color w:val="auto"/>
        </w:rPr>
      </w:pPr>
    </w:p>
    <w:p>
      <w:pPr>
        <w:jc w:val="both"/>
        <w:ind w:left="660" w:right="340" w:firstLine="644"/>
        <w:spacing w:after="0" w:line="263"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of Notes to receive payments of principal of, or interest or premium, if any, on, the Notes;</w:t>
      </w:r>
    </w:p>
    <w:p>
      <w:pPr>
        <w:spacing w:after="0" w:line="170" w:lineRule="exact"/>
        <w:rPr>
          <w:rFonts w:ascii="Arial" w:cs="Arial" w:eastAsia="Arial" w:hAnsi="Arial"/>
          <w:sz w:val="18"/>
          <w:szCs w:val="18"/>
          <w:color w:val="auto"/>
        </w:rPr>
      </w:pPr>
    </w:p>
    <w:p>
      <w:pPr>
        <w:jc w:val="both"/>
        <w:ind w:left="660" w:right="300" w:firstLine="644"/>
        <w:spacing w:after="0" w:line="279" w:lineRule="auto"/>
        <w:tabs>
          <w:tab w:leader="none" w:pos="205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amend, change or modify the obligation of the Company to make and consummate an Asset Sale Offer with respect to any Asset Sale in accordance with Section 3.09 after the obligation to make such Asset Sale Offer has arisen, or the obligation of the Company to make and consummate a Change of Control Offer in the event of a Change of Control in accordance with Section 4.15 after such Change of Control has occurred, including, in each case, amending, changing or modifying any definition relating thereto;</w:t>
      </w:r>
    </w:p>
    <w:p>
      <w:pPr>
        <w:spacing w:after="0" w:line="171" w:lineRule="exact"/>
        <w:rPr>
          <w:rFonts w:ascii="Arial" w:cs="Arial" w:eastAsia="Arial" w:hAnsi="Arial"/>
          <w:sz w:val="17"/>
          <w:szCs w:val="17"/>
          <w:color w:val="auto"/>
        </w:rPr>
      </w:pPr>
    </w:p>
    <w:p>
      <w:pPr>
        <w:ind w:left="660" w:right="260" w:firstLine="644"/>
        <w:spacing w:after="0" w:line="277" w:lineRule="auto"/>
        <w:tabs>
          <w:tab w:leader="none" w:pos="205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Note Guarantee or this Indenture, except in accordance with the terms of this Indenture; or</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Revocation and Effect of Consents.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7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Notation on or Exchange of Notes.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Note will not affect the validity and effect of such amendment, supplement or waiver.</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95" w:name="page96"/>
    <w:bookmarkEnd w:id="95"/>
    <w:p>
      <w:pPr>
        <w:ind w:left="660"/>
        <w:spacing w:after="0"/>
        <w:tabs>
          <w:tab w:leader="none" w:pos="176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i w:val="1"/>
          <w:iCs w:val="1"/>
          <w:color w:val="auto"/>
        </w:rPr>
        <w:t>Trustee to Sign Amendments, etc.</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Trustee will sign any amended or supplemental indenture authorized pursuant to this Article IX if the amendment or supplement does not adversely affect the rights, duties, liabilities or immunities of the Trustee. The Company may not sign an amended or supplemental indenture until the Board of Directors of the Company has authorized or approved it, or delegated authority to authorize or approve it. In executing any amended or supplemental indenture, the Trustee will be provided with and (subject to Section 7.01) will be fully protected in relying upon, in addition to the documents required by Section 12.03, an Officer’s Certificate and an Opinion of Counsel stating that the execution of such amended or supplemental indenture is authorized or permitted by this Indenture, and that it will be valid and binding upon the Company and any Guarantor party thereto and enforceable in accordance with its terms.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 GUARANTEES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5"/>
          <w:szCs w:val="15"/>
          <w:i w:val="1"/>
          <w:iCs w:val="1"/>
          <w:color w:val="auto"/>
        </w:rPr>
        <w:t>Guarantee.</w:t>
      </w:r>
    </w:p>
    <w:p>
      <w:pPr>
        <w:spacing w:after="0" w:line="225" w:lineRule="exact"/>
        <w:rPr>
          <w:sz w:val="20"/>
          <w:szCs w:val="20"/>
          <w:color w:val="auto"/>
        </w:rPr>
      </w:pPr>
    </w:p>
    <w:p>
      <w:pPr>
        <w:ind w:firstLine="656"/>
        <w:spacing w:after="0" w:line="263" w:lineRule="auto"/>
        <w:tabs>
          <w:tab w:leader="none" w:pos="138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this Article X,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83" w:lineRule="exact"/>
        <w:rPr>
          <w:rFonts w:ascii="Arial" w:cs="Arial" w:eastAsia="Arial" w:hAnsi="Arial"/>
          <w:sz w:val="18"/>
          <w:szCs w:val="18"/>
          <w:color w:val="auto"/>
        </w:rPr>
      </w:pPr>
    </w:p>
    <w:p>
      <w:pPr>
        <w:ind w:left="660" w:right="40" w:firstLine="644"/>
        <w:spacing w:after="0" w:line="259" w:lineRule="auto"/>
        <w:tabs>
          <w:tab w:leader="none" w:pos="205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principal of, premium, if any, and interest on, the Notes will be promptly paid in full when due, whether at maturity, by acceleration, redemption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w:t>
      </w:r>
    </w:p>
    <w:p>
      <w:pPr>
        <w:spacing w:after="0" w:line="186" w:lineRule="exact"/>
        <w:rPr>
          <w:rFonts w:ascii="Arial" w:cs="Arial" w:eastAsia="Arial" w:hAnsi="Arial"/>
          <w:sz w:val="18"/>
          <w:szCs w:val="18"/>
          <w:color w:val="auto"/>
        </w:rPr>
      </w:pPr>
    </w:p>
    <w:p>
      <w:pPr>
        <w:ind w:left="660" w:right="60" w:firstLine="644"/>
        <w:spacing w:after="0" w:line="263" w:lineRule="auto"/>
        <w:tabs>
          <w:tab w:leader="none" w:pos="205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24" w:lineRule="exact"/>
        <w:rPr>
          <w:sz w:val="20"/>
          <w:szCs w:val="20"/>
          <w:color w:val="auto"/>
        </w:rPr>
      </w:pPr>
    </w:p>
    <w:p>
      <w:pPr>
        <w:ind w:right="20" w:firstLine="656"/>
        <w:spacing w:after="0" w:line="272" w:lineRule="auto"/>
        <w:tabs>
          <w:tab w:leader="none" w:pos="139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Subject to Section 6.06, each Guarantor hereby waives diligence, presentment, demand of payment, filing of claims with a court in the event of insolvency or bankruptcy of the Company, any right to require a proceeding first against the Company, protest, notice and all demands whatsoever and covenants that this Note Guarantee will not be discharged except by complete performance of the obligations contained in the Notes and this Indenture.</w:t>
      </w:r>
    </w:p>
    <w:p>
      <w:pPr>
        <w:spacing w:after="0" w:line="177" w:lineRule="exact"/>
        <w:rPr>
          <w:rFonts w:ascii="Arial" w:cs="Arial" w:eastAsia="Arial" w:hAnsi="Arial"/>
          <w:sz w:val="17"/>
          <w:szCs w:val="17"/>
          <w:color w:val="auto"/>
        </w:rPr>
      </w:pPr>
    </w:p>
    <w:p>
      <w:pPr>
        <w:ind w:right="100" w:firstLine="656"/>
        <w:spacing w:after="0" w:line="263" w:lineRule="auto"/>
        <w:tabs>
          <w:tab w:leader="none" w:pos="138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Note Guarantee, to the extent theretofore discharged, will be reinstated in full force and effect.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6" w:name="page97"/>
    <w:bookmarkEnd w:id="96"/>
    <w:p>
      <w:pPr>
        <w:ind w:firstLine="656"/>
        <w:spacing w:after="0" w:line="291" w:lineRule="auto"/>
        <w:tabs>
          <w:tab w:leader="none" w:pos="139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VI for the purposes of this Note Guarantee, notwithstanding any stay, injunction or other prohibition preventing such acceleration in respect of the obligations guaranteed hereby, and (2) in the event of any declaration of acceleration of such obligations as provided in Article VI,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6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i w:val="1"/>
          <w:iCs w:val="1"/>
          <w:color w:val="auto"/>
        </w:rPr>
        <w:t>Limitation on Guarantor Liability.</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X, result in the obligations of such Guarantor under its Note Guarantee not constituting a fraudulent transfer or conveyance.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i w:val="1"/>
          <w:iCs w:val="1"/>
          <w:color w:val="auto"/>
        </w:rPr>
        <w:t>Execution and Delivery of Note Guarantee.</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To evidence its Note Guarantee set forth in Section 10.01, each Guarantor hereby agrees that a supplemental indenture shall be executed on behalf of such Guarantor by an Officer of such Guarantor.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Guarantor hereby agrees that its Note Guarantee set forth in Section 10.01 will remain in full force and effect notwithstanding any failure to endorse on each Note a notation of such Note Guarantee.</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Note Guarantee set forth in this Indenture on behalf of the Guarantors.</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the event that the Company or any of its Restricted Subsidiaries creates or acquires any Domestic Subsidiary after the date of this Indenture, if required by Section 4.18, the Company will cause such Domestic Subsidiary to comply with the provisions of Section 4.18 and this Article X, to the extent applicable.</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i w:val="1"/>
          <w:iCs w:val="1"/>
          <w:color w:val="auto"/>
        </w:rPr>
        <w:t>Guarantors May Consolidate, etc., on Certain Terms.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Except as otherwise provided in Section 10.05, no Guarantor may sell or otherwise dispose of all or substantially all of its assets to, or consolidate with or merge with or into, or consummate a Division as the Dividing Person with (whether or not such Guarantor is the surviving Person or Division Successor, as applicable) another Person, other than the Company or another Guarantor, unless:</w:t>
      </w:r>
    </w:p>
    <w:p>
      <w:pPr>
        <w:spacing w:after="0" w:line="184" w:lineRule="exact"/>
        <w:rPr>
          <w:sz w:val="20"/>
          <w:szCs w:val="20"/>
          <w:color w:val="auto"/>
        </w:rPr>
      </w:pPr>
    </w:p>
    <w:p>
      <w:pPr>
        <w:ind w:left="2060" w:hanging="756"/>
        <w:spacing w:after="0"/>
        <w:tabs>
          <w:tab w:leader="none" w:pos="20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exists;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firstLine="652"/>
        <w:spacing w:after="0" w:line="259" w:lineRule="auto"/>
        <w:tabs>
          <w:tab w:leader="none" w:pos="268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Guarantor is the surviving Person in such merger or consolidation or the Person acquiring the property in any such sale or disposition or the Person formed by or surviving any such consolidation or merger or the Division Successor in the case of a Division assumes all the obligations of that Guarantor under this Indenture and its Note Guarantee on the terms set forth herein or therein, pursuant to a supplemental indenture;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left="1300" w:right="120" w:firstLine="652"/>
        <w:spacing w:after="0" w:line="342" w:lineRule="auto"/>
        <w:tabs>
          <w:tab w:leader="none" w:pos="26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such sale or other disposition or Division is permitted under this Indenture and the Net Proceeds of such sale or other disposition are applied in accordance with the applicable provisions of this Indenture, including without limitation, Section 4.10.</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foregoing requirements of this paragraph shall not apply to (1) a reincorporation of a Guarantor if, in the good faith determination of the Board of Directors of the Guarantor, whose determination shall be evidenced by a board resolution delivered to the Trustee, the principal purpose of such transaction is to change the state of incorporation of such Guarantor and any such transaction shall not have as one of its purposes the evasion of the foregoing limitations, (2) a consolidation or merger with or into or winding up into or transfer of all or part of a Guarantor’s properties and assets to the Company or any Guarantor, (3) conversion into a corporation, partnership, limited partnership, limited liability company or trust organized or existing under the laws of the jurisdiction of organization of such Guarantor, or (4) a liquidation or dissolution of such Guarantor if the Company determines in good faith that such action is in the best interests of the Company and is not materially disadvantageous to the Holders, in each case, without regard to the requirements set forth in the preceding paragraph.</w:t>
      </w:r>
    </w:p>
    <w:p>
      <w:pPr>
        <w:spacing w:after="0" w:line="19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case of any such consolidation, merger, sale or conveyance and upon the assumption by the successor Person, by supplemental indenture executed and delivered to the Trustee, of the Note Guarantee and the due and punctual performance of all of the covenants and conditions of this Indenture to be performed by the Guarantor, such successor Person shall succeed to and be substituted for the Guarantor with the same effect as if it had been named herein as a Guarantor.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Except as set forth in Articles IV and V hereof, and notwithstanding clauses 2(a) and (b)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3"/>
          <w:szCs w:val="13"/>
          <w:i w:val="1"/>
          <w:iCs w:val="1"/>
          <w:color w:val="auto"/>
        </w:rPr>
        <w:t>Releases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 Guarantee of a Guarantor shall be automatically released upon:</w:t>
      </w:r>
    </w:p>
    <w:p>
      <w:pPr>
        <w:spacing w:after="0" w:line="225" w:lineRule="exact"/>
        <w:rPr>
          <w:sz w:val="20"/>
          <w:szCs w:val="20"/>
          <w:color w:val="auto"/>
        </w:rPr>
      </w:pPr>
    </w:p>
    <w:p>
      <w:pPr>
        <w:jc w:val="both"/>
        <w:ind w:right="60" w:firstLine="656"/>
        <w:spacing w:after="0" w:line="263" w:lineRule="auto"/>
        <w:tabs>
          <w:tab w:leader="none" w:pos="138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all or substantially all of the assets of such Guarantor (including by way of merger or consolidation) to a Person that is not (either before or after giving effect to such transactions) the Company or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is permitted by Section 3.09, Section 4.10 or Section 5.01;</w:t>
      </w:r>
    </w:p>
    <w:p>
      <w:pPr>
        <w:spacing w:after="0" w:line="183" w:lineRule="exact"/>
        <w:rPr>
          <w:rFonts w:ascii="Arial" w:cs="Arial" w:eastAsia="Arial" w:hAnsi="Arial"/>
          <w:sz w:val="18"/>
          <w:szCs w:val="18"/>
          <w:color w:val="auto"/>
        </w:rPr>
      </w:pPr>
    </w:p>
    <w:p>
      <w:pPr>
        <w:ind w:right="180" w:firstLine="656"/>
        <w:spacing w:after="0" w:line="263" w:lineRule="auto"/>
        <w:tabs>
          <w:tab w:leader="none" w:pos="13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the Capital Stock of such Guarantor, after which the applicable Guarantor is no longer a Restricted Subsidiary, to a Person that is not (either before or after giving effect to such transaction) a Restricted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 or other disposition is permitted by Section 3.09, Section 4.10 or Section 5.01;</w:t>
      </w:r>
    </w:p>
    <w:p>
      <w:pPr>
        <w:spacing w:after="0" w:line="183" w:lineRule="exact"/>
        <w:rPr>
          <w:rFonts w:ascii="Arial" w:cs="Arial" w:eastAsia="Arial" w:hAnsi="Arial"/>
          <w:sz w:val="18"/>
          <w:szCs w:val="18"/>
          <w:color w:val="auto"/>
        </w:rPr>
      </w:pPr>
    </w:p>
    <w:p>
      <w:pPr>
        <w:ind w:firstLine="656"/>
        <w:spacing w:after="0" w:line="263" w:lineRule="auto"/>
        <w:tabs>
          <w:tab w:leader="none" w:pos="138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connection with the release or discharge of such Guarantor from all guarantee obligations of such Guarantor with respect to the Credit Agreement or any other Credit Facility that gave rise to the obligation to provide such Note Guarantee, except a release or discharge by or as a result of payment under such Guarantee or direct obligation;</w:t>
      </w:r>
    </w:p>
    <w:p>
      <w:pPr>
        <w:spacing w:after="0" w:line="183" w:lineRule="exact"/>
        <w:rPr>
          <w:rFonts w:ascii="Arial" w:cs="Arial" w:eastAsia="Arial" w:hAnsi="Arial"/>
          <w:sz w:val="18"/>
          <w:szCs w:val="18"/>
          <w:color w:val="auto"/>
        </w:rPr>
      </w:pPr>
    </w:p>
    <w:p>
      <w:pPr>
        <w:ind w:right="440" w:firstLine="656"/>
        <w:spacing w:after="0" w:line="277" w:lineRule="auto"/>
        <w:tabs>
          <w:tab w:leader="none" w:pos="13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designation of such Restricted Subsidiary that is a Guarantor as an Unrestricted Subsidiary in accordance with the terms of this Indenture (including Section 4.19);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1400" w:hanging="744"/>
        <w:spacing w:after="0"/>
        <w:tabs>
          <w:tab w:leader="none" w:pos="14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Legal Defeasance in accordance with Article VIII or satisfaction and discharge of this Indenture in accordance with Article XI; and</w:t>
      </w:r>
    </w:p>
    <w:p>
      <w:pPr>
        <w:spacing w:after="0" w:line="237" w:lineRule="exact"/>
        <w:rPr>
          <w:sz w:val="20"/>
          <w:szCs w:val="20"/>
          <w:color w:val="auto"/>
        </w:rPr>
      </w:pPr>
    </w:p>
    <w:p>
      <w:pPr>
        <w:ind w:right="700" w:firstLine="648"/>
        <w:spacing w:after="0" w:line="286" w:lineRule="auto"/>
        <w:rPr>
          <w:sz w:val="20"/>
          <w:szCs w:val="20"/>
          <w:color w:val="auto"/>
        </w:rPr>
      </w:pPr>
      <w:r>
        <w:rPr>
          <w:rFonts w:ascii="Arial" w:cs="Arial" w:eastAsia="Arial" w:hAnsi="Arial"/>
          <w:sz w:val="17"/>
          <w:szCs w:val="17"/>
          <w:color w:val="auto"/>
        </w:rPr>
        <w:t>Upon request of the Company and upon delivering to the Trustee an Officer’s Certificate and an Opinion of Counsel, each stating that all conditions precedent provided for in this Indenture relating to such transaction have been complied with, the Trustee shall execute an instrument acknowledging the release of such Guarantor (in form and substance reasonably satisfactory to the Trustee).</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Any Guarantor not released from its obligations under its Note Guarantee as provided in this Section 10.05 will remain liable for the full amount of principal of and interest and premium, if any, on the Notes and for the other obligations of any Guarantor under this Indenture as provided in this Article X.</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Satisfaction and Discharge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2060" w:hanging="756"/>
        <w:spacing w:after="0"/>
        <w:tabs>
          <w:tab w:leader="none" w:pos="2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60" w:firstLine="652"/>
        <w:spacing w:after="0" w:line="263" w:lineRule="auto"/>
        <w:tabs>
          <w:tab w:leader="none" w:pos="26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cancellation; or</w:t>
      </w:r>
    </w:p>
    <w:p>
      <w:pPr>
        <w:spacing w:after="0" w:line="183" w:lineRule="exact"/>
        <w:rPr>
          <w:rFonts w:ascii="Arial" w:cs="Arial" w:eastAsia="Arial" w:hAnsi="Arial"/>
          <w:sz w:val="18"/>
          <w:szCs w:val="18"/>
          <w:color w:val="auto"/>
        </w:rPr>
      </w:pPr>
    </w:p>
    <w:p>
      <w:pPr>
        <w:ind w:left="1300" w:right="140" w:firstLine="652"/>
        <w:spacing w:after="0" w:line="255" w:lineRule="auto"/>
        <w:tabs>
          <w:tab w:leader="none" w:pos="269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delivery of a notice of redemption or otherwise or will become due and payable within one year and the Company or any Guarantor has irrevocably deposited or caused to be deposited with the Trustee as trust funds in trust solely for the benefit of the Holders, cash in U.S. dollars,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92" w:lineRule="exact"/>
        <w:rPr>
          <w:rFonts w:ascii="Arial" w:cs="Arial" w:eastAsia="Arial" w:hAnsi="Arial"/>
          <w:sz w:val="18"/>
          <w:szCs w:val="18"/>
          <w:color w:val="auto"/>
        </w:rPr>
      </w:pPr>
    </w:p>
    <w:p>
      <w:pPr>
        <w:ind w:left="660" w:firstLine="644"/>
        <w:spacing w:after="0" w:line="279" w:lineRule="auto"/>
        <w:tabs>
          <w:tab w:leader="none" w:pos="205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 on the date of such deposit or will occur as a result of the deposit (other than a Default or Event of Default resulting from the borrowing of funds to be applied to such deposit and the granting of Liens in connection therewith) and the deposit will not result in a breach or violation of, or constitute a default under, any other instrument (other than this Indenture) to which the Company or any Guarantor is a party or by which the Company or any Guarantor is bound;</w:t>
      </w:r>
    </w:p>
    <w:p>
      <w:pPr>
        <w:spacing w:after="0" w:line="171" w:lineRule="exact"/>
        <w:rPr>
          <w:rFonts w:ascii="Arial" w:cs="Arial" w:eastAsia="Arial" w:hAnsi="Arial"/>
          <w:sz w:val="17"/>
          <w:szCs w:val="17"/>
          <w:color w:val="auto"/>
        </w:rPr>
      </w:pPr>
    </w:p>
    <w:p>
      <w:pPr>
        <w:ind w:left="2060" w:hanging="756"/>
        <w:spacing w:after="0"/>
        <w:tabs>
          <w:tab w:leader="none" w:pos="2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or any Guarantor has paid or caused to be paid all sums payable by it under this Indenture; and</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20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the Company must deliver an Officer’s Certificate and an Opinion of Counsel to the Trustee stating that all conditions precedent to satisfaction and discharge have been satisfied. Upon Company request and delivery to the Trustee of an Officer’s Certificate and an Opinion of Counsel as described above, the Trustee shall acknowledge in writing the discharge of the obligations of the Company and the Guarantors under this Indenture (except for those surviving rights, powers, trusts, duties and immunities of the Trustee hereunder and the Company’s and Guarantors’ obligations in connection therewith).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Notwithstanding the satisfaction and discharge of this Indenture, if money has been deposited with the Trustee pursuant to subclause (b) of clause</w:t>
      </w:r>
    </w:p>
    <w:p>
      <w:pPr>
        <w:spacing w:after="0" w:line="46" w:lineRule="exact"/>
        <w:rPr>
          <w:sz w:val="20"/>
          <w:szCs w:val="20"/>
          <w:color w:val="auto"/>
        </w:rPr>
      </w:pPr>
    </w:p>
    <w:p>
      <w:pPr>
        <w:ind w:firstLine="8"/>
        <w:spacing w:after="0" w:line="260"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of this Section 11.01, the provisions of Sections 11.02 and 8.06 will survive. In addition, nothing in this Section 11.01 will be deemed to discharge those provisions of Section 7.07, that, by their terms, survive the satisfaction and discharge of this Indenture.</w:t>
      </w:r>
    </w:p>
    <w:p>
      <w:pPr>
        <w:spacing w:after="0" w:line="18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color w:val="auto"/>
        </w:rPr>
        <w:t>Application of Trust Money.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11.01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If the Trustee or Paying Agent is unable to apply any money or Government Securities in accordance with Section 11.01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11.01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Government Securities held by the Trustee or Paying Agent.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i w:val="1"/>
          <w:iCs w:val="1"/>
          <w:color w:val="auto"/>
        </w:rPr>
        <w:t>Notices.</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Any notice or communication by the Company, any Guarantor or the Trustee to the others is duly given if in writing and delivered in Person or mailed by first class mail (registered or certified, return receipt requested), facsimile transmission or electronic transmission or overnight air courier guaranteeing next day delivery, to the others’ address: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and/or any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Gaithersburg, MD 21079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(240) 631-3200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Atul Saran,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Wilmer Cutler Pickering Hale and Dorr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 World Trade Center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250 Greenwich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Brian A. Johnson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(212) 230-8888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Corporate Trust Dept</w:t>
      </w:r>
    </w:p>
    <w:p>
      <w:pPr>
        <w:ind w:left="1300"/>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Laura.cawley@usbank.com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right="300" w:firstLine="648"/>
        <w:spacing w:after="0" w:line="277" w:lineRule="auto"/>
        <w:rPr>
          <w:sz w:val="20"/>
          <w:szCs w:val="20"/>
          <w:color w:val="auto"/>
        </w:rPr>
      </w:pPr>
      <w:r>
        <w:rPr>
          <w:rFonts w:ascii="Arial" w:cs="Arial" w:eastAsia="Arial" w:hAnsi="Arial"/>
          <w:sz w:val="18"/>
          <w:szCs w:val="18"/>
          <w:color w:val="auto"/>
        </w:rPr>
        <w:t>The Company, any Guarantor or the Trustee, by notice to the others, may designate additional or different addresses for subsequent notices or communications.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All notices and communications (other than those sent to Holders) will be deemed to have been duly given: at the time delivered by hand, if personally delivered; three Business Days after being deposited in the mail, postage prepaid, if mailed; when receipt acknowledged, if transmitted by facsimile or electronic transmission; and the next Business Day after timely delivery to the courier, if sent by overnight air courier guaranteeing next day delivery. Notice to the Trustee shall be effective only if such receipt is acknowledged. All notices, approvals, consents, requests and any communications hereunder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9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any other provision of this Indenture or any Note, where this Indenture or any Note provides for notice of any event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Applicable Procedures.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Communication by Holders of Notes with Other Holders of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the Trustee, the Registrar and anyone else shall have the protection of TIA §312(c).</w:t>
      </w:r>
    </w:p>
    <w:p>
      <w:pPr>
        <w:spacing w:after="0" w:line="22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i w:val="1"/>
          <w:iCs w:val="1"/>
          <w:color w:val="auto"/>
        </w:rPr>
        <w:t>Certificate and Opinion as to Conditions Precedent.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left="660" w:right="240" w:firstLine="644"/>
        <w:spacing w:after="0" w:line="263" w:lineRule="auto"/>
        <w:tabs>
          <w:tab w:leader="none" w:pos="20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12.04 hereof)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left="660" w:right="260" w:firstLine="644"/>
        <w:spacing w:after="0" w:line="342" w:lineRule="auto"/>
        <w:tabs>
          <w:tab w:leader="none" w:pos="205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12.04 hereof) stating that, in the opinion of such counsel, all such conditions precedent and covenants have been satisfied.</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12.04</w:t>
      </w:r>
      <w:r>
        <w:rPr>
          <w:sz w:val="20"/>
          <w:szCs w:val="20"/>
          <w:color w:val="auto"/>
        </w:rPr>
        <w:tab/>
      </w:r>
      <w:r>
        <w:rPr>
          <w:rFonts w:ascii="Arial" w:cs="Arial" w:eastAsia="Arial" w:hAnsi="Arial"/>
          <w:sz w:val="16"/>
          <w:szCs w:val="16"/>
          <w:i w:val="1"/>
          <w:iCs w:val="1"/>
          <w:color w:val="auto"/>
        </w:rPr>
        <w:t>Statements Required in Certificate or Opinion.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01" w:name="page102"/>
    <w:bookmarkEnd w:id="101"/>
    <w:p>
      <w:pPr>
        <w:ind w:left="2060" w:hanging="756"/>
        <w:spacing w:after="0"/>
        <w:tabs>
          <w:tab w:leader="none" w:pos="20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right="680" w:firstLine="644"/>
        <w:spacing w:after="0" w:line="277" w:lineRule="auto"/>
        <w:tabs>
          <w:tab w:leader="none" w:pos="205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100" w:firstLine="644"/>
        <w:spacing w:after="0" w:line="308" w:lineRule="auto"/>
        <w:tabs>
          <w:tab w:leader="none" w:pos="205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46" w:lineRule="exact"/>
        <w:rPr>
          <w:rFonts w:ascii="Arial" w:cs="Arial" w:eastAsia="Arial" w:hAnsi="Arial"/>
          <w:sz w:val="17"/>
          <w:szCs w:val="17"/>
          <w:color w:val="auto"/>
        </w:rPr>
      </w:pPr>
    </w:p>
    <w:p>
      <w:pPr>
        <w:jc w:val="both"/>
        <w:ind w:left="660" w:right="560" w:firstLine="644"/>
        <w:spacing w:after="0" w:line="342" w:lineRule="auto"/>
        <w:tabs>
          <w:tab w:leader="none" w:pos="205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such Person, such condition or covenant has been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matters of fact, an Opinion of Counsel may rely on an Officer’s Certificate or a certificate of a public official.</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12.05</w:t>
      </w:r>
      <w:r>
        <w:rPr>
          <w:sz w:val="20"/>
          <w:szCs w:val="20"/>
          <w:color w:val="auto"/>
        </w:rPr>
        <w:tab/>
      </w:r>
      <w:r>
        <w:rPr>
          <w:rFonts w:ascii="Arial" w:cs="Arial" w:eastAsia="Arial" w:hAnsi="Arial"/>
          <w:sz w:val="15"/>
          <w:szCs w:val="15"/>
          <w:i w:val="1"/>
          <w:iCs w:val="1"/>
          <w:color w:val="auto"/>
        </w:rPr>
        <w:t>Rules by Trustee and Agents.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and the Paying Agent may make reasonable rules and set reasonable requirements for its functions.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12.06</w:t>
      </w:r>
      <w:r>
        <w:rPr>
          <w:sz w:val="20"/>
          <w:szCs w:val="20"/>
          <w:color w:val="auto"/>
        </w:rPr>
        <w:tab/>
      </w:r>
      <w:r>
        <w:rPr>
          <w:rFonts w:ascii="Arial" w:cs="Arial" w:eastAsia="Arial" w:hAnsi="Arial"/>
          <w:sz w:val="16"/>
          <w:szCs w:val="16"/>
          <w:i w:val="1"/>
          <w:iCs w:val="1"/>
          <w:color w:val="auto"/>
        </w:rPr>
        <w:t>No Personal Liability of Directors, Officers, Employees and Stockholders.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will have any liability for any obligations of the Company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12.07</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INDENTURE AND THE NOTES, INCLUDING ANY NOTE GUARANTEES, AND THE RIGHTS AND 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12.08</w:t>
      </w:r>
      <w:r>
        <w:rPr>
          <w:sz w:val="20"/>
          <w:szCs w:val="20"/>
          <w:color w:val="auto"/>
        </w:rPr>
        <w:tab/>
      </w:r>
      <w:r>
        <w:rPr>
          <w:rFonts w:ascii="Arial" w:cs="Arial" w:eastAsia="Arial" w:hAnsi="Arial"/>
          <w:sz w:val="16"/>
          <w:szCs w:val="16"/>
          <w:i w:val="1"/>
          <w:iCs w:val="1"/>
          <w:color w:val="auto"/>
        </w:rPr>
        <w:t>No Adverse Interpretation of Other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12.09</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All agreements of the Company in this Indenture and the Notes will bind its successors. All agreements of the Trustee in this Indenture will bind its successors. All agreements of each Guarantor in this Indenture will bind its successors, except as otherwise provided in Section 10.05.</w:t>
      </w:r>
    </w:p>
    <w:p>
      <w:pPr>
        <w:spacing w:after="0" w:line="14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i w:val="1"/>
          <w:iCs w:val="1"/>
          <w:color w:val="auto"/>
        </w:rPr>
        <w:t>Severability.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left="660"/>
        <w:spacing w:after="0"/>
        <w:tabs>
          <w:tab w:leader="none" w:pos="206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The parties may sign any number of copies of this Indenture. Each signed copy will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12.12</w:t>
      </w:r>
      <w:r>
        <w:rPr>
          <w:sz w:val="20"/>
          <w:szCs w:val="20"/>
          <w:color w:val="auto"/>
        </w:rPr>
        <w:tab/>
      </w:r>
      <w:r>
        <w:rPr>
          <w:rFonts w:ascii="Arial" w:cs="Arial" w:eastAsia="Arial" w:hAnsi="Arial"/>
          <w:sz w:val="16"/>
          <w:szCs w:val="16"/>
          <w:i w:val="1"/>
          <w:iCs w:val="1"/>
          <w:color w:val="auto"/>
        </w:rPr>
        <w:t>Table of Contents, Headings, etc.</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EACH OF THE COMPANY, THE GUARANTORS, THE TRUSTEE AND THE HOLDERS OF THE NOTES BY ACCEPTANCE THEREOF HEREBY IRREVOCABLY WAIVES, TO THE FULLEST EXTENT PERMITTED BY APPLICABLE LAW, ANY AND ALL RIGHT TO TRIAL BY JURY IN ANY LEGAL PROCEEDING ARISING OUT OF OR RELATING TO THIS INDENTURE, THE NOTES, THE NOTE GUARANTEES OR ANY TRANSACTIONS CONTEMPLATED HEREBY OR THEREBY.</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i w:val="1"/>
          <w:iCs w:val="1"/>
          <w:color w:val="auto"/>
        </w:rPr>
        <w:t>Force Majeure.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acts of war or terrorism, civil or military disturbances, and nuclear or natural catastrophes or acts of God, or other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i w:val="1"/>
          <w:iCs w:val="1"/>
          <w:color w:val="auto"/>
        </w:rPr>
        <w:t>Electronic Delivery.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The Trustee agrees to accept and act upon instructions or directions pursuant to this Indenture sent by unsecured e-mail, pdf, facsimile transmission or other similar unsecured electronic methods,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and/or misuse by third parties. 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spacing w:after="0" w:line="18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12.16</w:t>
      </w:r>
      <w:r>
        <w:rPr>
          <w:sz w:val="20"/>
          <w:szCs w:val="20"/>
          <w:color w:val="auto"/>
        </w:rPr>
        <w:tab/>
      </w:r>
      <w:r>
        <w:rPr>
          <w:rFonts w:ascii="Arial" w:cs="Arial" w:eastAsia="Arial" w:hAnsi="Arial"/>
          <w:sz w:val="16"/>
          <w:szCs w:val="16"/>
          <w:i w:val="1"/>
          <w:iCs w:val="1"/>
          <w:color w:val="auto"/>
        </w:rPr>
        <w:t>Submission to Jurisdiction.</w:t>
      </w:r>
    </w:p>
    <w:p>
      <w:pPr>
        <w:spacing w:after="0" w:line="22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The Company and each Guarantor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the Guarantees and the Notes, and irrevocably accepts for itself and in respect of its property, generally and unconditionally, jurisdiction of the aforesaid courts.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ind w:left="660"/>
        <w:spacing w:after="0"/>
        <w:tabs>
          <w:tab w:leader="none" w:pos="2040" w:val="left"/>
        </w:tabs>
        <w:rPr>
          <w:sz w:val="20"/>
          <w:szCs w:val="20"/>
          <w:color w:val="auto"/>
        </w:rPr>
      </w:pPr>
      <w:r>
        <w:rPr>
          <w:rFonts w:ascii="Arial" w:cs="Arial" w:eastAsia="Arial" w:hAnsi="Arial"/>
          <w:sz w:val="18"/>
          <w:szCs w:val="18"/>
          <w:color w:val="auto"/>
        </w:rPr>
        <w:t>Section 12.17</w:t>
      </w:r>
      <w:r>
        <w:rPr>
          <w:sz w:val="20"/>
          <w:szCs w:val="20"/>
          <w:color w:val="auto"/>
        </w:rPr>
        <w:tab/>
      </w:r>
      <w:r>
        <w:rPr>
          <w:rFonts w:ascii="Arial" w:cs="Arial" w:eastAsia="Arial" w:hAnsi="Arial"/>
          <w:sz w:val="16"/>
          <w:szCs w:val="16"/>
          <w:i w:val="1"/>
          <w:iCs w:val="1"/>
          <w:color w:val="auto"/>
        </w:rPr>
        <w:t>Foreign Account Tax Compliance Act (FATCA).</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comply with applicable tax laws, rules and regulations (inclusive of directives, guidelines and interpretations promulgated by competent authorities) in effect from time to time (“</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this Indenture to the extent necessary to comply with Applicable Law for which the Trustee shall not have any liability, and (iii) to hold harmless the Trustee for any losses it may suffer due to the actions it takes to comply with such Applicable Law. The terms of this section shall survive the termination of this Indenture.</w:t>
      </w:r>
    </w:p>
    <w:p>
      <w:pPr>
        <w:spacing w:after="0" w:line="19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12.18</w:t>
      </w:r>
      <w:r>
        <w:rPr>
          <w:sz w:val="20"/>
          <w:szCs w:val="20"/>
          <w:color w:val="auto"/>
        </w:rPr>
        <w:tab/>
      </w:r>
      <w:r>
        <w:rPr>
          <w:rFonts w:ascii="Arial" w:cs="Arial" w:eastAsia="Arial" w:hAnsi="Arial"/>
          <w:sz w:val="16"/>
          <w:szCs w:val="16"/>
          <w:i w:val="1"/>
          <w:iCs w:val="1"/>
          <w:color w:val="auto"/>
        </w:rPr>
        <w:t>Concerning the TIA.</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Except with respect to specific provisions of the TIA expressly referenced in the provisions of this Indenture, the TIA shall not be applicable to, and shall not govern, this Indenture, the Notes and the Note Guarantees.</w:t>
      </w:r>
    </w:p>
    <w:p>
      <w:pPr>
        <w:spacing w:after="0" w:line="17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12.19</w:t>
      </w:r>
      <w:r>
        <w:rPr>
          <w:sz w:val="20"/>
          <w:szCs w:val="20"/>
          <w:color w:val="auto"/>
        </w:rPr>
        <w:tab/>
      </w:r>
      <w:r>
        <w:rPr>
          <w:rFonts w:ascii="Arial" w:cs="Arial" w:eastAsia="Arial" w:hAnsi="Arial"/>
          <w:sz w:val="15"/>
          <w:szCs w:val="15"/>
          <w:i w:val="1"/>
          <w:iCs w:val="1"/>
          <w:color w:val="auto"/>
        </w:rPr>
        <w:t>Record Date.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record date for purposes of determining the identity of Holders entitled to vote or consent to any action by vote or consent authorized or permitted under this Indenture may be determined as provided for in TIA Section 316(c).</w:t>
      </w:r>
    </w:p>
    <w:p>
      <w:pPr>
        <w:spacing w:after="0" w:line="17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12.20</w:t>
      </w:r>
      <w:r>
        <w:rPr>
          <w:sz w:val="20"/>
          <w:szCs w:val="20"/>
          <w:color w:val="auto"/>
        </w:rPr>
        <w:tab/>
      </w:r>
      <w:r>
        <w:rPr>
          <w:rFonts w:ascii="Arial" w:cs="Arial" w:eastAsia="Arial" w:hAnsi="Arial"/>
          <w:sz w:val="16"/>
          <w:szCs w:val="16"/>
          <w:i w:val="1"/>
          <w:iCs w:val="1"/>
          <w:color w:val="auto"/>
        </w:rPr>
        <w:t>U.S.A. Patriot 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parties hereto acknowledge that in accordance with the Customer Identification Program (CIP)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spacing w:after="0" w:line="19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12.21</w:t>
      </w:r>
      <w:r>
        <w:rPr>
          <w:sz w:val="20"/>
          <w:szCs w:val="20"/>
          <w:color w:val="auto"/>
        </w:rPr>
        <w:tab/>
      </w:r>
      <w:r>
        <w:rPr>
          <w:rFonts w:ascii="Arial" w:cs="Arial" w:eastAsia="Arial" w:hAnsi="Arial"/>
          <w:sz w:val="16"/>
          <w:szCs w:val="16"/>
          <w:i w:val="1"/>
          <w:iCs w:val="1"/>
          <w:color w:val="auto"/>
        </w:rPr>
        <w:t>Legal Holidays</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any case where an interest payment date, Change of Control Payment Date, Purchase Date, redemption date, or maturity date shall not be a Business Day, then each such payment need not be made on such date, but shall be made on the next succeeding Business Day with the same force and effect as if made on such interest payment date or Stated Maturity of such payment and no additional interest shall accrue as a result of such delay in payment.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center"/>
        <w:ind w:right="-4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as of August 7, 2020</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Lindahl</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The Guarantors</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DEVICES INC. (F/K/A ADAPT PHARMA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CANGENE BIOPHARMA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BIODEFENSE OPERATIONS LANSING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INTERNATIONAL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EMERGENT MANUFACTURING OPERATIONS BALTIMORE LLC</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EMERGENT PRODUCT DEVELOPMENT GAITHERSBURG INC.</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TRAVEL HEALTH 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Lindahl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8" w:right="739" w:bottom="1440" w:gutter="0" w:footer="0" w:header="0"/>
        </w:sectPr>
      </w:pPr>
    </w:p>
    <w:bookmarkStart w:id="105" w:name="page106"/>
    <w:bookmarkEnd w:id="105"/>
    <w:p>
      <w:pPr>
        <w:ind w:left="440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Laura Cawley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14605</wp:posOffset>
            </wp:positionV>
            <wp:extent cx="34290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Laura Cawley</w:t>
      </w:r>
    </w:p>
    <w:p>
      <w:pPr>
        <w:spacing w:after="0" w:line="23" w:lineRule="exact"/>
        <w:rPr>
          <w:sz w:val="20"/>
          <w:szCs w:val="20"/>
          <w:color w:val="auto"/>
        </w:rPr>
      </w:pPr>
    </w:p>
    <w:p>
      <w:pPr>
        <w:ind w:left="4720"/>
        <w:spacing w:after="0"/>
        <w:tabs>
          <w:tab w:leader="none" w:pos="5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right="4340"/>
        <w:spacing w:after="0" w:line="311" w:lineRule="auto"/>
        <w:rPr>
          <w:sz w:val="20"/>
          <w:szCs w:val="20"/>
          <w:color w:val="auto"/>
        </w:rPr>
      </w:pPr>
      <w:r>
        <w:rPr>
          <w:rFonts w:ascii="Arial" w:cs="Arial" w:eastAsia="Arial" w:hAnsi="Arial"/>
          <w:sz w:val="16"/>
          <w:szCs w:val="16"/>
          <w:i w:val="1"/>
          <w:iCs w:val="1"/>
          <w:color w:val="auto"/>
        </w:rPr>
        <w:t>[Insert the Global Note Legend, if applicable pursuant to the provisions of the Indenture] [Insert the Private Placement Legend, if applicable pursuant to the provisions of the Indenture] [Insert the Regulation S Legend, if applicable pursuant to the provisions of the Indenture]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[29089QAC9]</w:t>
      </w:r>
      <w:r>
        <w:rPr>
          <w:rFonts w:ascii="Arial" w:cs="Arial" w:eastAsia="Arial" w:hAnsi="Arial"/>
          <w:sz w:val="29"/>
          <w:szCs w:val="29"/>
          <w:color w:val="auto"/>
          <w:vertAlign w:val="superscript"/>
        </w:rPr>
        <w:t>1</w:t>
      </w:r>
    </w:p>
    <w:p>
      <w:pPr>
        <w:jc w:val="right"/>
        <w:spacing w:after="0" w:line="198" w:lineRule="auto"/>
        <w:rPr>
          <w:sz w:val="20"/>
          <w:szCs w:val="20"/>
          <w:color w:val="auto"/>
        </w:rPr>
      </w:pPr>
      <w:r>
        <w:rPr>
          <w:rFonts w:ascii="Arial" w:cs="Arial" w:eastAsia="Arial" w:hAnsi="Arial"/>
          <w:sz w:val="18"/>
          <w:szCs w:val="18"/>
          <w:color w:val="auto"/>
        </w:rPr>
        <w:t>[U29136AA3]</w:t>
      </w:r>
      <w:r>
        <w:rPr>
          <w:rFonts w:ascii="Arial" w:cs="Arial" w:eastAsia="Arial" w:hAnsi="Arial"/>
          <w:sz w:val="29"/>
          <w:szCs w:val="29"/>
          <w:color w:val="auto"/>
          <w:vertAlign w:val="superscript"/>
        </w:rPr>
        <w:t>2</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[US29089QAC96]</w:t>
      </w:r>
      <w:r>
        <w:rPr>
          <w:rFonts w:ascii="Arial" w:cs="Arial" w:eastAsia="Arial" w:hAnsi="Arial"/>
          <w:sz w:val="29"/>
          <w:szCs w:val="29"/>
          <w:color w:val="auto"/>
          <w:vertAlign w:val="superscript"/>
        </w:rPr>
        <w:t>3</w:t>
      </w:r>
    </w:p>
    <w:p>
      <w:pPr>
        <w:jc w:val="right"/>
        <w:spacing w:after="0" w:line="198" w:lineRule="auto"/>
        <w:rPr>
          <w:sz w:val="20"/>
          <w:szCs w:val="20"/>
          <w:color w:val="auto"/>
        </w:rPr>
      </w:pPr>
      <w:r>
        <w:rPr>
          <w:rFonts w:ascii="Arial" w:cs="Arial" w:eastAsia="Arial" w:hAnsi="Arial"/>
          <w:sz w:val="18"/>
          <w:szCs w:val="18"/>
          <w:color w:val="auto"/>
        </w:rPr>
        <w:t>[USU29136AA31]</w:t>
      </w:r>
      <w:r>
        <w:rPr>
          <w:rFonts w:ascii="Arial" w:cs="Arial" w:eastAsia="Arial" w:hAnsi="Arial"/>
          <w:sz w:val="29"/>
          <w:szCs w:val="29"/>
          <w:color w:val="auto"/>
          <w:vertAlign w:val="superscript"/>
        </w:rPr>
        <w:t>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spacing w:after="0"/>
        <w:tabs>
          <w:tab w:leader="none" w:pos="109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EMERGENT BIOSOLUTIONS INC., a Delaware corporation, promises to pay to CEDE &amp; CO., or its registered assigns, the principal sum of [●] DOLLARS [, subject to adjustments listed on the Schedule of Exchanges of Interests in the Global Note attached hereto,] on August 15, 2028.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15 and August 15, commencing February 15, 2021</w:t>
      </w:r>
      <w:r>
        <w:rPr>
          <w:rFonts w:ascii="Arial" w:cs="Arial" w:eastAsia="Arial" w:hAnsi="Arial"/>
          <w:sz w:val="29"/>
          <w:szCs w:val="29"/>
          <w:color w:val="auto"/>
          <w:vertAlign w:val="superscript"/>
        </w:rPr>
        <w:t>5</w:t>
      </w:r>
    </w:p>
    <w:p>
      <w:pPr>
        <w:spacing w:after="0"/>
        <w:rPr>
          <w:sz w:val="20"/>
          <w:szCs w:val="20"/>
          <w:color w:val="auto"/>
        </w:rPr>
      </w:pPr>
      <w:r>
        <w:rPr>
          <w:rFonts w:ascii="Arial" w:cs="Arial" w:eastAsia="Arial" w:hAnsi="Arial"/>
          <w:sz w:val="18"/>
          <w:szCs w:val="18"/>
          <w:color w:val="auto"/>
        </w:rPr>
        <w:t>Record Dates: February 1 and August 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7"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Rule 144A.</w:t>
      </w:r>
    </w:p>
    <w:p>
      <w:pPr>
        <w:spacing w:after="0" w:line="87"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Regulation S.</w:t>
      </w:r>
    </w:p>
    <w:p>
      <w:pPr>
        <w:spacing w:after="0" w:line="87"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Rule 144A.</w:t>
      </w:r>
    </w:p>
    <w:p>
      <w:pPr>
        <w:spacing w:after="0" w:line="87"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30"/>
          <w:szCs w:val="30"/>
          <w:color w:val="auto"/>
          <w:vertAlign w:val="superscript"/>
        </w:rPr>
      </w:pPr>
      <w:r>
        <w:rPr>
          <w:rFonts w:ascii="Arial" w:cs="Arial" w:eastAsia="Arial" w:hAnsi="Arial"/>
          <w:sz w:val="18"/>
          <w:szCs w:val="18"/>
          <w:color w:val="auto"/>
        </w:rPr>
        <w:t>For Notes sold in reliance on Regulation S.</w:t>
      </w:r>
    </w:p>
    <w:p>
      <w:pPr>
        <w:spacing w:after="0" w:line="87"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left="452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5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08" w:name="page109"/>
    <w:bookmarkEnd w:id="108"/>
    <w:p>
      <w:pPr>
        <w:jc w:val="right"/>
        <w:ind w:right="307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left="1400" w:hanging="744"/>
        <w:spacing w:after="0"/>
        <w:tabs>
          <w:tab w:leader="none" w:pos="140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Emergent BioSolutions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promises to pay interest on the principal amount of this</w:t>
      </w:r>
    </w:p>
    <w:p>
      <w:pPr>
        <w:spacing w:after="0" w:line="46"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Note at 3.875% per annum from August 7, 2020</w:t>
      </w:r>
      <w:r>
        <w:rPr>
          <w:rFonts w:ascii="Arial" w:cs="Arial" w:eastAsia="Arial" w:hAnsi="Arial"/>
          <w:sz w:val="26"/>
          <w:szCs w:val="26"/>
          <w:color w:val="auto"/>
          <w:vertAlign w:val="superscript"/>
        </w:rPr>
        <w:t>6</w:t>
      </w:r>
      <w:r>
        <w:rPr>
          <w:rFonts w:ascii="Arial" w:cs="Arial" w:eastAsia="Arial" w:hAnsi="Arial"/>
          <w:sz w:val="16"/>
          <w:szCs w:val="16"/>
          <w:color w:val="auto"/>
        </w:rPr>
        <w:t>, until maturity. The Company will pay interest, if any, semiannually in arrears on February 15 and August 15 of each year (each, an “</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the date of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w:t>
      </w:r>
    </w:p>
    <w:p>
      <w:pPr>
        <w:ind w:right="40"/>
        <w:spacing w:after="0" w:line="231" w:lineRule="auto"/>
        <w:rPr>
          <w:sz w:val="20"/>
          <w:szCs w:val="20"/>
          <w:color w:val="auto"/>
        </w:rPr>
      </w:pPr>
      <w:r>
        <w:rPr>
          <w:rFonts w:ascii="Arial" w:cs="Arial" w:eastAsia="Arial" w:hAnsi="Arial"/>
          <w:sz w:val="18"/>
          <w:szCs w:val="18"/>
          <w:color w:val="auto"/>
        </w:rPr>
        <w:t xml:space="preserve">succeeding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first Interest Payment Date shall be February 15, 2021</w:t>
      </w:r>
      <w:r>
        <w:rPr>
          <w:rFonts w:ascii="Arial" w:cs="Arial" w:eastAsia="Arial" w:hAnsi="Arial"/>
          <w:sz w:val="29"/>
          <w:szCs w:val="29"/>
          <w:color w:val="auto"/>
          <w:vertAlign w:val="superscript"/>
        </w:rPr>
        <w:t>7</w:t>
      </w:r>
      <w:r>
        <w:rPr>
          <w:rFonts w:ascii="Arial" w:cs="Arial" w:eastAsia="Arial" w:hAnsi="Arial"/>
          <w:sz w:val="18"/>
          <w:szCs w:val="18"/>
          <w:color w:val="auto"/>
        </w:rPr>
        <w:t>. The Company will pay interest (including post-petition interest in any proceeding under any Bankruptcy Law) on overdue principal at the rate equal to 1% per annum in excess of the then applicable interest rate on the Notes to the extent lawful; it will pay interest (including post-petition interest in any proceeding under any Bankruptcy Law) on overdue installments of interest (without regard to any applicable grace period) at the same rate to the extent lawful. Interest will be computed on the basis of a 360-day year of twelve 30-day months.</w:t>
      </w:r>
    </w:p>
    <w:p>
      <w:pPr>
        <w:spacing w:after="0" w:line="204" w:lineRule="exact"/>
        <w:rPr>
          <w:sz w:val="20"/>
          <w:szCs w:val="20"/>
          <w:color w:val="auto"/>
        </w:rPr>
      </w:pPr>
    </w:p>
    <w:p>
      <w:pPr>
        <w:ind w:right="20" w:firstLine="656"/>
        <w:spacing w:after="0" w:line="269" w:lineRule="auto"/>
        <w:tabs>
          <w:tab w:leader="none" w:pos="1397"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will pay interest on the Notes (except defaulted interest), if any, to the Persons who are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Holders of Notes at the close of business on the February 1 or August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or, at the option of the Company, payment of interest, if any, may be made by check mailed to the Holders at their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and interest, premium,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 If any payment date is not a Business Day, payment will be made on the next succeeding Business Day with the same force and effect and no interest shall accrue for the intervening period.</w:t>
      </w:r>
    </w:p>
    <w:p>
      <w:pPr>
        <w:spacing w:after="0" w:line="185" w:lineRule="exact"/>
        <w:rPr>
          <w:rFonts w:ascii="Arial" w:cs="Arial" w:eastAsia="Arial" w:hAnsi="Arial"/>
          <w:sz w:val="17"/>
          <w:szCs w:val="17"/>
          <w:color w:val="auto"/>
        </w:rPr>
      </w:pPr>
    </w:p>
    <w:p>
      <w:pPr>
        <w:ind w:right="180" w:firstLine="656"/>
        <w:spacing w:after="0" w:line="263" w:lineRule="auto"/>
        <w:tabs>
          <w:tab w:leader="none" w:pos="1397"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183" w:lineRule="exact"/>
        <w:rPr>
          <w:rFonts w:ascii="Arial" w:cs="Arial" w:eastAsia="Arial" w:hAnsi="Arial"/>
          <w:sz w:val="18"/>
          <w:szCs w:val="18"/>
          <w:color w:val="auto"/>
        </w:rPr>
      </w:pPr>
    </w:p>
    <w:p>
      <w:pPr>
        <w:ind w:firstLine="656"/>
        <w:spacing w:after="0" w:line="257" w:lineRule="auto"/>
        <w:tabs>
          <w:tab w:leader="none" w:pos="1397"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August 7, 2020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among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from time to time party thereto and the Trustee. The Notes are subject to all the terms and provisions of the Indenture, and Holders are referred to the Indenture for a statement of such terms and provisions.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187" w:lineRule="exact"/>
        <w:rPr>
          <w:rFonts w:ascii="Arial" w:cs="Arial" w:eastAsia="Arial" w:hAnsi="Arial"/>
          <w:sz w:val="18"/>
          <w:szCs w:val="18"/>
          <w:color w:val="auto"/>
        </w:rPr>
      </w:pPr>
    </w:p>
    <w:p>
      <w:pPr>
        <w:ind w:left="1400" w:hanging="744"/>
        <w:spacing w:after="0"/>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5" w:lineRule="auto"/>
        <w:tabs>
          <w:tab w:leader="none" w:pos="138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Except as set forth in subparagraphs (b) and (d) of this Paragraph 5, the Notes will not be redeemable at the Company’s option prior to August 15, 2023. On or after August 15, 2023, the Company may redeem all or a part of the Notes upon not less than 15 nor more than 60 days’ notice, at the redemption prices (expressed as percentages of principal amount) set forth below plus accrued and unpaid interest, if any, on the Notes redeemed, to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8"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87"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30"/>
          <w:szCs w:val="30"/>
          <w:color w:val="auto"/>
          <w:vertAlign w:val="superscript"/>
        </w:rPr>
      </w:pPr>
      <w:r>
        <w:rPr>
          <w:rFonts w:ascii="Arial" w:cs="Arial" w:eastAsia="Arial" w:hAnsi="Arial"/>
          <w:sz w:val="18"/>
          <w:szCs w:val="18"/>
          <w:color w:val="auto"/>
        </w:rPr>
        <w:t>With respect to Notes issued on the Issue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tbl>
      <w:tblPr>
        <w:tblLayout w:type="fixed"/>
        <w:tblInd w:w="660" w:type="dxa"/>
        <w:tblCellMar>
          <w:top w:w="0" w:type="dxa"/>
          <w:left w:w="0" w:type="dxa"/>
          <w:bottom w:w="0" w:type="dxa"/>
          <w:right w:w="0" w:type="dxa"/>
        </w:tblCellMar>
      </w:tblP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Percentage</w:t>
            </w:r>
          </w:p>
        </w:tc>
      </w:tr>
      <w:tr>
        <w:trPr>
          <w:trHeight w:val="210"/>
        </w:trPr>
        <w:tc>
          <w:tcPr>
            <w:tcW w:w="8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100.969%</w:t>
            </w: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and after the applicable redemption date.</w:t>
      </w:r>
    </w:p>
    <w:p>
      <w:pPr>
        <w:spacing w:after="0" w:line="170" w:lineRule="exact"/>
        <w:rPr>
          <w:sz w:val="20"/>
          <w:szCs w:val="20"/>
          <w:color w:val="auto"/>
        </w:rPr>
      </w:pPr>
    </w:p>
    <w:p>
      <w:pPr>
        <w:ind w:firstLine="656"/>
        <w:spacing w:after="0" w:line="255" w:lineRule="auto"/>
        <w:tabs>
          <w:tab w:leader="none" w:pos="139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subparagraph (a) of this Paragraph 5, at any time prior to August 15, 2023, the Company may on any one or more occasions redeem up to 40% of the aggregate principal amount of Notes issued under the Indenture at a redemption price of 103.875% of the principal amount, plus accrued and unpaid interest, if any, to the redemption date with the net cash proceeds of one or more Equity Offerings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at least 60% of the aggregate principal amount of Notes originally issued under the Indenture (excluding Notes held by the Company and its Subsidiaries) remains outstanding immediately after the occurrence of such redemption, and (2) the redemption occurs within 180 days of the date of the closing of such Equity Offering.</w:t>
      </w:r>
    </w:p>
    <w:p>
      <w:pPr>
        <w:spacing w:after="0" w:line="192" w:lineRule="exact"/>
        <w:rPr>
          <w:rFonts w:ascii="Arial" w:cs="Arial" w:eastAsia="Arial" w:hAnsi="Arial"/>
          <w:sz w:val="18"/>
          <w:szCs w:val="18"/>
          <w:color w:val="auto"/>
        </w:rPr>
      </w:pPr>
    </w:p>
    <w:p>
      <w:pPr>
        <w:ind w:right="100" w:firstLine="656"/>
        <w:spacing w:after="0" w:line="275" w:lineRule="auto"/>
        <w:tabs>
          <w:tab w:leader="none" w:pos="138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Notices of any redemption of the notes may be subject to the satisfaction of one or more conditions precedent established by the Company, in its sole discretion. If applicable, such notice shall state that, at the discretion of the Company, the redemption date may be delayed until such time as any or all such conditions have been satisfied (or waived). In addition, any redemption or notice of any redemption with the proceeds of an Equity Offering pursuant to the prior paragraph may, at the Company’s discretion, be subject to one or more conditions precedent, including, but not limited to, completion of such Equity Offering and may be given prior to the completion thereof.</w:t>
      </w:r>
    </w:p>
    <w:p>
      <w:pPr>
        <w:spacing w:after="0" w:line="176" w:lineRule="exact"/>
        <w:rPr>
          <w:rFonts w:ascii="Arial" w:cs="Arial" w:eastAsia="Arial" w:hAnsi="Arial"/>
          <w:sz w:val="17"/>
          <w:szCs w:val="17"/>
          <w:color w:val="auto"/>
        </w:rPr>
      </w:pPr>
    </w:p>
    <w:p>
      <w:pPr>
        <w:ind w:firstLine="656"/>
        <w:spacing w:after="0" w:line="275" w:lineRule="auto"/>
        <w:tabs>
          <w:tab w:leader="none" w:pos="138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At any time prior to August 15, 2023, the Company may redeem all or a part of the notes upon notice as described in Section 3.03 of the Indenture at a redemption price equal to 100% of the principal amount of the notes redeemed plus the Applicable Premium as of, and accrued and unpaid interest, if any, to, but excluding the redemption date, subject to the rights of Holders of record on the relevant record date to receive interest due on the relevant interest payment date. Calculation of the Applicable Premium will be made by the Company or on its behalf by such Person as the Company may designate;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calculation or the correctness thereof shall not be a duty or obligation of the Trustee.</w:t>
      </w:r>
    </w:p>
    <w:p>
      <w:pPr>
        <w:spacing w:after="0" w:line="176" w:lineRule="exact"/>
        <w:rPr>
          <w:sz w:val="20"/>
          <w:szCs w:val="20"/>
          <w:color w:val="auto"/>
        </w:rPr>
      </w:pPr>
    </w:p>
    <w:p>
      <w:pPr>
        <w:ind w:right="300" w:firstLine="656"/>
        <w:spacing w:after="0" w:line="277" w:lineRule="auto"/>
        <w:tabs>
          <w:tab w:leader="none" w:pos="1397"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Open Market Purchases. </w:t>
      </w:r>
      <w:r>
        <w:rPr>
          <w:rFonts w:ascii="Arial" w:cs="Arial" w:eastAsia="Arial" w:hAnsi="Arial"/>
          <w:sz w:val="18"/>
          <w:szCs w:val="18"/>
          <w:color w:val="auto"/>
        </w:rPr>
        <w:t>For the avoidance of doubt, the Company may at any time and from time to time purchase the Notes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 market or otherwise.</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Repurchase at the Option of Holder</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Upon the occurrence of a Change of Control, the Company will make an offer (a “</w:t>
      </w:r>
      <w:r>
        <w:rPr>
          <w:rFonts w:ascii="Arial" w:cs="Arial" w:eastAsia="Arial" w:hAnsi="Arial"/>
          <w:sz w:val="17"/>
          <w:szCs w:val="17"/>
          <w:b w:val="1"/>
          <w:bCs w:val="1"/>
          <w:i w:val="1"/>
          <w:iCs w:val="1"/>
          <w:color w:val="auto"/>
        </w:rPr>
        <w:t>Change of Control Offer</w:t>
      </w:r>
      <w:r>
        <w:rPr>
          <w:rFonts w:ascii="Arial" w:cs="Arial" w:eastAsia="Arial" w:hAnsi="Arial"/>
          <w:sz w:val="17"/>
          <w:szCs w:val="17"/>
          <w:color w:val="auto"/>
        </w:rPr>
        <w:t>”) to each Holder to repurchase all or any part (equal to $2,000 or an integral multiple of $1,000 in excess thereof)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Arial" w:cs="Arial" w:eastAsia="Arial" w:hAnsi="Arial"/>
          <w:sz w:val="17"/>
          <w:szCs w:val="17"/>
          <w:b w:val="1"/>
          <w:bCs w:val="1"/>
          <w:i w:val="1"/>
          <w:iCs w:val="1"/>
          <w:color w:val="auto"/>
        </w:rPr>
        <w:t>Change of Control Payment</w:t>
      </w:r>
      <w:r>
        <w:rPr>
          <w:rFonts w:ascii="Arial" w:cs="Arial" w:eastAsia="Arial" w:hAnsi="Arial"/>
          <w:sz w:val="17"/>
          <w:szCs w:val="17"/>
          <w:color w:val="auto"/>
        </w:rPr>
        <w:t>”). Within 30 days following any Change of Control, the Company will send a notice to each Holder (with a copy to the Trustee) setting forth the procedures governing the Change of Control Offer as required by the Indenture.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1" w:name="page112"/>
    <w:bookmarkEnd w:id="111"/>
    <w:p>
      <w:pPr>
        <w:ind w:right="40" w:firstLine="648"/>
        <w:spacing w:after="0" w:line="268" w:lineRule="auto"/>
        <w:rPr>
          <w:sz w:val="20"/>
          <w:szCs w:val="20"/>
          <w:color w:val="auto"/>
        </w:rPr>
      </w:pPr>
      <w:r>
        <w:rPr>
          <w:rFonts w:ascii="Arial" w:cs="Arial" w:eastAsia="Arial" w:hAnsi="Arial"/>
          <w:sz w:val="17"/>
          <w:szCs w:val="17"/>
          <w:color w:val="auto"/>
        </w:rPr>
        <w:t xml:space="preserve">If the Company or a Restricted Subsidiary of the Company consummates any Asset Sales, within thirty days of each date on which the aggregate amount of Excess Proceeds exceeds $100.0 million, unless waived or modified with the consent of the Holders of at least a majority in aggregate principal amount of the Notes then outstanding, the Company will commence an offer to all Holders of Notes (with a copy to the Trustee) and all holders of other Indebtedness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containing provisions similar to those set forth in the Indenture with respect to offers to purchase or redeem with the proceeds of sales of assets (an “</w:t>
      </w:r>
      <w:r>
        <w:rPr>
          <w:rFonts w:ascii="Arial" w:cs="Arial" w:eastAsia="Arial" w:hAnsi="Arial"/>
          <w:sz w:val="17"/>
          <w:szCs w:val="17"/>
          <w:b w:val="1"/>
          <w:bCs w:val="1"/>
          <w:i w:val="1"/>
          <w:iCs w:val="1"/>
          <w:color w:val="auto"/>
        </w:rPr>
        <w:t>Asset Sale Offer</w:t>
      </w:r>
      <w:r>
        <w:rPr>
          <w:rFonts w:ascii="Arial" w:cs="Arial" w:eastAsia="Arial" w:hAnsi="Arial"/>
          <w:sz w:val="17"/>
          <w:szCs w:val="17"/>
          <w:color w:val="auto"/>
        </w:rPr>
        <w:t xml:space="preserve">”) in accordance with Section 3.09 of the Indenture to purchase the maximum principal amount of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that may be purchased out of the Excess Proceeds. The offer price in any Asset Sale Offer will be equal to 100% of the principal amount plus accrued and unpaid interest, if any, to the date of purchase, and will be payable in cash, in accordance with the procedures set forth in the Indenture. If any Excess Proceeds remain after the consummation of an Asset Sale Offer, the Company may use those Excess Proceeds for any purpose not otherwise prohibited by the Indenture. If the aggregate principal amount of Notes and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tendered into such Asset Sale Offer exceeds the amount of Excess Proceeds, the Company will select the Notes and such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to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Holders of Notes that are the subject of an offer to purchase will receive an Asset Sale Offer from the Company prior to any related purchase date and may elect to have such Notes purchased by completing the form entitled “</w:t>
      </w:r>
      <w:r>
        <w:rPr>
          <w:rFonts w:ascii="Arial" w:cs="Arial" w:eastAsia="Arial" w:hAnsi="Arial"/>
          <w:sz w:val="17"/>
          <w:szCs w:val="17"/>
          <w:i w:val="1"/>
          <w:iCs w:val="1"/>
          <w:color w:val="auto"/>
        </w:rPr>
        <w:t>Option of Holder to Elect Purchase</w:t>
      </w:r>
      <w:r>
        <w:rPr>
          <w:rFonts w:ascii="Arial" w:cs="Arial" w:eastAsia="Arial" w:hAnsi="Arial"/>
          <w:sz w:val="17"/>
          <w:szCs w:val="17"/>
          <w:color w:val="auto"/>
        </w:rPr>
        <w:t>” attached to the Notes.</w:t>
      </w:r>
    </w:p>
    <w:p>
      <w:pPr>
        <w:spacing w:after="0" w:line="186" w:lineRule="exact"/>
        <w:rPr>
          <w:sz w:val="20"/>
          <w:szCs w:val="20"/>
          <w:color w:val="auto"/>
        </w:rPr>
      </w:pPr>
    </w:p>
    <w:p>
      <w:pPr>
        <w:jc w:val="both"/>
        <w:ind w:right="120" w:firstLine="656"/>
        <w:spacing w:after="0" w:line="301" w:lineRule="auto"/>
        <w:tabs>
          <w:tab w:leader="none" w:pos="1397"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redemption will be sent at least 15 days but not more than 60 days before the redemption date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whose Notes are to be redeemed at its registered address, except that redemption notices may be sent more than 60 days prior to a redemption date if the notice is issued in connection with a defeasance of the Notes or a satisfaction and discharge of the Indenture. Notes in denominations larger than $2,000 may be redeemed in part but only in whole multiples of $1,000 thereof, unless all of the Notes held by a Holder are to be redeemed.</w:t>
      </w:r>
    </w:p>
    <w:p>
      <w:pPr>
        <w:spacing w:after="0" w:line="157" w:lineRule="exact"/>
        <w:rPr>
          <w:rFonts w:ascii="Arial" w:cs="Arial" w:eastAsia="Arial" w:hAnsi="Arial"/>
          <w:sz w:val="16"/>
          <w:szCs w:val="16"/>
          <w:color w:val="auto"/>
        </w:rPr>
      </w:pPr>
    </w:p>
    <w:p>
      <w:pPr>
        <w:ind w:firstLine="656"/>
        <w:spacing w:after="0" w:line="254" w:lineRule="auto"/>
        <w:tabs>
          <w:tab w:leader="none" w:pos="1397"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denominations of $2,000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94" w:lineRule="exact"/>
        <w:rPr>
          <w:rFonts w:ascii="Arial" w:cs="Arial" w:eastAsia="Arial" w:hAnsi="Arial"/>
          <w:sz w:val="18"/>
          <w:szCs w:val="18"/>
          <w:color w:val="auto"/>
        </w:rPr>
      </w:pPr>
    </w:p>
    <w:p>
      <w:pPr>
        <w:ind w:left="1400" w:hanging="744"/>
        <w:spacing w:after="0"/>
        <w:tabs>
          <w:tab w:leader="none" w:pos="140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225" w:lineRule="exact"/>
        <w:rPr>
          <w:rFonts w:ascii="Arial" w:cs="Arial" w:eastAsia="Arial" w:hAnsi="Arial"/>
          <w:sz w:val="18"/>
          <w:szCs w:val="18"/>
          <w:color w:val="auto"/>
        </w:rPr>
      </w:pPr>
    </w:p>
    <w:p>
      <w:pPr>
        <w:ind w:right="20" w:firstLine="656"/>
        <w:spacing w:after="0" w:line="285" w:lineRule="auto"/>
        <w:tabs>
          <w:tab w:leader="none" w:pos="1388"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Amendment, Supplement and Waiver</w:t>
      </w:r>
      <w:r>
        <w:rPr>
          <w:rFonts w:ascii="Arial" w:cs="Arial" w:eastAsia="Arial" w:hAnsi="Arial"/>
          <w:sz w:val="16"/>
          <w:szCs w:val="16"/>
          <w:color w:val="auto"/>
        </w:rPr>
        <w:t>. Subject to certain exceptions, the Indenture, the Notes or the Note Guarantees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if any, or interest on, the Notes, except a payment default resulting from an acceleration that has been rescinded) or compliance with any provision of the Indenture or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the Notes). Without the consent of any Holder of a Note, the Indenture or the Notes or the Note Guarantees may be amended or supplemented to cure any ambiguity, defect or inconsistency; to provide for uncertificated Notes in addition to or in place of certificated Notes; to provide for the assumption of the Company’s or a Guarantor’s obligations to Holders of the Notes and Note Guarantees by a successor to the Company or such Guarantor pursuant to Article V or Article X of the Indenture; to make any change that would provide any additional rights or benefits to the Holders of the Notes or that does not adversely affect the legal rights under the Indenture of any such Holder; to conform the text of the Indenture, the Note Guarantees or the Notes to any provision of the “Description of Notes” section of the Company’s Offering Memorandum dated August 4, 2020, relating to the initial offering of the Notes, to the extent that such provision of the Indenture, the Note Guarantees or the Notes was intended to conform to the text of the “Description of Notes” as evidenced by an Officer’s Certificate; to provide for the issuance of Additional Notes in accordance with the limitations set forth in the Indenture; to allow any Guarantor to execute a supplemental indenture to the Indenture and/or a Note Guarantee with respect to the Notes or to release any Guarantor from its Note Guarantee if such release is in accordance with the terms of the Indenture, provided any such supplemental indenture may be signed by the Company, the Guarantor providing the Note Guarantee and the Trustee; or to evidence and provide for the acceptance and appointment under the Indenture of a successor Trustee pursuant to the requirements of the Indenture.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2" w:name="page113"/>
    <w:bookmarkEnd w:id="112"/>
    <w:p>
      <w:pPr>
        <w:ind w:left="-8" w:right="40" w:firstLine="656"/>
        <w:spacing w:after="0" w:line="284" w:lineRule="auto"/>
        <w:tabs>
          <w:tab w:leader="none" w:pos="1389"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Events of Default include: (i) default for 30 days in the payment when due of interest on the Notes; (ii)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payment when due (at maturity, upon redemption or otherwise) of the principal of, or premium, if any, on, the Notes; (iii) failure by the Company or any of its Restricted Subsidiaries to comply with the provisions of Section 5.01 of the Indenture; (iv) failure by the Company or any of its Restricted Subsidiaries to comply with the provisions of Section 4.15 of the Indenture; (v) failure by the Company or any of its Restricted Subsidiaries for 60 days after written notice to the Company by the Trustee or to the Company and the Trustee by the Holders of at least 25% in aggregate principal amount of the Notes then outstanding voting as a single class to comply with any of the other agreements in the Indenture; provided that in the case of a failure to comply with Section 4.03 of the Indenture, such period of continuance of such default or breach shall be 90 days after a written notice described in this clause</w:t>
      </w:r>
    </w:p>
    <w:p>
      <w:pPr>
        <w:spacing w:after="0" w:line="2" w:lineRule="exact"/>
        <w:rPr>
          <w:rFonts w:ascii="Arial" w:cs="Arial" w:eastAsia="Arial" w:hAnsi="Arial"/>
          <w:sz w:val="16"/>
          <w:szCs w:val="16"/>
          <w:color w:val="auto"/>
        </w:rPr>
      </w:pPr>
    </w:p>
    <w:p>
      <w:pPr>
        <w:ind w:left="-8" w:firstLine="8"/>
        <w:spacing w:after="0" w:line="283" w:lineRule="auto"/>
        <w:tabs>
          <w:tab w:leader="none" w:pos="2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has been given; (vi) default under any mortgage, indenture or instrument under which there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of the Indenture, if that default: (a) is caused by a failure to pay principal of, or interest or premium, if any, on, such Indebtedness at final maturity thereof, prior to the expiration of the grace period provided in such Indebtedness on the date of such default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or (b) results in the acceleration of such Indebtedness prior to its express maturity; and, in each case, the principal amount of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Indebtedness, together with the principal amount of any other such Indebtedness under which there has been a Payment Default or the maturity of which has been so accelerated, aggregates $50.0 million (or its foreign currency equivalent) or more; (vii) failure by the Company or any of its Restricted Subsidiaries to pay final judgments entered by a court or courts of competent jurisdiction aggregating in excess of $50.0 million (or its foreign currency equivalent) net of any amounts covered by independent third party insurance and as to which such insurer has not disputed coverage, which judgments are not paid, discharged or stayed for a period of 60 consecutive days; (viii) except as permitted by the Indenture, any Note Guarantee of a Significant Subsidiary is held in any judicial proceeding to be unenforceable or invalid or ceases for any reason to be in full force and effect or any Guarantor, or any Person acting on behalf of any Guarantor, denies or disaffirms its obligations under its Note Guarantee; and (ix) certain events of bankruptcy or insolvency described in the Indenture with respect to the Company or any of its Restricted Subsidiaries that is a Significant Subsidiary or any group of Restricted Subsidiaries that, taken together, would constitute a Significant Subsidiary. If any Event of Default occurs and is continuing, the Trustee or the Holders of at least 25% in aggregate principal amount of the then outstanding Notes may declare all the Notes to be due and payable immediately; </w:t>
      </w:r>
      <w:r>
        <w:rPr>
          <w:rFonts w:ascii="Arial" w:cs="Arial" w:eastAsia="Arial" w:hAnsi="Arial"/>
          <w:sz w:val="16"/>
          <w:szCs w:val="16"/>
          <w:i w:val="1"/>
          <w:iCs w:val="1"/>
          <w:color w:val="auto"/>
        </w:rPr>
        <w:t>provided</w:t>
      </w:r>
      <w:r>
        <w:rPr>
          <w:rFonts w:ascii="Arial" w:cs="Arial" w:eastAsia="Arial" w:hAnsi="Arial"/>
          <w:sz w:val="16"/>
          <w:szCs w:val="16"/>
          <w:color w:val="auto"/>
        </w:rPr>
        <w:t>, that a notice of a Default or Event of Default may not be given with respect to any action taken, and reported publicly or to Holders, more than two years prior to such notice of Default or Event of Default. Notwithstanding the foregoing, in the case of an Event of Default arising from certain events of bankruptcy or insolvency, all outstanding Notes will become due and payable immediately without further action or notice. Holders may not enforce the Indenture or the Notes except as provided in the Indenture. Subject to certain limitations, Holders of a majority in aggregate principal amount of the then outstanding Notes may direct the time, method and place of conducting any proceeding for exercising any remedy available to the Trustee or exercising any trust or power conferred on it. Except in the case of a Default or Event of Default in payment of principal of, premium, if any, or interest on, any Note, the Trustee may withhold the notice of Default or Event of Default if and so long as a committee of its Responsible Officers in good faith determines that withholding the notice is in the interests of the Holders of the Notes. If certain conditions are satisfied, the Holders of at least a majority in aggregate principal amount of the then outstanding Notes by notice to the Trustee may, on behalf of the Holders of all of the Notes, rescind an acceleration provided all amounts owing to the Trustee have been paid or waive any existing Default or Event of Default and its consequences under the Indenture except a continuing Default or Event of Default in the payment of interest or premium, if any, on, or the principal of, the Notes. The Indenture requires the Company to deliver to the Trustee annually within 90 days after the end of each fiscal year a statement regarding compliance with the Indenture.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13" w:name="page114"/>
    <w:bookmarkEnd w:id="113"/>
    <w:p>
      <w:pPr>
        <w:ind w:right="60" w:firstLine="656"/>
        <w:spacing w:after="0" w:line="342" w:lineRule="auto"/>
        <w:tabs>
          <w:tab w:leader="none" w:pos="1397"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or its affiliates, in its individual or any other capacity, may make loans to, accept deposits</w:t>
      </w:r>
      <w:r>
        <w:rPr>
          <w:rFonts w:ascii="Arial" w:cs="Arial" w:eastAsia="Arial" w:hAnsi="Arial"/>
          <w:sz w:val="16"/>
          <w:szCs w:val="16"/>
          <w:i w:val="1"/>
          <w:iCs w:val="1"/>
          <w:color w:val="auto"/>
        </w:rPr>
        <w:t xml:space="preserve"> </w:t>
      </w:r>
      <w:r>
        <w:rPr>
          <w:rFonts w:ascii="Arial" w:cs="Arial" w:eastAsia="Arial" w:hAnsi="Arial"/>
          <w:sz w:val="16"/>
          <w:szCs w:val="16"/>
          <w:color w:val="auto"/>
        </w:rPr>
        <w:t>from, and perform services for the Company or its Affiliates, and may otherwise deal with the Company or its Affiliates, as if it were not the Trustee.</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or any of the Guarantors,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not have any liability for any obligations of the Company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80" w:firstLine="656"/>
        <w:spacing w:after="0" w:line="263" w:lineRule="auto"/>
        <w:tabs>
          <w:tab w:leader="none" w:pos="1442"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3" w:lineRule="exact"/>
        <w:rPr>
          <w:rFonts w:ascii="Arial" w:cs="Arial" w:eastAsia="Arial" w:hAnsi="Arial"/>
          <w:sz w:val="18"/>
          <w:szCs w:val="18"/>
          <w:color w:val="auto"/>
        </w:rPr>
      </w:pPr>
    </w:p>
    <w:p>
      <w:pPr>
        <w:ind w:right="100" w:firstLine="656"/>
        <w:spacing w:after="0" w:line="275" w:lineRule="auto"/>
        <w:tabs>
          <w:tab w:leader="none" w:pos="1397"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CUSIP and ISIN Numbers</w:t>
      </w:r>
      <w:r>
        <w:rPr>
          <w:rFonts w:ascii="Arial" w:cs="Arial" w:eastAsia="Arial" w:hAnsi="Arial"/>
          <w:sz w:val="17"/>
          <w:szCs w:val="17"/>
          <w:color w:val="auto"/>
        </w:rPr>
        <w:t>. Pursuant to a recommendation promulgated by the Committee on Uniform Security Identification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the Company has caused CUSIP numbers to be printed on the Notes, and the Trustee may use CUSIP numbers in notices of redemption as a convenience to Holders. The Company has also caused ISINs to be printed on the Notes, and the Trustee may also use ISINs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6" w:lineRule="exact"/>
        <w:rPr>
          <w:rFonts w:ascii="Arial" w:cs="Arial" w:eastAsia="Arial" w:hAnsi="Arial"/>
          <w:sz w:val="17"/>
          <w:szCs w:val="17"/>
          <w:color w:val="auto"/>
        </w:rPr>
      </w:pPr>
    </w:p>
    <w:p>
      <w:pPr>
        <w:jc w:val="both"/>
        <w:ind w:right="160" w:firstLine="656"/>
        <w:spacing w:after="0" w:line="279" w:lineRule="auto"/>
        <w:tabs>
          <w:tab w:leader="none" w:pos="1397" w:val="left"/>
        </w:tabs>
        <w:numPr>
          <w:ilvl w:val="0"/>
          <w:numId w:val="193"/>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INDENTURE AND THIS NOTE, INCLUDING ANY NOTE GUARANTEES, AND THE RIGHTS AND</w:t>
      </w:r>
      <w:r>
        <w:rPr>
          <w:rFonts w:ascii="Arial" w:cs="Arial" w:eastAsia="Arial" w:hAnsi="Arial"/>
          <w:sz w:val="17"/>
          <w:szCs w:val="17"/>
          <w:i w:val="1"/>
          <w:iCs w:val="1"/>
          <w:color w:val="auto"/>
        </w:rPr>
        <w:t xml:space="preserve"> </w:t>
      </w:r>
      <w:r>
        <w:rPr>
          <w:rFonts w:ascii="Arial" w:cs="Arial" w:eastAsia="Arial" w:hAnsi="Arial"/>
          <w:sz w:val="17"/>
          <w:szCs w:val="17"/>
          <w:color w:val="auto"/>
        </w:rPr>
        <w:t>DUTIES OF THE PARTIES HEREUNDER AND THEREUNDER ARE AND SHALL BE GOVERNED BY, AND CONSTRUED IN ACCORDANCE WITH, THE LAWS OF THE STATE OF NEW YORK WITHOUT GIVING EFFECT TO APPLICABLE PRINCIPLES OF CONFLICTS OF LAW TO THE EXTENT THAT THE APPLICATION OF THE LAW OF ANOTHER JURISDICTION WOULD BE REQUIRED THEREBY.</w:t>
      </w:r>
    </w:p>
    <w:p>
      <w:pPr>
        <w:spacing w:after="0" w:line="171" w:lineRule="exact"/>
        <w:rPr>
          <w:rFonts w:ascii="Arial" w:cs="Arial" w:eastAsia="Arial" w:hAnsi="Arial"/>
          <w:sz w:val="17"/>
          <w:szCs w:val="17"/>
          <w:color w:val="auto"/>
        </w:rPr>
      </w:pPr>
    </w:p>
    <w:p>
      <w:pPr>
        <w:ind w:right="460" w:firstLine="656"/>
        <w:spacing w:after="0" w:line="277" w:lineRule="auto"/>
        <w:tabs>
          <w:tab w:leader="none" w:pos="1397"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Copies of Documents</w:t>
      </w:r>
      <w:r>
        <w:rPr>
          <w:rFonts w:ascii="Arial" w:cs="Arial" w:eastAsia="Arial" w:hAnsi="Arial"/>
          <w:sz w:val="18"/>
          <w:szCs w:val="18"/>
          <w:color w:val="auto"/>
        </w:rPr>
        <w:t>. The Company shall furnish to any Holder upon written request and without charge a copy of the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Requests may be made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Atul Saran, Esq.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Gaithersburg, MD 21079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Phone: (240) 631-3200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4" w:name="page115"/>
    <w:bookmarkEnd w:id="114"/>
    <w:p>
      <w:pPr>
        <w:jc w:val="center"/>
        <w:ind w:right="-99"/>
        <w:spacing w:after="0"/>
        <w:rPr>
          <w:sz w:val="20"/>
          <w:szCs w:val="20"/>
          <w:color w:val="auto"/>
        </w:rPr>
      </w:pPr>
      <w:r>
        <w:rPr>
          <w:rFonts w:ascii="Arial" w:cs="Arial" w:eastAsia="Arial" w:hAnsi="Arial"/>
          <w:sz w:val="18"/>
          <w:szCs w:val="18"/>
          <w:color w:val="auto"/>
        </w:rPr>
        <w:t>ASSIGNMENT FORM</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To assign this Note, fill in the form below:</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or (we) assign and transfer this Note to:</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572135</wp:posOffset>
            </wp:positionV>
            <wp:extent cx="49974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288925</wp:posOffset>
            </wp:positionV>
            <wp:extent cx="4997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97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irrevocably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974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transfer this Note on the books of the 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4998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-41275</wp:posOffset>
            </wp:positionV>
            <wp:extent cx="2854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6" w:lineRule="exact"/>
        <w:rPr>
          <w:sz w:val="20"/>
          <w:szCs w:val="20"/>
          <w:color w:val="auto"/>
        </w:rPr>
      </w:pPr>
    </w:p>
    <w:p>
      <w:pPr>
        <w:ind w:left="5480" w:right="1500" w:hanging="5472"/>
        <w:spacing w:after="0" w:line="618" w:lineRule="auto"/>
        <w:tabs>
          <w:tab w:leader="none" w:pos="652" w:val="left"/>
        </w:tabs>
        <w:numPr>
          <w:ilvl w:val="0"/>
          <w:numId w:val="194"/>
        </w:numPr>
        <w:rPr>
          <w:rFonts w:ascii="Arial" w:cs="Arial" w:eastAsia="Arial" w:hAnsi="Arial"/>
          <w:sz w:val="30"/>
          <w:szCs w:val="30"/>
          <w:color w:val="auto"/>
          <w:vertAlign w:val="superscript"/>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8" w:right="479" w:bottom="1440" w:gutter="0" w:footer="0" w:header="0"/>
        </w:sectPr>
      </w:pPr>
    </w:p>
    <w:bookmarkStart w:id="115" w:name="page116"/>
    <w:bookmarkEnd w:id="115"/>
    <w:p>
      <w:pPr>
        <w:jc w:val="center"/>
        <w:ind w:right="-25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Company pursuant to Section 4.10 or 4.15 of the Indenture, check the appropriate box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78" w:lineRule="exact"/>
        <w:rPr>
          <w:sz w:val="20"/>
          <w:szCs w:val="20"/>
          <w:color w:val="auto"/>
        </w:rPr>
      </w:pPr>
    </w:p>
    <w:p>
      <w:pPr>
        <w:ind w:left="4660" w:hanging="210"/>
        <w:spacing w:after="0" w:line="207" w:lineRule="exact"/>
        <w:tabs>
          <w:tab w:leader="none" w:pos="4660" w:val="left"/>
        </w:tabs>
        <w:numPr>
          <w:ilvl w:val="0"/>
          <w:numId w:val="195"/>
        </w:numPr>
        <w:rPr>
          <w:rFonts w:ascii="MS PGothic" w:cs="MS PGothic" w:eastAsia="MS PGothic" w:hAnsi="MS PGothic"/>
          <w:sz w:val="18"/>
          <w:szCs w:val="18"/>
          <w:color w:val="auto"/>
        </w:rPr>
      </w:pPr>
      <w:r>
        <w:rPr>
          <w:rFonts w:ascii="Arial" w:cs="Arial" w:eastAsia="Arial" w:hAnsi="Arial"/>
          <w:sz w:val="18"/>
          <w:szCs w:val="18"/>
          <w:color w:val="auto"/>
        </w:rPr>
        <w:t xml:space="preserve">Section 4.10 </w:t>
      </w:r>
      <w:r>
        <w:rPr>
          <w:rFonts w:ascii="MS PGothic" w:cs="MS PGothic" w:eastAsia="MS PGothic" w:hAnsi="MS PGothic"/>
          <w:sz w:val="18"/>
          <w:szCs w:val="18"/>
          <w:color w:val="auto"/>
        </w:rPr>
        <w:t>☐</w:t>
      </w:r>
      <w:r>
        <w:rPr>
          <w:rFonts w:ascii="Arial" w:cs="Arial" w:eastAsia="Arial" w:hAnsi="Arial"/>
          <w:sz w:val="18"/>
          <w:szCs w:val="18"/>
          <w:color w:val="auto"/>
        </w:rPr>
        <w:t xml:space="preserve"> Section 4.15</w:t>
      </w:r>
    </w:p>
    <w:p>
      <w:pPr>
        <w:spacing w:after="0" w:line="2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or Section 4.15 of the Indenture, state the amount you elect to have purchased: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520" w:type="dxa"/>
            <w:vAlign w:val="bottom"/>
            <w:gridSpan w:val="2"/>
          </w:tcPr>
          <w:p>
            <w:pPr>
              <w:ind w:left="5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Borders>
              <w:bottom w:val="single" w:sz="8" w:color="auto"/>
            </w:tcBorders>
          </w:tcPr>
          <w:p>
            <w:pPr>
              <w:spacing w:after="0"/>
              <w:rPr>
                <w:sz w:val="19"/>
                <w:szCs w:val="19"/>
                <w:color w:val="auto"/>
              </w:rPr>
            </w:pPr>
          </w:p>
        </w:tc>
        <w:tc>
          <w:tcPr>
            <w:tcW w:w="2920" w:type="dxa"/>
            <w:vAlign w:val="bottom"/>
          </w:tcPr>
          <w:p>
            <w:pPr>
              <w:ind w:left="2580"/>
              <w:spacing w:after="0"/>
              <w:rPr>
                <w:sz w:val="20"/>
                <w:szCs w:val="20"/>
                <w:color w:val="auto"/>
              </w:rPr>
            </w:pPr>
            <w:r>
              <w:rPr>
                <w:rFonts w:ascii="Arial" w:cs="Arial" w:eastAsia="Arial" w:hAnsi="Arial"/>
                <w:sz w:val="18"/>
                <w:szCs w:val="18"/>
                <w:color w:val="auto"/>
                <w:w w:val="84"/>
              </w:rPr>
              <w:t>Your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87"/>
              </w:rPr>
              <w:t>Signature:</w:t>
            </w:r>
          </w:p>
        </w:tc>
      </w:tr>
    </w:tbl>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168910</wp:posOffset>
            </wp:positionV>
            <wp:extent cx="35572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r>
        <w:rPr>
          <w:rFonts w:ascii="Arial" w:cs="Arial" w:eastAsia="Arial" w:hAnsi="Arial"/>
          <w:sz w:val="29"/>
          <w:szCs w:val="29"/>
          <w:color w:val="auto"/>
          <w:vertAlign w:val="superscript"/>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83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2" w:lineRule="exact"/>
        <w:rPr>
          <w:sz w:val="20"/>
          <w:szCs w:val="20"/>
          <w:color w:val="auto"/>
        </w:rPr>
      </w:pPr>
    </w:p>
    <w:p>
      <w:pPr>
        <w:ind w:left="5440" w:right="1720" w:hanging="5432"/>
        <w:spacing w:after="0" w:line="618" w:lineRule="auto"/>
        <w:tabs>
          <w:tab w:leader="none" w:pos="333" w:val="left"/>
        </w:tabs>
        <w:numPr>
          <w:ilvl w:val="0"/>
          <w:numId w:val="196"/>
        </w:numPr>
        <w:rPr>
          <w:rFonts w:ascii="Arial" w:cs="Arial" w:eastAsia="Arial" w:hAnsi="Arial"/>
          <w:sz w:val="30"/>
          <w:szCs w:val="30"/>
          <w:color w:val="auto"/>
          <w:vertAlign w:val="superscript"/>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SCHEDULE OF EXCHANGES OF INTERESTS IN THE GLOBAL NOTE</w:t>
      </w:r>
      <w:r>
        <w:rPr>
          <w:rFonts w:ascii="Arial" w:cs="Arial" w:eastAsia="Arial" w:hAnsi="Arial"/>
          <w:sz w:val="29"/>
          <w:szCs w:val="29"/>
          <w:color w:val="auto"/>
          <w:vertAlign w:val="superscript"/>
        </w:rPr>
        <w:t>10</w:t>
      </w:r>
    </w:p>
    <w:p>
      <w:pPr>
        <w:spacing w:after="0" w:line="13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Amount of</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Amount of</w:t>
            </w:r>
          </w:p>
        </w:tc>
        <w:tc>
          <w:tcPr>
            <w:tcW w:w="1780" w:type="dxa"/>
            <w:vAlign w:val="bottom"/>
            <w:gridSpan w:val="2"/>
          </w:tcPr>
          <w:p>
            <w:pPr>
              <w:spacing w:after="0"/>
              <w:rPr>
                <w:sz w:val="20"/>
                <w:szCs w:val="20"/>
                <w:color w:val="auto"/>
              </w:rPr>
            </w:pPr>
            <w:r>
              <w:rPr>
                <w:rFonts w:ascii="Arial" w:cs="Arial" w:eastAsia="Arial" w:hAnsi="Arial"/>
                <w:sz w:val="18"/>
                <w:szCs w:val="18"/>
                <w:color w:val="auto"/>
              </w:rPr>
              <w:t>Amount of this</w:t>
            </w:r>
          </w:p>
        </w:tc>
        <w:tc>
          <w:tcPr>
            <w:tcW w:w="1680" w:type="dxa"/>
            <w:vAlign w:val="bottom"/>
          </w:tcPr>
          <w:p>
            <w:pPr>
              <w:spacing w:after="0"/>
              <w:rPr>
                <w:sz w:val="20"/>
                <w:szCs w:val="20"/>
                <w:color w:val="auto"/>
              </w:rPr>
            </w:pPr>
            <w:r>
              <w:rPr>
                <w:rFonts w:ascii="Arial" w:cs="Arial" w:eastAsia="Arial" w:hAnsi="Arial"/>
                <w:sz w:val="18"/>
                <w:szCs w:val="18"/>
                <w:color w:val="auto"/>
              </w:rPr>
              <w:t>Signature of</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decrease in</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increase in</w:t>
            </w:r>
          </w:p>
        </w:tc>
        <w:tc>
          <w:tcPr>
            <w:tcW w:w="1780" w:type="dxa"/>
            <w:vAlign w:val="bottom"/>
            <w:gridSpan w:val="2"/>
          </w:tcPr>
          <w:p>
            <w:pPr>
              <w:spacing w:after="0"/>
              <w:rPr>
                <w:sz w:val="20"/>
                <w:szCs w:val="20"/>
                <w:color w:val="auto"/>
              </w:rPr>
            </w:pPr>
            <w:r>
              <w:rPr>
                <w:rFonts w:ascii="Arial" w:cs="Arial" w:eastAsia="Arial" w:hAnsi="Arial"/>
                <w:sz w:val="18"/>
                <w:szCs w:val="18"/>
                <w:color w:val="auto"/>
              </w:rPr>
              <w:t>Global Note</w:t>
            </w:r>
          </w:p>
        </w:tc>
        <w:tc>
          <w:tcPr>
            <w:tcW w:w="1680" w:type="dxa"/>
            <w:vAlign w:val="bottom"/>
          </w:tcPr>
          <w:p>
            <w:pPr>
              <w:spacing w:after="0"/>
              <w:rPr>
                <w:sz w:val="20"/>
                <w:szCs w:val="20"/>
                <w:color w:val="auto"/>
              </w:rPr>
            </w:pPr>
            <w:r>
              <w:rPr>
                <w:rFonts w:ascii="Arial" w:cs="Arial" w:eastAsia="Arial" w:hAnsi="Arial"/>
                <w:sz w:val="18"/>
                <w:szCs w:val="18"/>
                <w:color w:val="auto"/>
              </w:rPr>
              <w:t>authorized</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Principal</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Principal</w:t>
            </w:r>
          </w:p>
        </w:tc>
        <w:tc>
          <w:tcPr>
            <w:tcW w:w="1780" w:type="dxa"/>
            <w:vAlign w:val="bottom"/>
            <w:gridSpan w:val="2"/>
          </w:tcPr>
          <w:p>
            <w:pPr>
              <w:spacing w:after="0"/>
              <w:rPr>
                <w:sz w:val="20"/>
                <w:szCs w:val="20"/>
                <w:color w:val="auto"/>
              </w:rPr>
            </w:pPr>
            <w:r>
              <w:rPr>
                <w:rFonts w:ascii="Arial" w:cs="Arial" w:eastAsia="Arial" w:hAnsi="Arial"/>
                <w:sz w:val="18"/>
                <w:szCs w:val="18"/>
                <w:color w:val="auto"/>
              </w:rPr>
              <w:t>following such</w:t>
            </w:r>
          </w:p>
        </w:tc>
        <w:tc>
          <w:tcPr>
            <w:tcW w:w="1680" w:type="dxa"/>
            <w:vAlign w:val="bottom"/>
          </w:tcPr>
          <w:p>
            <w:pPr>
              <w:spacing w:after="0"/>
              <w:rPr>
                <w:sz w:val="20"/>
                <w:szCs w:val="20"/>
                <w:color w:val="auto"/>
              </w:rPr>
            </w:pPr>
            <w:r>
              <w:rPr>
                <w:rFonts w:ascii="Arial" w:cs="Arial" w:eastAsia="Arial" w:hAnsi="Arial"/>
                <w:sz w:val="18"/>
                <w:szCs w:val="18"/>
                <w:color w:val="auto"/>
              </w:rPr>
              <w:t>officer of</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Amount of this</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Amount of this</w:t>
            </w:r>
          </w:p>
        </w:tc>
        <w:tc>
          <w:tcPr>
            <w:tcW w:w="1780" w:type="dxa"/>
            <w:vAlign w:val="bottom"/>
            <w:gridSpan w:val="2"/>
          </w:tcPr>
          <w:p>
            <w:pPr>
              <w:spacing w:after="0"/>
              <w:rPr>
                <w:sz w:val="20"/>
                <w:szCs w:val="20"/>
                <w:color w:val="auto"/>
              </w:rPr>
            </w:pPr>
            <w:r>
              <w:rPr>
                <w:rFonts w:ascii="Arial" w:cs="Arial" w:eastAsia="Arial" w:hAnsi="Arial"/>
                <w:sz w:val="18"/>
                <w:szCs w:val="18"/>
                <w:color w:val="auto"/>
              </w:rPr>
              <w:t>decrease (or</w:t>
            </w:r>
          </w:p>
        </w:tc>
        <w:tc>
          <w:tcPr>
            <w:tcW w:w="1680" w:type="dxa"/>
            <w:vAlign w:val="bottom"/>
          </w:tcPr>
          <w:p>
            <w:pPr>
              <w:spacing w:after="0"/>
              <w:rPr>
                <w:sz w:val="20"/>
                <w:szCs w:val="20"/>
                <w:color w:val="auto"/>
              </w:rPr>
            </w:pPr>
            <w:r>
              <w:rPr>
                <w:rFonts w:ascii="Arial" w:cs="Arial" w:eastAsia="Arial" w:hAnsi="Arial"/>
                <w:sz w:val="18"/>
                <w:szCs w:val="18"/>
                <w:color w:val="auto"/>
              </w:rPr>
              <w:t>Trustee or</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Date of Exchange</w:t>
            </w: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Global Note</w:t>
            </w:r>
          </w:p>
        </w:tc>
        <w:tc>
          <w:tcPr>
            <w:tcW w:w="1920" w:type="dxa"/>
            <w:vAlign w:val="bottom"/>
            <w:gridSpan w:val="3"/>
          </w:tcPr>
          <w:p>
            <w:pPr>
              <w:ind w:left="120"/>
              <w:spacing w:after="0"/>
              <w:rPr>
                <w:sz w:val="20"/>
                <w:szCs w:val="20"/>
                <w:color w:val="auto"/>
              </w:rPr>
            </w:pPr>
            <w:r>
              <w:rPr>
                <w:rFonts w:ascii="Arial" w:cs="Arial" w:eastAsia="Arial" w:hAnsi="Arial"/>
                <w:sz w:val="18"/>
                <w:szCs w:val="18"/>
                <w:color w:val="auto"/>
              </w:rPr>
              <w:t>Global Note</w:t>
            </w:r>
          </w:p>
        </w:tc>
        <w:tc>
          <w:tcPr>
            <w:tcW w:w="1780" w:type="dxa"/>
            <w:vAlign w:val="bottom"/>
            <w:gridSpan w:val="2"/>
          </w:tcPr>
          <w:p>
            <w:pPr>
              <w:spacing w:after="0"/>
              <w:rPr>
                <w:sz w:val="20"/>
                <w:szCs w:val="20"/>
                <w:color w:val="auto"/>
              </w:rPr>
            </w:pPr>
            <w:r>
              <w:rPr>
                <w:rFonts w:ascii="Arial" w:cs="Arial" w:eastAsia="Arial" w:hAnsi="Arial"/>
                <w:sz w:val="18"/>
                <w:szCs w:val="18"/>
                <w:color w:val="auto"/>
              </w:rPr>
              <w:t>increase)</w:t>
            </w:r>
          </w:p>
        </w:tc>
        <w:tc>
          <w:tcPr>
            <w:tcW w:w="1680" w:type="dxa"/>
            <w:vAlign w:val="bottom"/>
          </w:tcPr>
          <w:p>
            <w:pPr>
              <w:spacing w:after="0"/>
              <w:rPr>
                <w:sz w:val="20"/>
                <w:szCs w:val="20"/>
                <w:color w:val="auto"/>
              </w:rPr>
            </w:pPr>
            <w:r>
              <w:rPr>
                <w:rFonts w:ascii="Arial" w:cs="Arial" w:eastAsia="Arial" w:hAnsi="Arial"/>
                <w:sz w:val="18"/>
                <w:szCs w:val="18"/>
                <w:color w:val="auto"/>
              </w:rPr>
              <w:t>Custodian</w:t>
            </w:r>
          </w:p>
        </w:tc>
      </w:tr>
      <w:tr>
        <w:trPr>
          <w:trHeight w:val="209"/>
        </w:trPr>
        <w:tc>
          <w:tcPr>
            <w:tcW w:w="28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ind w:left="5440" w:right="5220" w:hanging="5432"/>
        <w:spacing w:after="0" w:line="739" w:lineRule="auto"/>
        <w:tabs>
          <w:tab w:leader="none" w:pos="654" w:val="left"/>
        </w:tabs>
        <w:numPr>
          <w:ilvl w:val="0"/>
          <w:numId w:val="197"/>
        </w:numPr>
        <w:rPr>
          <w:rFonts w:ascii="Arial" w:cs="Arial" w:eastAsia="Arial" w:hAnsi="Arial"/>
          <w:sz w:val="27"/>
          <w:szCs w:val="27"/>
          <w:color w:val="auto"/>
          <w:vertAlign w:val="superscript"/>
        </w:rPr>
      </w:pPr>
      <w:r>
        <w:rPr>
          <w:rFonts w:ascii="Arial" w:cs="Arial" w:eastAsia="Arial" w:hAnsi="Arial"/>
          <w:sz w:val="16"/>
          <w:szCs w:val="16"/>
          <w:color w:val="auto"/>
        </w:rPr>
        <w:t>This schedule should be included only if the Note is issued in global form.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 the principal amount of</w:t>
      </w:r>
    </w:p>
    <w:p>
      <w:pPr>
        <w:spacing w:after="0" w:line="46" w:lineRule="exact"/>
        <w:rPr>
          <w:sz w:val="20"/>
          <w:szCs w:val="20"/>
          <w:color w:val="auto"/>
        </w:rPr>
      </w:pPr>
    </w:p>
    <w:p>
      <w:pPr>
        <w:spacing w:after="0"/>
        <w:tabs>
          <w:tab w:leader="none" w:pos="400" w:val="left"/>
          <w:tab w:leader="none" w:pos="4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such Note[s] or interests (the “</w:t>
      </w:r>
      <w:r>
        <w:rPr>
          <w:rFonts w:ascii="Arial" w:cs="Arial" w:eastAsia="Arial" w:hAnsi="Arial"/>
          <w:sz w:val="18"/>
          <w:szCs w:val="18"/>
          <w:i w:val="1"/>
          <w:iCs w:val="1"/>
          <w:color w:val="auto"/>
        </w:rPr>
        <w:t>Transfer</w:t>
      </w:r>
      <w:r>
        <w:rPr>
          <w:rFonts w:ascii="Arial" w:cs="Arial" w:eastAsia="Arial" w:hAnsi="Arial"/>
          <w:sz w:val="18"/>
          <w:szCs w:val="18"/>
          <w:color w:val="auto"/>
        </w:rPr>
        <w:t>”), to</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Transferee</w:t>
      </w:r>
      <w:r>
        <w:rPr>
          <w:rFonts w:ascii="Arial" w:cs="Arial" w:eastAsia="Arial" w:hAnsi="Arial"/>
          <w:sz w:val="16"/>
          <w:szCs w:val="16"/>
          <w:color w:val="auto"/>
        </w:rPr>
        <w:t>”), as further specified in Annex A hereto. In connection with the Transfer,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2" w:lineRule="exact"/>
        <w:rPr>
          <w:sz w:val="20"/>
          <w:szCs w:val="20"/>
          <w:color w:val="auto"/>
        </w:rPr>
      </w:pPr>
    </w:p>
    <w:p>
      <w:pPr>
        <w:ind w:right="60" w:firstLine="656"/>
        <w:spacing w:after="0" w:line="221" w:lineRule="exact"/>
        <w:tabs>
          <w:tab w:leader="none" w:pos="1323" w:val="left"/>
        </w:tabs>
        <w:numPr>
          <w:ilvl w:val="1"/>
          <w:numId w:val="198"/>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to Rule 144A</w:t>
      </w:r>
      <w:r>
        <w:rPr>
          <w:rFonts w:ascii="Arial" w:cs="Arial" w:eastAsia="Arial" w:hAnsi="Arial"/>
          <w:sz w:val="17"/>
          <w:szCs w:val="17"/>
          <w:color w:val="auto"/>
        </w:rPr>
        <w:t>. 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Arial" w:cs="Arial" w:eastAsia="Arial" w:hAnsi="Arial"/>
          <w:sz w:val="17"/>
          <w:szCs w:val="17"/>
          <w:color w:val="auto"/>
        </w:rPr>
      </w:pPr>
    </w:p>
    <w:p>
      <w:pPr>
        <w:ind w:right="160" w:firstLine="656"/>
        <w:spacing w:after="0" w:line="223" w:lineRule="exact"/>
        <w:tabs>
          <w:tab w:leader="none" w:pos="1323" w:val="left"/>
        </w:tabs>
        <w:numPr>
          <w:ilvl w:val="1"/>
          <w:numId w:val="198"/>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the Regulation S Global Note or a Restricted Definitive Note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pursuant to Regulation S</w:t>
      </w:r>
      <w:r>
        <w:rPr>
          <w:rFonts w:ascii="Arial" w:cs="Arial" w:eastAsia="Arial" w:hAnsi="Arial"/>
          <w:sz w:val="16"/>
          <w:szCs w:val="16"/>
          <w:color w:val="auto"/>
        </w:rPr>
        <w:t>. 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w:t>
      </w:r>
    </w:p>
    <w:p>
      <w:pPr>
        <w:spacing w:after="0" w:line="2" w:lineRule="exact"/>
        <w:rPr>
          <w:rFonts w:ascii="Arial" w:cs="Arial" w:eastAsia="Arial" w:hAnsi="Arial"/>
          <w:sz w:val="16"/>
          <w:szCs w:val="16"/>
          <w:color w:val="auto"/>
        </w:rPr>
      </w:pPr>
    </w:p>
    <w:p>
      <w:pPr>
        <w:jc w:val="both"/>
        <w:ind w:right="260" w:firstLine="8"/>
        <w:spacing w:after="0" w:line="271" w:lineRule="auto"/>
        <w:tabs>
          <w:tab w:leader="none" w:pos="31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transaction is not part of a plan or scheme to evade the registration requirements of the Securities Act and (iv) if the proposed transfer is being made prior to the expiration of B-1 the Restricted Period, the transfer is not being made to a U.S. Person or for the account or benefit of a U.S. Person (other than the Initial Purchasers).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8" w:name="page119"/>
    <w:bookmarkEnd w:id="118"/>
    <w:p>
      <w:pPr>
        <w:ind w:left="-20" w:right="40" w:firstLine="656"/>
        <w:spacing w:after="0" w:line="226" w:lineRule="exact"/>
        <w:tabs>
          <w:tab w:leader="none" w:pos="1303" w:val="left"/>
        </w:tabs>
        <w:numPr>
          <w:ilvl w:val="0"/>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Check and complete if Transferee will take delivery of a beneficial interest in the IAI Global Note or a Restricted Definitive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Note pursuant to any provision of the Securities Act other than Rule 144A or Regulation S</w:t>
      </w:r>
      <w:r>
        <w:rPr>
          <w:rFonts w:ascii="Arial" w:cs="Arial" w:eastAsia="Arial" w:hAnsi="Arial"/>
          <w:sz w:val="18"/>
          <w:szCs w:val="18"/>
          <w:color w:val="auto"/>
        </w:rPr>
        <w:t>. The Transfer is being effected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0" w:lineRule="exact"/>
        <w:rPr>
          <w:rFonts w:ascii="Arial" w:cs="Arial" w:eastAsia="Arial" w:hAnsi="Arial"/>
          <w:sz w:val="18"/>
          <w:szCs w:val="18"/>
          <w:color w:val="auto"/>
        </w:rPr>
      </w:pPr>
    </w:p>
    <w:p>
      <w:pPr>
        <w:ind w:left="2020" w:hanging="736"/>
        <w:spacing w:after="0" w:line="207" w:lineRule="exact"/>
        <w:tabs>
          <w:tab w:leader="none" w:pos="2020"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 or</w:t>
      </w:r>
    </w:p>
    <w:p>
      <w:pPr>
        <w:spacing w:after="0" w:line="225" w:lineRule="exact"/>
        <w:rPr>
          <w:rFonts w:ascii="Arial" w:cs="Arial" w:eastAsia="Arial" w:hAnsi="Arial"/>
          <w:sz w:val="18"/>
          <w:szCs w:val="18"/>
          <w:color w:val="auto"/>
        </w:rPr>
      </w:pPr>
    </w:p>
    <w:p>
      <w:pPr>
        <w:ind w:left="2040" w:hanging="756"/>
        <w:spacing w:after="0" w:line="207" w:lineRule="exact"/>
        <w:tabs>
          <w:tab w:leader="none" w:pos="2040"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225" w:lineRule="exact"/>
        <w:rPr>
          <w:rFonts w:ascii="Arial" w:cs="Arial" w:eastAsia="Arial" w:hAnsi="Arial"/>
          <w:sz w:val="18"/>
          <w:szCs w:val="18"/>
          <w:color w:val="auto"/>
        </w:rPr>
      </w:pPr>
    </w:p>
    <w:p>
      <w:pPr>
        <w:ind w:left="640" w:right="280" w:firstLine="644"/>
        <w:spacing w:after="0" w:line="239" w:lineRule="exact"/>
        <w:tabs>
          <w:tab w:leader="none" w:pos="2027" w:val="left"/>
        </w:tabs>
        <w:numPr>
          <w:ilvl w:val="1"/>
          <w:numId w:val="20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 or</w:t>
      </w:r>
    </w:p>
    <w:p>
      <w:pPr>
        <w:spacing w:after="0" w:line="170" w:lineRule="exact"/>
        <w:rPr>
          <w:rFonts w:ascii="Arial" w:cs="Arial" w:eastAsia="Arial" w:hAnsi="Arial"/>
          <w:sz w:val="18"/>
          <w:szCs w:val="18"/>
          <w:color w:val="auto"/>
        </w:rPr>
      </w:pPr>
    </w:p>
    <w:p>
      <w:pPr>
        <w:ind w:left="640" w:firstLine="644"/>
        <w:spacing w:after="0" w:line="220" w:lineRule="exact"/>
        <w:tabs>
          <w:tab w:leader="none" w:pos="2037" w:val="left"/>
        </w:tabs>
        <w:numPr>
          <w:ilvl w:val="1"/>
          <w:numId w:val="20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6" w:lineRule="exact"/>
        <w:rPr>
          <w:rFonts w:ascii="Arial" w:cs="Arial" w:eastAsia="Arial" w:hAnsi="Arial"/>
          <w:sz w:val="17"/>
          <w:szCs w:val="17"/>
          <w:color w:val="auto"/>
        </w:rPr>
      </w:pPr>
    </w:p>
    <w:p>
      <w:pPr>
        <w:ind w:left="820" w:hanging="184"/>
        <w:spacing w:after="0" w:line="184" w:lineRule="exact"/>
        <w:tabs>
          <w:tab w:leader="none" w:pos="820" w:val="left"/>
        </w:tabs>
        <w:numPr>
          <w:ilvl w:val="0"/>
          <w:numId w:val="20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Check if Transferee will take delivery of a beneficial interest in an Unrestricted Global Note or of an Unrestricted Definitive Note</w:t>
      </w:r>
      <w:r>
        <w:rPr>
          <w:rFonts w:ascii="Arial" w:cs="Arial" w:eastAsia="Arial" w:hAnsi="Arial"/>
          <w:sz w:val="16"/>
          <w:szCs w:val="16"/>
          <w:u w:val="single" w:color="auto"/>
          <w:color w:val="auto"/>
        </w:rPr>
        <w:t>.</w:t>
      </w:r>
    </w:p>
    <w:p>
      <w:pPr>
        <w:spacing w:after="0" w:line="248" w:lineRule="exact"/>
        <w:rPr>
          <w:rFonts w:ascii="Arial" w:cs="Arial" w:eastAsia="Arial" w:hAnsi="Arial"/>
          <w:sz w:val="16"/>
          <w:szCs w:val="16"/>
          <w:color w:val="auto"/>
        </w:rPr>
      </w:pPr>
    </w:p>
    <w:p>
      <w:pPr>
        <w:ind w:left="640" w:firstLine="644"/>
        <w:spacing w:after="0" w:line="224" w:lineRule="exact"/>
        <w:tabs>
          <w:tab w:leader="none" w:pos="2027" w:val="left"/>
        </w:tabs>
        <w:numPr>
          <w:ilvl w:val="1"/>
          <w:numId w:val="200"/>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Transfer is pursuant to Rule 144</w:t>
      </w:r>
      <w:r>
        <w:rPr>
          <w:rFonts w:ascii="Arial" w:cs="Arial" w:eastAsia="Arial" w:hAnsi="Arial"/>
          <w:sz w:val="16"/>
          <w:szCs w:val="16"/>
          <w:color w:val="auto"/>
        </w:rPr>
        <w:t>. (i) The Transfer is being effected pursuant to and in accordance with Rule 144</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6"/>
          <w:szCs w:val="16"/>
          <w:color w:val="auto"/>
        </w:rPr>
      </w:pPr>
    </w:p>
    <w:p>
      <w:pPr>
        <w:ind w:left="2040" w:hanging="756"/>
        <w:spacing w:after="0" w:line="196" w:lineRule="exact"/>
        <w:tabs>
          <w:tab w:leader="none" w:pos="2040" w:val="left"/>
        </w:tabs>
        <w:numPr>
          <w:ilvl w:val="1"/>
          <w:numId w:val="20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w:t>
      </w:r>
    </w:p>
    <w:p>
      <w:pPr>
        <w:spacing w:after="0" w:line="69"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or Restricted Definitive Notes and in the Indenture.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875" w:right="359" w:bottom="1440" w:gutter="0" w:footer="0" w:header="0"/>
        </w:sectPr>
      </w:pPr>
    </w:p>
    <w:bookmarkStart w:id="119" w:name="page120"/>
    <w:bookmarkEnd w:id="119"/>
    <w:p>
      <w:pPr>
        <w:ind w:left="660" w:right="60" w:firstLine="644"/>
        <w:spacing w:after="0" w:line="223" w:lineRule="exact"/>
        <w:tabs>
          <w:tab w:leader="none" w:pos="2047" w:val="left"/>
        </w:tabs>
        <w:numPr>
          <w:ilvl w:val="0"/>
          <w:numId w:val="20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Other Exemption</w:t>
      </w:r>
      <w:r>
        <w:rPr>
          <w:rFonts w:ascii="Arial" w:cs="Arial" w:eastAsia="Arial" w:hAnsi="Arial"/>
          <w:sz w:val="17"/>
          <w:szCs w:val="17"/>
          <w:color w:val="auto"/>
        </w:rPr>
        <w:t>. (i) The Transfer is being effected pursuant to and in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0" w:name="page121"/>
    <w:bookmarkEnd w:id="120"/>
    <w:p>
      <w:pPr>
        <w:jc w:val="right"/>
        <w:ind w:right="277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720" w:hanging="712"/>
        <w:spacing w:after="0"/>
        <w:tabs>
          <w:tab w:leader="none" w:pos="7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[CHECK ONE OF (a) OR (b)]</w:t>
      </w:r>
    </w:p>
    <w:p>
      <w:pPr>
        <w:spacing w:after="0" w:line="192" w:lineRule="exact"/>
        <w:rPr>
          <w:sz w:val="20"/>
          <w:szCs w:val="20"/>
          <w:color w:val="auto"/>
        </w:rPr>
      </w:pPr>
    </w:p>
    <w:p>
      <w:pPr>
        <w:ind w:left="2040" w:hanging="736"/>
        <w:spacing w:after="0" w:line="207" w:lineRule="exact"/>
        <w:tabs>
          <w:tab w:leader="none" w:pos="2040" w:val="left"/>
        </w:tabs>
        <w:numPr>
          <w:ilvl w:val="0"/>
          <w:numId w:val="20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beneficial interest in the:</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(i)</w:t>
            </w:r>
          </w:p>
        </w:tc>
        <w:tc>
          <w:tcPr>
            <w:tcW w:w="2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w:t>
            </w:r>
          </w:p>
        </w:tc>
        <w:tc>
          <w:tcPr>
            <w:tcW w:w="720" w:type="dxa"/>
            <w:vAlign w:val="bottom"/>
          </w:tcPr>
          <w:p>
            <w:pPr>
              <w:ind w:left="280"/>
              <w:spacing w:after="0"/>
              <w:rPr>
                <w:sz w:val="20"/>
                <w:szCs w:val="20"/>
                <w:color w:val="auto"/>
              </w:rPr>
            </w:pPr>
            <w:r>
              <w:rPr>
                <w:rFonts w:ascii="Arial" w:cs="Arial" w:eastAsia="Arial" w:hAnsi="Arial"/>
                <w:sz w:val="18"/>
                <w:szCs w:val="18"/>
                <w:color w:val="auto"/>
              </w:rPr>
              <w:t>), or</w:t>
            </w:r>
          </w:p>
        </w:tc>
        <w:tc>
          <w:tcPr>
            <w:tcW w:w="44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w:t>
            </w:r>
          </w:p>
        </w:tc>
        <w:tc>
          <w:tcPr>
            <w:tcW w:w="3280" w:type="dxa"/>
            <w:vAlign w:val="bottom"/>
            <w:gridSpan w:val="2"/>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w:t>
            </w:r>
          </w:p>
        </w:tc>
        <w:tc>
          <w:tcPr>
            <w:tcW w:w="440" w:type="dxa"/>
            <w:vAlign w:val="bottom"/>
          </w:tcPr>
          <w:p>
            <w:pPr>
              <w:ind w:left="140"/>
              <w:spacing w:after="0"/>
              <w:rPr>
                <w:sz w:val="20"/>
                <w:szCs w:val="20"/>
                <w:color w:val="auto"/>
              </w:rPr>
            </w:pPr>
            <w:r>
              <w:rPr>
                <w:rFonts w:ascii="Arial" w:cs="Arial" w:eastAsia="Arial" w:hAnsi="Arial"/>
                <w:sz w:val="18"/>
                <w:szCs w:val="18"/>
                <w:color w:val="auto"/>
                <w:w w:val="87"/>
              </w:rPr>
              <w:t>), or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25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IAI Global Note (CUSIP</w:t>
            </w:r>
          </w:p>
        </w:tc>
        <w:tc>
          <w:tcPr>
            <w:tcW w:w="720" w:type="dxa"/>
            <w:vAlign w:val="bottom"/>
          </w:tcPr>
          <w:p>
            <w:pPr>
              <w:ind w:left="220"/>
              <w:spacing w:after="0"/>
              <w:rPr>
                <w:sz w:val="20"/>
                <w:szCs w:val="20"/>
                <w:color w:val="auto"/>
              </w:rPr>
            </w:pPr>
            <w:r>
              <w:rPr>
                <w:rFonts w:ascii="Arial" w:cs="Arial" w:eastAsia="Arial" w:hAnsi="Arial"/>
                <w:sz w:val="18"/>
                <w:szCs w:val="18"/>
                <w:color w:val="auto"/>
              </w:rPr>
              <w:t>); or</w:t>
            </w:r>
          </w:p>
        </w:tc>
        <w:tc>
          <w:tcPr>
            <w:tcW w:w="440" w:type="dxa"/>
            <w:vAlign w:val="bottom"/>
          </w:tcPr>
          <w:p>
            <w:pPr>
              <w:spacing w:after="0"/>
              <w:rPr>
                <w:sz w:val="24"/>
                <w:szCs w:val="24"/>
                <w:color w:val="auto"/>
              </w:rPr>
            </w:pPr>
          </w:p>
        </w:tc>
      </w:tr>
    </w:tbl>
    <w:p>
      <w:pPr>
        <w:spacing w:after="0" w:line="149" w:lineRule="exact"/>
        <w:rPr>
          <w:sz w:val="20"/>
          <w:szCs w:val="20"/>
          <w:color w:val="auto"/>
        </w:rPr>
      </w:pPr>
    </w:p>
    <w:p>
      <w:pPr>
        <w:ind w:left="2060" w:hanging="756"/>
        <w:spacing w:after="0" w:line="207" w:lineRule="exact"/>
        <w:tabs>
          <w:tab w:leader="none" w:pos="2060" w:val="left"/>
        </w:tabs>
        <w:numPr>
          <w:ilvl w:val="1"/>
          <w:numId w:val="20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720" w:hanging="712"/>
        <w:spacing w:after="0"/>
        <w:tabs>
          <w:tab w:leader="none" w:pos="7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[CHECK ONE]</w:t>
      </w:r>
    </w:p>
    <w:p>
      <w:pPr>
        <w:spacing w:after="0" w:line="192" w:lineRule="exact"/>
        <w:rPr>
          <w:sz w:val="20"/>
          <w:szCs w:val="20"/>
          <w:color w:val="auto"/>
        </w:rPr>
      </w:pPr>
    </w:p>
    <w:p>
      <w:pPr>
        <w:ind w:left="2040" w:hanging="736"/>
        <w:spacing w:after="0" w:line="207" w:lineRule="exact"/>
        <w:tabs>
          <w:tab w:leader="none" w:pos="2040" w:val="left"/>
        </w:tabs>
        <w:numPr>
          <w:ilvl w:val="0"/>
          <w:numId w:val="20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ectPr>
          <w:pgSz w:w="11900" w:h="16838" w:orient="portrait"/>
          <w:cols w:equalWidth="0" w:num="1">
            <w:col w:w="10139"/>
          </w:cols>
          <w:pgMar w:left="320" w:top="908" w:right="1440" w:bottom="1440" w:gutter="0" w:footer="0" w:header="0"/>
        </w:sectPr>
      </w:pPr>
    </w:p>
    <w:p>
      <w:pPr>
        <w:spacing w:after="0" w:line="22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(CUSIP</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4760" w:space="500"/>
            <w:col w:w="4879"/>
          </w:cols>
          <w:pgMar w:left="320" w:top="908" w:right="1440" w:bottom="1440" w:gutter="0" w:footer="0" w:header="0"/>
          <w:type w:val="continuous"/>
        </w:sectPr>
      </w:pPr>
    </w:p>
    <w:p>
      <w:pPr>
        <w:spacing w:after="0" w:line="1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(ii)</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300" w:space="580"/>
            <w:col w:w="4259"/>
          </w:cols>
          <w:pgMar w:left="320" w:top="908" w:right="1440" w:bottom="1440" w:gutter="0" w:footer="0" w:header="0"/>
          <w:type w:val="continuous"/>
        </w:sectPr>
      </w:pPr>
    </w:p>
    <w:p>
      <w:pPr>
        <w:spacing w:after="0" w:line="15" w:lineRule="exact"/>
        <w:rPr>
          <w:sz w:val="20"/>
          <w:szCs w:val="20"/>
          <w:color w:val="auto"/>
        </w:rPr>
      </w:pPr>
    </w:p>
    <w:p>
      <w:pPr>
        <w:ind w:left="1960"/>
        <w:spacing w:after="0" w:line="196" w:lineRule="exact"/>
        <w:tabs>
          <w:tab w:leader="none" w:pos="2600" w:val="left"/>
        </w:tabs>
        <w:rPr>
          <w:sz w:val="20"/>
          <w:szCs w:val="20"/>
          <w:color w:val="auto"/>
        </w:rPr>
      </w:pPr>
      <w:r>
        <w:rPr>
          <w:rFonts w:ascii="Arial" w:cs="Arial" w:eastAsia="Arial" w:hAnsi="Arial"/>
          <w:sz w:val="17"/>
          <w:szCs w:val="17"/>
          <w:color w:val="auto"/>
        </w:rPr>
        <w:t>(iii)</w:t>
      </w:r>
      <w:r>
        <w:rPr>
          <w:sz w:val="20"/>
          <w:szCs w:val="20"/>
          <w:color w:val="auto"/>
        </w:rPr>
        <w:tab/>
      </w:r>
      <w:r>
        <w:rPr>
          <w:rFonts w:ascii="MS PGothic" w:cs="MS PGothic" w:eastAsia="MS PGothic" w:hAnsi="MS PGothic"/>
          <w:sz w:val="17"/>
          <w:szCs w:val="17"/>
          <w:color w:val="auto"/>
        </w:rPr>
        <w:t>❑</w:t>
      </w:r>
      <w:r>
        <w:rPr>
          <w:rFonts w:ascii="Arial" w:cs="Arial" w:eastAsia="Arial" w:hAnsi="Arial"/>
          <w:sz w:val="17"/>
          <w:szCs w:val="17"/>
          <w:color w:val="auto"/>
        </w:rPr>
        <w:t xml:space="preserve"> IAI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4620" w:space="540"/>
            <w:col w:w="4979"/>
          </w:cols>
          <w:pgMar w:left="320" w:top="908" w:right="1440" w:bottom="1440" w:gutter="0" w:footer="0" w:header="0"/>
          <w:type w:val="continuous"/>
        </w:sectPr>
      </w:pPr>
    </w:p>
    <w:p>
      <w:pPr>
        <w:spacing w:after="0" w:line="15" w:lineRule="exact"/>
        <w:rPr>
          <w:sz w:val="20"/>
          <w:szCs w:val="20"/>
          <w:color w:val="auto"/>
        </w:rPr>
      </w:pPr>
    </w:p>
    <w:p>
      <w:pPr>
        <w:ind w:left="1960"/>
        <w:spacing w:after="0" w:line="184" w:lineRule="exact"/>
        <w:tabs>
          <w:tab w:leader="none" w:pos="2600" w:val="left"/>
        </w:tabs>
        <w:rPr>
          <w:sz w:val="20"/>
          <w:szCs w:val="20"/>
          <w:color w:val="auto"/>
        </w:rPr>
      </w:pPr>
      <w:r>
        <w:rPr>
          <w:rFonts w:ascii="Arial" w:cs="Arial" w:eastAsia="Arial" w:hAnsi="Arial"/>
          <w:sz w:val="16"/>
          <w:szCs w:val="16"/>
          <w:color w:val="auto"/>
        </w:rPr>
        <w:t>(iv)</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 xml:space="preserve"> Unrestricted Global Note (CUSIP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or</w:t>
      </w:r>
    </w:p>
    <w:p>
      <w:pPr>
        <w:spacing w:after="0" w:line="200" w:lineRule="exact"/>
        <w:rPr>
          <w:sz w:val="20"/>
          <w:szCs w:val="20"/>
          <w:color w:val="auto"/>
        </w:rPr>
      </w:pPr>
    </w:p>
    <w:p>
      <w:pPr>
        <w:sectPr>
          <w:pgSz w:w="11900" w:h="16838" w:orient="portrait"/>
          <w:cols w:equalWidth="0" w:num="2">
            <w:col w:w="5260" w:space="540"/>
            <w:col w:w="4339"/>
          </w:cols>
          <w:pgMar w:left="320" w:top="908" w:right="1440" w:bottom="1440" w:gutter="0" w:footer="0" w:header="0"/>
          <w:type w:val="continuous"/>
        </w:sectPr>
      </w:pPr>
    </w:p>
    <w:p>
      <w:pPr>
        <w:spacing w:after="0" w:line="15" w:lineRule="exact"/>
        <w:rPr>
          <w:sz w:val="20"/>
          <w:szCs w:val="20"/>
          <w:color w:val="auto"/>
        </w:rPr>
      </w:pPr>
    </w:p>
    <w:p>
      <w:pPr>
        <w:ind w:left="2060" w:hanging="756"/>
        <w:spacing w:after="0" w:line="207" w:lineRule="exact"/>
        <w:tabs>
          <w:tab w:leader="none" w:pos="2060" w:val="left"/>
        </w:tabs>
        <w:numPr>
          <w:ilvl w:val="0"/>
          <w:numId w:val="20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225" w:lineRule="exact"/>
        <w:rPr>
          <w:rFonts w:ascii="Arial" w:cs="Arial" w:eastAsia="Arial" w:hAnsi="Arial"/>
          <w:sz w:val="18"/>
          <w:szCs w:val="18"/>
          <w:color w:val="auto"/>
        </w:rPr>
      </w:pPr>
    </w:p>
    <w:p>
      <w:pPr>
        <w:jc w:val="both"/>
        <w:ind w:left="1300" w:right="5519" w:firstLine="4"/>
        <w:spacing w:after="0" w:line="348" w:lineRule="exact"/>
        <w:tabs>
          <w:tab w:leader="none" w:pos="2039" w:val="left"/>
        </w:tabs>
        <w:numPr>
          <w:ilvl w:val="0"/>
          <w:numId w:val="20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 Unrestricted Definitive Note, in accordance with the terms of the Indenture.</w:t>
      </w:r>
    </w:p>
    <w:p>
      <w:pPr>
        <w:spacing w:after="0" w:line="200" w:lineRule="exact"/>
        <w:rPr>
          <w:sz w:val="20"/>
          <w:szCs w:val="20"/>
          <w:color w:val="auto"/>
        </w:rPr>
      </w:pPr>
    </w:p>
    <w:p>
      <w:pPr>
        <w:spacing w:after="0" w:line="21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5040"/>
        <w:spacing w:after="0"/>
        <w:tabs>
          <w:tab w:leader="none" w:pos="6120"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 principal amount of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 or interests (the “</w:t>
      </w:r>
      <w:r>
        <w:rPr>
          <w:rFonts w:ascii="Arial" w:cs="Arial" w:eastAsia="Arial" w:hAnsi="Arial"/>
          <w:sz w:val="18"/>
          <w:szCs w:val="18"/>
          <w:i w:val="1"/>
          <w:iCs w:val="1"/>
          <w:color w:val="auto"/>
        </w:rPr>
        <w:t>Exchange</w:t>
      </w:r>
      <w:r>
        <w:rPr>
          <w:rFonts w:ascii="Arial" w:cs="Arial" w:eastAsia="Arial" w:hAnsi="Arial"/>
          <w:sz w:val="18"/>
          <w:szCs w:val="18"/>
          <w:color w:val="auto"/>
        </w:rPr>
        <w:t>”). In connection with the Exchange, the Owner hereby certifies that: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in such</w:t>
      </w:r>
    </w:p>
    <w:p>
      <w:pPr>
        <w:spacing w:after="0" w:line="464" w:lineRule="exact"/>
        <w:rPr>
          <w:sz w:val="20"/>
          <w:szCs w:val="20"/>
          <w:color w:val="auto"/>
        </w:rPr>
      </w:pPr>
    </w:p>
    <w:p>
      <w:pPr>
        <w:sectPr>
          <w:pgSz w:w="11900" w:h="16838" w:orient="portrait"/>
          <w:cols w:equalWidth="0" w:num="2">
            <w:col w:w="10060" w:space="320"/>
            <w:col w:w="860"/>
          </w:cols>
          <w:pgMar w:left="320" w:top="908" w:right="339" w:bottom="1440" w:gutter="0" w:footer="0" w:header="0"/>
          <w:type w:val="continuous"/>
        </w:sectPr>
      </w:pPr>
    </w:p>
    <w:p>
      <w:pPr>
        <w:spacing w:after="0" w:line="7" w:lineRule="exact"/>
        <w:rPr>
          <w:sz w:val="20"/>
          <w:szCs w:val="20"/>
          <w:color w:val="auto"/>
        </w:rPr>
      </w:pPr>
    </w:p>
    <w:p>
      <w:pPr>
        <w:ind w:right="720" w:firstLine="656"/>
        <w:spacing w:after="0" w:line="282" w:lineRule="auto"/>
        <w:tabs>
          <w:tab w:leader="none" w:pos="828"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2" w:lineRule="exact"/>
        <w:rPr>
          <w:rFonts w:ascii="Arial" w:cs="Arial" w:eastAsia="Arial" w:hAnsi="Arial"/>
          <w:sz w:val="18"/>
          <w:szCs w:val="18"/>
          <w:color w:val="auto"/>
        </w:rPr>
      </w:pPr>
    </w:p>
    <w:p>
      <w:pPr>
        <w:ind w:left="660" w:right="40" w:firstLine="644"/>
        <w:spacing w:after="0" w:line="222" w:lineRule="exact"/>
        <w:tabs>
          <w:tab w:leader="none" w:pos="204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beneficial interest in an Unrestricted Global Note</w:t>
      </w:r>
      <w:r>
        <w:rPr>
          <w:rFonts w:ascii="Arial" w:cs="Arial" w:eastAsia="Arial" w:hAnsi="Arial"/>
          <w:sz w:val="18"/>
          <w:szCs w:val="18"/>
          <w:color w:val="auto"/>
        </w:rPr>
        <w:t>. In connection with the Exchange of the Owner’s beneficial interest in a Restricted Global Note for a beneficial interest in an</w:t>
      </w:r>
      <w:r>
        <w:rPr>
          <w:rFonts w:ascii="Arial" w:cs="Arial" w:eastAsia="Arial" w:hAnsi="Arial"/>
          <w:sz w:val="18"/>
          <w:szCs w:val="18"/>
          <w:b w:val="1"/>
          <w:bCs w:val="1"/>
          <w:color w:val="auto"/>
        </w:rPr>
        <w:t xml:space="preserve"> </w:t>
      </w:r>
      <w:r>
        <w:rPr>
          <w:rFonts w:ascii="Arial" w:cs="Arial" w:eastAsia="Arial" w:hAnsi="Arial"/>
          <w:sz w:val="18"/>
          <w:szCs w:val="18"/>
          <w:color w:val="auto"/>
        </w:rPr>
        <w:t>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ind w:left="660" w:right="60" w:firstLine="644"/>
        <w:spacing w:after="0" w:line="223" w:lineRule="exact"/>
        <w:tabs>
          <w:tab w:leader="none" w:pos="205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Unrestricted Definitive Note</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70" w:lineRule="exact"/>
        <w:rPr>
          <w:rFonts w:ascii="Arial" w:cs="Arial" w:eastAsia="Arial" w:hAnsi="Arial"/>
          <w:sz w:val="18"/>
          <w:szCs w:val="18"/>
          <w:color w:val="auto"/>
        </w:rPr>
      </w:pPr>
    </w:p>
    <w:p>
      <w:pPr>
        <w:ind w:left="660" w:right="60" w:firstLine="644"/>
        <w:spacing w:after="0" w:line="223" w:lineRule="exact"/>
        <w:tabs>
          <w:tab w:leader="none" w:pos="2047" w:val="left"/>
        </w:tabs>
        <w:numPr>
          <w:ilvl w:val="1"/>
          <w:numId w:val="20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Restricted Definitive Note to beneficial interest in an Unrestricted Global Note</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22" w:name="page123"/>
    <w:bookmarkEnd w:id="122"/>
    <w:p>
      <w:pPr>
        <w:ind w:left="660" w:right="100" w:firstLine="644"/>
        <w:spacing w:after="0" w:line="224" w:lineRule="exact"/>
        <w:tabs>
          <w:tab w:leader="none" w:pos="2057" w:val="left"/>
        </w:tabs>
        <w:numPr>
          <w:ilvl w:val="1"/>
          <w:numId w:val="20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Unrestricted Definitive Note</w:t>
      </w:r>
      <w:r>
        <w:rPr>
          <w:rFonts w:ascii="Arial" w:cs="Arial" w:eastAsia="Arial" w:hAnsi="Arial"/>
          <w:sz w:val="16"/>
          <w:szCs w:val="16"/>
          <w:color w:val="auto"/>
        </w:rPr>
        <w:t>. In connection with the Owner’s</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2" w:lineRule="exact"/>
        <w:rPr>
          <w:rFonts w:ascii="Arial" w:cs="Arial" w:eastAsia="Arial" w:hAnsi="Arial"/>
          <w:sz w:val="16"/>
          <w:szCs w:val="16"/>
          <w:color w:val="auto"/>
        </w:rPr>
      </w:pPr>
    </w:p>
    <w:p>
      <w:pPr>
        <w:ind w:right="160" w:firstLine="656"/>
        <w:spacing w:after="0" w:line="282" w:lineRule="auto"/>
        <w:tabs>
          <w:tab w:leader="none" w:pos="828"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2" w:lineRule="exact"/>
        <w:rPr>
          <w:rFonts w:ascii="Arial" w:cs="Arial" w:eastAsia="Arial" w:hAnsi="Arial"/>
          <w:sz w:val="18"/>
          <w:szCs w:val="18"/>
          <w:color w:val="auto"/>
        </w:rPr>
      </w:pPr>
    </w:p>
    <w:p>
      <w:pPr>
        <w:ind w:left="660" w:right="120" w:firstLine="644"/>
        <w:spacing w:after="0" w:line="224" w:lineRule="exact"/>
        <w:tabs>
          <w:tab w:leader="none" w:pos="2047" w:val="left"/>
        </w:tabs>
        <w:numPr>
          <w:ilvl w:val="1"/>
          <w:numId w:val="2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Exchange is from beneficial interest in a Restricted Global Note to Restricted Definitive Note</w:t>
      </w:r>
      <w:r>
        <w:rPr>
          <w:rFonts w:ascii="Arial" w:cs="Arial" w:eastAsia="Arial" w:hAnsi="Arial"/>
          <w:sz w:val="18"/>
          <w:szCs w:val="18"/>
          <w:color w:val="auto"/>
        </w:rPr>
        <w: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1" w:lineRule="exact"/>
        <w:rPr>
          <w:rFonts w:ascii="Arial" w:cs="Arial" w:eastAsia="Arial" w:hAnsi="Arial"/>
          <w:sz w:val="18"/>
          <w:szCs w:val="18"/>
          <w:color w:val="auto"/>
        </w:rPr>
      </w:pPr>
    </w:p>
    <w:p>
      <w:pPr>
        <w:ind w:left="660" w:right="20" w:firstLine="644"/>
        <w:spacing w:after="0" w:line="222" w:lineRule="exact"/>
        <w:tabs>
          <w:tab w:leader="none" w:pos="2057" w:val="left"/>
        </w:tabs>
        <w:numPr>
          <w:ilvl w:val="1"/>
          <w:numId w:val="21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 Restricted Global Note</w:t>
      </w:r>
      <w:r>
        <w:rPr>
          <w:rFonts w:ascii="Arial" w:cs="Arial" w:eastAsia="Arial" w:hAnsi="Arial"/>
          <w:sz w:val="17"/>
          <w:szCs w:val="17"/>
          <w:color w:val="auto"/>
        </w:rPr>
        <w: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Exchange of the Owner’s Restricted Definitive Note for a beneficial interest in the [CHECK ONE] </w:t>
      </w:r>
      <w:r>
        <w:rPr>
          <w:rFonts w:ascii="MS PGothic" w:cs="MS PGothic" w:eastAsia="MS PGothic" w:hAnsi="MS PGothic"/>
          <w:sz w:val="17"/>
          <w:szCs w:val="17"/>
          <w:color w:val="auto"/>
        </w:rPr>
        <w:t>❑</w:t>
      </w:r>
      <w:r>
        <w:rPr>
          <w:rFonts w:ascii="Arial" w:cs="Arial" w:eastAsia="Arial" w:hAnsi="Arial"/>
          <w:sz w:val="17"/>
          <w:szCs w:val="17"/>
          <w:color w:val="auto"/>
        </w:rPr>
        <w:t xml:space="preserve"> 144A Global Note, </w:t>
      </w:r>
      <w:r>
        <w:rPr>
          <w:rFonts w:ascii="MS PGothic" w:cs="MS PGothic" w:eastAsia="MS PGothic" w:hAnsi="MS PGothic"/>
          <w:sz w:val="17"/>
          <w:szCs w:val="17"/>
          <w:color w:val="auto"/>
        </w:rPr>
        <w:t>❑</w:t>
      </w:r>
      <w:r>
        <w:rPr>
          <w:rFonts w:ascii="Arial" w:cs="Arial" w:eastAsia="Arial" w:hAnsi="Arial"/>
          <w:sz w:val="17"/>
          <w:szCs w:val="17"/>
          <w:color w:val="auto"/>
        </w:rPr>
        <w:t xml:space="preserv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ACQUIRING INSTITUTIONAL ACCREDITED INVESTOR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Gaithersburg, MD 21079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Trust Dept</w:t>
      </w:r>
    </w:p>
    <w:p>
      <w:pPr>
        <w:spacing w:after="0" w:line="192" w:lineRule="auto"/>
        <w:rPr>
          <w:sz w:val="20"/>
          <w:szCs w:val="20"/>
          <w:color w:val="auto"/>
        </w:rPr>
      </w:pPr>
      <w:r>
        <w:rPr>
          <w:rFonts w:ascii="Arial" w:cs="Arial" w:eastAsia="Arial" w:hAnsi="Arial"/>
          <w:sz w:val="18"/>
          <w:szCs w:val="18"/>
          <w:color w:val="auto"/>
        </w:rPr>
        <w:t>One Federal St,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Boston, MA 02110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Laura.cawley@usbank.com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3.875% Senior Unsecured Notes due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Reference is hereby made to the Indenture, dated as of August 7, 2020 (the “</w:t>
      </w:r>
      <w:r>
        <w:rPr>
          <w:rFonts w:ascii="Arial" w:cs="Arial" w:eastAsia="Arial" w:hAnsi="Arial"/>
          <w:sz w:val="17"/>
          <w:szCs w:val="17"/>
          <w:i w:val="1"/>
          <w:iCs w:val="1"/>
          <w:color w:val="auto"/>
        </w:rPr>
        <w:t>Indenture</w:t>
      </w:r>
      <w:r>
        <w:rPr>
          <w:rFonts w:ascii="Arial" w:cs="Arial" w:eastAsia="Arial" w:hAnsi="Arial"/>
          <w:sz w:val="17"/>
          <w:szCs w:val="17"/>
          <w:color w:val="auto"/>
        </w:rPr>
        <w:t>”), among Emergent BioSolutions Inc., as issuer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the guarantors from time to time party thereto and U.S. Bank National Association, as trustee. Capitalized terms used but not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have the meanings given to them in the Indenture.</w:t>
      </w:r>
    </w:p>
    <w:p>
      <w:pPr>
        <w:spacing w:after="0" w:line="211" w:lineRule="exact"/>
        <w:rPr>
          <w:sz w:val="20"/>
          <w:szCs w:val="20"/>
          <w:color w:val="auto"/>
        </w:rPr>
      </w:pPr>
    </w:p>
    <w:p>
      <w:pPr>
        <w:ind w:left="660"/>
        <w:spacing w:after="0"/>
        <w:tabs>
          <w:tab w:leader="none" w:pos="4340" w:val="left"/>
        </w:tabs>
        <w:rPr>
          <w:sz w:val="20"/>
          <w:szCs w:val="20"/>
          <w:color w:val="auto"/>
        </w:rPr>
      </w:pPr>
      <w:r>
        <w:rPr>
          <w:rFonts w:ascii="Arial" w:cs="Arial" w:eastAsia="Arial" w:hAnsi="Arial"/>
          <w:sz w:val="18"/>
          <w:szCs w:val="18"/>
          <w:color w:val="auto"/>
        </w:rPr>
        <w:t>In connection with our proposed purchase of $</w:t>
      </w:r>
      <w:r>
        <w:rPr>
          <w:sz w:val="20"/>
          <w:szCs w:val="20"/>
          <w:color w:val="auto"/>
        </w:rPr>
        <w:tab/>
      </w:r>
      <w:r>
        <w:rPr>
          <w:rFonts w:ascii="Arial" w:cs="Arial" w:eastAsia="Arial" w:hAnsi="Arial"/>
          <w:sz w:val="16"/>
          <w:szCs w:val="16"/>
          <w:color w:val="auto"/>
        </w:rPr>
        <w:t>aggregate principal amount of:</w:t>
      </w:r>
    </w:p>
    <w:p>
      <w:pPr>
        <w:spacing w:after="0" w:line="192" w:lineRule="exact"/>
        <w:rPr>
          <w:sz w:val="20"/>
          <w:szCs w:val="20"/>
          <w:color w:val="auto"/>
        </w:rPr>
      </w:pPr>
    </w:p>
    <w:p>
      <w:pPr>
        <w:ind w:left="2040" w:hanging="736"/>
        <w:spacing w:after="0" w:line="207" w:lineRule="exact"/>
        <w:tabs>
          <w:tab w:leader="none" w:pos="2040" w:val="left"/>
        </w:tabs>
        <w:numPr>
          <w:ilvl w:val="0"/>
          <w:numId w:val="2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a Global Note, or</w:t>
      </w:r>
    </w:p>
    <w:p>
      <w:pPr>
        <w:spacing w:after="0" w:line="225" w:lineRule="exact"/>
        <w:rPr>
          <w:rFonts w:ascii="Arial" w:cs="Arial" w:eastAsia="Arial" w:hAnsi="Arial"/>
          <w:sz w:val="18"/>
          <w:szCs w:val="18"/>
          <w:color w:val="auto"/>
        </w:rPr>
      </w:pPr>
    </w:p>
    <w:p>
      <w:pPr>
        <w:ind w:left="2060" w:hanging="756"/>
        <w:spacing w:after="0" w:line="207" w:lineRule="exact"/>
        <w:tabs>
          <w:tab w:leader="none" w:pos="2060" w:val="left"/>
        </w:tabs>
        <w:numPr>
          <w:ilvl w:val="0"/>
          <w:numId w:val="2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Definitive Note,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confirm that:</w:t>
      </w:r>
    </w:p>
    <w:p>
      <w:pPr>
        <w:spacing w:after="0" w:line="225" w:lineRule="exact"/>
        <w:rPr>
          <w:sz w:val="20"/>
          <w:szCs w:val="20"/>
          <w:color w:val="auto"/>
        </w:rPr>
      </w:pPr>
    </w:p>
    <w:p>
      <w:pPr>
        <w:ind w:left="660" w:firstLine="644"/>
        <w:spacing w:after="0" w:line="311" w:lineRule="auto"/>
        <w:tabs>
          <w:tab w:leader="none" w:pos="206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660" w:right="40" w:firstLine="644"/>
        <w:spacing w:after="0" w:line="269" w:lineRule="auto"/>
        <w:tabs>
          <w:tab w:leader="none" w:pos="206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78" w:lineRule="exact"/>
        <w:rPr>
          <w:rFonts w:ascii="Arial" w:cs="Arial" w:eastAsia="Arial" w:hAnsi="Arial"/>
          <w:sz w:val="17"/>
          <w:szCs w:val="17"/>
          <w:color w:val="auto"/>
        </w:rPr>
      </w:pPr>
    </w:p>
    <w:p>
      <w:pPr>
        <w:ind w:left="660" w:right="20" w:firstLine="644"/>
        <w:spacing w:after="0" w:line="259" w:lineRule="auto"/>
        <w:tabs>
          <w:tab w:leader="none" w:pos="20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660" w:right="120" w:firstLine="644"/>
        <w:spacing w:after="0" w:line="311" w:lineRule="auto"/>
        <w:tabs>
          <w:tab w:leader="none" w:pos="206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48" w:lineRule="exact"/>
        <w:rPr>
          <w:rFonts w:ascii="Arial" w:cs="Arial" w:eastAsia="Arial" w:hAnsi="Arial"/>
          <w:sz w:val="16"/>
          <w:szCs w:val="16"/>
          <w:color w:val="auto"/>
        </w:rPr>
      </w:pPr>
    </w:p>
    <w:p>
      <w:pPr>
        <w:ind w:left="660" w:right="420" w:firstLine="644"/>
        <w:spacing w:after="0" w:line="308" w:lineRule="auto"/>
        <w:tabs>
          <w:tab w:leader="none" w:pos="206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[Insert Name of Accredited Investor]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BY SUBSEQUENT GUARANTORS</w:t>
      </w:r>
    </w:p>
    <w:p>
      <w:pPr>
        <w:spacing w:after="0" w:line="211"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 20 , among (the “</w:t>
      </w:r>
      <w:r>
        <w:rPr>
          <w:rFonts w:ascii="Arial" w:cs="Arial" w:eastAsia="Arial" w:hAnsi="Arial"/>
          <w:sz w:val="18"/>
          <w:szCs w:val="18"/>
          <w:i w:val="1"/>
          <w:iCs w:val="1"/>
          <w:color w:val="auto"/>
        </w:rPr>
        <w:t>Guaranteeing Subsidiary</w:t>
      </w:r>
      <w:r>
        <w:rPr>
          <w:rFonts w:ascii="Arial" w:cs="Arial" w:eastAsia="Arial" w:hAnsi="Arial"/>
          <w:sz w:val="18"/>
          <w:szCs w:val="18"/>
          <w:color w:val="auto"/>
        </w:rPr>
        <w:t>”), a subsidiary of Emergent BioSolutions Inc. (or its permitted successor),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Company, and U.S. Bank National Association, as trustee under the Indenture referred to herein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7, 2020 providing for the issuance of 3.875% Senior Unsecured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8"/>
          <w:szCs w:val="18"/>
          <w:i w:val="1"/>
          <w:iCs w:val="1"/>
          <w:color w:val="auto"/>
        </w:rPr>
        <w:t>Note Guarantee</w:t>
      </w:r>
      <w:r>
        <w:rPr>
          <w:rFonts w:ascii="Arial" w:cs="Arial" w:eastAsia="Arial" w:hAnsi="Arial"/>
          <w:sz w:val="18"/>
          <w:szCs w:val="18"/>
          <w:color w:val="auto"/>
        </w:rPr>
        <w: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Company, the Guaranteeing Subsidiary and the Trustee mutually covenant and agree for the equal and ratable benefit of the Holders of the Notes as follows:</w:t>
      </w:r>
    </w:p>
    <w:p>
      <w:pPr>
        <w:spacing w:after="0" w:line="184" w:lineRule="exact"/>
        <w:rPr>
          <w:sz w:val="20"/>
          <w:szCs w:val="20"/>
          <w:color w:val="auto"/>
        </w:rPr>
      </w:pPr>
    </w:p>
    <w:p>
      <w:pPr>
        <w:ind w:left="1340" w:hanging="684"/>
        <w:spacing w:after="0"/>
        <w:tabs>
          <w:tab w:leader="none" w:pos="1340"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40" w:firstLine="656"/>
        <w:spacing w:after="0" w:line="259" w:lineRule="auto"/>
        <w:tabs>
          <w:tab w:leader="none" w:pos="132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Agreement to Guarantee</w:t>
      </w:r>
      <w:r>
        <w:rPr>
          <w:rFonts w:ascii="Arial" w:cs="Arial" w:eastAsia="Arial" w:hAnsi="Arial"/>
          <w:sz w:val="18"/>
          <w:szCs w:val="18"/>
          <w:color w:val="auto"/>
        </w:rPr>
        <w:t>. The Guaranteeing Subsidiary hereby becomes a party to the Indenture as a Guarantor and as such shall have all of the rights and be subject to all of the obligations and agreements of a Guarantor under the Indenture. The Guaranteeing Subsidiary hereby agrees, on a joint and several basis with all the existing Guarantors, to provide an unconditional Guarantee on the terms and subject to the conditions set forth in the Note Guarantee and in the Indenture including but not limited to Article X thereof.</w:t>
      </w:r>
    </w:p>
    <w:p>
      <w:pPr>
        <w:spacing w:after="0" w:line="186" w:lineRule="exact"/>
        <w:rPr>
          <w:rFonts w:ascii="Arial" w:cs="Arial" w:eastAsia="Arial" w:hAnsi="Arial"/>
          <w:sz w:val="18"/>
          <w:szCs w:val="18"/>
          <w:color w:val="auto"/>
        </w:rPr>
      </w:pPr>
    </w:p>
    <w:p>
      <w:pPr>
        <w:ind w:firstLine="656"/>
        <w:spacing w:after="0" w:line="311" w:lineRule="auto"/>
        <w:tabs>
          <w:tab w:leader="none" w:pos="1323"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48" w:lineRule="exact"/>
        <w:rPr>
          <w:rFonts w:ascii="Arial" w:cs="Arial" w:eastAsia="Arial" w:hAnsi="Arial"/>
          <w:sz w:val="16"/>
          <w:szCs w:val="16"/>
          <w:color w:val="auto"/>
        </w:rPr>
      </w:pPr>
    </w:p>
    <w:p>
      <w:pPr>
        <w:ind w:right="160" w:firstLine="656"/>
        <w:spacing w:after="0" w:line="255" w:lineRule="auto"/>
        <w:tabs>
          <w:tab w:leader="none" w:pos="132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past, present or future director, officer, employee, incorporator, stockholder or agent of the Guaranteeing Subsidiary, as such, shall have any liability for any obligations of the Company or any Guaranteeing Subsidiary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92" w:lineRule="exact"/>
        <w:rPr>
          <w:rFonts w:ascii="Arial" w:cs="Arial" w:eastAsia="Arial" w:hAnsi="Arial"/>
          <w:sz w:val="18"/>
          <w:szCs w:val="18"/>
          <w:color w:val="auto"/>
        </w:rPr>
      </w:pPr>
    </w:p>
    <w:p>
      <w:pPr>
        <w:ind w:right="80" w:firstLine="656"/>
        <w:spacing w:after="0" w:line="286" w:lineRule="auto"/>
        <w:tabs>
          <w:tab w:leader="none" w:pos="132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LAWS OF THE STATE OF NEW YORK WITHOUT GIVING EFFECT TO APPLICABLE PRINCIPLES OF CONFLICTS OF LAW TO THE EXTENT THAT THE APPLICATION OF THE LAWS OF ANOTHER JURISDICTION WOULD BE REQUIRED THEREBY.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right="160" w:firstLine="656"/>
        <w:spacing w:after="0" w:line="263"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3" w:lineRule="exact"/>
        <w:rPr>
          <w:rFonts w:ascii="Arial" w:cs="Arial" w:eastAsia="Arial" w:hAnsi="Arial"/>
          <w:sz w:val="18"/>
          <w:szCs w:val="18"/>
          <w:color w:val="auto"/>
        </w:rPr>
      </w:pPr>
    </w:p>
    <w:p>
      <w:pPr>
        <w:ind w:firstLine="656"/>
        <w:spacing w:after="0" w:line="277"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300" w:firstLine="656"/>
        <w:spacing w:after="0" w:line="263" w:lineRule="auto"/>
        <w:tabs>
          <w:tab w:leader="none" w:pos="132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the Note Guarantee of the Guaranteeing Subsidiary or for or in respect of the recitals contained herein, all of which recitals are made solely by the Guaranteeing Subsidiary and the Company.</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[Guaranteeing Subsidiary]</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Emergent BioSolutions Inc.</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U.S. Bank National Association, as Trustee</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Certain identified information marked with ** has been excluded from this exhibit because it is both (i) not material and (ii) would be competitively harmful if publicly disclosed.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Schedules to this Exhibit have also been omitted. The omitted information is not material and, if publicly disclosed, would likely cause competitive harm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$450,000,000</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1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8"/>
        </w:trPr>
        <w:tc>
          <w:tcPr>
            <w:tcW w:w="10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1.</w:t>
            </w:r>
          </w:p>
        </w:tc>
        <w:tc>
          <w:tcPr>
            <w:tcW w:w="810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8100" w:type="dxa"/>
            <w:vAlign w:val="bottom"/>
          </w:tcPr>
          <w:p>
            <w:pPr>
              <w:ind w:left="60"/>
              <w:spacing w:after="0"/>
              <w:rPr>
                <w:sz w:val="20"/>
                <w:szCs w:val="20"/>
                <w:color w:val="auto"/>
              </w:rPr>
            </w:pPr>
            <w:r>
              <w:rPr>
                <w:rFonts w:ascii="Arial" w:cs="Arial" w:eastAsia="Arial" w:hAnsi="Arial"/>
                <w:sz w:val="18"/>
                <w:szCs w:val="18"/>
                <w:color w:val="auto"/>
              </w:rPr>
              <w:t>Sale and Delivery to Initial Purchasers; Closing; Agreements to Sell, Purchase and Resell</w:t>
            </w: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8100" w:type="dxa"/>
            <w:vAlign w:val="bottom"/>
          </w:tcPr>
          <w:p>
            <w:pPr>
              <w:ind w:left="60"/>
              <w:spacing w:after="0"/>
              <w:rPr>
                <w:sz w:val="20"/>
                <w:szCs w:val="20"/>
                <w:color w:val="auto"/>
              </w:rPr>
            </w:pPr>
            <w:r>
              <w:rPr>
                <w:rFonts w:ascii="Arial" w:cs="Arial" w:eastAsia="Arial" w:hAnsi="Arial"/>
                <w:sz w:val="18"/>
                <w:szCs w:val="18"/>
                <w:color w:val="auto"/>
              </w:rPr>
              <w:t>Covenants of the Company and the Guarantors</w:t>
            </w:r>
          </w:p>
        </w:tc>
        <w:tc>
          <w:tcPr>
            <w:tcW w:w="2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8100" w:type="dxa"/>
            <w:vAlign w:val="bottom"/>
          </w:tcPr>
          <w:p>
            <w:pPr>
              <w:ind w:left="60"/>
              <w:spacing w:after="0"/>
              <w:rPr>
                <w:sz w:val="20"/>
                <w:szCs w:val="20"/>
                <w:color w:val="auto"/>
              </w:rPr>
            </w:pPr>
            <w:r>
              <w:rPr>
                <w:rFonts w:ascii="Arial" w:cs="Arial" w:eastAsia="Arial" w:hAnsi="Arial"/>
                <w:sz w:val="18"/>
                <w:szCs w:val="18"/>
                <w:color w:val="auto"/>
              </w:rPr>
              <w:t>Payment of Expenses</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w:t>
            </w:r>
          </w:p>
        </w:tc>
        <w:tc>
          <w:tcPr>
            <w:tcW w:w="8100" w:type="dxa"/>
            <w:vAlign w:val="bottom"/>
          </w:tcPr>
          <w:p>
            <w:pPr>
              <w:ind w:left="60"/>
              <w:spacing w:after="0"/>
              <w:rPr>
                <w:sz w:val="20"/>
                <w:szCs w:val="20"/>
                <w:color w:val="auto"/>
              </w:rPr>
            </w:pPr>
            <w:r>
              <w:rPr>
                <w:rFonts w:ascii="Arial" w:cs="Arial" w:eastAsia="Arial" w:hAnsi="Arial"/>
                <w:sz w:val="18"/>
                <w:szCs w:val="18"/>
                <w:color w:val="auto"/>
              </w:rPr>
              <w:t>Conditions of Initial Purchasers’ Obligations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w:t>
            </w:r>
          </w:p>
        </w:tc>
        <w:tc>
          <w:tcPr>
            <w:tcW w:w="810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w:t>
            </w:r>
          </w:p>
        </w:tc>
        <w:tc>
          <w:tcPr>
            <w:tcW w:w="8100" w:type="dxa"/>
            <w:vAlign w:val="bottom"/>
          </w:tcPr>
          <w:p>
            <w:pPr>
              <w:ind w:left="60"/>
              <w:spacing w:after="0"/>
              <w:rPr>
                <w:sz w:val="20"/>
                <w:szCs w:val="20"/>
                <w:color w:val="auto"/>
              </w:rPr>
            </w:pPr>
            <w:r>
              <w:rPr>
                <w:rFonts w:ascii="Arial" w:cs="Arial" w:eastAsia="Arial" w:hAnsi="Arial"/>
                <w:sz w:val="18"/>
                <w:szCs w:val="18"/>
                <w:color w:val="auto"/>
              </w:rPr>
              <w:t>Contribution</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w:t>
            </w:r>
          </w:p>
        </w:tc>
        <w:tc>
          <w:tcPr>
            <w:tcW w:w="8100" w:type="dxa"/>
            <w:vAlign w:val="bottom"/>
          </w:tcPr>
          <w:p>
            <w:pPr>
              <w:ind w:left="60"/>
              <w:spacing w:after="0"/>
              <w:rPr>
                <w:sz w:val="20"/>
                <w:szCs w:val="20"/>
                <w:color w:val="auto"/>
              </w:rPr>
            </w:pPr>
            <w:r>
              <w:rPr>
                <w:rFonts w:ascii="Arial" w:cs="Arial" w:eastAsia="Arial" w:hAnsi="Arial"/>
                <w:sz w:val="18"/>
                <w:szCs w:val="18"/>
                <w:color w:val="auto"/>
              </w:rPr>
              <w:t>Representations, Warranties and Agreements to Survive Delivery</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w:t>
            </w:r>
          </w:p>
        </w:tc>
        <w:tc>
          <w:tcPr>
            <w:tcW w:w="8100" w:type="dxa"/>
            <w:vAlign w:val="bottom"/>
          </w:tcPr>
          <w:p>
            <w:pPr>
              <w:ind w:left="60"/>
              <w:spacing w:after="0"/>
              <w:rPr>
                <w:sz w:val="20"/>
                <w:szCs w:val="20"/>
                <w:color w:val="auto"/>
              </w:rPr>
            </w:pPr>
            <w:r>
              <w:rPr>
                <w:rFonts w:ascii="Arial" w:cs="Arial" w:eastAsia="Arial" w:hAnsi="Arial"/>
                <w:sz w:val="18"/>
                <w:szCs w:val="18"/>
                <w:color w:val="auto"/>
              </w:rPr>
              <w:t>Termination of Agreement</w:t>
            </w: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10.</w:t>
            </w:r>
          </w:p>
        </w:tc>
        <w:tc>
          <w:tcPr>
            <w:tcW w:w="8100" w:type="dxa"/>
            <w:vAlign w:val="bottom"/>
          </w:tcPr>
          <w:p>
            <w:pPr>
              <w:ind w:left="60"/>
              <w:spacing w:after="0"/>
              <w:rPr>
                <w:sz w:val="20"/>
                <w:szCs w:val="20"/>
                <w:color w:val="auto"/>
              </w:rPr>
            </w:pPr>
            <w:r>
              <w:rPr>
                <w:rFonts w:ascii="Arial" w:cs="Arial" w:eastAsia="Arial" w:hAnsi="Arial"/>
                <w:sz w:val="18"/>
                <w:szCs w:val="18"/>
                <w:color w:val="auto"/>
              </w:rPr>
              <w:t>Default by One or More of the Initial Purchasers</w:t>
            </w: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11.</w:t>
            </w:r>
          </w:p>
        </w:tc>
        <w:tc>
          <w:tcPr>
            <w:tcW w:w="8100" w:type="dxa"/>
            <w:vAlign w:val="bottom"/>
          </w:tcPr>
          <w:p>
            <w:pPr>
              <w:ind w:left="60"/>
              <w:spacing w:after="0"/>
              <w:rPr>
                <w:sz w:val="20"/>
                <w:szCs w:val="20"/>
                <w:color w:val="auto"/>
              </w:rPr>
            </w:pPr>
            <w:r>
              <w:rPr>
                <w:rFonts w:ascii="Arial" w:cs="Arial" w:eastAsia="Arial" w:hAnsi="Arial"/>
                <w:sz w:val="18"/>
                <w:szCs w:val="18"/>
                <w:color w:val="auto"/>
              </w:rPr>
              <w:t>Notices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12.</w:t>
            </w:r>
          </w:p>
        </w:tc>
        <w:tc>
          <w:tcPr>
            <w:tcW w:w="8100" w:type="dxa"/>
            <w:vAlign w:val="bottom"/>
          </w:tcPr>
          <w:p>
            <w:pPr>
              <w:ind w:left="60"/>
              <w:spacing w:after="0"/>
              <w:rPr>
                <w:sz w:val="20"/>
                <w:szCs w:val="20"/>
                <w:color w:val="auto"/>
              </w:rPr>
            </w:pPr>
            <w:r>
              <w:rPr>
                <w:rFonts w:ascii="Arial" w:cs="Arial" w:eastAsia="Arial" w:hAnsi="Arial"/>
                <w:sz w:val="18"/>
                <w:szCs w:val="18"/>
                <w:color w:val="auto"/>
              </w:rPr>
              <w:t>Parties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13.</w:t>
            </w:r>
          </w:p>
        </w:tc>
        <w:tc>
          <w:tcPr>
            <w:tcW w:w="8100" w:type="dxa"/>
            <w:vAlign w:val="bottom"/>
          </w:tcPr>
          <w:p>
            <w:pPr>
              <w:ind w:left="60"/>
              <w:spacing w:after="0"/>
              <w:rPr>
                <w:sz w:val="20"/>
                <w:szCs w:val="20"/>
                <w:color w:val="auto"/>
              </w:rPr>
            </w:pPr>
            <w:r>
              <w:rPr>
                <w:rFonts w:ascii="Arial" w:cs="Arial" w:eastAsia="Arial" w:hAnsi="Arial"/>
                <w:sz w:val="18"/>
                <w:szCs w:val="18"/>
                <w:color w:val="auto"/>
              </w:rPr>
              <w:t>GOVERNING LAW AND TIME</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14.</w:t>
            </w:r>
          </w:p>
        </w:tc>
        <w:tc>
          <w:tcPr>
            <w:tcW w:w="8100" w:type="dxa"/>
            <w:vAlign w:val="bottom"/>
          </w:tcPr>
          <w:p>
            <w:pPr>
              <w:ind w:left="60"/>
              <w:spacing w:after="0"/>
              <w:rPr>
                <w:sz w:val="20"/>
                <w:szCs w:val="20"/>
                <w:color w:val="auto"/>
              </w:rPr>
            </w:pPr>
            <w:r>
              <w:rPr>
                <w:rFonts w:ascii="Arial" w:cs="Arial" w:eastAsia="Arial" w:hAnsi="Arial"/>
                <w:sz w:val="18"/>
                <w:szCs w:val="18"/>
                <w:color w:val="auto"/>
              </w:rPr>
              <w:t>Effect of Headings</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15.</w:t>
            </w:r>
          </w:p>
        </w:tc>
        <w:tc>
          <w:tcPr>
            <w:tcW w:w="810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16.</w:t>
            </w:r>
          </w:p>
        </w:tc>
        <w:tc>
          <w:tcPr>
            <w:tcW w:w="8100" w:type="dxa"/>
            <w:vAlign w:val="bottom"/>
          </w:tcPr>
          <w:p>
            <w:pPr>
              <w:ind w:left="60"/>
              <w:spacing w:after="0"/>
              <w:rPr>
                <w:sz w:val="20"/>
                <w:szCs w:val="20"/>
                <w:color w:val="auto"/>
              </w:rPr>
            </w:pPr>
            <w:r>
              <w:rPr>
                <w:rFonts w:ascii="Arial" w:cs="Arial" w:eastAsia="Arial" w:hAnsi="Arial"/>
                <w:sz w:val="18"/>
                <w:szCs w:val="18"/>
                <w:color w:val="auto"/>
              </w:rPr>
              <w:t>Permitted Free Writing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17.</w:t>
            </w:r>
          </w:p>
        </w:tc>
        <w:tc>
          <w:tcPr>
            <w:tcW w:w="8100" w:type="dxa"/>
            <w:vAlign w:val="bottom"/>
          </w:tcPr>
          <w:p>
            <w:pPr>
              <w:ind w:left="60"/>
              <w:spacing w:after="0"/>
              <w:rPr>
                <w:sz w:val="20"/>
                <w:szCs w:val="20"/>
                <w:color w:val="auto"/>
              </w:rPr>
            </w:pPr>
            <w:r>
              <w:rPr>
                <w:rFonts w:ascii="Arial" w:cs="Arial" w:eastAsia="Arial" w:hAnsi="Arial"/>
                <w:sz w:val="18"/>
                <w:szCs w:val="18"/>
                <w:color w:val="auto"/>
              </w:rPr>
              <w:t>Absence of Fiduciary Relationship</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18.</w:t>
            </w:r>
          </w:p>
        </w:tc>
        <w:tc>
          <w:tcPr>
            <w:tcW w:w="8100" w:type="dxa"/>
            <w:vAlign w:val="bottom"/>
          </w:tcPr>
          <w:p>
            <w:pPr>
              <w:ind w:left="60"/>
              <w:spacing w:after="0"/>
              <w:rPr>
                <w:sz w:val="20"/>
                <w:szCs w:val="20"/>
                <w:color w:val="auto"/>
              </w:rPr>
            </w:pPr>
            <w:r>
              <w:rPr>
                <w:rFonts w:ascii="Arial" w:cs="Arial" w:eastAsia="Arial" w:hAnsi="Arial"/>
                <w:sz w:val="18"/>
                <w:szCs w:val="18"/>
                <w:color w:val="auto"/>
              </w:rPr>
              <w:t>Research Analyst Independence and Other Activities of the Initial Purchasers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19.</w:t>
            </w:r>
          </w:p>
        </w:tc>
        <w:tc>
          <w:tcPr>
            <w:tcW w:w="810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96"/>
              </w:rPr>
              <w:t>SECTION 20.</w:t>
            </w:r>
          </w:p>
        </w:tc>
        <w:tc>
          <w:tcPr>
            <w:tcW w:w="8100" w:type="dxa"/>
            <w:vAlign w:val="bottom"/>
          </w:tcPr>
          <w:p>
            <w:pPr>
              <w:ind w:left="60"/>
              <w:spacing w:after="0"/>
              <w:rPr>
                <w:sz w:val="20"/>
                <w:szCs w:val="20"/>
                <w:color w:val="auto"/>
              </w:rPr>
            </w:pPr>
            <w:r>
              <w:rPr>
                <w:rFonts w:ascii="Arial" w:cs="Arial" w:eastAsia="Arial" w:hAnsi="Arial"/>
                <w:sz w:val="18"/>
                <w:szCs w:val="18"/>
                <w:color w:val="auto"/>
              </w:rPr>
              <w:t>Consent to Jurisdiction</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6"/>
              </w:rPr>
              <w:t>SECTION 21.</w:t>
            </w:r>
          </w:p>
        </w:tc>
        <w:tc>
          <w:tcPr>
            <w:tcW w:w="8100" w:type="dxa"/>
            <w:vAlign w:val="bottom"/>
          </w:tcPr>
          <w:p>
            <w:pPr>
              <w:ind w:left="60"/>
              <w:spacing w:after="0"/>
              <w:rPr>
                <w:sz w:val="20"/>
                <w:szCs w:val="20"/>
                <w:color w:val="auto"/>
              </w:rPr>
            </w:pPr>
            <w:r>
              <w:rPr>
                <w:rFonts w:ascii="Arial" w:cs="Arial" w:eastAsia="Arial" w:hAnsi="Arial"/>
                <w:sz w:val="18"/>
                <w:szCs w:val="18"/>
                <w:color w:val="auto"/>
              </w:rPr>
              <w:t>Recognition of the U.S. Special Resolution Regimes</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 Initial Purchasers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Guarantors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Subsidiaries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Pricing Term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Issuer Free Writing Documents</w:t>
      </w:r>
    </w:p>
    <w:p>
      <w:pPr>
        <w:spacing w:after="0" w:line="9" w:lineRule="exact"/>
        <w:rPr>
          <w:sz w:val="20"/>
          <w:szCs w:val="20"/>
          <w:color w:val="auto"/>
        </w:rPr>
      </w:pPr>
    </w:p>
    <w:p>
      <w:pPr>
        <w:ind w:right="4159"/>
        <w:spacing w:after="0" w:line="260" w:lineRule="auto"/>
        <w:rPr>
          <w:sz w:val="20"/>
          <w:szCs w:val="20"/>
          <w:color w:val="auto"/>
        </w:rPr>
      </w:pPr>
      <w:r>
        <w:rPr>
          <w:rFonts w:ascii="Arial" w:cs="Arial" w:eastAsia="Arial" w:hAnsi="Arial"/>
          <w:sz w:val="18"/>
          <w:szCs w:val="18"/>
          <w:color w:val="auto"/>
        </w:rPr>
        <w:t>Exhibit F – Form of Opinion and Negative Assurance Letter of Company Counsel Exhibit G – Form of Opinion of Maryland Counsel</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$450,000,000</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EMERGENT BIOSOLUTIONS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3.875% Senior Unsecured Notes due 2028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August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Initial Purchasers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Wells Fargo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S. Tryon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Emergent BioSolutions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confirms its agreement with Wells Fargo Securities, LLC (“</w:t>
      </w:r>
      <w:r>
        <w:rPr>
          <w:rFonts w:ascii="Arial" w:cs="Arial" w:eastAsia="Arial" w:hAnsi="Arial"/>
          <w:sz w:val="17"/>
          <w:szCs w:val="17"/>
          <w:u w:val="single" w:color="auto"/>
          <w:color w:val="auto"/>
        </w:rPr>
        <w:t>Wells Fargo</w:t>
      </w:r>
      <w:r>
        <w:rPr>
          <w:rFonts w:ascii="Arial" w:cs="Arial" w:eastAsia="Arial" w:hAnsi="Arial"/>
          <w:sz w:val="17"/>
          <w:szCs w:val="17"/>
          <w:color w:val="auto"/>
        </w:rPr>
        <w:t>”) and each of the other Initial Purchasers named on Exhibit A hereto (collectively,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which term shall also include any person substituted for an Initial Purchaser pursuant to Section 10 hereof), for whom Wells Fargo is acting as representative (in such capacity, the “</w:t>
      </w:r>
      <w:r>
        <w:rPr>
          <w:rFonts w:ascii="Arial" w:cs="Arial" w:eastAsia="Arial" w:hAnsi="Arial"/>
          <w:sz w:val="17"/>
          <w:szCs w:val="17"/>
          <w:u w:val="single" w:color="auto"/>
          <w:color w:val="auto"/>
        </w:rPr>
        <w:t>Representative</w:t>
      </w:r>
      <w:r>
        <w:rPr>
          <w:rFonts w:ascii="Arial" w:cs="Arial" w:eastAsia="Arial" w:hAnsi="Arial"/>
          <w:sz w:val="17"/>
          <w:szCs w:val="17"/>
          <w:color w:val="auto"/>
        </w:rPr>
        <w:t>”), with respect to the issue and sale by the Company and the purchase by the Initial Purchasers, acting severally and not jointly, of $450,000,000 in aggregate principal amount of the Company’s 3.875% Senior Unsecured Notes due 2028 (the “</w:t>
      </w:r>
      <w:r>
        <w:rPr>
          <w:rFonts w:ascii="Arial" w:cs="Arial" w:eastAsia="Arial" w:hAnsi="Arial"/>
          <w:sz w:val="17"/>
          <w:szCs w:val="17"/>
          <w:u w:val="single" w:color="auto"/>
          <w:color w:val="auto"/>
        </w:rPr>
        <w:t>Securities</w:t>
      </w:r>
      <w:r>
        <w:rPr>
          <w:rFonts w:ascii="Arial" w:cs="Arial" w:eastAsia="Arial" w:hAnsi="Arial"/>
          <w:sz w:val="17"/>
          <w:szCs w:val="17"/>
          <w:color w:val="auto"/>
        </w:rPr>
        <w:t>”). The Securities will be issued pursuant to an Indenture to be dated as of August 7, 2020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Company, the Guarantors referred to below,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 Company’s obligations under the Securities, including the due and punctual payment of interest on the Securities, will be irrevocably and unconditionally guaranteed on an unsecured senior basis (the “</w:t>
      </w:r>
      <w:r>
        <w:rPr>
          <w:rFonts w:ascii="Arial" w:cs="Arial" w:eastAsia="Arial" w:hAnsi="Arial"/>
          <w:sz w:val="17"/>
          <w:szCs w:val="17"/>
          <w:u w:val="single" w:color="auto"/>
          <w:color w:val="auto"/>
        </w:rPr>
        <w:t>Guarantees</w:t>
      </w:r>
      <w:r>
        <w:rPr>
          <w:rFonts w:ascii="Arial" w:cs="Arial" w:eastAsia="Arial" w:hAnsi="Arial"/>
          <w:sz w:val="17"/>
          <w:szCs w:val="17"/>
          <w:color w:val="auto"/>
        </w:rPr>
        <w:t>”) by the guarantors named on Exhibit B hereto (together, the “</w:t>
      </w:r>
      <w:r>
        <w:rPr>
          <w:rFonts w:ascii="Arial" w:cs="Arial" w:eastAsia="Arial" w:hAnsi="Arial"/>
          <w:sz w:val="17"/>
          <w:szCs w:val="17"/>
          <w:u w:val="single" w:color="auto"/>
          <w:color w:val="auto"/>
        </w:rPr>
        <w:t>Guarantors</w:t>
      </w:r>
      <w:r>
        <w:rPr>
          <w:rFonts w:ascii="Arial" w:cs="Arial" w:eastAsia="Arial" w:hAnsi="Arial"/>
          <w:sz w:val="17"/>
          <w:szCs w:val="17"/>
          <w:color w:val="auto"/>
        </w:rPr>
        <w:t>”). As used herein, the term “Securities” shall include the Guarantees, unless the context otherwise requires. Certain terms used in this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are defined in Section 15 hereof.</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Securities will be offered and sold to the Initial Purchasers without registration under the 1933 Act, in reliance on the exemption provided by Section 4(a)(2) of the 1933 Act. The Company and the Guarantors have prepared a preliminary offering memorandum, dated August 4, 2020 (the “</w:t>
      </w:r>
      <w:r>
        <w:rPr>
          <w:rFonts w:ascii="Arial" w:cs="Arial" w:eastAsia="Arial" w:hAnsi="Arial"/>
          <w:sz w:val="17"/>
          <w:szCs w:val="17"/>
          <w:u w:val="single" w:color="auto"/>
          <w:color w:val="auto"/>
        </w:rPr>
        <w:t>Preliminary Offering Memorandum</w:t>
      </w:r>
      <w:r>
        <w:rPr>
          <w:rFonts w:ascii="Arial" w:cs="Arial" w:eastAsia="Arial" w:hAnsi="Arial"/>
          <w:sz w:val="17"/>
          <w:szCs w:val="17"/>
          <w:color w:val="auto"/>
        </w:rPr>
        <w:t>”), a pricing term sheet substantially in the form attached hereto as Exhibit D (the “</w:t>
      </w:r>
      <w:r>
        <w:rPr>
          <w:rFonts w:ascii="Arial" w:cs="Arial" w:eastAsia="Arial" w:hAnsi="Arial"/>
          <w:sz w:val="17"/>
          <w:szCs w:val="17"/>
          <w:u w:val="single" w:color="auto"/>
          <w:color w:val="auto"/>
        </w:rPr>
        <w:t>Pricing Term Sheet</w:t>
      </w:r>
      <w:r>
        <w:rPr>
          <w:rFonts w:ascii="Arial" w:cs="Arial" w:eastAsia="Arial" w:hAnsi="Arial"/>
          <w:sz w:val="17"/>
          <w:szCs w:val="17"/>
          <w:color w:val="auto"/>
        </w:rPr>
        <w:t>”) setting forth the terms of the Securities omitted from the Preliminary Offering Memorandum and an offering memorandum, dated August 4, 2020 (the “</w:t>
      </w:r>
      <w:r>
        <w:rPr>
          <w:rFonts w:ascii="Arial" w:cs="Arial" w:eastAsia="Arial" w:hAnsi="Arial"/>
          <w:sz w:val="17"/>
          <w:szCs w:val="17"/>
          <w:u w:val="single" w:color="auto"/>
          <w:color w:val="auto"/>
        </w:rPr>
        <w:t>Offering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Memorandum</w:t>
      </w:r>
      <w:r>
        <w:rPr>
          <w:rFonts w:ascii="Arial" w:cs="Arial" w:eastAsia="Arial" w:hAnsi="Arial"/>
          <w:sz w:val="17"/>
          <w:szCs w:val="17"/>
          <w:color w:val="auto"/>
        </w:rPr>
        <w:t>”), setting forth information regarding the Company and the Securities. The Preliminary Offering Memorandum, as supplemented and amended as of the Applicable Time, together with the Pricing Term Sheet and any of the documents listed on Exhibit E hereto are collectively referred to as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The Company and the Guarantors hereby confirm that they have authorized the use of the General Disclosure Package and the Offering Memorandum in connection with the offering and resale of the Securities by the Initial Purchasers.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96" w:lineRule="auto"/>
        <w:rPr>
          <w:sz w:val="20"/>
          <w:szCs w:val="20"/>
          <w:color w:val="auto"/>
        </w:rPr>
      </w:pPr>
      <w:r>
        <w:rPr>
          <w:rFonts w:ascii="Arial" w:cs="Arial" w:eastAsia="Arial" w:hAnsi="Arial"/>
          <w:sz w:val="16"/>
          <w:szCs w:val="16"/>
          <w:color w:val="auto"/>
        </w:rPr>
        <w:t>The Initial Purchasers have advised the Company that they will offer and resell (the “</w:t>
      </w:r>
      <w:r>
        <w:rPr>
          <w:rFonts w:ascii="Arial" w:cs="Arial" w:eastAsia="Arial" w:hAnsi="Arial"/>
          <w:sz w:val="16"/>
          <w:szCs w:val="16"/>
          <w:u w:val="single" w:color="auto"/>
          <w:color w:val="auto"/>
        </w:rPr>
        <w:t>Exempt Resales</w:t>
      </w:r>
      <w:r>
        <w:rPr>
          <w:rFonts w:ascii="Arial" w:cs="Arial" w:eastAsia="Arial" w:hAnsi="Arial"/>
          <w:sz w:val="16"/>
          <w:szCs w:val="16"/>
          <w:color w:val="auto"/>
        </w:rPr>
        <w:t>”) the Securities purchased by them hereunder on the terms set forth in each of the General Disclosure Package and the Offering Memorandum, as amended or supplemented, solely (i) to persons whom they reasonably believe to be “qualified institutional buyers” as defined in Rule 144A under the 1933 Act (“</w:t>
      </w:r>
      <w:r>
        <w:rPr>
          <w:rFonts w:ascii="Arial" w:cs="Arial" w:eastAsia="Arial" w:hAnsi="Arial"/>
          <w:sz w:val="16"/>
          <w:szCs w:val="16"/>
          <w:u w:val="single" w:color="auto"/>
          <w:color w:val="auto"/>
        </w:rPr>
        <w:t>QIBs</w:t>
      </w:r>
      <w:r>
        <w:rPr>
          <w:rFonts w:ascii="Arial" w:cs="Arial" w:eastAsia="Arial" w:hAnsi="Arial"/>
          <w:sz w:val="16"/>
          <w:szCs w:val="16"/>
          <w:color w:val="auto"/>
        </w:rPr>
        <w:t>”) and will take reasonable steps to ensure that such purchasers are aware that such sales are being made in reliance on Rule 144A, and (ii) in compliance with Regulation S under the 1933 Act (“</w:t>
      </w:r>
      <w:r>
        <w:rPr>
          <w:rFonts w:ascii="Arial" w:cs="Arial" w:eastAsia="Arial" w:hAnsi="Arial"/>
          <w:sz w:val="16"/>
          <w:szCs w:val="16"/>
          <w:u w:val="single" w:color="auto"/>
          <w:color w:val="auto"/>
        </w:rPr>
        <w:t>Regulation S</w:t>
      </w:r>
      <w:r>
        <w:rPr>
          <w:rFonts w:ascii="Arial" w:cs="Arial" w:eastAsia="Arial" w:hAnsi="Arial"/>
          <w:sz w:val="16"/>
          <w:szCs w:val="16"/>
          <w:color w:val="auto"/>
        </w:rPr>
        <w:t>”). Those persons specified in clauses (i) and (ii) of this paragraph are referred to herein as “</w:t>
      </w:r>
      <w:r>
        <w:rPr>
          <w:rFonts w:ascii="Arial" w:cs="Arial" w:eastAsia="Arial" w:hAnsi="Arial"/>
          <w:sz w:val="16"/>
          <w:szCs w:val="16"/>
          <w:u w:val="single" w:color="auto"/>
          <w:color w:val="auto"/>
        </w:rPr>
        <w:t>Eligible Purchasers</w:t>
      </w:r>
      <w:r>
        <w:rPr>
          <w:rFonts w:ascii="Arial" w:cs="Arial" w:eastAsia="Arial" w:hAnsi="Arial"/>
          <w:sz w:val="16"/>
          <w:szCs w:val="16"/>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455"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by the Company and the Guarantors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each Guarantor (it being understood that each Guarantor represents only as to itself), jointly and severally, represent and warrant to each Initial Purchaser as of the date hereof, as of the Applicable Time, and as of the Closing Date referred to in Section 2(b) hereof, and agree with each Initial Purchaser, as follows:</w:t>
      </w:r>
    </w:p>
    <w:p>
      <w:pPr>
        <w:spacing w:after="0" w:line="165" w:lineRule="exact"/>
        <w:rPr>
          <w:rFonts w:ascii="Arial" w:cs="Arial" w:eastAsia="Arial" w:hAnsi="Arial"/>
          <w:sz w:val="17"/>
          <w:szCs w:val="17"/>
          <w:color w:val="auto"/>
        </w:rPr>
      </w:pPr>
    </w:p>
    <w:p>
      <w:pPr>
        <w:ind w:left="660" w:firstLine="644"/>
        <w:spacing w:after="0" w:line="277" w:lineRule="auto"/>
        <w:tabs>
          <w:tab w:leader="none" w:pos="2269"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Rule 144A Information</w:t>
      </w:r>
      <w:r>
        <w:rPr>
          <w:rFonts w:ascii="Arial" w:cs="Arial" w:eastAsia="Arial" w:hAnsi="Arial"/>
          <w:sz w:val="18"/>
          <w:szCs w:val="18"/>
          <w:color w:val="auto"/>
        </w:rPr>
        <w:t>. Each of the Preliminary Offering Memorandum, the General Disclosure Package and the Offering Memorandum, each as of its respective date, contains all the information required by Rule 144A(d)(4) under the 1933 Act.</w:t>
      </w:r>
    </w:p>
    <w:p>
      <w:pPr>
        <w:spacing w:after="0" w:line="170" w:lineRule="exact"/>
        <w:rPr>
          <w:rFonts w:ascii="Arial" w:cs="Arial" w:eastAsia="Arial" w:hAnsi="Arial"/>
          <w:sz w:val="18"/>
          <w:szCs w:val="18"/>
          <w:color w:val="auto"/>
        </w:rPr>
      </w:pPr>
    </w:p>
    <w:p>
      <w:pPr>
        <w:jc w:val="both"/>
        <w:ind w:left="660" w:firstLine="644"/>
        <w:spacing w:after="0" w:line="296" w:lineRule="auto"/>
        <w:tabs>
          <w:tab w:leader="none" w:pos="2296"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No Stop Orders</w:t>
      </w:r>
      <w:r>
        <w:rPr>
          <w:rFonts w:ascii="Arial" w:cs="Arial" w:eastAsia="Arial" w:hAnsi="Arial"/>
          <w:sz w:val="16"/>
          <w:szCs w:val="16"/>
          <w:color w:val="auto"/>
        </w:rPr>
        <w:t>. The Preliminary Offering Memorandum, the General Disclosure Package and the Offering Memorandum have been prepared by the Company and the Guarantors for use by the Initial Purchasers in connection with the Exempt Resales. No order or decree preventing the use of the Preliminary Offering Memorandum, the General Disclosure Package or the Offering Memorandum, or any order asserting that the transactions contemplated by this Agreement are subject to the registration requirements of the 1933 Act has been issued, and no proceeding for that purpose has commenced or is pending or, to the knowledge of the Company or any of the Guarantors is contemplated.</w:t>
      </w:r>
    </w:p>
    <w:p>
      <w:pPr>
        <w:spacing w:after="0" w:line="161" w:lineRule="exact"/>
        <w:rPr>
          <w:rFonts w:ascii="Arial" w:cs="Arial" w:eastAsia="Arial" w:hAnsi="Arial"/>
          <w:sz w:val="16"/>
          <w:szCs w:val="16"/>
          <w:color w:val="auto"/>
        </w:rPr>
      </w:pPr>
    </w:p>
    <w:p>
      <w:pPr>
        <w:jc w:val="both"/>
        <w:ind w:left="660" w:firstLine="644"/>
        <w:spacing w:after="0" w:line="289" w:lineRule="auto"/>
        <w:tabs>
          <w:tab w:leader="none" w:pos="2147" w:val="left"/>
        </w:tabs>
        <w:numPr>
          <w:ilvl w:val="1"/>
          <w:numId w:val="216"/>
        </w:numPr>
        <w:rPr>
          <w:rFonts w:ascii="Arial" w:cs="Arial" w:eastAsia="Arial" w:hAnsi="Arial"/>
          <w:sz w:val="16"/>
          <w:szCs w:val="16"/>
          <w:color w:val="auto"/>
        </w:rPr>
      </w:pPr>
      <w:r>
        <w:rPr>
          <w:rFonts w:ascii="Arial" w:cs="Arial" w:eastAsia="Arial" w:hAnsi="Arial"/>
          <w:sz w:val="16"/>
          <w:szCs w:val="16"/>
          <w:u w:val="single" w:color="auto"/>
          <w:color w:val="auto"/>
        </w:rPr>
        <w:t>No Material Misstatement or Omission</w:t>
      </w:r>
      <w:r>
        <w:rPr>
          <w:rFonts w:ascii="Arial" w:cs="Arial" w:eastAsia="Arial" w:hAnsi="Arial"/>
          <w:sz w:val="16"/>
          <w:szCs w:val="16"/>
          <w:color w:val="auto"/>
        </w:rPr>
        <w:t>. (i) The Preliminary Offering Memorandum, as of the date thereof, did not include any untrue statement of a material fact or omit to state a material fact necessary to make the statements therein, in the light of the circumstances under which they were made, not misleading, (ii) the General Disclosure Package, as of the Applicable Time, did not include any untrue statement of a material fact or omit to state a material fact necessary to make the statements therein, in the light of the circumstances under which they were made, not misleading, (iii) the Offering Memorandum, as of the date thereof, did not and, at the Closing Date, will not include any untrue statement of a material fact or omit to state a material fact necessary to make the statements therein, in the light of the circumstances under which they were made, not misleading and (iv) each Issuer Free Writing Document (as defined below), when taken together with the General Disclosure Package, did not, and, at the Closing Date, will not contain any untrue statement of a material fact or omit to state a material fact necessary to make the statements therein, in the light of the circumstances under which they were made, not misleading.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96" w:lineRule="auto"/>
        <w:rPr>
          <w:sz w:val="20"/>
          <w:szCs w:val="20"/>
          <w:color w:val="auto"/>
        </w:rPr>
      </w:pPr>
      <w:r>
        <w:rPr>
          <w:rFonts w:ascii="Arial" w:cs="Arial" w:eastAsia="Arial" w:hAnsi="Arial"/>
          <w:sz w:val="16"/>
          <w:szCs w:val="16"/>
          <w:color w:val="auto"/>
        </w:rPr>
        <w:t>The representations and warranties in the preceding paragraph do not apply to statements in or omissions from the Preliminary Offering Memorandum, the Offering Memorandum, the General Disclosure Package, any Issuer Free Writing Document or any amendment or supplement to any of the foregoing made in reliance upon and in conformity with written information relating to any Initial Purchaser furnished to the Company by such Initial Purchaser through the Representative expressly for use therein, it being understood and agreed that the only such information furnished by the Initial Purchasers as aforesaid consists of the information described as such in Section 6(b) hereof.</w:t>
      </w:r>
    </w:p>
    <w:p>
      <w:pPr>
        <w:spacing w:after="0" w:line="161" w:lineRule="exact"/>
        <w:rPr>
          <w:sz w:val="20"/>
          <w:szCs w:val="20"/>
          <w:color w:val="auto"/>
        </w:rPr>
      </w:pPr>
    </w:p>
    <w:p>
      <w:pPr>
        <w:ind w:left="1480" w:hanging="836"/>
        <w:spacing w:after="0"/>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44"/>
        <w:spacing w:after="0" w:line="277" w:lineRule="auto"/>
        <w:tabs>
          <w:tab w:leader="none" w:pos="171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Reporting Compliance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is subject to, and is in full compliance in all material respects with, the reporting requirements of Section 13 and Section 15(d), as applicable, of the 1934 Act.</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54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are independent public accountants as required by the 1933 Act and the 1934 Act and the rules and regulations thereunder/pursuant to the rules applicable to such accountants under the American Institute of Certified Public Accountants, or AICPA.</w:t>
      </w:r>
    </w:p>
    <w:p>
      <w:pPr>
        <w:spacing w:after="0" w:line="183" w:lineRule="exact"/>
        <w:rPr>
          <w:rFonts w:ascii="Arial" w:cs="Arial" w:eastAsia="Arial" w:hAnsi="Arial"/>
          <w:sz w:val="18"/>
          <w:szCs w:val="18"/>
          <w:color w:val="auto"/>
        </w:rPr>
      </w:pPr>
    </w:p>
    <w:p>
      <w:pPr>
        <w:jc w:val="both"/>
        <w:ind w:firstLine="644"/>
        <w:spacing w:after="0" w:line="269" w:lineRule="auto"/>
        <w:tabs>
          <w:tab w:leader="none" w:pos="1541"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of the Company included in the General Disclosure Package and the Offering Memorandum, together with the related schedules (if any) and notes thereto, present fairly in all material respects the financial position of the Company and its consolidated subsidiaries at the dates indicated and the results of operations, changes in stockholders’ equity and cash flows of the Company and its consolidated subsidiaries for the periods specified in conformity with GAAP. These statements comply, in all material respects, with all applicable accounting requirements under the 1933 Act and the 1933 Act Regulations, or the 1934 Act and the 1934 Act Regulations, as applicable, except as otherwise disclosed therein. Unaudited, interim financial statements are subject to normal year end audit adjustments and the exclusion of certain footnotes. The information in the Preliminary Offering Memorandum and the Offering Memorandum under the captions “Summary Consolidated Financial Data” and “Selected Financial Information” presents fairly in all material respects the information shown therein and has been prepared on a basis consistent with that of the audited financial statements of the Company included in the General Disclosure Package and the Offering Memorandum.</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3" w:name="page134"/>
    <w:bookmarkEnd w:id="133"/>
    <w:p>
      <w:pPr>
        <w:jc w:val="both"/>
        <w:ind w:left="-460" w:firstLine="644"/>
        <w:spacing w:after="0" w:line="286" w:lineRule="auto"/>
        <w:tabs>
          <w:tab w:leader="none" w:pos="1216"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Preliminary Offering Memorandum, the General Disclosure Package and the Offering Memorandum (in each case exclusive of any amendments or supplements thereto subsequent to the date of this Agreement), (A) there has been no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(in any such case, a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Adverse Effect</w:t>
      </w:r>
      <w:r>
        <w:rPr>
          <w:rFonts w:ascii="Arial" w:cs="Arial" w:eastAsia="Arial" w:hAnsi="Arial"/>
          <w:sz w:val="16"/>
          <w:szCs w:val="16"/>
          <w:color w:val="auto"/>
        </w:rPr>
        <w:t>”); (B) except as otherwise disclosed in the General Disclosure Package and the Offering Memorandum (in each case exclusive of any amendments or supplements thereto subsequent to the date of this Agreement), neither the Company nor any of its subsidiaries has incurred any liability or obligation, direct or contingent, or entered into any transaction or agreement that, individually or in the aggregate, is material with respect to the Company and its subsidiaries taken as a whole, and neither the Company nor any of its subsidiaries has sustained any loss or interference with its business or operations from fire, explosion, flood, earthquake or other natural disaster or calamity, whether or not covered by insurance, or from any labor dispute or disturbance or court or governmental action, order or decree which would reasonably be expected, individually or in the aggregate, to result in a Material Adverse Effect; and (C) there has been no dividend or distribution of any kind declared, paid or made by the Company on any class of its capital stock.</w:t>
      </w:r>
    </w:p>
    <w:p>
      <w:pPr>
        <w:spacing w:after="0" w:line="173" w:lineRule="exact"/>
        <w:rPr>
          <w:rFonts w:ascii="Arial" w:cs="Arial" w:eastAsia="Arial" w:hAnsi="Arial"/>
          <w:sz w:val="16"/>
          <w:szCs w:val="16"/>
          <w:color w:val="auto"/>
        </w:rPr>
      </w:pPr>
    </w:p>
    <w:p>
      <w:pPr>
        <w:jc w:val="both"/>
        <w:ind w:left="-460" w:firstLine="644"/>
        <w:spacing w:after="0" w:line="289" w:lineRule="auto"/>
        <w:tabs>
          <w:tab w:leader="none" w:pos="110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 the Guarantors and Subsidiaries</w:t>
      </w:r>
      <w:r>
        <w:rPr>
          <w:rFonts w:ascii="Arial" w:cs="Arial" w:eastAsia="Arial" w:hAnsi="Arial"/>
          <w:sz w:val="16"/>
          <w:szCs w:val="16"/>
          <w:color w:val="auto"/>
        </w:rPr>
        <w:t>. Each of the Company, the Guarantors and their respective subsidiaries has been duly organized and is validly existing as a corporation, limited liability company, limited partnership or general partnership, as the case may be, in good standing under the laws of the state of its jurisdiction of organization and has power and authority to own, lease and operate its properties and to conduct its business as described in the Preliminary Offering Memorandum, the General Disclosure Package and the Offering Memorandum and to enter into and perform its obligations under the Transaction Documents. Each of the Company, the Guarantors and their respective subsidiaries is duly qualified as a foreign corporation, limited liability company, limited partnership or general partnership, as the case may be, to transact business and is in good standing in each jurisdiction in which such qualification is required, whether by reason of the ownership or leasing of property or the conduct of business, except where the failure so to qualify or to be in good standing would not, individually or in the aggregate, reasonably be expected to result in a Material Adverse Effect.</w:t>
      </w:r>
    </w:p>
    <w:p>
      <w:pPr>
        <w:spacing w:after="0" w:line="166" w:lineRule="exact"/>
        <w:rPr>
          <w:rFonts w:ascii="Arial" w:cs="Arial" w:eastAsia="Arial" w:hAnsi="Arial"/>
          <w:sz w:val="16"/>
          <w:szCs w:val="16"/>
          <w:color w:val="auto"/>
        </w:rPr>
      </w:pPr>
    </w:p>
    <w:p>
      <w:pPr>
        <w:jc w:val="both"/>
        <w:ind w:left="-460" w:firstLine="644"/>
        <w:spacing w:after="0" w:line="285" w:lineRule="auto"/>
        <w:tabs>
          <w:tab w:leader="none" w:pos="1041"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Ownership of Subsidiaries</w:t>
      </w:r>
      <w:r>
        <w:rPr>
          <w:rFonts w:ascii="Arial" w:cs="Arial" w:eastAsia="Arial" w:hAnsi="Arial"/>
          <w:sz w:val="16"/>
          <w:szCs w:val="16"/>
          <w:color w:val="auto"/>
        </w:rPr>
        <w:t>. All of the issued and outstanding shares of capital stock of each subsidiary of the Company that is a corporation, all of the issued and outstanding partnership interests of each subsidiary of the Company that is a limited or general partnership and all of the issued and outstanding limited liability company interests, membership interests or other similar interests of each subsidiary of the Company that is a limited liability company have been duly authorized and validly issued, are fully paid and (except in the case of general partnership interests) non-assessable (to the extent that such status is applicable and exists under the laws of the jurisdiction in which such entity is organized) and are owned by the Company, directly or through subsidiaries, free and clear of any Lien, except pursuant to the Company’s Amended and Restated Credit Agreement, dated as of September 29, 2017 (as amended and restated on October 15, 2018, and as may be further amended, amended and restated, supplemented or otherwise modified from time to time) among the Company, the lenders from time to time party thereto and Wells Fargo Bank, National Association, as administrative agent. None of the issued and outstanding shares of capital stock of any such subsidiary that is a corporation, none of the issued and outstanding partnership interests of any such subsidiary that is a limited or general partnership, and none of the issued and outstanding limited liability company interests, membership interests or other similar interests of any such subsidiary that is a limited liability company was issued in violation of any preemptive rights, rights of first refusal or other similar rights of any securityholder of such subsidiary or any other person. The only significant subsidiaries (as defined in Rule 1-02 of Regulation S-X of the Commission) of the Company are the subsidiaries listed on Exhibit C hereto and Exhibit C accurately sets forth whether each such subsidiary is a corporation, limited or general partnership or limited liability company and the jurisdiction of organization of each such subsidiary and, in the case of any subsidiary which is a partnership or limited liability company, its general partners and managing members, respectively.</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4" w:name="page135"/>
    <w:bookmarkEnd w:id="134"/>
    <w:p>
      <w:pPr>
        <w:jc w:val="both"/>
        <w:ind w:left="-460" w:firstLine="644"/>
        <w:spacing w:after="0" w:line="271" w:lineRule="auto"/>
        <w:tabs>
          <w:tab w:leader="none" w:pos="1075"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issued and outstanding capital stock of the Company as of June 30, 2020 is as set forth in the column entitled “Actual” and in the corresponding line items under the caption “Capitalization” in the Preliminary Offering Memorandum and the Offering Memorandum (except for subsequent issuances, if any, pursuant to employee or director stock option, stock purchase or other equity incentive plans described in the Preliminary Offering Memorandum and the Offering Memorandum or upon the exercise of options issued under such plans). The shares of issued and outstanding capital stock of the Company have been duly authorized and validly issued and are fully paid and non-assessable and were issued in material compliance with all applicable foreign, state and federal securities and “Blue Sky” laws. None of the outstanding shares of capital stock of the Company was issued in violation of any preemptive rights, rights of first refusal or other similar rights of any securityholder of the Company or any other person.</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105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Other Securities of Same Class</w:t>
      </w:r>
      <w:r>
        <w:rPr>
          <w:rFonts w:ascii="Arial" w:cs="Arial" w:eastAsia="Arial" w:hAnsi="Arial"/>
          <w:sz w:val="18"/>
          <w:szCs w:val="18"/>
          <w:color w:val="auto"/>
        </w:rPr>
        <w:t>. When the Securities and Guarantees are issued and delivered pursuant to this Agreement, such Securities and Guarantees will not be of the same class (within the meaning of Rule 144A under the 1933 Act) as securities of the Company or the Guarantors that are listed on a national securities exchange registered under Section 6 of the 1934 Act or that are quoted in a United States automated inter-dealer quotation system.</w:t>
      </w:r>
    </w:p>
    <w:p>
      <w:pPr>
        <w:spacing w:after="0" w:line="186" w:lineRule="exact"/>
        <w:rPr>
          <w:rFonts w:ascii="Arial" w:cs="Arial" w:eastAsia="Arial" w:hAnsi="Arial"/>
          <w:sz w:val="18"/>
          <w:szCs w:val="18"/>
          <w:color w:val="auto"/>
        </w:rPr>
      </w:pPr>
    </w:p>
    <w:p>
      <w:pPr>
        <w:jc w:val="both"/>
        <w:ind w:left="-460" w:firstLine="644"/>
        <w:spacing w:after="0" w:line="311" w:lineRule="auto"/>
        <w:tabs>
          <w:tab w:leader="none" w:pos="105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No Registration</w:t>
      </w:r>
      <w:r>
        <w:rPr>
          <w:rFonts w:ascii="Arial" w:cs="Arial" w:eastAsia="Arial" w:hAnsi="Arial"/>
          <w:sz w:val="16"/>
          <w:szCs w:val="16"/>
          <w:color w:val="auto"/>
        </w:rPr>
        <w:t>. No registration under the 1933 Act of the Securities or the Guarantees, and no qualification of the Indenture under the 1939 Act with respect thereto, is required for the sale of the Securities and the Guarantees to you as contemplated hereby or for the initial resale of Securities by you to the Eligible Purchasers, assuming the accuracy of the Initial Purchasers’ representations in this Agreement.</w:t>
      </w:r>
    </w:p>
    <w:p>
      <w:pPr>
        <w:spacing w:after="0" w:line="148" w:lineRule="exact"/>
        <w:rPr>
          <w:rFonts w:ascii="Arial" w:cs="Arial" w:eastAsia="Arial" w:hAnsi="Arial"/>
          <w:sz w:val="16"/>
          <w:szCs w:val="16"/>
          <w:color w:val="auto"/>
        </w:rPr>
      </w:pPr>
    </w:p>
    <w:p>
      <w:pPr>
        <w:jc w:val="both"/>
        <w:ind w:left="-460" w:firstLine="644"/>
        <w:spacing w:after="0" w:line="296" w:lineRule="auto"/>
        <w:tabs>
          <w:tab w:leader="none" w:pos="1055"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No form of general solicitation or general advertising within the meaning of Regulation D under the 1933 Act (including, but not limited to, advertisements, articles, notices or other communications published in any newspaper, magazine or similar medium or broadcast over television or radio, or any seminar or meeting whose attendees have been invited by any general solicitation or general advertising) (each, a “</w:t>
      </w:r>
      <w:r>
        <w:rPr>
          <w:rFonts w:ascii="Arial" w:cs="Arial" w:eastAsia="Arial" w:hAnsi="Arial"/>
          <w:sz w:val="16"/>
          <w:szCs w:val="16"/>
          <w:u w:val="single" w:color="auto"/>
          <w:color w:val="auto"/>
        </w:rPr>
        <w:t>General Solicitation</w:t>
      </w:r>
      <w:r>
        <w:rPr>
          <w:rFonts w:ascii="Arial" w:cs="Arial" w:eastAsia="Arial" w:hAnsi="Arial"/>
          <w:sz w:val="16"/>
          <w:szCs w:val="16"/>
          <w:color w:val="auto"/>
        </w:rPr>
        <w:t>”) was used by the Company or any of its affiliates or any of its representatives (other than the Initial Purchasers, as to whom the Company and the Guarantors make no representation) in connection with the offer and sale of the Securities.</w:t>
      </w:r>
    </w:p>
    <w:p>
      <w:pPr>
        <w:spacing w:after="0" w:line="37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5" w:name="page136"/>
    <w:bookmarkEnd w:id="135"/>
    <w:p>
      <w:pPr>
        <w:jc w:val="both"/>
        <w:ind w:firstLine="644"/>
        <w:spacing w:after="0" w:line="296" w:lineRule="auto"/>
        <w:tabs>
          <w:tab w:leader="none" w:pos="148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Regulation S Compliance</w:t>
      </w:r>
      <w:r>
        <w:rPr>
          <w:rFonts w:ascii="Arial" w:cs="Arial" w:eastAsia="Arial" w:hAnsi="Arial"/>
          <w:sz w:val="16"/>
          <w:szCs w:val="16"/>
          <w:color w:val="auto"/>
        </w:rPr>
        <w:t>. No directed selling efforts within the meaning of Rule 902 under the 1933 Act were or will be used by the Company and its subsidiaries or any of their respective representatives (other than the Initial Purchasers, as to whom the Company and the Guarantors make no representation) with respect to Securities sold in reliance on Regulation S, and the Company, any affiliate of the Company and any person acting on its or their behalf (other than the Initial Purchasers, as to whom the Company and the Guarantors make no representation) has complied with and will implement the “offering restrictions” required by Rule 902 under the 1933 Act.</w:t>
      </w:r>
    </w:p>
    <w:p>
      <w:pPr>
        <w:spacing w:after="0" w:line="161" w:lineRule="exact"/>
        <w:rPr>
          <w:rFonts w:ascii="Arial" w:cs="Arial" w:eastAsia="Arial" w:hAnsi="Arial"/>
          <w:sz w:val="16"/>
          <w:szCs w:val="16"/>
          <w:color w:val="auto"/>
        </w:rPr>
      </w:pPr>
    </w:p>
    <w:p>
      <w:pPr>
        <w:jc w:val="both"/>
        <w:ind w:firstLine="644"/>
        <w:spacing w:after="0" w:line="259" w:lineRule="auto"/>
        <w:tabs>
          <w:tab w:leader="none" w:pos="1582"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No Integration</w:t>
      </w:r>
      <w:r>
        <w:rPr>
          <w:rFonts w:ascii="Arial" w:cs="Arial" w:eastAsia="Arial" w:hAnsi="Arial"/>
          <w:sz w:val="18"/>
          <w:szCs w:val="18"/>
          <w:color w:val="auto"/>
        </w:rPr>
        <w:t>. None of the Company, any Guarantor or any person acting on behalf of the Company or any Guarantor has sold or issued any securities that would be integrated with the offering of the Securities contemplated by this Agreement pursuant to the 1933 Act, the rules and regulations thereunder or the interpretations thereof by the Commission, in a manner that would require the Securities to be registered under the 1933 Act.</w:t>
      </w:r>
    </w:p>
    <w:p>
      <w:pPr>
        <w:spacing w:after="0" w:line="186" w:lineRule="exact"/>
        <w:rPr>
          <w:rFonts w:ascii="Arial" w:cs="Arial" w:eastAsia="Arial" w:hAnsi="Arial"/>
          <w:sz w:val="18"/>
          <w:szCs w:val="18"/>
          <w:color w:val="auto"/>
        </w:rPr>
      </w:pPr>
    </w:p>
    <w:p>
      <w:pPr>
        <w:ind w:left="1600" w:hanging="956"/>
        <w:spacing w:after="0"/>
        <w:tabs>
          <w:tab w:leader="none" w:pos="160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w:t>
      </w:r>
      <w:r>
        <w:rPr>
          <w:rFonts w:ascii="Arial" w:cs="Arial" w:eastAsia="Arial" w:hAnsi="Arial"/>
          <w:sz w:val="16"/>
          <w:szCs w:val="16"/>
          <w:color w:val="auto"/>
        </w:rPr>
        <w:t>. This Agreement has been duly authorized, executed and delivered by the Company and each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0" w:lineRule="exact"/>
        <w:rPr>
          <w:rFonts w:ascii="Arial" w:cs="Arial" w:eastAsia="Arial" w:hAnsi="Arial"/>
          <w:sz w:val="16"/>
          <w:szCs w:val="16"/>
          <w:color w:val="auto"/>
        </w:rPr>
      </w:pPr>
    </w:p>
    <w:p>
      <w:pPr>
        <w:ind w:firstLine="644"/>
        <w:spacing w:after="0" w:line="277" w:lineRule="auto"/>
        <w:tabs>
          <w:tab w:leader="none" w:pos="177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Full Power</w:t>
      </w:r>
      <w:r>
        <w:rPr>
          <w:rFonts w:ascii="Arial" w:cs="Arial" w:eastAsia="Arial" w:hAnsi="Arial"/>
          <w:sz w:val="18"/>
          <w:szCs w:val="18"/>
          <w:color w:val="auto"/>
        </w:rPr>
        <w:t>. The Company and each Guarantor has full right, power and authority to execute, deliver and perform its obligations under the Transaction Documents.</w:t>
      </w:r>
    </w:p>
    <w:p>
      <w:pPr>
        <w:spacing w:after="0" w:line="170" w:lineRule="exact"/>
        <w:rPr>
          <w:rFonts w:ascii="Arial" w:cs="Arial" w:eastAsia="Arial" w:hAnsi="Arial"/>
          <w:sz w:val="18"/>
          <w:szCs w:val="18"/>
          <w:color w:val="auto"/>
        </w:rPr>
      </w:pPr>
    </w:p>
    <w:p>
      <w:pPr>
        <w:jc w:val="both"/>
        <w:ind w:firstLine="644"/>
        <w:spacing w:after="0" w:line="296" w:lineRule="auto"/>
        <w:tabs>
          <w:tab w:leader="none" w:pos="158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The Indenture</w:t>
      </w:r>
      <w:r>
        <w:rPr>
          <w:rFonts w:ascii="Arial" w:cs="Arial" w:eastAsia="Arial" w:hAnsi="Arial"/>
          <w:sz w:val="16"/>
          <w:szCs w:val="16"/>
          <w:color w:val="auto"/>
        </w:rPr>
        <w:t>. The Indenture has been duly authorized by the Company and each Guarantor and, on the Closing Date, will have been duly executed and delivered by the Company and each Guarantor and, assuming the due authorization, execution and delivery thereof by the Trustee, will constitute a valid and binding agreement of the Company and each Guarantor, enforceable against the Company and each Guarantor in accordance with its terms, except as enforcement thereof may be limited by bankruptcy, insolvency, fraudulent conveyance, reorganization, moratorium or similar laws affecting enforcement of creditors’ rights generally or by general principles of equity.</w:t>
      </w:r>
    </w:p>
    <w:p>
      <w:pPr>
        <w:spacing w:after="0" w:line="161" w:lineRule="exact"/>
        <w:rPr>
          <w:rFonts w:ascii="Arial" w:cs="Arial" w:eastAsia="Arial" w:hAnsi="Arial"/>
          <w:sz w:val="16"/>
          <w:szCs w:val="16"/>
          <w:color w:val="auto"/>
        </w:rPr>
      </w:pPr>
    </w:p>
    <w:p>
      <w:pPr>
        <w:jc w:val="both"/>
        <w:ind w:firstLine="644"/>
        <w:spacing w:after="0" w:line="255" w:lineRule="auto"/>
        <w:tabs>
          <w:tab w:leader="none" w:pos="151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The Securities</w:t>
      </w:r>
      <w:r>
        <w:rPr>
          <w:rFonts w:ascii="Arial" w:cs="Arial" w:eastAsia="Arial" w:hAnsi="Arial"/>
          <w:sz w:val="18"/>
          <w:szCs w:val="18"/>
          <w:color w:val="auto"/>
        </w:rPr>
        <w:t>. The Securities (excluding the Guarantees) have been duly authorized and, at the Closing Date, will have been duly executed by the Company and, when authenticated by the Trustee in the manner provided in the Indenture and delivered against payment of the purchase price therefor as provided in this Agreement, will constitute valid and binding obligations of the Company, enforceable against the Company in accordance with their terms, except as enforcement thereof may be limited by bankruptcy, insolvency, fraudulent conveyance, reorganization, moratorium or similar laws affecting enforcement of creditors’ rights generally or by general principles of equity, and will be in the form contemplated by, and entitled to the benefits of, the Indenture.</w:t>
      </w:r>
    </w:p>
    <w:p>
      <w:pPr>
        <w:spacing w:after="0" w:line="192" w:lineRule="exact"/>
        <w:rPr>
          <w:rFonts w:ascii="Arial" w:cs="Arial" w:eastAsia="Arial" w:hAnsi="Arial"/>
          <w:sz w:val="18"/>
          <w:szCs w:val="18"/>
          <w:color w:val="auto"/>
        </w:rPr>
      </w:pPr>
    </w:p>
    <w:p>
      <w:pPr>
        <w:jc w:val="both"/>
        <w:ind w:firstLine="644"/>
        <w:spacing w:after="0" w:line="255" w:lineRule="auto"/>
        <w:tabs>
          <w:tab w:leader="none" w:pos="1704"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The Guarantees</w:t>
      </w:r>
      <w:r>
        <w:rPr>
          <w:rFonts w:ascii="Arial" w:cs="Arial" w:eastAsia="Arial" w:hAnsi="Arial"/>
          <w:sz w:val="18"/>
          <w:szCs w:val="18"/>
          <w:color w:val="auto"/>
        </w:rPr>
        <w:t>. The Guarantees have been duly authorized and, at the Closing Date, the Indenture (which includes the Guarantees) will have been duly executed by the Guarantors. When the Securities are authenticated by the Trustee in the manner provided for in the Indenture and delivered against payment therefor as provided in this Agreement, the Guarantees will constitute valid and binding obligations of the Guarantors, except as enforcement thereof may be limited by bankruptcy, insolvency, fraudulent conveyance, reorganization, moratorium or similar laws affecting enforcement of creditors’ rights generally or by general principles of equity, and will be in the form contemplated by, and entitled to the benefits of, the Indenture.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36" w:name="page137"/>
    <w:bookmarkEnd w:id="136"/>
    <w:p>
      <w:pPr>
        <w:jc w:val="both"/>
        <w:ind w:left="-460" w:firstLine="644"/>
        <w:spacing w:after="0" w:line="263" w:lineRule="auto"/>
        <w:tabs>
          <w:tab w:leader="none" w:pos="110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Description of the Securities and Agreements</w:t>
      </w:r>
      <w:r>
        <w:rPr>
          <w:rFonts w:ascii="Arial" w:cs="Arial" w:eastAsia="Arial" w:hAnsi="Arial"/>
          <w:sz w:val="18"/>
          <w:szCs w:val="18"/>
          <w:color w:val="auto"/>
        </w:rPr>
        <w:t>. The Securities, the Guarantees and the Indenture will conform in all material respects to the respective statements relating thereto contained in the Preliminary Offering Memorandum, the General Disclosure Package and the Offering Memorandum.</w:t>
      </w:r>
    </w:p>
    <w:p>
      <w:pPr>
        <w:spacing w:after="0" w:line="183" w:lineRule="exact"/>
        <w:rPr>
          <w:rFonts w:ascii="Arial" w:cs="Arial" w:eastAsia="Arial" w:hAnsi="Arial"/>
          <w:sz w:val="18"/>
          <w:szCs w:val="18"/>
          <w:color w:val="auto"/>
        </w:rPr>
      </w:pPr>
    </w:p>
    <w:p>
      <w:pPr>
        <w:jc w:val="both"/>
        <w:ind w:left="-460" w:firstLine="644"/>
        <w:spacing w:after="0" w:line="267" w:lineRule="auto"/>
        <w:tabs>
          <w:tab w:leader="none" w:pos="1149"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Absence of Defaults and Conflicts</w:t>
      </w:r>
      <w:r>
        <w:rPr>
          <w:rFonts w:ascii="Arial" w:cs="Arial" w:eastAsia="Arial" w:hAnsi="Arial"/>
          <w:sz w:val="17"/>
          <w:szCs w:val="17"/>
          <w:color w:val="auto"/>
        </w:rPr>
        <w:t>. Neither the Company nor any of its subsidiaries is (i) in violation of its Organizational Documents, (ii) in violation of any applicable law, statute, rule, regulation, judgment, order, writ or decree of any government, government instrumentality or court, domestic or foreign, having jurisdiction over the Company or any of its subsidiaries or any of their respective assets, properties or operations or (iii) in breach or default (or with or without the giving of notice or the passage of time or both, would be in breach or default) in the performance or observance of any obligation, agreement, covenant or condition contained in any Company Document, except in the case of clauses (ii) or (iii) for such violations, breaches or defaults that would not, individually or in the aggregate, reasonably be expected to result in a Material Adverse Effect. The execution, delivery and performance of the Transaction Documents and the consummation of the transactions contemplated therein and in the Preliminary Offering Memorandum, the General Disclosure Package and the Offering Memorandum (including the issuance and sale of the Securities and the use of the proceeds from the sale of the Securities as described in the Preliminary Offering Memorandum and the Offering Memorandum under the caption “Use of Proceeds”) and compliance by the Company and the Guarantors with their obligations under the Transaction Documents do not and will not, whether with or without the giving of notice or passage of time or both, conflict with or constitute a breach of, or default, Termination Event or Repayment Event under, or result in the creation or imposition of any Lien upon any property or assets of the Company or any of its subsidiaries pursuant to, any Company Documents, except for such conflicts, breaches or defaults that would not, individually or in the aggregate, reasonably be expected to result in a Material Adverse Effect. Such actions will not result in any violation of (i) the provisions of the Organizational Documents of the Company or any of its subsidiaries or (ii) any applicable law, statute, rule, regulation, judgment, order, writ or decree of any government, government instrumentality or court, domestic or foreign, having jurisdiction over the Company or any of its subsidiaries or any of its or their respective assets, properties or operations, except in the case of clause (ii) for such violations that would not, individually or in the aggregate, reasonably be expected to result in a Material Adverse Effect.</w:t>
      </w:r>
    </w:p>
    <w:p>
      <w:pPr>
        <w:spacing w:after="0" w:line="188" w:lineRule="exact"/>
        <w:rPr>
          <w:rFonts w:ascii="Arial" w:cs="Arial" w:eastAsia="Arial" w:hAnsi="Arial"/>
          <w:sz w:val="17"/>
          <w:szCs w:val="17"/>
          <w:color w:val="auto"/>
        </w:rPr>
      </w:pPr>
    </w:p>
    <w:p>
      <w:pPr>
        <w:jc w:val="both"/>
        <w:ind w:left="-460" w:firstLine="644"/>
        <w:spacing w:after="0" w:line="259" w:lineRule="auto"/>
        <w:tabs>
          <w:tab w:leader="none" w:pos="106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Transactions with Related Persons</w:t>
      </w:r>
      <w:r>
        <w:rPr>
          <w:rFonts w:ascii="Arial" w:cs="Arial" w:eastAsia="Arial" w:hAnsi="Arial"/>
          <w:sz w:val="18"/>
          <w:szCs w:val="18"/>
          <w:color w:val="auto"/>
        </w:rPr>
        <w:t>. No relationship, direct or indirect, that would be required to be described in a registration statement of the Company pursuant to Item 404 of Regulation S-K currently exists, between or among the Company and its subsidiaries, on the one hand, and the directors, officers, affiliates, stockholders, customers or suppliers of the Company and its subsidiaries, on the other hand, that has not been described in the General Disclosure Package and the Offering Memorandum.</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7" w:name="page138"/>
    <w:bookmarkEnd w:id="137"/>
    <w:p>
      <w:pPr>
        <w:jc w:val="both"/>
        <w:ind w:left="-460" w:firstLine="644"/>
        <w:spacing w:after="0" w:line="301" w:lineRule="auto"/>
        <w:tabs>
          <w:tab w:leader="none" w:pos="1136"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any of its subsidiaries exists or, to the knowledge of the Company or any of its subsidiaries, is imminent, and neither the Company nor any of its subsidiaries are aware of any existing or imminent labor disturbance by the employees of any of the principal suppliers, manufacturers, customers or contractors of the Company or any of its subsidiaries which, in each case, would reasonably be expected, individually or in the aggregate, to result in a Material Adverse Effect.</w:t>
      </w:r>
    </w:p>
    <w:p>
      <w:pPr>
        <w:spacing w:after="0" w:line="157" w:lineRule="exact"/>
        <w:rPr>
          <w:rFonts w:ascii="Arial" w:cs="Arial" w:eastAsia="Arial" w:hAnsi="Arial"/>
          <w:sz w:val="16"/>
          <w:szCs w:val="16"/>
          <w:color w:val="auto"/>
        </w:rPr>
      </w:pPr>
    </w:p>
    <w:p>
      <w:pPr>
        <w:jc w:val="both"/>
        <w:ind w:left="-460" w:firstLine="644"/>
        <w:spacing w:after="0" w:line="289" w:lineRule="auto"/>
        <w:tabs>
          <w:tab w:leader="none" w:pos="123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There is no action, suit, proceeding, inquiry or investigation before or brought by any court or governmental agency or body, domestic or foreign, now pending, or, to the knowledge of the Company or its subsidiaries, threatened, against or affecting the Company or any of its subsidiaries (other than as disclosed in the Preliminary Offering Memorandum, the General Disclosure Package or the Offering Memorandum), which would reasonably be expected, individually or in the aggregate, to result in a Material Adverse Effect or to materially and adversely affect the consummation of the transactions contemplated in the Transaction Documents or the performance by the Company or the Guarantors of their obligations under the Transaction Documents. The aggregate of all pending legal or governmental proceedings to which the Company or any of its subsidiaries is a party or of which any of their respective property or assets is the subject which are not described in the Preliminary Offering Memorandum or the Offering Memorandum, including ordinary routine litigation incidental to the business, would not reasonably be expected, individually or in the aggregate, to result in a Material Adverse Effect.</w:t>
      </w:r>
    </w:p>
    <w:p>
      <w:pPr>
        <w:spacing w:after="0" w:line="166" w:lineRule="exact"/>
        <w:rPr>
          <w:rFonts w:ascii="Arial" w:cs="Arial" w:eastAsia="Arial" w:hAnsi="Arial"/>
          <w:sz w:val="16"/>
          <w:szCs w:val="16"/>
          <w:color w:val="auto"/>
        </w:rPr>
      </w:pPr>
    </w:p>
    <w:p>
      <w:pPr>
        <w:jc w:val="both"/>
        <w:ind w:left="-460" w:firstLine="644"/>
        <w:spacing w:after="0" w:line="296" w:lineRule="auto"/>
        <w:tabs>
          <w:tab w:leader="none" w:pos="1109"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Description of Contracts</w:t>
      </w:r>
      <w:r>
        <w:rPr>
          <w:rFonts w:ascii="Arial" w:cs="Arial" w:eastAsia="Arial" w:hAnsi="Arial"/>
          <w:sz w:val="16"/>
          <w:szCs w:val="16"/>
          <w:color w:val="auto"/>
        </w:rPr>
        <w:t>. There are no contracts or other documents that would be required to be described in a registration statement filed under the 1933 Act or filed as exhibits to a registration statement of the Company pursuant to Item 601(b)(10) of Regulation S-K that have not been described in the General Disclosure Package and the Offering Memorandum. The statements made in the General Disclosure Package and the Offering Memorandum, insofar as they purport to constitute summaries of the terms of the contracts and other documents that are so described, constitute accurate summaries of the terms of such contracts and documents in all material respects.</w:t>
      </w:r>
    </w:p>
    <w:p>
      <w:pPr>
        <w:spacing w:after="0" w:line="161" w:lineRule="exact"/>
        <w:rPr>
          <w:rFonts w:ascii="Arial" w:cs="Arial" w:eastAsia="Arial" w:hAnsi="Arial"/>
          <w:sz w:val="16"/>
          <w:szCs w:val="16"/>
          <w:color w:val="auto"/>
        </w:rPr>
      </w:pPr>
    </w:p>
    <w:p>
      <w:pPr>
        <w:jc w:val="both"/>
        <w:ind w:left="-460" w:firstLine="644"/>
        <w:spacing w:after="0" w:line="301" w:lineRule="auto"/>
        <w:tabs>
          <w:tab w:leader="none" w:pos="1082"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Description of Legal Matters</w:t>
      </w:r>
      <w:r>
        <w:rPr>
          <w:rFonts w:ascii="Arial" w:cs="Arial" w:eastAsia="Arial" w:hAnsi="Arial"/>
          <w:sz w:val="16"/>
          <w:szCs w:val="16"/>
          <w:color w:val="auto"/>
        </w:rPr>
        <w:t>. The statements made in the General Disclosure Package and the Offering Memorandum under the captions “Risk Factors—Intellectual Property Risks” and “Business—Regulation”,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8" w:name="page139"/>
    <w:bookmarkEnd w:id="138"/>
    <w:p>
      <w:pPr>
        <w:jc w:val="both"/>
        <w:ind w:left="-460" w:firstLine="644"/>
        <w:spacing w:after="0" w:line="288" w:lineRule="auto"/>
        <w:tabs>
          <w:tab w:leader="none" w:pos="1176"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On the Closing Date, after giving pro forma effect to the Offering and the use of proceeds therefrom described under the caption “Use of Proceeds” in the General Disclosure Package and the Offering Memorandum, the Company and the Guarantors taken as a whole will be Solvent (as hereinafter defined). As used in this paragraph, the term “Solvent” means, with respect to a particular date, that on such date (i) the present fair market value (or present fair saleable value) of the assets of the Company and the Guarantors, taken as a whole, is not less than the total amount required to pay the liabilities of the Company and the Guarantors on their total existing debts and liabilities (including contingent liabilities) as they become absolute and matured; (ii) the Company and the Guarantors are able to pay their debts and other liabilities, contingent obligations and commitments as they mature and become due in the normal course of business; (iii) assuming consummation of the issuance of the Securities as contemplated by this Agreement and the General Disclosure Package and the Offering Memorandum, the Company and the Guarantors, taken as a whole, are not incurring debts or liabilities beyond their ability to pay as such debts and liabilities mature; and (iv) the Company and the Guarantors, taken as a whole, are not otherwise insolvent under the standards set forth in applicable laws.</w:t>
      </w:r>
    </w:p>
    <w:p>
      <w:pPr>
        <w:spacing w:after="0" w:line="168" w:lineRule="exact"/>
        <w:rPr>
          <w:rFonts w:ascii="Arial" w:cs="Arial" w:eastAsia="Arial" w:hAnsi="Arial"/>
          <w:sz w:val="16"/>
          <w:szCs w:val="16"/>
          <w:color w:val="auto"/>
        </w:rPr>
      </w:pPr>
    </w:p>
    <w:p>
      <w:pPr>
        <w:jc w:val="both"/>
        <w:ind w:left="-460" w:firstLine="644"/>
        <w:spacing w:after="0" w:line="284" w:lineRule="auto"/>
        <w:tabs>
          <w:tab w:leader="none" w:pos="1041"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The Company and its subsidiaries own and possess or have valid and enforceable licenses to use, all patents, patent rights, patent applications, licenses, copyrights, inventions, know-how (including trade secrets and other unpatented and/or unpatentable proprietary or confidential information, systems or procedures), trademarks, service marks, trade names, service names, software, internet addresses, domain names and other intellectual property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that is necessary for the conduct of their respective businesses as currently conducted and as described in the General Disclosure Package and the Offering Memorandum. Neither the Company nor any of its subsidiaries has received any notice or is otherwise aware of any infringement of or conflict with rights of others with respect to any Intellectual Property or of any facts or circumstances which could form a reasonable basis for concluding that any Intellectual Property of the Company is invalid or inadequate to protect the interests of the Company or any of its subsidiaries therein, except as would not reasonably be expected, individually or in the aggregate, to result in a Material Adverse Effect. There are no third parties who have or, to the knowledge of the Company or any of its subsidiaries, will be able to establish rights to any Intellectual Property of the Company or any of its subsidiaries, except for, and to the extent of, the ownership rights of the owners of the Intellectual Property which the General Disclosure Package and the Offering Memorandum disclose is licensed to the Company or any of its subsidiaries and except as would not reasonably be expected, individually or in the aggregate, to result in a Material Adverse Effect. Except as otherwise disclosed in the Company’s filings made pursuant to the 1934 Act, there is no pending or, to the knowledge of the Company or any of its subsidiaries, threatened action, suit, proceeding or claim by others challenging the Company’s or any subsidiary’s rights in or to any such Intellectual Property, or challenging the validity, enforceability or scope of any such Intellectual Property, or asserting that the Company or any subsidiary of the Company infringes or otherwise violates, or would, upon the commercialization of any product or service described in the General Disclosure Package or the Offering Memorandum, infringe or violate, any Intellectual Property of others, and the Company and its subsidiaries are unaware of any facts which could form a reasonable basis for any such action, suit, proceeding or claim, except as would not reasonably be expected, individually or in the aggregate, to result in a Material Adverse Effect. The Company and its subsidiaries have complied with the terms of each agreement pursuant to which any Intellectual Property has been licensed to the Company and its subsidiaries or any Company subsidiary, all such agreements are in full force and effect, and no event or condition has occurred or exists that gives or, with notice or passage of time or both, would give any person the right to terminate any such agreement, except as would not reasonably be expected, individually or in the aggregate, to result in a Material Adverse Effect.</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9" w:name="page140"/>
    <w:bookmarkEnd w:id="139"/>
    <w:p>
      <w:pPr>
        <w:jc w:val="both"/>
        <w:ind w:left="-460" w:firstLine="644"/>
        <w:spacing w:after="0" w:line="287" w:lineRule="auto"/>
        <w:tabs>
          <w:tab w:leader="none" w:pos="1217"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Assuming the accuracy of the representations and warranties of the Initial Purchasers contained in Section 2(d) and their compliance with their agreements set forth herein, (A) no filing with, or authorization, approval, consent, license, order, registration, qualification or decree of, any court or governmental authority or agency, domestic or foreign, (B) no authorization, approval, vote or consent of any holder of capital stock or other securities of the Company or any Guarantor or creditor of the Company or any of its subsidiaries, (C) no authorization, approval, waiver or consent under any Company Document, and (D) no authorization, approval, vote or consent of any other person or entity, is necessary or required for the execution, delivery or performance by the Company or the Guarantors of their obligations under the Transaction Documents, for the offering, issuance, sale or delivery of the Securities or the Guarantees hereunder, or for the consummation of any of the other transactions contemplated by this Agreement, in each case on the terms contemplated by the General Disclosure Package and the Offering Memorandum, except, in each case, (i) that no representation is made as to such as may be required under state or foreign securities laws and (ii) where the failure to make or obtain any of the foregoing in the case of clause (A) would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91" w:lineRule="auto"/>
        <w:tabs>
          <w:tab w:leader="none" w:pos="1028"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its subsidiaries possess such permits, licenses, approvals, consents and other 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so to comply would not reasonably be expected to, individually or in the aggregate, result in a Material Adverse Effect. All of the Governmental Licenses are valid and in full force and effect, except where the failure to be valid and in full force and effect would not reasonably be expected to, individually or in the aggregate, result in a Material Adverse Effect. Neither the Company nor any of its subsidiaries has received any notice of proceedings relating to the revocation or modification of any such Governmental Licenses.</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0" w:name="page141"/>
    <w:bookmarkEnd w:id="140"/>
    <w:p>
      <w:pPr>
        <w:jc w:val="both"/>
        <w:ind w:left="-460" w:firstLine="644"/>
        <w:spacing w:after="0" w:line="286" w:lineRule="auto"/>
        <w:tabs>
          <w:tab w:leader="none" w:pos="1095"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each of its subsidiaries have good and marketable title in fee simple to all real property owned by any of them (if any) and good title to all other properties and assets owned by any of them, in each case, free and clear of all Liens except such as (a) are described in the General Disclosure Package and the Offering Memorandum or (b) do not, individually or in the aggregate, materially affect the value of such property or interfere with the use made and proposed to be made of such property by the Company or any of its subsidiaries. All real property, buildings and other improvements, and all equipment and other property, held under lease or sublease by the Company or any of its subsidiaries is held by them under valid, subsisting and enforceable leases or subleases, as the case may be, with, solely in the case of leases or subleases relating to real property, buildings or other improvements, such exceptions as are not material and do not interfere with the use made or proposed to be made of such property and buildings or other improvements by the Company and its subsidiaries, and all such leases and subleases are in full force and effect. Neither the Company nor any of its subsidiaries has any notice of any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or the continued use of the leased or subleased equipment or other property, except for such claims which, if successfully asserted against the Company, or any of its subsidiaries, would not, individually or in the aggregate, reasonably be expected to result in a Material Adverse Effect.</w:t>
      </w:r>
    </w:p>
    <w:p>
      <w:pPr>
        <w:spacing w:after="0" w:line="173" w:lineRule="exact"/>
        <w:rPr>
          <w:rFonts w:ascii="Arial" w:cs="Arial" w:eastAsia="Arial" w:hAnsi="Arial"/>
          <w:sz w:val="16"/>
          <w:szCs w:val="16"/>
          <w:color w:val="auto"/>
        </w:rPr>
      </w:pPr>
    </w:p>
    <w:p>
      <w:pPr>
        <w:jc w:val="both"/>
        <w:ind w:left="-460" w:firstLine="644"/>
        <w:spacing w:after="0" w:line="259" w:lineRule="auto"/>
        <w:tabs>
          <w:tab w:leader="none" w:pos="1028"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its subsidiaries is, and upon the issuance and sale of the Securities as herein contemplated and the receipt and application of the net proceeds therefrom as described in the General Disclosure Package and the Offering Memorandum under the caption “Use Of Proceeds,” will be, required to register as an “investment company” or an entity “controlled” by an “investment company” as such terms are defined in the 1940 Act.</w:t>
      </w:r>
    </w:p>
    <w:p>
      <w:pPr>
        <w:spacing w:after="0" w:line="186" w:lineRule="exact"/>
        <w:rPr>
          <w:rFonts w:ascii="Arial" w:cs="Arial" w:eastAsia="Arial" w:hAnsi="Arial"/>
          <w:sz w:val="18"/>
          <w:szCs w:val="18"/>
          <w:color w:val="auto"/>
        </w:rPr>
      </w:pPr>
    </w:p>
    <w:p>
      <w:pPr>
        <w:jc w:val="both"/>
        <w:ind w:left="-460" w:firstLine="644"/>
        <w:spacing w:after="0" w:line="268" w:lineRule="auto"/>
        <w:tabs>
          <w:tab w:leader="none" w:pos="1109"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described in the General Disclosure Package and the Offering Memorandum and except, in each case, as would not, individually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u w:val="single" w:color="auto"/>
          <w:color w:val="auto"/>
        </w:rPr>
        <w:t>Hazardous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1" w:name="page142"/>
    <w:bookmarkEnd w:id="141"/>
    <w:p>
      <w:pPr>
        <w:jc w:val="both"/>
        <w:ind w:firstLine="656"/>
        <w:spacing w:after="0" w:line="273" w:lineRule="auto"/>
        <w:tabs>
          <w:tab w:leader="none" w:pos="1515"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 Except for failures that would not, individually or in the aggregate, result in a Material Adverse Effect, the Company and each of its subsidiaries (a) have timely filed all tax returns that were required to have been filed or have obtained extensions thereof, (b) have paid all taxes (including, without limitation, any estimated taxes) that were required to have been paid and any other assessment, fine or penalty (including, in each case, in its capacity as a withholding agent), except for any such tax, assessment, fine or penalty that is currently being contested in good faith by appropriate actions and for which adequate reserves have been provided in accordance with GAAP and (c) have made adequate accruals and reserves (in accordance with GAAP) for all taxes, assessments, fines or penalties not yet due and payable.</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488"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are insured by insurers of recognized financial responsibility against such losses and risks and in such amounts as the Company reasonably believes are prudent and customary in the businesses in which they are engaged; all policies of insurance and any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there are no claims by the Company, or any of its subsidiaries under any such policy or instrument as to which any insurance company is denying liability or defending under a reservation of rights clause; none of the Company nor any of its subsidiaries has been refused any insurance coverage sought or applied for; and none of the Company, nor any of its subsidiaries has any reason to believe that it will not be able to renew its existing insurance coverage as and when such coverage expires or to obtain similar coverage from similar insurers at a cost that would not, individually or in the aggregate, reasonably be expected to result in a Material Adverse Effect.</w:t>
      </w:r>
    </w:p>
    <w:p>
      <w:pPr>
        <w:spacing w:after="0" w:line="180" w:lineRule="exact"/>
        <w:rPr>
          <w:rFonts w:ascii="Arial" w:cs="Arial" w:eastAsia="Arial" w:hAnsi="Arial"/>
          <w:sz w:val="17"/>
          <w:szCs w:val="17"/>
          <w:color w:val="auto"/>
        </w:rPr>
      </w:pPr>
    </w:p>
    <w:p>
      <w:pPr>
        <w:jc w:val="both"/>
        <w:ind w:firstLine="656"/>
        <w:spacing w:after="0" w:line="267" w:lineRule="auto"/>
        <w:tabs>
          <w:tab w:leader="none" w:pos="1515"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Accounting and Disclosure Controls</w:t>
      </w:r>
      <w:r>
        <w:rPr>
          <w:rFonts w:ascii="Arial" w:cs="Arial" w:eastAsia="Arial" w:hAnsi="Arial"/>
          <w:sz w:val="17"/>
          <w:szCs w:val="17"/>
          <w:color w:val="auto"/>
        </w:rPr>
        <w:t>. The Company and its subsidiaries maintain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General Disclosure Package and the Offering Memorandum, since the first day of the Company’s earliest fiscal year for which audited financial statements are included in the General Disclosure Package and the Offering Memorandum, there has been (1) no material weakness or significant deficiency (as defined in Rule 1-02 of Regulation S-X of the Commission) in the Company’s internal control over financial reporting (whether or not remediated), and (2) no material fraud involving management or other employees who have a role in the Company’s internal control over financial reporting and, since the end of the Company’s earliest fiscal year for which audited financial statements are included in the General Disclosure Package and the Offering Memorandum, there has been no change in the Company’s internal control over financial reporting that has materially affected, or is reasonably likely to materially affect, the Company’s internal control over financial reporting. The Company and its subsidiaries have established, maintained and periodically evaluate the effectiveness of “disclosure controls and procedures” (as defined in Rules 13a-15 and 15d-15 under the 1934 Act). Such disclosure controls and procedures are designed to ensure that information required to be disclosed by the Company in the reports that it will be required to file or submit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both"/>
        <w:ind w:firstLine="648"/>
        <w:spacing w:after="0" w:line="296" w:lineRule="auto"/>
        <w:rPr>
          <w:sz w:val="20"/>
          <w:szCs w:val="20"/>
          <w:color w:val="auto"/>
        </w:rPr>
      </w:pPr>
      <w:r>
        <w:rPr>
          <w:rFonts w:ascii="Arial" w:cs="Arial" w:eastAsia="Arial" w:hAnsi="Arial"/>
          <w:sz w:val="16"/>
          <w:szCs w:val="16"/>
          <w:color w:val="auto"/>
        </w:rPr>
        <w:t>The Company’s independent public accountants and the audit committee of the Company’s board of directors have been advised of all material weaknesses, if any, and significant deficiencies (as defined in Rule 1-02 of Regulation S-X of the Commission), if any, in the Company’s internal control over financial reporting and of all fraud, if any, whether or not material, involving management or other employees who have a role in the Company’s internal controls, in each case that occurred or existed, or was first detected, at any time during the three most recent fiscal years covered by the Company’s audited financial statements included in the General Disclosure Package and the Offering Memorandum or at any time subsequent thereto.</w:t>
      </w:r>
    </w:p>
    <w:p>
      <w:pPr>
        <w:spacing w:after="0" w:line="161" w:lineRule="exact"/>
        <w:rPr>
          <w:sz w:val="20"/>
          <w:szCs w:val="20"/>
          <w:color w:val="auto"/>
        </w:rPr>
      </w:pPr>
    </w:p>
    <w:p>
      <w:pPr>
        <w:jc w:val="both"/>
        <w:ind w:firstLine="656"/>
        <w:spacing w:after="0" w:line="263" w:lineRule="auto"/>
        <w:tabs>
          <w:tab w:leader="none" w:pos="1663"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There is and has been no failure on the part of the Company or any of the Company’s directors or officers, in their capacities as such, to comply in all material respects with any provision of the Sarbanes-Oxley Act with which any of them is required to comply, including Section 402 related to loans.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0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Margin Requirements</w:t>
      </w:r>
      <w:r>
        <w:rPr>
          <w:rFonts w:ascii="Arial" w:cs="Arial" w:eastAsia="Arial" w:hAnsi="Arial"/>
          <w:sz w:val="18"/>
          <w:szCs w:val="18"/>
          <w:color w:val="auto"/>
        </w:rPr>
        <w:t>. None of the transactions contemplated by this Agreement (including, without limitation, the use of the proceeds from the sale of the Securities), will violate or result in a violation of Section 7 of the 1934 Act, or any regulation promulgated thereunder, including, without limitation, Regulations T, U and X of the Board of Governors of the Federal Reserve System.</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488"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or any of the Guarantors nor any of their respective subsidiaries has taken or will take, directly or indirectly, any action designed to or that would constitute or that would reasonably be expected to cause or result in the stabilization or manipulation of the price of any security to facilitate the sale or resale of the Securities.</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542"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demographic, market-related and similar data included in the General Disclosure Package or the Offering Memorandum are based on or derived from sources that the Company believes to be reliable and accurate in all material respects and accurately reflect the materials upon which such data is based or from which it was derived in all material respects, and the Company has delivered true, complete and correct copies of such materials to the Representative if the Representative has requested such materials.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both"/>
        <w:ind w:firstLine="656"/>
        <w:spacing w:after="0" w:line="286" w:lineRule="auto"/>
        <w:tabs>
          <w:tab w:leader="none" w:pos="1501"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No Unlawful Payments</w:t>
      </w:r>
      <w:r>
        <w:rPr>
          <w:rFonts w:ascii="Arial" w:cs="Arial" w:eastAsia="Arial" w:hAnsi="Arial"/>
          <w:sz w:val="16"/>
          <w:szCs w:val="16"/>
          <w:color w:val="auto"/>
        </w:rPr>
        <w:t>. Neither the Company nor any of its subsidiaries, nor any director, officer, or employee of the Company or any of its subsidiaries, nor, to the knowledge of the Company and each of the Guarantors, any agent or other person acting on behalf of the Company or any of its subsidiaries is aware of or has taken any action, directly or indirectly, that has resulted or would result in (i) the use of any funds for any unlawful contribution, gift, entertainment or other unlawful expense relating to political activity; (ii) the making or taking of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a violation by any such person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(iv) the making, offering, requesting or taking of, or the agreement to take,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in all material respects with all applicable anti-bribery and anti-corruption laws.</w:t>
      </w:r>
    </w:p>
    <w:p>
      <w:pPr>
        <w:spacing w:after="0" w:line="173" w:lineRule="exact"/>
        <w:rPr>
          <w:rFonts w:ascii="Arial" w:cs="Arial" w:eastAsia="Arial" w:hAnsi="Arial"/>
          <w:sz w:val="16"/>
          <w:szCs w:val="16"/>
          <w:color w:val="auto"/>
        </w:rPr>
      </w:pPr>
    </w:p>
    <w:p>
      <w:pPr>
        <w:jc w:val="both"/>
        <w:ind w:firstLine="656"/>
        <w:spacing w:after="0" w:line="254" w:lineRule="auto"/>
        <w:tabs>
          <w:tab w:leader="none" w:pos="1609"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Compliance with Money Laundering Laws</w:t>
      </w:r>
      <w:r>
        <w:rPr>
          <w:rFonts w:ascii="Arial" w:cs="Arial" w:eastAsia="Arial" w:hAnsi="Arial"/>
          <w:sz w:val="18"/>
          <w:szCs w:val="18"/>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applicable money laundering statutes of all applicable jurisdictions, the rules and regulations thereunder and any related or similar rules, regulations or guidelines issued, administered or enforced by any governmental or regulatory agency (collectively, the “</w:t>
      </w:r>
      <w:r>
        <w:rPr>
          <w:rFonts w:ascii="Arial" w:cs="Arial" w:eastAsia="Arial" w:hAnsi="Arial"/>
          <w:sz w:val="18"/>
          <w:szCs w:val="18"/>
          <w:u w:val="single" w:color="auto"/>
          <w:color w:val="auto"/>
        </w:rPr>
        <w:t>Anti-Money</w:t>
      </w:r>
      <w:r>
        <w:rPr>
          <w:rFonts w:ascii="Arial" w:cs="Arial" w:eastAsia="Arial" w:hAnsi="Arial"/>
          <w:sz w:val="18"/>
          <w:szCs w:val="18"/>
          <w:color w:val="auto"/>
        </w:rPr>
        <w:t xml:space="preserve"> </w:t>
      </w:r>
      <w:r>
        <w:rPr>
          <w:rFonts w:ascii="Arial" w:cs="Arial" w:eastAsia="Arial" w:hAnsi="Arial"/>
          <w:sz w:val="18"/>
          <w:szCs w:val="18"/>
          <w:u w:val="single" w:color="auto"/>
          <w:color w:val="auto"/>
        </w:rPr>
        <w:t>Laundering Laws</w:t>
      </w:r>
      <w:r>
        <w:rPr>
          <w:rFonts w:ascii="Arial" w:cs="Arial" w:eastAsia="Arial" w:hAnsi="Arial"/>
          <w:sz w:val="18"/>
          <w:szCs w:val="18"/>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or any Guarantor, threatened.</w:t>
      </w:r>
    </w:p>
    <w:p>
      <w:pPr>
        <w:spacing w:after="0" w:line="194" w:lineRule="exact"/>
        <w:rPr>
          <w:rFonts w:ascii="Arial" w:cs="Arial" w:eastAsia="Arial" w:hAnsi="Arial"/>
          <w:sz w:val="18"/>
          <w:szCs w:val="18"/>
          <w:color w:val="auto"/>
        </w:rPr>
      </w:pPr>
    </w:p>
    <w:p>
      <w:pPr>
        <w:jc w:val="both"/>
        <w:ind w:firstLine="656"/>
        <w:spacing w:after="0" w:line="268" w:lineRule="auto"/>
        <w:tabs>
          <w:tab w:leader="none" w:pos="1542"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 Conflicts with Sanctions Laws</w:t>
      </w:r>
      <w:r>
        <w:rPr>
          <w:rFonts w:ascii="Arial" w:cs="Arial" w:eastAsia="Arial" w:hAnsi="Arial"/>
          <w:sz w:val="17"/>
          <w:szCs w:val="17"/>
          <w:color w:val="auto"/>
        </w:rPr>
        <w:t>. None of the Company nor any of its subsidiaries, nor to the knowledge of the Company or any of the Guarantors, any of the Company’s or any subsidiary’s directors, officers, employees, or agents is currently the subject of any sanctions administered or enforced by the U.S. Government, (including, without limitation,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or the U.S. Department of State and including, without limitation, the designation as a “specially designated national” or “blocked person”),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nor is the Company, any of its subsidiaries located, organized or resident in a country, region or territory that is the subject or the target of Sanctions, including, without limitation, Cuba, Iran, North Korea, Crimea and Syria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and the Company will not directly or indirectly use any of the proceeds of the offering, or lend, contribute or otherwise make available such proceeds to any subsidiary, joint venture partner or other person or entity (i) to fund or facilitate any activities of or business with any person that, at the time of such funding or facilitation, is the subject or the target of any Sanctions, except as otherwise permitted by applicable law, (ii) to fund or facilitate any activities of or any business in any Sanctioned Country, except as otherwise permitted by applicable law, or (iii) in any other manner that could result in a violation by any person (including any person participating in the transaction, whether as initial purchaser, advisor, investor or otherwise) of any Sanctions. For the past three years, the Company and its subsidiaries have not knowingly engaged in, are not now knowingly engaged in, and will not engage in, any dealings or transactions with any person that at the time of the dealing or transaction is or was the subject or the target of any Sanctions or with any Sanctioned Country, except as otherwise permitted by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656"/>
        <w:spacing w:after="0" w:line="268" w:lineRule="auto"/>
        <w:tabs>
          <w:tab w:leader="none" w:pos="1704"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i w:val="1"/>
          <w:iCs w:val="1"/>
          <w:color w:val="auto"/>
        </w:rPr>
        <w:t>.</w:t>
      </w:r>
      <w:r>
        <w:rPr>
          <w:rFonts w:ascii="Arial" w:cs="Arial" w:eastAsia="Arial" w:hAnsi="Arial"/>
          <w:sz w:val="17"/>
          <w:szCs w:val="17"/>
          <w:color w:val="auto"/>
        </w:rPr>
        <w:t xml:space="preserve"> None of the following events has occurred or exists: (i) a failure to fulfill the obligations, if any, under the minimum funding standards of Section 302 of ERISA with respect to a Plan determined without regard to any waiver of such obligations or extension of any amortization period; (ii) an audit or investigation by the Internal Revenue Service, the U.S. Department of Labor, the Pension Benefit Guaranty Corporation or any other federal, state or foreign governmental or regulatory agency with respect to the employment or compensation of employees by the Company or any of its subsidiaries that would reasonably be expected, individually or in the aggregate, to result in a Material Adverse Effect; or (iii) any breach of any contractual obligation, or any violation of law or applicable qualification standards, with respect to the employment or compensation of employees by the Company or any of its subsidiaries that would reasonably be expected, individually or in the aggregate, to result in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Company’s most recently completed fiscal year; (ii) a material increase in the “accumulated post-retirement benefit obligations” (within the meaning of Statement of Financial Accounting Standards 106) of the Company and its subsidiaries compared to the amount of such obligations in the Company’s most recently completed fiscal year; (iii) any event or condition giving rise to a liability under Title IV of ERISA that would reasonably be expected, individually or in the aggregate, to result in a Material Adverse Effect; or (iv) the filing of a claim by one or more employees or former employees of the Company or any of its subsidiaries related to its or their employment that would reasonably be expected, individually or in the aggregate, to result in a Material Adverse Effect. For purposes of this paragraph and the definition of ERISA, the term “</w:t>
      </w:r>
      <w:r>
        <w:rPr>
          <w:rFonts w:ascii="Arial" w:cs="Arial" w:eastAsia="Arial" w:hAnsi="Arial"/>
          <w:sz w:val="17"/>
          <w:szCs w:val="17"/>
          <w:u w:val="single" w:color="auto"/>
          <w:color w:val="auto"/>
        </w:rPr>
        <w:t>Plan</w:t>
      </w:r>
      <w:r>
        <w:rPr>
          <w:rFonts w:ascii="Arial" w:cs="Arial" w:eastAsia="Arial" w:hAnsi="Arial"/>
          <w:sz w:val="17"/>
          <w:szCs w:val="17"/>
          <w:color w:val="auto"/>
        </w:rPr>
        <w:t>” means a plan (within the meaning of Section 3(3) of ERISA) with respect to which the Company or any of its subsidiaries may have any liability.</w:t>
      </w:r>
    </w:p>
    <w:p>
      <w:pPr>
        <w:spacing w:after="0" w:line="179" w:lineRule="exact"/>
        <w:rPr>
          <w:rFonts w:ascii="Arial" w:cs="Arial" w:eastAsia="Arial" w:hAnsi="Arial"/>
          <w:sz w:val="17"/>
          <w:szCs w:val="17"/>
          <w:color w:val="auto"/>
        </w:rPr>
      </w:pPr>
    </w:p>
    <w:p>
      <w:pPr>
        <w:jc w:val="both"/>
        <w:ind w:firstLine="656"/>
        <w:spacing w:after="0" w:line="273" w:lineRule="auto"/>
        <w:tabs>
          <w:tab w:leader="none" w:pos="1542"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Changes in Management</w:t>
      </w:r>
      <w:r>
        <w:rPr>
          <w:rFonts w:ascii="Arial" w:cs="Arial" w:eastAsia="Arial" w:hAnsi="Arial"/>
          <w:sz w:val="17"/>
          <w:szCs w:val="17"/>
          <w:color w:val="auto"/>
        </w:rPr>
        <w:t>. Except as disclosed in the General Disclosure Package and the Offering Memorandum, none of the persons who were officers or directors of the Company as of the date of the Preliminary Offering Memorandum has given oral or written notice to the Company or any of its subsidiaries of his or her resignation (or otherwise indicated to the Company or any of its subsidiaries an intention to resign within the next 24 months), nor has any such officer or director been terminated by the Company or otherwise removed from his or her office or from the board of directors, as the case may be (including, without limitation, any such termination or removal which is to be effective as of a future date) nor is any such termination or removal under consideration by the Company or its board of directors.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jc w:val="both"/>
        <w:ind w:firstLine="656"/>
        <w:spacing w:after="0" w:line="255" w:lineRule="auto"/>
        <w:tabs>
          <w:tab w:leader="none" w:pos="1609"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 Restrictions on Dividends</w:t>
      </w:r>
      <w:r>
        <w:rPr>
          <w:rFonts w:ascii="Arial" w:cs="Arial" w:eastAsia="Arial" w:hAnsi="Arial"/>
          <w:sz w:val="18"/>
          <w:szCs w:val="18"/>
          <w:color w:val="auto"/>
        </w:rPr>
        <w:t>. No subsidiary of the Company is a party to or otherwise bound by any instrument or agreement that limits or prohibits or could limit or prohibit, directly or indirectly, any subsidiary of the Company from paying any dividends or making any other distributions on its capital stock, limited or general partnership interests, limited liability company interests, or other equity interests, as the case may be, or from repaying any loans or advances from, or (except for instruments or agreements that by their express terms prohibit the transfer or assignment thereof or of any rights thereunder) transferring any of its properties or assets to, the Company or any other subsidiary, in each case except as described in the General Disclosure Package and the Offering Memorandum.</w:t>
      </w:r>
    </w:p>
    <w:p>
      <w:pPr>
        <w:spacing w:after="0" w:line="192" w:lineRule="exact"/>
        <w:rPr>
          <w:rFonts w:ascii="Arial" w:cs="Arial" w:eastAsia="Arial" w:hAnsi="Arial"/>
          <w:sz w:val="18"/>
          <w:szCs w:val="18"/>
          <w:color w:val="auto"/>
        </w:rPr>
      </w:pPr>
    </w:p>
    <w:p>
      <w:pPr>
        <w:jc w:val="both"/>
        <w:ind w:firstLine="656"/>
        <w:spacing w:after="0" w:line="286" w:lineRule="auto"/>
        <w:tabs>
          <w:tab w:leader="none" w:pos="1731"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There is not a broker, finder or other party that is entitled to receive from the Company or any of its subsidiaries any brokerage or finder’s fee or other fee or commission as a result of any of the transactions contemplated by this Agreement, except for discounts and commissions payable to the Initial Purchasers in connection with the sale of the Securities pursuant to this Agreement.</w:t>
      </w:r>
    </w:p>
    <w:p>
      <w:pPr>
        <w:spacing w:after="0" w:line="165" w:lineRule="exact"/>
        <w:rPr>
          <w:rFonts w:ascii="Arial" w:cs="Arial" w:eastAsia="Arial" w:hAnsi="Arial"/>
          <w:sz w:val="17"/>
          <w:szCs w:val="17"/>
          <w:color w:val="auto"/>
        </w:rPr>
      </w:pPr>
    </w:p>
    <w:p>
      <w:pPr>
        <w:jc w:val="both"/>
        <w:ind w:firstLine="656"/>
        <w:spacing w:after="0" w:line="287" w:lineRule="auto"/>
        <w:tabs>
          <w:tab w:leader="none" w:pos="1798"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Cyber Security; Data Protection</w:t>
      </w:r>
      <w:r>
        <w:rPr>
          <w:rFonts w:ascii="Arial" w:cs="Arial" w:eastAsia="Arial" w:hAnsi="Arial"/>
          <w:sz w:val="16"/>
          <w:szCs w:val="16"/>
          <w:color w:val="auto"/>
        </w:rPr>
        <w:t>. The Company and its subsidiaries’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are adequate for, and operate and perform in all material respects as required in connection with, the operation of the business of the Company and the subsidiaries as currently conducted. The Company and its subsidiaries have implemented and maintained commercially reasonable information technology, information security, cyber security and data protection controls, policies and procedures to adequately protect and prevent security breaches of, unauthorized access to and other similar compromises of IT Systems and Data in accordance with industry practices and as required by applicable regulatory standards. The Company and its subsidiaries have not experienced and have no knowledge of any cyber-attack, security breach, unauthorized access or other similar compromise to their IT Systems and Data, which attack, breach, unauthorized access or similar compromise that would reasonably be expected to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jc w:val="both"/>
        <w:ind w:firstLine="656"/>
        <w:spacing w:after="0" w:line="263" w:lineRule="auto"/>
        <w:tabs>
          <w:tab w:leader="none" w:pos="146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Any certificate signed by any officer of the Company, or any of its subsidiaries (whether signed on behalf of such officer, the Company, or such subsidiary) and delivered to the Representative or to counsel for the Initial Purchasers shall be deemed a representation and warranty by the Company or such Guarantor to each Initial Purchaser as to the matters covered thereby.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Initial Purchasers; Closing; Agreements to Sell, Purchase and Resell</w:t>
      </w:r>
    </w:p>
    <w:p>
      <w:pPr>
        <w:spacing w:after="0" w:line="225" w:lineRule="exact"/>
        <w:rPr>
          <w:sz w:val="20"/>
          <w:szCs w:val="20"/>
          <w:color w:val="auto"/>
        </w:rPr>
      </w:pPr>
    </w:p>
    <w:p>
      <w:pPr>
        <w:jc w:val="both"/>
        <w:ind w:firstLine="656"/>
        <w:spacing w:after="0" w:line="255" w:lineRule="auto"/>
        <w:tabs>
          <w:tab w:leader="none" w:pos="149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The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On the basis of the representations and warranties herein contained and subject to the terms and conditions herein set forth, the Company and each of the Guarantors agree to sell to each Initial Purchaser, severally and not jointly, and each Initial Purchaser, severally and not jointly, agrees to purchase from the Company and each of the Guarantors, the aggregate principal amount of Securities set forth opposite such Initial Purchaser’s name in Exhibit A hereto plus any additional principal amount of Securities which such Initial Purchaser may become obligated to purchase pursuant to the provisions of Section 10 hereof, in each case at a price equal to [**]% of the principal amount thereof, plus accrued interest, if any, from August 7, 2020.</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519"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i w:val="1"/>
          <w:iCs w:val="1"/>
          <w:color w:val="auto"/>
        </w:rPr>
        <w:t>.</w:t>
      </w:r>
      <w:r>
        <w:rPr>
          <w:rFonts w:ascii="Arial" w:cs="Arial" w:eastAsia="Arial" w:hAnsi="Arial"/>
          <w:sz w:val="18"/>
          <w:szCs w:val="18"/>
          <w:color w:val="auto"/>
        </w:rPr>
        <w:t xml:space="preserve"> Payment of the purchase price for, and delivery of, the Securities shall be made at the offices of Cahill Gordon &amp; Reindel LLP, 80 Pine Street, New York, New York 10005, or at such other place as shall be agreed upon by the Representative and the Company, at 9:00 A.M. (New York City time) on August 7, 2020 (unless postponed in accordance with the provisions of Section 10), or such other time not later than five business days after such date as shall be agreed upon by the Representative and the Company (such time and date of payment and delivery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Payment shall be made to the Company by wire transfer of immediately available funds to a single bank account designated by the Company against delivery to the Representative for the respective accounts of the Initial Purchasers of the Securities to be purchased by them. It is understood that each Initial Purchaser has authorized the Representative, for its account, to accept delivery of, receipt for, and make payment of the purchase price for, the Securities which it has agreed to purchase. Wells Fargo, individually and not as representative of the Initial Purchasers, may (but shall not be obligated to) make payment of the purchase price for the Securities to be purchased by any Initial Purchaser whose funds have not been received by the Closing Date, but such payment shall not relieve such Initial Purchaser from its obligations hereunder.</w:t>
      </w:r>
    </w:p>
    <w:p>
      <w:pPr>
        <w:spacing w:after="0" w:line="178" w:lineRule="exact"/>
        <w:rPr>
          <w:sz w:val="20"/>
          <w:szCs w:val="20"/>
          <w:color w:val="auto"/>
        </w:rPr>
      </w:pPr>
    </w:p>
    <w:p>
      <w:pPr>
        <w:jc w:val="both"/>
        <w:ind w:firstLine="656"/>
        <w:spacing w:after="0" w:line="301" w:lineRule="auto"/>
        <w:tabs>
          <w:tab w:leader="none" w:pos="144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Delivery of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make one or more global certificates (collectively, the “</w:t>
      </w:r>
      <w:r>
        <w:rPr>
          <w:rFonts w:ascii="Arial" w:cs="Arial" w:eastAsia="Arial" w:hAnsi="Arial"/>
          <w:sz w:val="16"/>
          <w:szCs w:val="16"/>
          <w:u w:val="single" w:color="auto"/>
          <w:color w:val="auto"/>
        </w:rPr>
        <w:t>Global Securities</w:t>
      </w:r>
      <w:r>
        <w:rPr>
          <w:rFonts w:ascii="Arial" w:cs="Arial" w:eastAsia="Arial" w:hAnsi="Arial"/>
          <w:sz w:val="16"/>
          <w:szCs w:val="16"/>
          <w:color w:val="auto"/>
        </w:rPr>
        <w:t>”) representing the Securities available for inspection by the Representative not later than 1:00 p.m., New York City time, on the business day prior to the Closing Date and, on or prior to the Closing Date, the Company shall deliver the Global Securities to DTC or to the Trustee, acting as custodian for DTC, as applicable. Delivery of the Securities to the Initial Purchasers on the Closing Date shall be made through the facilities of DTC unless the Representative shall otherwise instruct.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ind w:firstLine="656"/>
        <w:spacing w:after="0" w:line="288" w:lineRule="auto"/>
        <w:tabs>
          <w:tab w:leader="none" w:pos="1451"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Representations of the Initial Purchasers</w:t>
      </w:r>
      <w:r>
        <w:rPr>
          <w:rFonts w:ascii="Arial" w:cs="Arial" w:eastAsia="Arial" w:hAnsi="Arial"/>
          <w:sz w:val="16"/>
          <w:szCs w:val="16"/>
          <w:color w:val="auto"/>
        </w:rPr>
        <w:t>. (i) Each of the Initial Purchasers, severally and not jointly, hereby represents and warrants to the Company that it intends to offer the Securities for sale upon the terms and conditions set forth in this Agreement and in the General Disclosure Package. Each of the Initial Purchasers, severally and not jointly, hereby represents and warrants to, and agrees with, the Company, on the basis of the representations, warranties and agreements of the Company and the Guarantors, that such Initial Purchaser: (A) is a QIB; (B) in connection with the Exempt Resales, will sell the Securities only to the Eligible Purchasers; (C) will not offer or sell the Securities, nor has it offered or sold the Securities by, or otherwise engaged in, any form of general solicitation or general advertising (within the meaning of Regulation D under the 1933 Act) and will not engage in any directed selling efforts within the meaning of Rule 902 under the 1933 Act, in connection with the offering of the Securities; and (D) in the case of offers outside the United States, will solicit offers for such Securities only from, and will offer such Securities only to, persons that it reasonably believes to be persons other than “U.S. persons” as defined in Regulation S in reliance upon Regulation S that, in each case, in purchasing such Securities are deemed to have represented and agreed as provided in the Offering Memorandum under the caption “Notice to Investors.”</w:t>
      </w:r>
    </w:p>
    <w:p>
      <w:pPr>
        <w:spacing w:after="0" w:line="168" w:lineRule="exact"/>
        <w:rPr>
          <w:sz w:val="20"/>
          <w:szCs w:val="20"/>
          <w:color w:val="auto"/>
        </w:rPr>
      </w:pPr>
    </w:p>
    <w:p>
      <w:pPr>
        <w:ind w:right="20" w:firstLine="656"/>
        <w:spacing w:after="0" w:line="277" w:lineRule="auto"/>
        <w:tabs>
          <w:tab w:leader="none" w:pos="132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Initial Purchaser, severally and not jointly, hereby represents and warrants to, and agrees with, the Company, with respect to offers and sales outside the United States, that:</w:t>
      </w:r>
    </w:p>
    <w:p>
      <w:pPr>
        <w:spacing w:after="0" w:line="170" w:lineRule="exact"/>
        <w:rPr>
          <w:rFonts w:ascii="Arial" w:cs="Arial" w:eastAsia="Arial" w:hAnsi="Arial"/>
          <w:sz w:val="18"/>
          <w:szCs w:val="18"/>
          <w:color w:val="auto"/>
        </w:rPr>
      </w:pPr>
    </w:p>
    <w:p>
      <w:pPr>
        <w:jc w:val="both"/>
        <w:ind w:left="660" w:firstLine="968"/>
        <w:spacing w:after="0" w:line="311" w:lineRule="auto"/>
        <w:tabs>
          <w:tab w:leader="none" w:pos="192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understands that no action has been or will be taken by the Issuer that would permit a public offering of the Securities, or possession or distribution of the Preliminary Offering Memorandum, the General Disclosure Package, the Offering Memorandum or any other offering or publicity material relating to the Securities, in any country or jurisdiction where action for that purpose is required;</w:t>
      </w:r>
    </w:p>
    <w:p>
      <w:pPr>
        <w:spacing w:after="0" w:line="148" w:lineRule="exact"/>
        <w:rPr>
          <w:rFonts w:ascii="Arial" w:cs="Arial" w:eastAsia="Arial" w:hAnsi="Arial"/>
          <w:sz w:val="16"/>
          <w:szCs w:val="16"/>
          <w:color w:val="auto"/>
        </w:rPr>
      </w:pPr>
    </w:p>
    <w:p>
      <w:pPr>
        <w:ind w:left="660" w:right="40" w:firstLine="968"/>
        <w:spacing w:after="0" w:line="342" w:lineRule="auto"/>
        <w:tabs>
          <w:tab w:leader="none" w:pos="191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understands that the Securities have not been registered under the 1933 Act and may not be sold within the United States or to, or for the account or benefit of, U.S. persons except in accordance with Rule 144A or Regulation S under the 1933 Act;</w:t>
      </w:r>
    </w:p>
    <w:p>
      <w:pPr>
        <w:spacing w:after="0" w:line="123" w:lineRule="exact"/>
        <w:rPr>
          <w:rFonts w:ascii="Arial" w:cs="Arial" w:eastAsia="Arial" w:hAnsi="Arial"/>
          <w:sz w:val="16"/>
          <w:szCs w:val="16"/>
          <w:color w:val="auto"/>
        </w:rPr>
      </w:pPr>
    </w:p>
    <w:p>
      <w:pPr>
        <w:ind w:left="1920" w:hanging="292"/>
        <w:spacing w:after="0"/>
        <w:tabs>
          <w:tab w:leader="none" w:pos="192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such Initial Purchaser has offered the Securities and will offer and sell the Securities (1) as part of its distribution at any time and</w:t>
      </w:r>
    </w:p>
    <w:p>
      <w:pPr>
        <w:spacing w:after="0" w:line="46" w:lineRule="exact"/>
        <w:rPr>
          <w:rFonts w:ascii="Arial" w:cs="Arial" w:eastAsia="Arial" w:hAnsi="Arial"/>
          <w:sz w:val="16"/>
          <w:szCs w:val="16"/>
          <w:color w:val="auto"/>
        </w:rPr>
      </w:pPr>
    </w:p>
    <w:p>
      <w:pPr>
        <w:ind w:left="660"/>
        <w:spacing w:after="0" w:line="253" w:lineRule="auto"/>
        <w:rPr>
          <w:rFonts w:ascii="Arial" w:cs="Arial" w:eastAsia="Arial" w:hAnsi="Arial"/>
          <w:sz w:val="16"/>
          <w:szCs w:val="16"/>
          <w:color w:val="auto"/>
        </w:rPr>
      </w:pPr>
      <w:r>
        <w:rPr>
          <w:rFonts w:ascii="Arial" w:cs="Arial" w:eastAsia="Arial" w:hAnsi="Arial"/>
          <w:sz w:val="18"/>
          <w:szCs w:val="18"/>
          <w:color w:val="auto"/>
        </w:rPr>
        <w:t>(2) otherwise until 40 days after the later of the commencement of the offering and the Closing Date, only in accordance with Rule 903 of Regulation S or as otherwise permitted in Section 2(d)(i); accordingly, neither such Initial Purchaser, its affiliates nor any persons acting on its or their behalf have engaged or will engage in any directed selling efforts (within the meaning of Regulation S) with respect to the Securities, and any such Initial Purchaser, its affiliates and any such persons have complied and will comply with the offering restrictions requirement of Regulation S; and</w:t>
      </w:r>
    </w:p>
    <w:p>
      <w:pPr>
        <w:spacing w:after="0" w:line="190" w:lineRule="exact"/>
        <w:rPr>
          <w:rFonts w:ascii="Arial" w:cs="Arial" w:eastAsia="Arial" w:hAnsi="Arial"/>
          <w:sz w:val="16"/>
          <w:szCs w:val="16"/>
          <w:color w:val="auto"/>
        </w:rPr>
      </w:pPr>
    </w:p>
    <w:p>
      <w:pPr>
        <w:ind w:left="660" w:right="260" w:firstLine="968"/>
        <w:spacing w:after="0" w:line="263" w:lineRule="auto"/>
        <w:tabs>
          <w:tab w:leader="none" w:pos="192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such Initial Purchaser agrees that, at or prior to confirmation of sales of the Securities in reliance on Regulation S, it will have sent to each distributor, dealer or person receiving a selling concession, fee or other remuneration that purchases Securities from it during the restricted period a confirmation or notice to substantially the following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1960"/>
        <w:spacing w:after="0" w:line="257" w:lineRule="auto"/>
        <w:rPr>
          <w:sz w:val="20"/>
          <w:szCs w:val="20"/>
          <w:color w:val="auto"/>
        </w:rPr>
      </w:pPr>
      <w:r>
        <w:rPr>
          <w:rFonts w:ascii="Arial" w:cs="Arial" w:eastAsia="Arial" w:hAnsi="Arial"/>
          <w:sz w:val="18"/>
          <w:szCs w:val="18"/>
          <w:color w:val="auto"/>
        </w:rPr>
        <w:t>“The Securities covered hereby have not been registered under the U.S. Securities Act of 1933 (the “1933 Act”) and may not be offered and sold within the United States or to, or for the account or benefit of, U.S. persons (i) as part of their distribution at any time or (ii) otherwise until 40 days after the later of the commencement of the offering and the Closing Date, except in either case in accordance with Regulation S (or Rule 144A if available) under the 1933 Act. Terms used above have the meaning given to them by Regulation 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Section 2(d)(ii) have the meanings given to them by Regulation S.</w:t>
      </w:r>
    </w:p>
    <w:p>
      <w:pPr>
        <w:spacing w:after="0" w:line="225" w:lineRule="exact"/>
        <w:rPr>
          <w:sz w:val="20"/>
          <w:szCs w:val="20"/>
          <w:color w:val="auto"/>
        </w:rPr>
      </w:pPr>
    </w:p>
    <w:p>
      <w:pPr>
        <w:jc w:val="both"/>
        <w:ind w:firstLine="656"/>
        <w:spacing w:after="0" w:line="275" w:lineRule="auto"/>
        <w:tabs>
          <w:tab w:leader="none" w:pos="96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Initial Purchasers have advised the Company that they will resell the Securities to Eligible Purchasers at a price initially equal to 100% of the principal amount thereof, plus accrued interest, if any, from August 7, 2020. Such price may be changed by the Initial Purchasers at any time without notice. Each of the Initial Purchasers understands that the Company and, for purposes of the opinions to be delivered to the Initial Purchasers pursuant to this Agreement, counsel to the Company and counsel to the Initial Purchasers, will rely upon the accuracy and truth of the foregoing representations, warranties and agreements, and the Initial Purchasers hereby consent to such reliance.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 and the Guarantors</w:t>
      </w:r>
      <w:r>
        <w:rPr>
          <w:rFonts w:ascii="Arial" w:cs="Arial" w:eastAsia="Arial" w:hAnsi="Arial"/>
          <w:sz w:val="18"/>
          <w:szCs w:val="18"/>
          <w:color w:val="auto"/>
        </w:rPr>
        <w:t>. The Company and the Guarantors, jointly and severally, covenant with each Initial Purchaser as follows:</w:t>
      </w:r>
    </w:p>
    <w:p>
      <w:pPr>
        <w:spacing w:after="0" w:line="170" w:lineRule="exact"/>
        <w:rPr>
          <w:sz w:val="20"/>
          <w:szCs w:val="20"/>
          <w:color w:val="auto"/>
        </w:rPr>
      </w:pPr>
    </w:p>
    <w:p>
      <w:pPr>
        <w:jc w:val="both"/>
        <w:ind w:left="660" w:firstLine="968"/>
        <w:spacing w:after="0" w:line="269" w:lineRule="auto"/>
        <w:tabs>
          <w:tab w:leader="none" w:pos="2398"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The Company will (i) advise each Initial Purchaser promptly after obtaining knowledge (and, if requested by any Initial Purchaser, confirm such advice in writing) of (A) the issuance by any U.S. or non-U.S. federal or state securities commission of any stop order suspending the qualification or exemption from qualification of any of the Securities for offer or sale in any jurisdiction, or the initiation of any proceeding for such purpose by any U.S. or non-U.S. federal or state securities commission or other regulatory authority, or (B) the happening of any event that makes any statement of a material fact made in the General Disclosure Package, any Issuer Free Writing Document or the Offering Memorandum, untrue or that requires the making of any additions to or changes in the General Disclosure Package, any Issuer Free Writing Document or the Offering Memorandum, to make the statements therein, in the light of the circumstances under which they were made, not misleading, (ii) use its reasonable best efforts to prevent the issuance of any stop order or order suspending the qualification or exemption from qualification of any of the Securities under any securities or “Blue Sky” laws of U.S. state or non-U.S. jurisdictions and (iii) if, at any time, any U.S. or non-U.S. federal or state securities commission or other regulatory authority shall issue an order suspending the qualification or exemption from qualification of any of the Securities under any such laws, use its reasonable best efforts to obtain the withdrawal or lifting of such order at the earliest possible time.</w:t>
      </w:r>
    </w:p>
    <w:p>
      <w:pPr>
        <w:spacing w:after="0" w:line="178" w:lineRule="exact"/>
        <w:rPr>
          <w:rFonts w:ascii="Arial" w:cs="Arial" w:eastAsia="Arial" w:hAnsi="Arial"/>
          <w:sz w:val="17"/>
          <w:szCs w:val="17"/>
          <w:color w:val="auto"/>
        </w:rPr>
      </w:pPr>
    </w:p>
    <w:p>
      <w:pPr>
        <w:jc w:val="both"/>
        <w:ind w:left="660" w:firstLine="968"/>
        <w:spacing w:after="0" w:line="289" w:lineRule="auto"/>
        <w:tabs>
          <w:tab w:leader="none" w:pos="2408"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give the Representative notice of its intention to prepare any amendment, supplement or revision to the Preliminary Offering Memorandum, the Offering Memorandum or any Issuer Free Writing Document, and the Company will furnish the Representative with copies of any such documents within a reasonable amount of time prior to such proposed use, and will not use any such document to which the Representative or counsel for the Initial Purchasers shall reasonably object. The Company has given the Representative notice of any filings made pursuant to the 1934 Act or the 1934 Act Regulations within 48 hours prior to the Applicable Time. The Company will give the Representative notice of its intention to make any such filing from and after the Applicable Time through the Closing Date (or, if later, through the completion of the distribution of the Securities by the Initial Purchasers to Eligible Purchasers) and will furnish the Representative with copies of any such documents within a reasonable amount of time prior to such proposed filing, as the case may be, and will not file or use any such document to which the Representative or counsel for the Initial Purchasers shall reasonably object.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left="-460" w:firstLine="968"/>
        <w:spacing w:after="0" w:line="259" w:lineRule="auto"/>
        <w:tabs>
          <w:tab w:leader="none" w:pos="129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Delivery of Disclosure Documents to the Representative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deliver to the Representative and counsel for the Initial Purchasers, within two business days of the date hereof and without charge, such number of copies of the Preliminary Offering Memorandum, the Pricing Term Sheet and the Offering Memorandum and any amendment or supplement to any of the foregoing as they reasonably request.</w:t>
      </w:r>
    </w:p>
    <w:p>
      <w:pPr>
        <w:spacing w:after="0" w:line="186" w:lineRule="exact"/>
        <w:rPr>
          <w:rFonts w:ascii="Arial" w:cs="Arial" w:eastAsia="Arial" w:hAnsi="Arial"/>
          <w:sz w:val="18"/>
          <w:szCs w:val="18"/>
          <w:color w:val="auto"/>
        </w:rPr>
      </w:pPr>
    </w:p>
    <w:p>
      <w:pPr>
        <w:jc w:val="both"/>
        <w:ind w:left="-460" w:firstLine="968"/>
        <w:spacing w:after="0" w:line="284" w:lineRule="auto"/>
        <w:tabs>
          <w:tab w:leader="none" w:pos="1275"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Continued Compliance with Securities Laws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will comply with the 1933 Act, the 1933 Act Regulations, the 1934 Act and the 1934 Act Regulations so as to permit the completion of the distribution of the Securities as contemplated by this Agreement, the General Disclosure Package and the Offering Memorandum. If at any time prior to the completion of the distribution of the Securities by the Initial Purchasers to Eligible Purchasers, any event shall occur or condition shall exist as a result of which it is necessary (or if the Representative or counsel for the Initial Purchasers shall notify the Company that, in their judgment, it is necessary) to amend or supplement the General Disclosure Package or the Offering Memorandum so that the General Disclosure Package or the Offering Memorandum, as the case may be, will not include any untrue statement of a material fact or omit to state a material fact necessary in order to make the statements therein, in the light of the circumstances under which they were made or then prevailing, not misleading or if it is necessary (or, if the Representative or counsel for the Initial Purchasers shall notify the Company that, in their judgment, it is necessary) to amend or supplement the General Disclosure Package or the Offering Memorandum in order to comply with the requirements of the 1933 Act or the 1933 Act Regulations, the 1934 Act or the 1934 Act Regulations, the Company will promptly notify the Representative of such event or condition and of its intention to prepare such amendment or supplement (or, if the Representative or counsel for the Initial Purchasers shall have notified the Company as aforesaid, the Company will promptly notify the Representative of its intention to prepare such amendment or supplement) and will promptly prepare, subject to Section 3(b) hereof, such amendment or supplement as may be necessary to correct such untrue statement or omission or to comply with such requirements, and the Company will furnish to the Initial Purchasers such number of copies of such amendment or supplement as the Initial Purchasers may reasonably request. If at any time an event shall occur or condition shall exist as a result of which it is necessary (or if the Representative or counsel for the Initial Purchasers shall notify the Company that, in their judgment, it is necessary) to amend or supplement any Issuer Free Writing Document so that it will not include an untrue statement of a material fact or omit to state a material fact necessary in order to make the statements therein, in the light of the circumstances under which they were made or then prevailing, not misleading, or if it is necessary (or, if the Representative or counsel for the Initial Purchasers shall notify the Company that, in their judgment, it is necessary) to amend or supplement such Issuer Free Writing Document in order to comply with the requirements of the 1933 Act or the 1933 Act Regulations, the Company will promptly notify the Representative of such event or condition and of its intention to prepare such amendment or supplement (or, if the Representative or counsel for the Initial Purchasers shall have notified the Company as aforesaid, the Company will promptly notify the Representative of its intention to prepare such amendment or supplement) and will promptly prepare and, subject to Section 3(b) hereof distribute, such amendment or supplement as may be necessary to eliminate or correct such conflict, untrue statement or omission or to comply with such requirements, and the Company will furnish to the Initial Purchasers such number of copies of such amendment or supplement as the Initial Purchasers may reasonably request.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0" w:name="page151"/>
    <w:bookmarkEnd w:id="150"/>
    <w:p>
      <w:pPr>
        <w:jc w:val="both"/>
        <w:ind w:left="-460" w:firstLine="968"/>
        <w:spacing w:after="0" w:line="311" w:lineRule="auto"/>
        <w:tabs>
          <w:tab w:leader="none" w:pos="1494"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Use of Offering Materials</w:t>
      </w:r>
      <w:r>
        <w:rPr>
          <w:rFonts w:ascii="Arial" w:cs="Arial" w:eastAsia="Arial" w:hAnsi="Arial"/>
          <w:sz w:val="16"/>
          <w:szCs w:val="16"/>
          <w:color w:val="auto"/>
        </w:rPr>
        <w:t>. The Company and each of the Guarantors consents to the use of the General Disclosure Package and the Offering Memorandum in accordance with the securities or “Blue Sky” laws of the jurisdictions in which the Securities are offered by the Initial Purchasers and by all dealers to whom Securities may be sold, in connection with the offering and sale of the Securities.</w:t>
      </w:r>
    </w:p>
    <w:p>
      <w:pPr>
        <w:spacing w:after="0" w:line="148" w:lineRule="exact"/>
        <w:rPr>
          <w:rFonts w:ascii="Arial" w:cs="Arial" w:eastAsia="Arial" w:hAnsi="Arial"/>
          <w:sz w:val="16"/>
          <w:szCs w:val="16"/>
          <w:color w:val="auto"/>
        </w:rPr>
      </w:pPr>
    </w:p>
    <w:p>
      <w:pPr>
        <w:jc w:val="both"/>
        <w:ind w:left="-460" w:firstLine="968"/>
        <w:spacing w:after="0" w:line="269" w:lineRule="auto"/>
        <w:tabs>
          <w:tab w:leader="none" w:pos="1299"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“Blue Sky” and Other Qualifications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will use its best efforts, in cooperation with the Initial Purchasers, to qualify the Securities for offering and sale, or to obtain an exemption for the Securities to be offered and sold, under the applicable securities laws of such states and other jurisdictions (domestic or foreign) as the Representative may designate and to maintain such qualifications and exemptions in effect for so long as required for the distribution of the Securities (but in no event for a period of more than one year from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are exempt, the Company will file such statements and reports as may be required by the laws of such jurisdiction to continue such qualification or exemption, as the case may be, in effect for so long as required for the distribution of the Securities (but in no event for a period of more than one year from the date of this Agreement).</w:t>
      </w:r>
    </w:p>
    <w:p>
      <w:pPr>
        <w:spacing w:after="0" w:line="185" w:lineRule="exact"/>
        <w:rPr>
          <w:rFonts w:ascii="Arial" w:cs="Arial" w:eastAsia="Arial" w:hAnsi="Arial"/>
          <w:sz w:val="17"/>
          <w:szCs w:val="17"/>
          <w:color w:val="auto"/>
        </w:rPr>
      </w:pPr>
    </w:p>
    <w:p>
      <w:pPr>
        <w:ind w:left="-460" w:firstLine="968"/>
        <w:spacing w:after="0" w:line="308" w:lineRule="auto"/>
        <w:tabs>
          <w:tab w:leader="none" w:pos="143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received by it from the sale of the Securities in all material respects in the manner specified in the Preliminary Offering Memorandum and the Offering Memorandum under “Use of Proceeds.”</w:t>
      </w:r>
    </w:p>
    <w:p>
      <w:pPr>
        <w:spacing w:after="0" w:line="149" w:lineRule="exact"/>
        <w:rPr>
          <w:rFonts w:ascii="Arial" w:cs="Arial" w:eastAsia="Arial" w:hAnsi="Arial"/>
          <w:sz w:val="17"/>
          <w:szCs w:val="17"/>
          <w:color w:val="auto"/>
        </w:rPr>
      </w:pPr>
    </w:p>
    <w:p>
      <w:pPr>
        <w:jc w:val="both"/>
        <w:ind w:left="-460" w:firstLine="968"/>
        <w:spacing w:after="0" w:line="267" w:lineRule="auto"/>
        <w:tabs>
          <w:tab w:leader="none" w:pos="1315"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Restriction on Sale of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From and including the date of this Agreement through and including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this Agreement, the Company and the Guarantors will not, without the prior written consent of Wells Fargo, directly or indirectly issue, offer, pledge, sell, contract to sell, sell any option or contract to purchase, purchase any option or contract to sell, grant any option or right to sell or otherwise transfer or dispose of any debt securities of or guaranteed by the Company or any Guarantor (other than the Securities issued under this Agreement) or any securities convertible into or exercisable or exchangeable for any debt securities of or guaranteed by the Company.</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1" w:name="page152"/>
    <w:bookmarkEnd w:id="151"/>
    <w:p>
      <w:pPr>
        <w:jc w:val="both"/>
        <w:ind w:firstLine="968"/>
        <w:spacing w:after="0" w:line="259" w:lineRule="auto"/>
        <w:tabs>
          <w:tab w:leader="none" w:pos="176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Rule 144A Information</w:t>
      </w:r>
      <w:r>
        <w:rPr>
          <w:rFonts w:ascii="Arial" w:cs="Arial" w:eastAsia="Arial" w:hAnsi="Arial"/>
          <w:sz w:val="18"/>
          <w:szCs w:val="18"/>
          <w:color w:val="auto"/>
        </w:rPr>
        <w:t>. So long as any of the Securities are outstanding, during any period in which the Company is not subject to and in compliance with Section 13 or 15(d) of the Exchange Act, the Company and the Guarantors will, furnish at their expense to the Initial Purchasers, and, upon request, to the holders of the Securities and prospective purchasers of the Securities the information required by Rule 144A(d)(4) under the 1933 Act (if any).</w:t>
      </w:r>
    </w:p>
    <w:p>
      <w:pPr>
        <w:spacing w:after="0" w:line="186" w:lineRule="exact"/>
        <w:rPr>
          <w:rFonts w:ascii="Arial" w:cs="Arial" w:eastAsia="Arial" w:hAnsi="Arial"/>
          <w:sz w:val="18"/>
          <w:szCs w:val="18"/>
          <w:color w:val="auto"/>
        </w:rPr>
      </w:pPr>
    </w:p>
    <w:p>
      <w:pPr>
        <w:jc w:val="both"/>
        <w:ind w:firstLine="968"/>
        <w:spacing w:after="0" w:line="259" w:lineRule="auto"/>
        <w:tabs>
          <w:tab w:leader="none" w:pos="1884"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Pricing Term Sheet</w:t>
      </w:r>
      <w:r>
        <w:rPr>
          <w:rFonts w:ascii="Arial" w:cs="Arial" w:eastAsia="Arial" w:hAnsi="Arial"/>
          <w:sz w:val="18"/>
          <w:szCs w:val="18"/>
          <w:color w:val="auto"/>
        </w:rPr>
        <w:t xml:space="preserve">. The Company will prepare the Pricing Term Sheet reflecting the final terms of the Securities, in substantially the form attached hereto as Exhibit D and otherwise in form and substance reasonably satisfactory to the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will furnish the Representative with copies of any such Pricing Term Sheet and will not use any such document to which the Representative or counsel to the Initial Purchasers shall reasonably object.</w:t>
      </w:r>
    </w:p>
    <w:p>
      <w:pPr>
        <w:spacing w:after="0" w:line="186" w:lineRule="exact"/>
        <w:rPr>
          <w:rFonts w:ascii="Arial" w:cs="Arial" w:eastAsia="Arial" w:hAnsi="Arial"/>
          <w:sz w:val="18"/>
          <w:szCs w:val="18"/>
          <w:color w:val="auto"/>
        </w:rPr>
      </w:pPr>
    </w:p>
    <w:p>
      <w:pPr>
        <w:jc w:val="both"/>
        <w:ind w:firstLine="968"/>
        <w:spacing w:after="0" w:line="286" w:lineRule="auto"/>
        <w:tabs>
          <w:tab w:leader="none" w:pos="1870"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Preparation of the Offering Memorandum</w:t>
      </w:r>
      <w:r>
        <w:rPr>
          <w:rFonts w:ascii="Arial" w:cs="Arial" w:eastAsia="Arial" w:hAnsi="Arial"/>
          <w:sz w:val="17"/>
          <w:szCs w:val="17"/>
          <w:i w:val="1"/>
          <w:iCs w:val="1"/>
          <w:color w:val="auto"/>
        </w:rPr>
        <w:t>.</w:t>
      </w:r>
      <w:r>
        <w:rPr>
          <w:rFonts w:ascii="Arial" w:cs="Arial" w:eastAsia="Arial" w:hAnsi="Arial"/>
          <w:sz w:val="17"/>
          <w:szCs w:val="17"/>
          <w:color w:val="auto"/>
        </w:rPr>
        <w:t xml:space="preserve"> Immediately following the execution of this Agreement, the Company will, subject to Section 3(b) hereof, prepare the Offering Memorandum, which shall contain the public offering price and terms of the Securities, the plan of distribution thereof and such other information as the Representative and the Company may deem appropriate.</w:t>
      </w:r>
    </w:p>
    <w:p>
      <w:pPr>
        <w:spacing w:after="0" w:line="165" w:lineRule="exact"/>
        <w:rPr>
          <w:rFonts w:ascii="Arial" w:cs="Arial" w:eastAsia="Arial" w:hAnsi="Arial"/>
          <w:sz w:val="17"/>
          <w:szCs w:val="17"/>
          <w:color w:val="auto"/>
        </w:rPr>
      </w:pPr>
    </w:p>
    <w:p>
      <w:pPr>
        <w:ind w:left="1740" w:hanging="772"/>
        <w:spacing w:after="0"/>
        <w:tabs>
          <w:tab w:leader="none" w:pos="174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DTC</w:t>
      </w:r>
      <w:r>
        <w:rPr>
          <w:rFonts w:ascii="Arial" w:cs="Arial" w:eastAsia="Arial" w:hAnsi="Arial"/>
          <w:sz w:val="16"/>
          <w:szCs w:val="16"/>
          <w:color w:val="auto"/>
        </w:rPr>
        <w:t>. The Company will use its reasonable best efforts to permit the Securities to be eligible for clearance and settlement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through DTC.</w:t>
      </w:r>
    </w:p>
    <w:p>
      <w:pPr>
        <w:spacing w:after="0" w:line="210" w:lineRule="exact"/>
        <w:rPr>
          <w:rFonts w:ascii="Arial" w:cs="Arial" w:eastAsia="Arial" w:hAnsi="Arial"/>
          <w:sz w:val="16"/>
          <w:szCs w:val="16"/>
          <w:color w:val="auto"/>
        </w:rPr>
      </w:pPr>
    </w:p>
    <w:p>
      <w:pPr>
        <w:jc w:val="both"/>
        <w:ind w:firstLine="968"/>
        <w:spacing w:after="0" w:line="263" w:lineRule="auto"/>
        <w:tabs>
          <w:tab w:leader="none" w:pos="1933"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No Stabilization</w:t>
      </w:r>
      <w:r>
        <w:rPr>
          <w:rFonts w:ascii="Arial" w:cs="Arial" w:eastAsia="Arial" w:hAnsi="Arial"/>
          <w:sz w:val="18"/>
          <w:szCs w:val="18"/>
          <w:color w:val="auto"/>
        </w:rPr>
        <w:t>. The Company, the Guarantors and their respective affiliates will not take, directly or indirectly, any action designed to or that has constituted or that reasonably could be expected to cause or result in the stabilization or manipulation of the price of any security of the Company or the Guarantors in connection with the offering of the Securities.</w:t>
      </w:r>
    </w:p>
    <w:p>
      <w:pPr>
        <w:spacing w:after="0" w:line="183" w:lineRule="exact"/>
        <w:rPr>
          <w:rFonts w:ascii="Arial" w:cs="Arial" w:eastAsia="Arial" w:hAnsi="Arial"/>
          <w:sz w:val="18"/>
          <w:szCs w:val="18"/>
          <w:color w:val="auto"/>
        </w:rPr>
      </w:pPr>
    </w:p>
    <w:p>
      <w:pPr>
        <w:jc w:val="both"/>
        <w:ind w:firstLine="968"/>
        <w:spacing w:after="0" w:line="286" w:lineRule="auto"/>
        <w:tabs>
          <w:tab w:leader="none" w:pos="1802"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No Affiliate Resales</w:t>
      </w:r>
      <w:r>
        <w:rPr>
          <w:rFonts w:ascii="Arial" w:cs="Arial" w:eastAsia="Arial" w:hAnsi="Arial"/>
          <w:sz w:val="17"/>
          <w:szCs w:val="17"/>
          <w:color w:val="auto"/>
        </w:rPr>
        <w:t>. The Company and the Guarantors will not, and will not permit any of their respective affiliates (as defined in Rule 144 under the 1933 Act) to, resell any of the Securities that have been acquired by any of them, except for Securities purchased by the Company, the Guarantors or any of their respective affiliates and resold in a transaction registered under the 1933 Act.</w:t>
      </w:r>
    </w:p>
    <w:p>
      <w:pPr>
        <w:spacing w:after="0" w:line="165" w:lineRule="exact"/>
        <w:rPr>
          <w:rFonts w:ascii="Arial" w:cs="Arial" w:eastAsia="Arial" w:hAnsi="Arial"/>
          <w:sz w:val="17"/>
          <w:szCs w:val="17"/>
          <w:color w:val="auto"/>
        </w:rPr>
      </w:pPr>
    </w:p>
    <w:p>
      <w:pPr>
        <w:jc w:val="both"/>
        <w:ind w:firstLine="968"/>
        <w:spacing w:after="0" w:line="273" w:lineRule="auto"/>
        <w:tabs>
          <w:tab w:leader="none" w:pos="1802"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No General Solicitation</w:t>
      </w:r>
      <w:r>
        <w:rPr>
          <w:rFonts w:ascii="Arial" w:cs="Arial" w:eastAsia="Arial" w:hAnsi="Arial"/>
          <w:sz w:val="17"/>
          <w:szCs w:val="17"/>
          <w:color w:val="auto"/>
        </w:rPr>
        <w:t>. In connection with any offer or sale of the Securities, the Company and the Guarantors will not engage, and will cause their respective affiliates and any person acting on their behalf (other than, in any case, the Initial Purchasers and any of their affiliates, as to whom the Company and the Guarantors make no covenant) not to engage (i) in any form of general solicitation or general advertising (within the meaning of Regulation D of the 1933 Act) or any public offering within the meaning of Section 4(a)(2) of the 1933 Act in connection with any offer or sale of the Notes and/or (ii) in any directed selling effort with respect to the Securities within the meaning of Regulation S, and to comply with the offering restrictions requirement of Regulation S.</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2" w:name="page153"/>
    <w:bookmarkEnd w:id="152"/>
    <w:p>
      <w:pPr>
        <w:jc w:val="both"/>
        <w:ind w:left="660" w:firstLine="968"/>
        <w:spacing w:after="0" w:line="259" w:lineRule="auto"/>
        <w:tabs>
          <w:tab w:leader="none" w:pos="2449"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 Integration</w:t>
      </w:r>
      <w:r>
        <w:rPr>
          <w:rFonts w:ascii="Arial" w:cs="Arial" w:eastAsia="Arial" w:hAnsi="Arial"/>
          <w:sz w:val="18"/>
          <w:szCs w:val="18"/>
          <w:color w:val="auto"/>
        </w:rPr>
        <w:t>. The Company will not, and will ensure that no affiliate of the Company will, sell, offer for sale or solicit offers to buy or otherwise negotiate in respect of any “security” (as defined in the 1933 Act) that would be integrated with the sale of the Securities in a manner that would require the registration under the 1933 Act of the sale to the Initial Purchasers or to the Eligible Purchasers of the Securities.</w:t>
      </w:r>
    </w:p>
    <w:p>
      <w:pPr>
        <w:spacing w:after="0" w:line="186" w:lineRule="exact"/>
        <w:rPr>
          <w:rFonts w:ascii="Arial" w:cs="Arial" w:eastAsia="Arial" w:hAnsi="Arial"/>
          <w:sz w:val="18"/>
          <w:szCs w:val="18"/>
          <w:color w:val="auto"/>
        </w:rPr>
      </w:pPr>
    </w:p>
    <w:p>
      <w:pPr>
        <w:jc w:val="both"/>
        <w:ind w:left="660" w:firstLine="968"/>
        <w:spacing w:after="0" w:line="263" w:lineRule="auto"/>
        <w:tabs>
          <w:tab w:leader="none" w:pos="239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Company and the Guarantors will do and perform all things required or necessary to be done and performed under the Transaction Documents by them prior to the Closing Date, and to satisfy all conditions precedent to the Initial Purchasers’ obligations hereunder to purchase the Securities.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1428"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the Guarantors, jointly and severally, will pay all expenses incident to the performance of their respective obligations under this Agreement, including (i) the preparation, printing and delivery of the Preliminary Offering Memorandum, the General Disclosure Package, the Offering Memorandum and any Issuer Free Writing Documents and each amendment thereto (in each case including exhibits) and any costs associated with electronic delivery of any of the foregoing, (ii) the word processing and delivery to the Initial Purchasers of each of the Transaction Documents and such other documents as may be required in connection with the offering, purchase, sale, issuance or delivery of the Securities, (iii) the preparation, issuance and delivery of the certificates for the Securities, the issuance and delivery of the Securities to the Initial Purchasers and the resale of the Securities to the initial investors, including any issue, stamp, transfer or similar taxes or charges payable in connection with the sale, issuance or delivery of the Securities to the Initial Purchasers or by the Initial Purchasers to the initial investors, (iv) the fees and disbursements of the counsel, accountants and other advisors to the Company and the Guarantors, (v) the qualification or exemption of the Securities under securities laws in accordance with the provisions of Section 3(f) hereof, including the reasonable and documented fees and disbursements of counsel for the Initial Purchasers in connection therewith and in connection with the preparation, printing and delivery of the Blue Sky Survey and any supplements thereto, (vi) the fees and expenses of the Trustee, including the fees and disbursements of counsel for the Trustee in connection with the Transaction Documents, (vii) all fees charged by any rating agencies for rating the Securities and all expenses and application fees incurred in connection with the approval of the Securities for clearance, settlement and book-entry transfer through DTC and (viii) all travel expenses of the Company’s officers and employees and any other expenses of each Initial Purchaser and the Company in connection with attending or hosting meetings with prospective purchasers of the Securities (other than travel expenses of the Initial Purchasers’ officers and employees), and expenses associated with any electronic road show.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656"/>
        <w:spacing w:after="0" w:line="263" w:lineRule="auto"/>
        <w:tabs>
          <w:tab w:leader="none" w:pos="1568"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If this Agreement is terminated by the Representative in accordance with the provisions of Section 5, Section 9 or Section 10 hereof, the Company and the Guarantors, jointly and severally, will reimburse the Initial Purchasers for all of their out-of-pocket expenses, including the reasonable and documented fees and disbursements of counsel for the Initial Purchasers.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Initial Purchasers’ Obligations</w:t>
      </w:r>
      <w:r>
        <w:rPr>
          <w:rFonts w:ascii="Arial" w:cs="Arial" w:eastAsia="Arial" w:hAnsi="Arial"/>
          <w:sz w:val="17"/>
          <w:szCs w:val="17"/>
          <w:color w:val="auto"/>
        </w:rPr>
        <w:t>. The obligations of the several Initial Purchasers hereunder are subject to the accuracy, on the date hereof and at the Closing Date, of the representations and warranties of the Company and the Guarantors contained in this Agreement, or in certificates signed by any officer of the Company, any Guarantor or any subsidiary of the Company (whether signed on behalf of such officer, the Company or such subsidiary) delivered to the Representative or counsel for the Initial Purchasers, to the performance by the Company and the Guarantors of their respective covenants and other obligations hereunder, and to the following further conditions:</w:t>
      </w:r>
    </w:p>
    <w:p>
      <w:pPr>
        <w:spacing w:after="0" w:line="176" w:lineRule="exact"/>
        <w:rPr>
          <w:sz w:val="20"/>
          <w:szCs w:val="20"/>
          <w:color w:val="auto"/>
        </w:rPr>
      </w:pPr>
    </w:p>
    <w:p>
      <w:pPr>
        <w:jc w:val="both"/>
        <w:ind w:left="660" w:firstLine="968"/>
        <w:spacing w:after="0" w:line="257" w:lineRule="auto"/>
        <w:tabs>
          <w:tab w:leader="none" w:pos="2763"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Opinion and Negative Assurance Letter of Counsel for Company and the Guarantors</w:t>
      </w:r>
      <w:r>
        <w:rPr>
          <w:rFonts w:ascii="Arial" w:cs="Arial" w:eastAsia="Arial" w:hAnsi="Arial"/>
          <w:sz w:val="18"/>
          <w:szCs w:val="18"/>
          <w:i w:val="1"/>
          <w:iCs w:val="1"/>
          <w:color w:val="auto"/>
        </w:rPr>
        <w:t>.</w:t>
      </w:r>
      <w:r>
        <w:rPr>
          <w:rFonts w:ascii="Arial" w:cs="Arial" w:eastAsia="Arial" w:hAnsi="Arial"/>
          <w:sz w:val="18"/>
          <w:szCs w:val="18"/>
          <w:color w:val="auto"/>
        </w:rPr>
        <w:t xml:space="preserve"> At the Closing Date, the Representative shall have received (i) the favorable opinion and negative assurance letter, dated as of the Closing Date, of Wilmer Cutler Pickering Hale and Dorr LLP, counsel for the Company and the Guarantors (“</w:t>
      </w:r>
      <w:r>
        <w:rPr>
          <w:rFonts w:ascii="Arial" w:cs="Arial" w:eastAsia="Arial" w:hAnsi="Arial"/>
          <w:sz w:val="18"/>
          <w:szCs w:val="18"/>
          <w:u w:val="single" w:color="auto"/>
          <w:color w:val="auto"/>
        </w:rPr>
        <w:t>Company Counsel</w:t>
      </w:r>
      <w:r>
        <w:rPr>
          <w:rFonts w:ascii="Arial" w:cs="Arial" w:eastAsia="Arial" w:hAnsi="Arial"/>
          <w:sz w:val="18"/>
          <w:szCs w:val="18"/>
          <w:color w:val="auto"/>
        </w:rPr>
        <w:t>”), substantially in the form of Exhibit F hereto and (ii) the favorable opinion, dated as of the Closing Date, of DLA Piper LLP (US), Maryland counsel for certain of the Guarantors, substantially in the form of Exhibit G hereto.</w:t>
      </w:r>
    </w:p>
    <w:p>
      <w:pPr>
        <w:spacing w:after="0" w:line="187" w:lineRule="exact"/>
        <w:rPr>
          <w:rFonts w:ascii="Arial" w:cs="Arial" w:eastAsia="Arial" w:hAnsi="Arial"/>
          <w:sz w:val="18"/>
          <w:szCs w:val="18"/>
          <w:color w:val="auto"/>
        </w:rPr>
      </w:pPr>
    </w:p>
    <w:p>
      <w:pPr>
        <w:jc w:val="both"/>
        <w:ind w:left="660" w:firstLine="968"/>
        <w:spacing w:after="0" w:line="296" w:lineRule="auto"/>
        <w:tabs>
          <w:tab w:leader="none" w:pos="2503"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Opinion and Negative Assurance Letter of Counsel for Initial Purchasers</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the Representative shall have received the favorable opinion and negative assurance letter, dated as of the Closing Date, of Cahill Gordon &amp; Reindel LLP, counsel for the Initial Purchasers, together with signed or reproduced copies of such letter for each of the other Initial Purchasers, with respect to the Securities to be sold by the Company pursuant to this Agreement, this Agreement, the Indenture, the General Disclosure Package and the Offering Memorandum, and any amendments or supplements thereto and such other matters as the Representative may reasonably request.</w:t>
      </w:r>
    </w:p>
    <w:p>
      <w:pPr>
        <w:spacing w:after="0" w:line="161" w:lineRule="exact"/>
        <w:rPr>
          <w:rFonts w:ascii="Arial" w:cs="Arial" w:eastAsia="Arial" w:hAnsi="Arial"/>
          <w:sz w:val="16"/>
          <w:szCs w:val="16"/>
          <w:color w:val="auto"/>
        </w:rPr>
      </w:pPr>
    </w:p>
    <w:p>
      <w:pPr>
        <w:jc w:val="both"/>
        <w:ind w:left="660" w:firstLine="968"/>
        <w:spacing w:after="0" w:line="287" w:lineRule="auto"/>
        <w:tabs>
          <w:tab w:leader="none" w:pos="2439"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there shall not have been, since the date hereof or since the respective dates as of which information is given in the General Disclosure Package and the Offering Memorandum (in each case exclusive of any amendments or supplements thereto subsequent to the date of this Agreement), any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At the Closing Date, the Representative shall have received a certificate, signed on behalf of the Company and each Guarantor by the President or the Chief Executive Officer of the Company and each Guarantor and the Chief Financial Officer or Chief Accounting Officer of the Company and each Guarantor, dated as of the Closing Date, to the effect that (i) there has been no such material adverse change, (ii) the representations and warranties of the Company and the Guarantors in this Agreement are true and correct at and as of the Closing Date with the same force and effect as though expressly made at and as of the Closing Date and (iii) the Company and the Guarantors have complied in all material respects with all agreements and satisfied all conditions on their part to be performed or satisfied at or prior to the Closing Date under or pursuant to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4" w:name="page155"/>
    <w:bookmarkEnd w:id="154"/>
    <w:p>
      <w:pPr>
        <w:jc w:val="both"/>
        <w:ind w:left="-460" w:firstLine="968"/>
        <w:spacing w:after="0" w:line="293" w:lineRule="auto"/>
        <w:tabs>
          <w:tab w:leader="none" w:pos="127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Accountant’s Comfort Letter</w:t>
      </w:r>
      <w:r>
        <w:rPr>
          <w:rFonts w:ascii="Arial" w:cs="Arial" w:eastAsia="Arial" w:hAnsi="Arial"/>
          <w:sz w:val="16"/>
          <w:szCs w:val="16"/>
          <w:i w:val="1"/>
          <w:iCs w:val="1"/>
          <w:color w:val="auto"/>
        </w:rPr>
        <w:t>.</w:t>
      </w:r>
      <w:r>
        <w:rPr>
          <w:rFonts w:ascii="Arial" w:cs="Arial" w:eastAsia="Arial" w:hAnsi="Arial"/>
          <w:sz w:val="16"/>
          <w:szCs w:val="16"/>
          <w:color w:val="auto"/>
        </w:rPr>
        <w:t xml:space="preserve"> At the time of the execution of this Agreement, the Representative shall have received from Ernst &amp; Young LLP a letter addressed to the Initial Purchasers, dated the date of this Agreement and in form and substance reasonably satisfactory to the Representative, together with signed or reproduced copies of such letter for each of the other Initial Purchasers, containing statements and information of the type ordinarily included in accountants’ “comfort letters” to initial purchasers with respect to the financial statements and certain financial information of the Company contained in the General Disclosure Package, any Issuer Free Writing Documents (other than any electronic road show) and the Offering Memorandum and any amendments or supplements to any of the foregoing.</w:t>
      </w:r>
    </w:p>
    <w:p>
      <w:pPr>
        <w:spacing w:after="0" w:line="164" w:lineRule="exact"/>
        <w:rPr>
          <w:rFonts w:ascii="Arial" w:cs="Arial" w:eastAsia="Arial" w:hAnsi="Arial"/>
          <w:sz w:val="16"/>
          <w:szCs w:val="16"/>
          <w:color w:val="auto"/>
        </w:rPr>
      </w:pPr>
    </w:p>
    <w:p>
      <w:pPr>
        <w:jc w:val="both"/>
        <w:ind w:left="-460" w:firstLine="968"/>
        <w:spacing w:after="0" w:line="259" w:lineRule="auto"/>
        <w:tabs>
          <w:tab w:leader="none" w:pos="1278"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i w:val="1"/>
          <w:iCs w:val="1"/>
          <w:color w:val="auto"/>
        </w:rPr>
        <w:t>.</w:t>
      </w:r>
      <w:r>
        <w:rPr>
          <w:rFonts w:ascii="Arial" w:cs="Arial" w:eastAsia="Arial" w:hAnsi="Arial"/>
          <w:sz w:val="18"/>
          <w:szCs w:val="18"/>
          <w:color w:val="auto"/>
        </w:rPr>
        <w:t xml:space="preserve"> At the Closing Date, the Representative shall have received from Ernst &amp; Young LLP a letter addressed to the Initial Purchasers, dated as of the Closing Date and in form and substance reasonably satisfactory to the Representative, to the effect that they reaffirm the statements made in the letter furnished pursuant to subsection (d) of this Section, except that the specified date referred to shall be a date not more than three business days prior to the Closing Date.</w:t>
      </w:r>
    </w:p>
    <w:p>
      <w:pPr>
        <w:spacing w:after="0" w:line="186" w:lineRule="exact"/>
        <w:rPr>
          <w:rFonts w:ascii="Arial" w:cs="Arial" w:eastAsia="Arial" w:hAnsi="Arial"/>
          <w:sz w:val="18"/>
          <w:szCs w:val="18"/>
          <w:color w:val="auto"/>
        </w:rPr>
      </w:pPr>
    </w:p>
    <w:p>
      <w:pPr>
        <w:jc w:val="both"/>
        <w:ind w:left="-460" w:firstLine="968"/>
        <w:spacing w:after="0" w:line="254" w:lineRule="auto"/>
        <w:tabs>
          <w:tab w:leader="none" w:pos="1371"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No Downgrade</w:t>
      </w:r>
      <w:r>
        <w:rPr>
          <w:rFonts w:ascii="Arial" w:cs="Arial" w:eastAsia="Arial" w:hAnsi="Arial"/>
          <w:sz w:val="18"/>
          <w:szCs w:val="18"/>
          <w:i w:val="1"/>
          <w:iCs w:val="1"/>
          <w:color w:val="auto"/>
        </w:rPr>
        <w:t>.</w:t>
      </w:r>
      <w:r>
        <w:rPr>
          <w:rFonts w:ascii="Arial" w:cs="Arial" w:eastAsia="Arial" w:hAnsi="Arial"/>
          <w:sz w:val="18"/>
          <w:szCs w:val="18"/>
          <w:color w:val="auto"/>
        </w:rPr>
        <w:t xml:space="preserve"> There shall not have occurred, on or after the date of this Agreement, any downgrading in the rating of any debt securities of or guaranteed by the Company, any preferred stock of the Company or any debt securities, preferred stock or trust preferred securities of any subsidiary or subsidiary trust of the Company by any “nationally recognized statistical rating organization” (as defined by the Commission in Section 3(a)(62) of the 1934 Act) or any public announcement that any such organization has placed its rating on the Company or any such debt securities, preferred stock or other securities under surveillance or review or on a so-called “watch list” (other than an announcement with positive implications of a possible upgrading, and no implication of a possible downgrading, of such rating) or any announcement by any such organization that the Company or any such debt securities, preferred stock or other securities has been placed on negative outlook.</w:t>
      </w:r>
    </w:p>
    <w:p>
      <w:pPr>
        <w:spacing w:after="0" w:line="191" w:lineRule="exact"/>
        <w:rPr>
          <w:rFonts w:ascii="Arial" w:cs="Arial" w:eastAsia="Arial" w:hAnsi="Arial"/>
          <w:sz w:val="18"/>
          <w:szCs w:val="18"/>
          <w:color w:val="auto"/>
        </w:rPr>
      </w:pPr>
    </w:p>
    <w:p>
      <w:pPr>
        <w:ind w:left="1260" w:hanging="752"/>
        <w:spacing w:after="0"/>
        <w:tabs>
          <w:tab w:leader="none" w:pos="126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DTC Eligibility</w:t>
      </w:r>
      <w:r>
        <w:rPr>
          <w:rFonts w:ascii="Arial" w:cs="Arial" w:eastAsia="Arial" w:hAnsi="Arial"/>
          <w:sz w:val="18"/>
          <w:szCs w:val="18"/>
          <w:color w:val="auto"/>
        </w:rPr>
        <w:t>. The Securities shall be eligible for clearance and settlement through DTC.</w:t>
      </w:r>
    </w:p>
    <w:p>
      <w:pPr>
        <w:spacing w:after="0" w:line="225" w:lineRule="exact"/>
        <w:rPr>
          <w:rFonts w:ascii="Arial" w:cs="Arial" w:eastAsia="Arial" w:hAnsi="Arial"/>
          <w:sz w:val="18"/>
          <w:szCs w:val="18"/>
          <w:color w:val="auto"/>
        </w:rPr>
      </w:pPr>
    </w:p>
    <w:p>
      <w:pPr>
        <w:jc w:val="both"/>
        <w:ind w:left="-460" w:firstLine="968"/>
        <w:spacing w:after="0" w:line="263" w:lineRule="auto"/>
        <w:tabs>
          <w:tab w:leader="none" w:pos="123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The Company, the Guarantors and the other parties thereto shall have executed and delivered each of the Transaction Documents, and the Initial Purchasers shall have received reproduced copies thereof, duly executed by the Company, the Guarantors and the other parties thereto.</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5" w:name="page156"/>
    <w:bookmarkEnd w:id="155"/>
    <w:p>
      <w:pPr>
        <w:jc w:val="both"/>
        <w:ind w:left="660" w:firstLine="968"/>
        <w:spacing w:after="0" w:line="293" w:lineRule="auto"/>
        <w:tabs>
          <w:tab w:leader="none" w:pos="2625"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Additional Documents</w:t>
      </w:r>
      <w:r>
        <w:rPr>
          <w:rFonts w:ascii="Arial" w:cs="Arial" w:eastAsia="Arial" w:hAnsi="Arial"/>
          <w:sz w:val="16"/>
          <w:szCs w:val="16"/>
          <w:i w:val="1"/>
          <w:iCs w:val="1"/>
          <w:color w:val="auto"/>
        </w:rPr>
        <w:t>.</w:t>
      </w:r>
      <w:r>
        <w:rPr>
          <w:rFonts w:ascii="Arial" w:cs="Arial" w:eastAsia="Arial" w:hAnsi="Arial"/>
          <w:sz w:val="16"/>
          <w:szCs w:val="16"/>
          <w:color w:val="auto"/>
        </w:rPr>
        <w:t xml:space="preserve"> At the Closing Date, counsel for the Initial Purchasers shall have 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contained in this Agreement, or as the Representative or counsel for the Initial Purchasers may otherwise reasonably request; and all proceedings taken by the Company or any Guarantor in connection with the issuance and sale of the Securities as herein contemplated and in connection with the other transactions contemplated by this Agreement shall be satisfactory in form and substance to the Representative.</w:t>
      </w:r>
    </w:p>
    <w:p>
      <w:pPr>
        <w:spacing w:after="0" w:line="164" w:lineRule="exact"/>
        <w:rPr>
          <w:rFonts w:ascii="Arial" w:cs="Arial" w:eastAsia="Arial" w:hAnsi="Arial"/>
          <w:sz w:val="16"/>
          <w:szCs w:val="16"/>
          <w:color w:val="auto"/>
        </w:rPr>
      </w:pPr>
    </w:p>
    <w:p>
      <w:pPr>
        <w:jc w:val="both"/>
        <w:ind w:left="660" w:firstLine="968"/>
        <w:spacing w:after="0" w:line="257" w:lineRule="auto"/>
        <w:tabs>
          <w:tab w:leader="none" w:pos="2454"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If any condition specified in this Section 5 shall not have been fulfilled when and as required to be fulfilled, this Agreement may be terminated by the Representative by notice to the Company and the Guarantors at any time on or prior to the Closing Date and such termination shall be without liability of any party to any other party except as provided in Section 4 hereof and except that Sections 1, 4(b), 6, 7, 8, 11, 12, 13, 14, 15, 17, 18, 19 and 20 hereof shall survive any such termination of this Agreement and remain in full force and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423"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 and the Guarantors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and each Guarantor agree, jointly and severally, to indemnify and hold harmless each Initial Purchaser, its affiliates, and its and their respective officers, directors, employees, partners and members and each person, if any, who controls any Initial Purchaser within the meaning of Section 15 of the 1933 Act or Section 20 of the 1934 Act as follows:</w:t>
      </w:r>
    </w:p>
    <w:p>
      <w:pPr>
        <w:spacing w:after="0" w:line="165" w:lineRule="exact"/>
        <w:rPr>
          <w:rFonts w:ascii="Arial" w:cs="Arial" w:eastAsia="Arial" w:hAnsi="Arial"/>
          <w:sz w:val="17"/>
          <w:szCs w:val="17"/>
          <w:color w:val="auto"/>
        </w:rPr>
      </w:pPr>
    </w:p>
    <w:p>
      <w:pPr>
        <w:jc w:val="both"/>
        <w:ind w:left="1300" w:firstLine="976"/>
        <w:spacing w:after="0" w:line="272" w:lineRule="auto"/>
        <w:tabs>
          <w:tab w:leader="none" w:pos="2995"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or based upon any untrue statement or alleged untrue statement of a material fact in the Preliminary Offering Memorandum, any Issuer Free Writing Document, the General Disclosure Package or the Offering Memorandum (or any amendment or supplement to any of the foregoing), or in any materials, presentations or information provided to investors by, or with the approval of, the Company or any Guarantor in connection with the marketing of the offering of the Securities, including any road 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jc w:val="both"/>
        <w:ind w:left="1300" w:firstLine="976"/>
        <w:spacing w:after="0" w:line="275" w:lineRule="auto"/>
        <w:tabs>
          <w:tab w:leader="none" w:pos="3256"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or pursuant to a judgment or other disposition in, any litigation, or any investigation or proceeding by any governmental or self-regulatory agency or body, commenced or threatened, or of any claim whatsoever arising out of or based upon any such untrue statement or omission, or any such alleged untrue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Section 6(d) below) any such settlement is effected with the written consent of the Company and the Guarantors;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ind w:left="1300" w:firstLine="976"/>
        <w:spacing w:after="0" w:line="286" w:lineRule="auto"/>
        <w:tabs>
          <w:tab w:leader="none" w:pos="343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reasonably incurred in investigating, preparing or defending against any litigation, or any investigation or proceeding by any governmental or self-regulatory agency or body, commenced or threatened, or any claim whatsoever arising out of or based upon any such untrue statement or omission, or any such alleged untrue statement or omission, to the extent that any such expense is not paid under</w:t>
      </w:r>
    </w:p>
    <w:p>
      <w:pPr>
        <w:spacing w:after="0" w:line="1" w:lineRule="exact"/>
        <w:rPr>
          <w:rFonts w:ascii="Arial" w:cs="Arial" w:eastAsia="Arial" w:hAnsi="Arial"/>
          <w:sz w:val="16"/>
          <w:szCs w:val="16"/>
          <w:color w:val="auto"/>
        </w:rPr>
      </w:pPr>
    </w:p>
    <w:p>
      <w:pPr>
        <w:ind w:left="1520" w:hanging="216"/>
        <w:spacing w:after="0"/>
        <w:tabs>
          <w:tab w:leader="none" w:pos="15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or (ii) above,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indemnity agreement shall not apply to any loss, liability, claim, damage or expense to the extent arising out of or based upon any untrue statement or omission or alleged untrue statement or omission made in reliance upon and in conformity with written information about any Initial Purchaser furnished to the Company or any Guarantor by such Initial Purchaser through the Representative expressly for use in the Preliminary Offering Memorandum, any Issuer Free Writing Document, the General Disclosure Package or the Offering Memorandum (or in any amendment or supplement to any of the foregoing), it being understood and agreed that the only such information furnished by the Initial Purchasers as aforesaid consists of the information described as such in Section 6(b) hereof.</w:t>
      </w:r>
    </w:p>
    <w:p>
      <w:pPr>
        <w:spacing w:after="0" w:line="192" w:lineRule="exact"/>
        <w:rPr>
          <w:sz w:val="20"/>
          <w:szCs w:val="20"/>
          <w:color w:val="auto"/>
        </w:rPr>
      </w:pPr>
    </w:p>
    <w:p>
      <w:pPr>
        <w:jc w:val="both"/>
        <w:ind w:firstLine="656"/>
        <w:spacing w:after="0" w:line="268" w:lineRule="auto"/>
        <w:tabs>
          <w:tab w:leader="none" w:pos="146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Indemnification by the Initial Purchasers</w:t>
      </w:r>
      <w:r>
        <w:rPr>
          <w:rFonts w:ascii="Arial" w:cs="Arial" w:eastAsia="Arial" w:hAnsi="Arial"/>
          <w:sz w:val="17"/>
          <w:szCs w:val="17"/>
          <w:color w:val="auto"/>
        </w:rPr>
        <w:t>. Each Initial Purchaser agrees, severally and not jointly, to indemnify and hold harmless the Company and the Guarantors, their respective directors and each person, if any, who controls the Company within the meaning of Section 15 of the 1933 Act or Section 20 of the 1934 Act against any and all loss, liability, claim, damage and expense described in the indemnity contained in subsection (a) of this Section 6, as incurred, but only with respect to untrue statements or omissions, or alleged untrue statements or omissions, made in the Preliminary Offering Memorandum, any Issuer Free Writing Document or the Offering Memorandum (or any amendment or supplement to any of the foregoing), in reliance upon and in conformity with written information relating to such Initial Purchaser furnished to the Company or any Guarantor by such Initial Purchaser through the Representative expressly for use therein. The Company and the Guarantors hereby acknowledge and agree that the information furnished to the Company and any Guarantor by the Initial Purchasers through the Representative expressly for use in the Preliminary Offering Memorandum, any Issuer Free Writing Document or the Offering Memorandum (or any amendment or supplement to any of the foregoing), consists exclusively of the following information appearing under the caption “Plan of Distribution” in the Preliminary Offering Memorandum and the Offering Memorandum: (i) the information regarding stabilization, syndicate covering transactions and penalty bids appearing in the fourth paragraph under such caption (but only insofar as such information concerns the Initial Purchasers) and (ii) the information regarding market making by the Initial Purchasers appearing in the second and third sentences of the seventh paragraph under such caption.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56"/>
        <w:spacing w:after="0" w:line="284" w:lineRule="auto"/>
        <w:tabs>
          <w:tab w:leader="none" w:pos="1707"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Actions Against Parties; Notification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Each indemnified party shall give notice as promptly as reasonably practicable to each indemnifying party of any action commenced against it in respect of which indemnity may be sought hereunder; provided, however, that the failure to so notify an indemnifying party shall not relieve such indemnifying party from any liability that it may have under this Section 6; provided further, that the failure to so notify such indemnifying party shall not relieve such indemnifying party from any liability that it may have to such indemnified party otherwise than under this Section 6. Counsel to the indemnified parties shall be selected as follows: counsel to the Initial Purchasers and the other indemnified parties referred to in Section 6(a) above shall be selected by Wells Fargo; and counsel to the Company and the Guarantors, their respective directors, each of their respective officers and each person, if any, who controls the Company within the meaning of Section 15 of the 1933 Act or Section 20 of the 1934 Act shall be selected by the Company and the Guarantors. An indemnifying party may participate at its own expense in the defense of any such action, and, to the extent it wishes either by itself or jointly with any other similarly situated notified indemnifying party, assume the defense thereof with counsel reasonably satisfactory to the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provided further, however, that counsel to the indemnifying party shall not (except with the consent of the indemnified party) also be counsel to the indemnified party. In no event shall the indemnifying party be liable for the fees and expenses of more than one counsel (in addition to any local counsel) separate from their own counsel for the Initial Purchasers and the other indemnified parties referred to in Section 6(a) above; and the fees and expenses of more than one counsel (in addition to any local counsel) separate from their own counsel for the Company and the Guarantors, their respective directors, each of their respective officers and each person, if any, who controls the Company within the meaning of Section 15 of the 1933 Act or Section 20 of the 1934 Act, in each case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9" w:lineRule="exact"/>
        <w:rPr>
          <w:rFonts w:ascii="Arial" w:cs="Arial" w:eastAsia="Arial" w:hAnsi="Arial"/>
          <w:sz w:val="16"/>
          <w:szCs w:val="16"/>
          <w:color w:val="auto"/>
        </w:rPr>
      </w:pPr>
    </w:p>
    <w:p>
      <w:pPr>
        <w:jc w:val="both"/>
        <w:ind w:firstLine="656"/>
        <w:spacing w:after="0" w:line="272" w:lineRule="auto"/>
        <w:tabs>
          <w:tab w:leader="none" w:pos="1420"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at any time an indemnified party shall have requested an indemnifying party to reimburse the indemnified party for fees and expenses of counsel as contemplated by this Section 6, such indemnifying party agrees that it shall be liable for any settlement of the nature contemplated by Section 6(a) effected without its written consent if (i) 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Except as set forth in this subsection (d), an indemnifying party shall not be liable for any settlement of any litigation, investigation or proceeding effected without its prior written consent.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jc w:val="both"/>
        <w:ind w:firstLine="648"/>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Guarantors on the one hand and the Initial Purchasers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Guarantors on the one hand and of the Initial Purchasers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relative benefits received by the Company and the Guarantors on the one hand and the Initial Purchasers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the Guarantors and the total discounts and commissions received by the Initial Purchasers, in each case as determined pursuant to this Agreement, bear to the aggregate initial offering price of the Securities as set forth on the cover of the Offering Memorandum.</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relative fault of the Company and the Guarantors on the one hand and the Initial Purchasers on the other hand shall be determined by reference to, among other things, whether any such untrue or alleged untrue statement of a material fact or omission or alleged omission to state a material fact relates to information supplied by the Company and the Guarantors on the one hand or by the Initial Purchasers on the other hand and the parties’ relative intent, knowledge, access to information and opportunity to correct or prevent such statement or omission.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and the Guarantors and the Initial Purchasers agree that it would not be just and equitable if contribution pursuant to this Section 7 were determined by pro rata allocation (even if the Initial Purchasers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provisions of this Section 7, no Initial Purchaser shall be required to contribute any amount in excess of the amount by which the total discounts and commissions from the sale to Eligible Purchasers of the Securities initially purchased by it exceeds the amount of any damages which such Initial Purchaser has otherwise been required to pay by reason of any such untrue or alleged untrue statement or omission or alleged omission.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purposes of this Section 7, each affiliate, officer, director, employee, partner and member of each Initial Purchaser and each person, if any, who controls any Initial Purchaser within the meaning of Section 15 of the 1933 Act or Section 20 of the 1934 Act shall have the same rights to contribution as such Initial Purchaser, and each director of the Company and of each Guarantor, each officer of the Company and of each Guarantor, and each person, if any, who controls the Company within the meaning of Section 15 of the 1933 Act or Section 20 of the 1934 Act shall have the same rights to contribution as the Company and the Guarantors. The Initial Purchasers’ respective obligations to contribute pursuant to this Section 7 are several in proportion to the principal amount of Securities set forth opposite their respective names in Exhibit A hereto and not joint.</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All representations, warranties and agreements contained in this Agreement or in certificates signed by any officer of the Company or any of its subsidiaries (whether signed on behalf of such officer, the Company, or such subsidiary) and delivered to the Representative or counsel to the Initial Purchasers, shall remain operative and in full force and effect, regardless of any investigation made by or on behalf of any Initial Purchaser, its affiliates and any of their any officers, directors, employees, partners, members or agents of any Initial Purchaser or any person controlling any Initial Purchaser, or by or on behalf of the Company, any Guarantor, any officer, director or employee of the Company or any Guarantor or any person controlling the Company, any Guarantor, and shall survive delivery of and payment for the Securities.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1396"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Termination; General</w:t>
      </w:r>
      <w:r>
        <w:rPr>
          <w:rFonts w:ascii="Arial" w:cs="Arial" w:eastAsia="Arial" w:hAnsi="Arial"/>
          <w:sz w:val="16"/>
          <w:szCs w:val="16"/>
          <w:i w:val="1"/>
          <w:iCs w:val="1"/>
          <w:color w:val="auto"/>
        </w:rPr>
        <w:t>.</w:t>
      </w:r>
      <w:r>
        <w:rPr>
          <w:rFonts w:ascii="Arial" w:cs="Arial" w:eastAsia="Arial" w:hAnsi="Arial"/>
          <w:sz w:val="16"/>
          <w:szCs w:val="16"/>
          <w:color w:val="auto"/>
        </w:rPr>
        <w:t xml:space="preserve"> The Representative may terminate this Agreement, by notice to the Company and the Guarantors, at any time on or prior to the Closing Date (i) if there has been, at any time on or after the date of this Agreement or since the respective dates as of which information is given in the General Disclosure Package or the Offering Memorandum (in each case exclusive of any amendments or supplements thereto subsequent to the date of this Agreement), any material adverse change or any development that would reasonably be expected to result in a material adverse change, in the financial condition, results of operations, business, properties or management of the Company and its subsidiaries taken as a whole, whether or not arising in the ordinary course of business, or (ii) if there has occurred any material adverse change in the financial markets in the United States or the international financial markets, any declaration of a national emergency or war by the United States, any outbreak of hostilities or escalation thereof or other calamity or crisis or any change or development involving a prospective change in national or international political, financial or economic conditions (including, without limitation, as a result of terrorist activities), in each case the effect of which is such as to make it, in the judgment of the Representative, impracticable or inadvisable to proceed with the offering, sale or delivery of the Securities or to enforce contracts for the sale of the Securities on the terms and in the manner contemplated in the General Disclosure Package and the Offering Memorandum, or (iii) (A) if trading in any securities of the Company has been suspended or materially limited by the Commission or the NYSE, or (B) if trading generally on the NYSE, the Nasdaq Global Select Market, the Nasdaq Global Market, the Chicago Board of Options Exchange, the Chicago Mercantile Exchange or the Chicago Board of Trade has been suspended or limited, or minimum or maximum prices for trading have been fixed, or maximum ranges for prices have been required, by any of said exchanges or by order of the Commission or any other governmental authority, or (C) if a material disruption has occurred in commercial banking or securities settlement or clearance services in the United States or in Europe, or (iv) if a banking moratorium has been declared by either Federal or New York authorities or (v) if there shall have occurred, on or after the date of this Agreement, any downgrading in the rating of any debt securities of or guaranteed by the Company or any Guarantor, any preferred stock of the Company or any Guarantor or any debt securities, preferred stock or trust preferred securities of any subsidiary or subsidiary trust of the Company by any “nationally recognized statistical rating organization” (as defined by the Commission in Section 3(a)(62) of the 1934 Act) or any public announcement that any such organization has placed its rating on the Company or any Guarantor or any such debt securities, preferred stock or other securities under surveillance or review or on a so-called “watch list” (other than an announcement with positive implications of a possible upgrading, and no implication of a possible downgrading, of such rating) or any announcement by any such organization that the Company or any Guarantor or any such debt securities, preferred stock or other securities has been placed on negative outlook.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656"/>
        <w:spacing w:after="0" w:line="263" w:lineRule="auto"/>
        <w:tabs>
          <w:tab w:leader="none" w:pos="1352"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Liabilities</w:t>
      </w:r>
      <w:r>
        <w:rPr>
          <w:rFonts w:ascii="Arial" w:cs="Arial" w:eastAsia="Arial" w:hAnsi="Arial"/>
          <w:sz w:val="18"/>
          <w:szCs w:val="18"/>
          <w:i w:val="1"/>
          <w:iCs w:val="1"/>
          <w:color w:val="auto"/>
        </w:rPr>
        <w:t>.</w:t>
      </w:r>
      <w:r>
        <w:rPr>
          <w:rFonts w:ascii="Arial" w:cs="Arial" w:eastAsia="Arial" w:hAnsi="Arial"/>
          <w:sz w:val="18"/>
          <w:szCs w:val="18"/>
          <w:color w:val="auto"/>
        </w:rPr>
        <w:t xml:space="preserve"> If this Agreement is terminated pursuant to this Section 9, such termination shall be without liability of any party to any other party except as provided in Section 4 hereof, and except that Sections 1, 4(b), 6, 7, 8, 11, 12, 13, 14, 15, 17, 18, 19 and 20 hereof shall survive such termination and remain in full force and effect.</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Default by One or More of the Initial Purchasers</w:t>
      </w:r>
      <w:r>
        <w:rPr>
          <w:rFonts w:ascii="Arial" w:cs="Arial" w:eastAsia="Arial" w:hAnsi="Arial"/>
          <w:sz w:val="17"/>
          <w:szCs w:val="17"/>
          <w:color w:val="auto"/>
        </w:rPr>
        <w:t>. (a) If one or more of the Initial Purchasers shall fail at the Closing Date to purchase the aggregate principal amount of Securities which it or they are obligated to purchase under this Agreement (the “</w:t>
      </w:r>
      <w:r>
        <w:rPr>
          <w:rFonts w:ascii="Arial" w:cs="Arial" w:eastAsia="Arial" w:hAnsi="Arial"/>
          <w:sz w:val="17"/>
          <w:szCs w:val="17"/>
          <w:u w:val="single" w:color="auto"/>
          <w:color w:val="auto"/>
        </w:rPr>
        <w:t>Defaulted Securities</w:t>
      </w:r>
      <w:r>
        <w:rPr>
          <w:rFonts w:ascii="Arial" w:cs="Arial" w:eastAsia="Arial" w:hAnsi="Arial"/>
          <w:sz w:val="17"/>
          <w:szCs w:val="17"/>
          <w:color w:val="auto"/>
        </w:rPr>
        <w:t>”), the Representative shall have the right, within 24 hours thereafter, to make arrangements for one or more of the non-defaulting Initial Purchasers, or any other purchaser,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176" w:lineRule="exact"/>
        <w:rPr>
          <w:sz w:val="20"/>
          <w:szCs w:val="20"/>
          <w:color w:val="auto"/>
        </w:rPr>
      </w:pPr>
    </w:p>
    <w:p>
      <w:pPr>
        <w:jc w:val="both"/>
        <w:ind w:left="1300" w:firstLine="976"/>
        <w:spacing w:after="0" w:line="259" w:lineRule="auto"/>
        <w:tabs>
          <w:tab w:leader="none" w:pos="30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aggregate principal amount of Defaulted Securities does not exceed 10% of the aggregate principal amount of Securities, each of the non-defaulting Initial Purchasers shall be obligated, severally and not jointly, to purchase the full amount of such Defaulted Securities in the proportions that their respective underwriting obligations hereunder bear to the underwriting obligations of all non-defaulting Initial Purchasers; or</w:t>
      </w:r>
    </w:p>
    <w:p>
      <w:pPr>
        <w:spacing w:after="0" w:line="186" w:lineRule="exact"/>
        <w:rPr>
          <w:rFonts w:ascii="Arial" w:cs="Arial" w:eastAsia="Arial" w:hAnsi="Arial"/>
          <w:sz w:val="18"/>
          <w:szCs w:val="18"/>
          <w:color w:val="auto"/>
        </w:rPr>
      </w:pPr>
    </w:p>
    <w:p>
      <w:pPr>
        <w:ind w:left="1300" w:firstLine="976"/>
        <w:spacing w:after="0" w:line="277" w:lineRule="auto"/>
        <w:tabs>
          <w:tab w:leader="none" w:pos="33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principal amount of Securities, this Agreement shall terminate without liability on the part of any non-defaulting Initial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10 shall relieve any defaulting Initial Purchaser from liability in respect of its default.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the Representative shall have the right to postpone the Closing Date for a period not exceeding seven days in order to effect any required changes in the General Disclosure Package or Offering Memorandum or in any other documents or arrangements. As used herein, the term “Initial Purchaser” includes any person substituted for an Initial Purchaser under this Section 10.</w:t>
      </w:r>
    </w:p>
    <w:p>
      <w:pPr>
        <w:spacing w:after="0" w:line="187"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shall be effective only upon receipt and shall be mailed, delivered by hand or overnight courier, or transmitted by fax (with the receipt of any such fax to be confirmed by telephone). Notices to the Initial</w:t>
      </w:r>
    </w:p>
    <w:p>
      <w:pPr>
        <w:jc w:val="both"/>
        <w:spacing w:after="0" w:line="259" w:lineRule="auto"/>
        <w:rPr>
          <w:sz w:val="20"/>
          <w:szCs w:val="20"/>
          <w:color w:val="auto"/>
        </w:rPr>
      </w:pPr>
      <w:r>
        <w:rPr>
          <w:rFonts w:ascii="Arial" w:cs="Arial" w:eastAsia="Arial" w:hAnsi="Arial"/>
          <w:sz w:val="16"/>
          <w:szCs w:val="16"/>
          <w:color w:val="auto"/>
        </w:rPr>
        <w:t>Purchasers shall be directed to the Representative at Wells Fargo Securities, LLC, 550 S. Tryon Street,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Charlotte, North Carolina 28202, Attention: Leveraged Syndicate, fax no. (704) 410-4874 (with such fax to be confirmed by telephone to (704) 410-4885), electronic mail </w:t>
      </w:r>
      <w:r>
        <w:rPr>
          <w:rFonts w:ascii="Arial" w:cs="Arial" w:eastAsia="Arial" w:hAnsi="Arial"/>
          <w:sz w:val="16"/>
          <w:szCs w:val="16"/>
          <w:u w:val="single" w:color="auto"/>
          <w:color w:val="auto"/>
        </w:rPr>
        <w:t>IBCMDCMLSHYLeveragedSyndicate@wellsfargo.com</w:t>
      </w:r>
      <w:r>
        <w:rPr>
          <w:rFonts w:ascii="Arial" w:cs="Arial" w:eastAsia="Arial" w:hAnsi="Arial"/>
          <w:sz w:val="16"/>
          <w:szCs w:val="16"/>
          <w:color w:val="auto"/>
        </w:rPr>
        <w:t>; and notices to the Company or any Guarantor shall be directed to it at 400 Professional Drive, Suite 400 Gaithersburg, MD 21079, Attention: Atul Saran, Esq., fax no. 240-631-3203 (with such fax to be confirmed by telephone to 240-631-3200).</w:t>
      </w:r>
    </w:p>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Parties</w:t>
      </w:r>
      <w:r>
        <w:rPr>
          <w:rFonts w:ascii="Arial" w:cs="Arial" w:eastAsia="Arial" w:hAnsi="Arial"/>
          <w:sz w:val="17"/>
          <w:szCs w:val="17"/>
          <w:color w:val="auto"/>
        </w:rPr>
        <w:t>. This Agreement shall each inure to the benefit of and be binding upon the Initial Purchasers, the Company, the Guarantors and their respective successors. Nothing expressed or mentioned in this Agreement is intended or shall be construed to give any person, firm or corporation, other than the Initial Purchasers, the Company, the Guarantors and their respective successors and the controlling persons and other indemnified parties referred to in Sections 6 and 7 and their successors,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Company, the Guarantors and their respective successors, and said controlling persons and other indemnified parties and their successors, heirs and legal representatives, and for the benefit of no other person or entity. No purchaser of Securities from any Initial Purchaser shall be deemed to be a successor by reason merely of such purchase.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GOVERNING LAW AND TIME</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EXCEPT AS OTHERWISE EXPRESSLY SET FORTH HEREIN, SPECIFIED TIMES OF DAY REFER TO NEW YORK CITY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and Exhibit headings herein are for convenience only and shall not affect the construction hereof.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ind w:left="660"/>
        <w:spacing w:after="0"/>
        <w:tabs>
          <w:tab w:leader="none" w:pos="2740" w:val="left"/>
        </w:tabs>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in this Agreement, the following terms have the respective meanings set forth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3:22p.m. (New York City time) on August 4, 2020 or such other time as agreed by the Company, the Guarantors and the Representative.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Documents</w:t>
      </w:r>
      <w:r>
        <w:rPr>
          <w:rFonts w:ascii="Arial" w:cs="Arial" w:eastAsia="Arial" w:hAnsi="Arial"/>
          <w:sz w:val="16"/>
          <w:szCs w:val="16"/>
          <w:color w:val="auto"/>
        </w:rPr>
        <w:t>” means all contracts, indentures, mortgages, deeds of trust, loan or credit agreements, bonds, notes, debentures, evidences of indebtedness, swap agreements, leases or other instruments or agreements to which the Company or any of its subsidiaries is a party or by which the Company or any of its subsidiaries is bound or to which any of the property or assets of the Company or any of its subsidiaries is subject.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and the regulations and published interpretations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 and the rules and regulations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security interest, mortgage, pledge, lien, encumbrance, claim or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Treasury Department.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(a) in the case of a corporation, its charter and by-laws; (b) in the case of a limited or general partnership, its partnership certificate, certificate of formation or similar organizational document and its partnership agreement; (c) in the case of a limited liability company, its articles of organization, certificate of formation or similar organizational documents and its operating agreement, limited liability company agreement, membership agreement or other similar agreement; (d) in the case of a trust, its certificate of trust, certificate of formation or similar organizational document and its trust agreement or other similar agreement; and (e) in the case of any other entity, the organizational and governing documents of such entity.</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Repayment Event</w:t>
      </w:r>
      <w:r>
        <w:rPr>
          <w:rFonts w:ascii="Arial" w:cs="Arial" w:eastAsia="Arial" w:hAnsi="Arial"/>
          <w:sz w:val="18"/>
          <w:szCs w:val="18"/>
          <w:color w:val="auto"/>
        </w:rPr>
        <w:t>” means any event or condition which, either immediately or with notice or passage of time or both, (i) gives the holder of any bond, note, debenture or other evidence of indebtedness (or any person acting on such holder’s behalf) the right to require the repurchase, redemption or repayment of all or a portion of such indebtedness by the Company or any subsidiary of the Company, or (ii) gives any counterparty (or any person acting on such counterparty’s behalf) under any swap agreement, hedging agreement or similar agreement or instrument to which the Company or any subsidiary of the Company is a party the right to liquidate or accelerate the payment obligations or designate an early termination date under such agreement or instrument,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4" w:name="page165"/>
    <w:bookmarkEnd w:id="16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and the rules and regulations promulgated thereunder or implementing the provisions thereof.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any event or condition which gives any person the right, either immediately or with notice or passage of time or both, to terminate or limit (in whole or in part) any Company Documents or any rights of the Company, or any of its subsidiaries thereunder, including, without limitation, upon the occurrence of a change of control of the Company or any Guarantor or other similar events.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Indenture, the Securities and the Guarantees,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 Regulations</w:t>
      </w:r>
      <w:r>
        <w:rPr>
          <w:rFonts w:ascii="Arial" w:cs="Arial" w:eastAsia="Arial" w:hAnsi="Arial"/>
          <w:sz w:val="18"/>
          <w:szCs w:val="18"/>
          <w:color w:val="auto"/>
        </w:rPr>
        <w:t>” means the rules and regulations of the Commission under the 1933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 Regulations</w:t>
      </w:r>
      <w:r>
        <w:rPr>
          <w:rFonts w:ascii="Arial" w:cs="Arial" w:eastAsia="Arial" w:hAnsi="Arial"/>
          <w:sz w:val="18"/>
          <w:szCs w:val="18"/>
          <w:color w:val="auto"/>
        </w:rPr>
        <w:t>” means the rules and regulations of the Commission under the 1934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1939 Act</w:t>
      </w:r>
      <w:r>
        <w:rPr>
          <w:rFonts w:ascii="Arial" w:cs="Arial" w:eastAsia="Arial" w:hAnsi="Arial"/>
          <w:sz w:val="18"/>
          <w:szCs w:val="18"/>
          <w:color w:val="auto"/>
        </w:rPr>
        <w:t>” means the Trust Indenture Act of 1939,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the Preliminary Offering Memorandum and the Offering Memorandum, any Issuer Free Writing Document or any amendment or supplement to any of the foregoing shall be deemed to include all versions thereof delivered (physically or electronically) to the Representative or the Initial Purchasers.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Preliminary Offering Memorandum or the Offering Memorandum (and all other references of like import) shall be deemed to mean and include all such financial statements and schedules.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Permitted Free Writing Documents</w:t>
      </w:r>
      <w:r>
        <w:rPr>
          <w:rFonts w:ascii="Arial" w:cs="Arial" w:eastAsia="Arial" w:hAnsi="Arial"/>
          <w:sz w:val="17"/>
          <w:szCs w:val="17"/>
          <w:color w:val="auto"/>
        </w:rPr>
        <w:t>. The Company and each Guarantor represents, warrants and agrees that it has not made and, unless it obtains the prior written consent of the Representative, it will not make, and each Initial Purchaser, severally and not jointly, represents, warrants and agrees that it has not made and, unless it obtains the prior written consent of the Company, the Guarantors and the Representative, it will not make, any offer relating to the Securities that (if the offering of the Securities was made pursuant to a registered offering under the 1933 Act) would constitute an “Issuer Free Writing Prospectus” (as defined in Rule 433 under the 1933 Act) (any such document, a “</w:t>
      </w:r>
      <w:r>
        <w:rPr>
          <w:rFonts w:ascii="Arial" w:cs="Arial" w:eastAsia="Arial" w:hAnsi="Arial"/>
          <w:sz w:val="17"/>
          <w:szCs w:val="17"/>
          <w:u w:val="single" w:color="auto"/>
          <w:color w:val="auto"/>
        </w:rPr>
        <w:t>Issuer Free Writing Document</w:t>
      </w:r>
      <w:r>
        <w:rPr>
          <w:rFonts w:ascii="Arial" w:cs="Arial" w:eastAsia="Arial" w:hAnsi="Arial"/>
          <w:sz w:val="17"/>
          <w:szCs w:val="17"/>
          <w:color w:val="auto"/>
        </w:rPr>
        <w:t xml:space="preserve">”) or that would constitute a “free writing prospectus” (as defined in Rule 405 under the 1933 Act) which would be required to be filed with the Commission in connection with an offering registered under the 1933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prior written consent of the Company, the Guarantors and the Representative shall be deemed to have been given in respect of the Issuer Free Writing Documents, if any, listed on Exhibit E hereto and to any electronic road show in the form previously provided by the Company to and approved by the Representative.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and each Guarantor acknowledges and agrees that:</w:t>
      </w:r>
    </w:p>
    <w:p>
      <w:pPr>
        <w:spacing w:after="0" w:line="225" w:lineRule="exact"/>
        <w:rPr>
          <w:sz w:val="20"/>
          <w:szCs w:val="20"/>
          <w:color w:val="auto"/>
        </w:rPr>
      </w:pPr>
    </w:p>
    <w:p>
      <w:pPr>
        <w:jc w:val="both"/>
        <w:ind w:firstLine="656"/>
        <w:spacing w:after="0" w:line="275" w:lineRule="auto"/>
        <w:tabs>
          <w:tab w:leader="none" w:pos="157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each of the Initial Purchasers is acting solely as an initial purchaser in connection with the sale of the Securities and no fiduciary, advisory or agency relationship between the Company and any Guarantor, on the one hand, and any of the Initial Purchasers, on the other hand, has been created in respect of any of the transactions contemplated by this Agreement, irrespective of whether or not any of the Initial Purchasers has advised or is advising the Company or any Guarantor on other matters (it being understood that in any event that no Initial Purchaser shall be deemed to have provided legal, accounting or tax advice to the Company, any Guarantor or any of their respective subsidiaries);</w:t>
      </w:r>
    </w:p>
    <w:p>
      <w:pPr>
        <w:spacing w:after="0" w:line="176" w:lineRule="exact"/>
        <w:rPr>
          <w:rFonts w:ascii="Arial" w:cs="Arial" w:eastAsia="Arial" w:hAnsi="Arial"/>
          <w:sz w:val="17"/>
          <w:szCs w:val="17"/>
          <w:color w:val="auto"/>
        </w:rPr>
      </w:pPr>
    </w:p>
    <w:p>
      <w:pPr>
        <w:ind w:right="20" w:firstLine="656"/>
        <w:spacing w:after="0" w:line="308" w:lineRule="auto"/>
        <w:tabs>
          <w:tab w:leader="none" w:pos="146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offering price of the Securities and the price to be paid by the Initial Purchasers for the Securities set forth in this Agreement were established by the Company and the Guarantors following discussions and arms-length negotiations with the Representative;</w:t>
      </w:r>
    </w:p>
    <w:p>
      <w:pPr>
        <w:spacing w:after="0" w:line="146" w:lineRule="exact"/>
        <w:rPr>
          <w:rFonts w:ascii="Arial" w:cs="Arial" w:eastAsia="Arial" w:hAnsi="Arial"/>
          <w:sz w:val="17"/>
          <w:szCs w:val="17"/>
          <w:color w:val="auto"/>
        </w:rPr>
      </w:pPr>
    </w:p>
    <w:p>
      <w:pPr>
        <w:ind w:firstLine="656"/>
        <w:spacing w:after="0" w:line="277" w:lineRule="auto"/>
        <w:tabs>
          <w:tab w:leader="none" w:pos="159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they are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43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they are aware that the Initial Purchasers and their respective affiliates are engaged in a broad range of transactions which may involve interests that differ from those of the Company and the Guarantors and that none of the Initial Purchasers has any obligation to disclose such interests and transactions to the Company or the Guarantors by virtue of any fiduciary, advisory or agency relationship or otherwise;</w:t>
      </w:r>
    </w:p>
    <w:p>
      <w:pPr>
        <w:spacing w:after="0" w:line="165" w:lineRule="exact"/>
        <w:rPr>
          <w:rFonts w:ascii="Arial" w:cs="Arial" w:eastAsia="Arial" w:hAnsi="Arial"/>
          <w:sz w:val="17"/>
          <w:szCs w:val="17"/>
          <w:color w:val="auto"/>
        </w:rPr>
      </w:pPr>
    </w:p>
    <w:p>
      <w:pPr>
        <w:ind w:left="1400" w:hanging="744"/>
        <w:spacing w:after="0"/>
        <w:tabs>
          <w:tab w:leader="none" w:pos="140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Company and the Guarantors have consulted their own legal and financial advisors to the extent they deemed appropriate; and</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42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they waive, to the fullest extent permitted by law, any claims they may have against any of the Initial Purchasers for breach of fiduciary duty or alleged breach of fiduciary duty and agrees that none of the Initial Purchasers shall have any liability (whether direct or indirect, in contract, tort or otherwise) to them in respect of such a fiduciary duty claim or to any person asserting a fiduciary duty claim on their behalf or in right of them or the Company, the Guarantors or any stockholders, employees or creditors of Company or any Guarantor.</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Research Analyst Independence and Other Activities of the Initial Purchasers</w:t>
      </w:r>
      <w:r>
        <w:rPr>
          <w:rFonts w:ascii="Arial" w:cs="Arial" w:eastAsia="Arial" w:hAnsi="Arial"/>
          <w:sz w:val="17"/>
          <w:szCs w:val="17"/>
          <w:color w:val="auto"/>
        </w:rPr>
        <w:t>. The Company and the Guarantors acknowledge that the Initial Purchasers’ research analysts and research departments are required to be separate from, and not influenced by, their respective investment banking divisions and are subject to certain regulations and internal policies, and that such Initial Purchasers’ research analysts may hold views and make statements or investment recommendations and/or publish research reports with respect to the Company or the Guarantors and/or the offering that differ from the views of their respective investment banking divisions. The Company and the Guarantors hereby waive and release, to the fullest extent permitted by applicable law, any claims that the Company or the Guarantors may have against the Initial Purchasers arising from the fact that the views expressed by their research analysts and research departments may be different from or inconsistent with the views or advice communicated to the Company or the Guarantors by such Initial Purchasers’ investment banking divisions. The Company and the Guarantors also acknowledge that each of the Initial Purchasers is a full service securities firm and as such from time to time, subject to applicable securities laws, may effect transactions for its own account or the account of its customers, may make recommendations and provide other advice, and may hold long or short positions in debt or equity securities of, or derivative products related to, the companies that may be the subject of the transactions contemplated by this Agreement and the Company and the Guarantors hereby waive and release, to the fullest extent permitted by applicable law, any claims that the Company or the Guarantors may have against the Initial Purchasers with respect to any such other activities.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648"/>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the Guarantors and each of the Initial Purchasers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the Guarantors hereby submit to the non-exclusive jurisdiction of any U.S. federal or state court located in the Borough of Manhattan, the City and County of New York in any action, suit or proceeding arising out of or relating to or based upon this Agreement or any of the transactions contemplated hereby, and the Company and the Guarantors irrevocably and unconditionally waive any objection to the laying of venue of any action, suit or proceeding in any such court arising out of or relating to this Agreement or the transactions contemplated hereby and irrevocably and unconditionally waive and agree not to plead or claim in any such court that any such action, suit or proceeding has been brought in an inconvenient forum.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141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the event that any Initial Purchaser that is a Covered Entity (as defined below) becomes subject to a proceeding under a U.S. Special Resolution Regime (as defined below),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1" w:lineRule="exact"/>
        <w:rPr>
          <w:rFonts w:ascii="Arial" w:cs="Arial" w:eastAsia="Arial" w:hAnsi="Arial"/>
          <w:sz w:val="17"/>
          <w:szCs w:val="17"/>
          <w:color w:val="auto"/>
        </w:rPr>
      </w:pPr>
    </w:p>
    <w:p>
      <w:pPr>
        <w:jc w:val="both"/>
        <w:ind w:firstLine="656"/>
        <w:spacing w:after="0" w:line="279" w:lineRule="auto"/>
        <w:tabs>
          <w:tab w:leader="none" w:pos="152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In the event that any Initial Purchaser that is a Covered Entity or a BHC Act Affiliate (as defined below) of such Initial Purchaser becomes subject to a proceeding under a U.S. Special Resolution Regime, Default Rights (as defined below)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left="1360" w:hanging="704"/>
        <w:spacing w:after="0"/>
        <w:tabs>
          <w:tab w:leader="none" w:pos="13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For purposes of this Section 21, the following terms have the respective meanings set forth below: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160" w:hanging="208"/>
        <w:spacing w:after="0"/>
        <w:tabs>
          <w:tab w:leader="none" w:pos="2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(12 U.S.C. §§1811-1835a) and the regulations promulgated thereunder and (ii) Title II of the Dodd-Frank Wall Street Reform and Consumer Protection Act (12 U.S.C. §§ 5381-5394) and the regulations promulgated thereunder.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and the Guarantors a counterpart hereof, whereupon this instrument, along with all counterparts, will become a binding agreement among the Initial Purchasers, the Company and the Guarantors in accordance with its terms.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BIOSOLUTIONS INC.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Executive Vice President, Chief Financial Officer and Treasurer</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DEVICES INC. (F/K/A ADAPT PHARMA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CANGENE BIOPHARMA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BIODEFENSE OPERATIONS LANSING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INTERNATIONAL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MANUFACTURING OPERATIONS BALTIMORE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PRODUCT DEVELOPMENT GAITHERSBURG INC.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EMERGENT TRAVEL HEALTH INC.</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S. Lindahl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Mitch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right="405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 of the Initial Purchasers named in Exhibit A hereto.</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INITIAL PURCHASERS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GUARANTORS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SIGNIFICANT SUBSIDIARIES OF THE COMPANY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PRICING TERM SHEET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ISSUER FREE WRITING DOCUMENTS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OPINION AND NEGATIVE ASSURANCE LETTER OF COMPANY COUNSEL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OPINION OF MARYLAND COUNSEL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XECUTION</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ERSION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 CREDIT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SECOND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7, 2020, among EMERGENT BIOSOLUTIONS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(as defined in the Credit Agreement referred to below) party hereto, the Lenders party hereto (the “</w:t>
      </w:r>
      <w:r>
        <w:rPr>
          <w:rFonts w:ascii="Arial" w:cs="Arial" w:eastAsia="Arial" w:hAnsi="Arial"/>
          <w:sz w:val="18"/>
          <w:szCs w:val="18"/>
          <w:u w:val="single" w:color="auto"/>
          <w:color w:val="auto"/>
        </w:rPr>
        <w:t>Consenting Lenders</w:t>
      </w:r>
      <w:r>
        <w:rPr>
          <w:rFonts w:ascii="Arial" w:cs="Arial" w:eastAsia="Arial" w:hAnsi="Arial"/>
          <w:sz w:val="18"/>
          <w:szCs w:val="18"/>
          <w:color w:val="auto"/>
        </w:rPr>
        <w:t>”), and WELLS FARGO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indicated, all capitalized terms used herein and not otherwise defined herein shall have the respective meanings provided such terms in the Credit Agreement referred to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Borrower, the lenders party thereto from time to time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entered into that certain Amended and Restated Credit Agreement, dated as of October 15, 2018 (as amended by the First Amendment to Amended and Restated Credit Agreement dated as of June 27, 2019 and as may further be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Existing Credit Agreement, as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Borrower has requested, and subject to the terms and conditions set forth herein, the Administrative Agent and the Consenting Lenders have agreed, to certain amendments to the Existing Credit Agreement as more specifically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it is agreed as follows: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 xml:space="preserve">. Effective as of the Amendment Effective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Existing Credit Agreement is hereby amended as follows:</w:t>
      </w:r>
    </w:p>
    <w:p>
      <w:pPr>
        <w:spacing w:after="0" w:line="170" w:lineRule="exact"/>
        <w:rPr>
          <w:sz w:val="20"/>
          <w:szCs w:val="20"/>
          <w:color w:val="auto"/>
        </w:rPr>
      </w:pPr>
    </w:p>
    <w:p>
      <w:pPr>
        <w:ind w:left="1300" w:right="160" w:hanging="644"/>
        <w:spacing w:after="0" w:line="500" w:lineRule="auto"/>
        <w:tabs>
          <w:tab w:leader="none" w:pos="1391"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adding the following defined terms in appropriate alphabetical order: “</w:t>
      </w:r>
      <w:r>
        <w:rPr>
          <w:rFonts w:ascii="Arial" w:cs="Arial" w:eastAsia="Arial" w:hAnsi="Arial"/>
          <w:sz w:val="18"/>
          <w:szCs w:val="18"/>
          <w:u w:val="single" w:color="auto"/>
          <w:color w:val="auto"/>
        </w:rPr>
        <w:t>2028 Senior Notes</w:t>
      </w:r>
      <w:r>
        <w:rPr>
          <w:rFonts w:ascii="Arial" w:cs="Arial" w:eastAsia="Arial" w:hAnsi="Arial"/>
          <w:sz w:val="18"/>
          <w:szCs w:val="18"/>
          <w:color w:val="auto"/>
        </w:rPr>
        <w:t>” means the 3.875% Senior Notes due 2028, issued by the Borrower.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w:t>
      </w:r>
      <w:r>
        <w:rPr>
          <w:rFonts w:ascii="Arial" w:cs="Arial" w:eastAsia="Arial" w:hAnsi="Arial"/>
          <w:sz w:val="18"/>
          <w:szCs w:val="18"/>
          <w:color w:val="auto"/>
        </w:rPr>
        <w:t>” means anthrax vaccine absorbed with CPG 7909 adjuvant.</w:t>
      </w:r>
    </w:p>
    <w:p>
      <w:pPr>
        <w:spacing w:after="0" w:line="225" w:lineRule="exact"/>
        <w:rPr>
          <w:sz w:val="20"/>
          <w:szCs w:val="20"/>
          <w:color w:val="auto"/>
        </w:rPr>
      </w:pPr>
    </w:p>
    <w:p>
      <w:pPr>
        <w:jc w:val="both"/>
        <w:ind w:left="660" w:right="6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AV7909 Contract</w:t>
      </w:r>
      <w:r>
        <w:rPr>
          <w:rFonts w:ascii="Arial" w:cs="Arial" w:eastAsia="Arial" w:hAnsi="Arial"/>
          <w:sz w:val="17"/>
          <w:szCs w:val="17"/>
          <w:color w:val="auto"/>
        </w:rPr>
        <w:t>” means the provisions relating to the manufacturing development and procurement of AV7909 set forth in that certain BARDA development and procurement contract (Contract No. HHSO100201600030C), effective September 30, 2016, between Emergent Product Development Gaithersburg Inc. and the Biomedical Advanced Research &amp; Development Administration, as the same may be amended, restated, supplemented, replaced, substituted for, renewed, or otherwise modified from time to time.</w:t>
      </w:r>
    </w:p>
    <w:p>
      <w:pPr>
        <w:spacing w:after="0" w:line="171" w:lineRule="exact"/>
        <w:rPr>
          <w:sz w:val="20"/>
          <w:szCs w:val="20"/>
          <w:color w:val="auto"/>
        </w:rPr>
      </w:pPr>
    </w:p>
    <w:p>
      <w:pPr>
        <w:jc w:val="both"/>
        <w:ind w:left="66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AV7909 Receivables Account</w:t>
      </w:r>
      <w:r>
        <w:rPr>
          <w:rFonts w:ascii="Arial" w:cs="Arial" w:eastAsia="Arial" w:hAnsi="Arial"/>
          <w:sz w:val="18"/>
          <w:szCs w:val="18"/>
          <w:color w:val="auto"/>
        </w:rPr>
        <w:t>” means any account in which payments from the Federal Government (or any subdivision or agency thereof) on account of the AV7909 Contract are made or deposited.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August 7, 2020.</w:t>
      </w:r>
    </w:p>
    <w:p>
      <w:pPr>
        <w:spacing w:after="0" w:line="225" w:lineRule="exact"/>
        <w:rPr>
          <w:sz w:val="20"/>
          <w:szCs w:val="20"/>
          <w:color w:val="auto"/>
        </w:rPr>
      </w:pPr>
    </w:p>
    <w:p>
      <w:pPr>
        <w:jc w:val="both"/>
        <w:ind w:left="640" w:right="6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20" w:firstLine="656"/>
        <w:spacing w:after="0" w:line="277" w:lineRule="auto"/>
        <w:tabs>
          <w:tab w:leader="none" w:pos="1373"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removing the phrase “, or any series of related transactions,” from the definition of “Acquisition”.</w:t>
      </w:r>
    </w:p>
    <w:p>
      <w:pPr>
        <w:spacing w:after="0" w:line="170" w:lineRule="exact"/>
        <w:rPr>
          <w:rFonts w:ascii="Arial" w:cs="Arial" w:eastAsia="Arial" w:hAnsi="Arial"/>
          <w:sz w:val="18"/>
          <w:szCs w:val="18"/>
          <w:color w:val="auto"/>
        </w:rPr>
      </w:pPr>
    </w:p>
    <w:p>
      <w:pPr>
        <w:ind w:left="-20" w:firstLine="656"/>
        <w:spacing w:after="0" w:line="277" w:lineRule="auto"/>
        <w:tabs>
          <w:tab w:leader="none" w:pos="143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“Applicable Margin” in its entirety to read as follows:</w:t>
      </w:r>
    </w:p>
    <w:p>
      <w:pPr>
        <w:spacing w:after="0" w:line="170" w:lineRule="exact"/>
        <w:rPr>
          <w:sz w:val="20"/>
          <w:szCs w:val="20"/>
          <w:color w:val="auto"/>
        </w:rPr>
      </w:pPr>
    </w:p>
    <w:p>
      <w:pPr>
        <w:jc w:val="both"/>
        <w:ind w:left="640"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the corresponding percentages per annum as set forth below based on the Consolidated Net Leverage Ratio:</w:t>
      </w:r>
    </w:p>
    <w:p>
      <w:pPr>
        <w:spacing w:after="0" w:line="165" w:lineRule="exact"/>
        <w:rPr>
          <w:sz w:val="20"/>
          <w:szCs w:val="20"/>
          <w:color w:val="auto"/>
        </w:rPr>
      </w:pPr>
    </w:p>
    <w:tbl>
      <w:tblPr>
        <w:tblLayout w:type="fixed"/>
        <w:tblInd w:w="33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4480" w:type="dxa"/>
            <w:vAlign w:val="bottom"/>
            <w:tcBorders>
              <w:top w:val="single" w:sz="8" w:color="auto"/>
              <w:bottom w:val="single" w:sz="8" w:color="auto"/>
              <w:right w:val="single" w:sz="8" w:color="auto"/>
            </w:tcBorders>
            <w:shd w:val="clear" w:color="auto" w:fill="D9D9D9"/>
          </w:tcPr>
          <w:p>
            <w:pPr>
              <w:ind w:left="960"/>
              <w:spacing w:after="0"/>
              <w:rPr>
                <w:sz w:val="20"/>
                <w:szCs w:val="20"/>
                <w:color w:val="auto"/>
              </w:rPr>
            </w:pPr>
            <w:r>
              <w:rPr>
                <w:rFonts w:ascii="Arial" w:cs="Arial" w:eastAsia="Arial" w:hAnsi="Arial"/>
                <w:sz w:val="18"/>
                <w:szCs w:val="18"/>
                <w:b w:val="1"/>
                <w:bCs w:val="1"/>
                <w:color w:val="auto"/>
              </w:rPr>
              <w:t>Consolidated Net Leverage Ratio</w:t>
            </w:r>
          </w:p>
        </w:tc>
        <w:tc>
          <w:tcPr>
            <w:tcW w:w="17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18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Eurocurrency Rate +</w:t>
            </w:r>
          </w:p>
        </w:tc>
        <w:tc>
          <w:tcPr>
            <w:tcW w:w="12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Base Rate +</w:t>
            </w:r>
          </w:p>
        </w:tc>
      </w:tr>
      <w:tr>
        <w:trPr>
          <w:trHeight w:val="209"/>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Less than 2.00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0.150%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0.25%</w:t>
            </w: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2.00 to 1.00, but less than 2.50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0.200%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0.50%</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III</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2.50 to 1.00, but less than 3.00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0.250%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1.75%</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0.75%</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95"/>
        </w:trPr>
        <w:tc>
          <w:tcPr>
            <w:tcW w:w="10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IV</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Greater than or equal to 3.00 to 1.00, but less than 3.50 to</w:t>
            </w:r>
          </w:p>
        </w:tc>
        <w:tc>
          <w:tcPr>
            <w:tcW w:w="17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0.300%</w:t>
            </w:r>
          </w:p>
        </w:tc>
        <w:tc>
          <w:tcPr>
            <w:tcW w:w="18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w:t>
            </w:r>
          </w:p>
        </w:tc>
        <w:tc>
          <w:tcPr>
            <w:tcW w:w="1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1.00%</w:t>
            </w:r>
          </w:p>
        </w:tc>
      </w:tr>
      <w:tr>
        <w:trPr>
          <w:trHeight w:val="230"/>
        </w:trPr>
        <w:tc>
          <w:tcPr>
            <w:tcW w:w="1060" w:type="dxa"/>
            <w:vAlign w:val="bottom"/>
            <w:tcBorders>
              <w:left w:val="single" w:sz="8" w:color="auto"/>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1.00</w:t>
            </w:r>
          </w:p>
        </w:tc>
        <w:tc>
          <w:tcPr>
            <w:tcW w:w="1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210"/>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Greater than or equal to 3.50 to 1.00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0.350%</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1.25%</w:t>
            </w:r>
          </w:p>
        </w:tc>
      </w:tr>
    </w:tbl>
    <w:p>
      <w:pPr>
        <w:spacing w:after="0" w:line="202" w:lineRule="exact"/>
        <w:rPr>
          <w:sz w:val="20"/>
          <w:szCs w:val="20"/>
          <w:color w:val="auto"/>
        </w:rPr>
      </w:pPr>
    </w:p>
    <w:p>
      <w:pPr>
        <w:jc w:val="both"/>
        <w:ind w:left="640" w:right="640"/>
        <w:spacing w:after="0" w:line="287" w:lineRule="auto"/>
        <w:rPr>
          <w:sz w:val="20"/>
          <w:szCs w:val="20"/>
          <w:color w:val="auto"/>
        </w:rPr>
      </w:pPr>
      <w:r>
        <w:rPr>
          <w:rFonts w:ascii="Arial" w:cs="Arial" w:eastAsia="Arial" w:hAnsi="Arial"/>
          <w:sz w:val="16"/>
          <w:szCs w:val="16"/>
          <w:color w:val="auto"/>
        </w:rPr>
        <w:t xml:space="preserve">The Applicable Margin shall be determined and adjusted quarterly on the date five (5) Business Days after the day on which the Borrower provides a Compliance Certificate pursuant to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the Borrower (each such date, a “</w:t>
      </w:r>
      <w:r>
        <w:rPr>
          <w:rFonts w:ascii="Arial" w:cs="Arial" w:eastAsia="Arial" w:hAnsi="Arial"/>
          <w:sz w:val="16"/>
          <w:szCs w:val="16"/>
          <w:u w:val="single" w:color="auto"/>
          <w:color w:val="auto"/>
        </w:rPr>
        <w:t>Calculation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Applicable Margin shall be based on Pricing Level I until the Calculation Date following the first full fiscal quarter of the Borrower occurring after the Second Amendment Effective Date and, thereafter the Pricing Level shall be determined by reference to the Consolidated Net Leverage Ratio as of the last day of the most recently ended fiscal quarter of the Borrower preceding the applicable Calculation Date, and (b) if the Borrower fails to provide a Compliance Certificate when due as required by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for the most recently ended fiscal quarter of the Borrower preceding the applicable Calculation Date, the Applicable Margin from the date on which such Compliance Certificate was required to have been delivered shall be based on Pricing Level V until such time as an appropriate Compliance Certificate is delivered, at which time the Pricing Level shall be determined by reference to the Consolidated Net Leverage Ratio as of the last day of the most recently ended fiscal quarter of the Borrower preceding such Calculation Date. The applicable Pricing Level shall be effective from one Calculation Date until the next Calculation Date. Any adjustment in the Pricing Level shall be applicable to all Extensions of Credit then existing or subsequently made or issued.”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79" w:name="page180"/>
    <w:bookmarkEnd w:id="179"/>
    <w:p>
      <w:pPr>
        <w:jc w:val="both"/>
        <w:ind w:left="-20" w:firstLine="656"/>
        <w:spacing w:after="0" w:line="263" w:lineRule="auto"/>
        <w:tabs>
          <w:tab w:leader="none" w:pos="156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definition of “Bail-In Action” set forth in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(i) replacing the reference to “EEA Resolution Authority” with “Resolution Authority” and (ii) replacing the reference to “EEA Financial Institution with “Affected Financial Institution”.</w:t>
      </w:r>
    </w:p>
    <w:p>
      <w:pPr>
        <w:spacing w:after="0" w:line="183" w:lineRule="exact"/>
        <w:rPr>
          <w:rFonts w:ascii="Arial" w:cs="Arial" w:eastAsia="Arial" w:hAnsi="Arial"/>
          <w:sz w:val="18"/>
          <w:szCs w:val="18"/>
          <w:color w:val="auto"/>
        </w:rPr>
      </w:pPr>
    </w:p>
    <w:p>
      <w:pPr>
        <w:ind w:left="-20" w:firstLine="656"/>
        <w:spacing w:after="0" w:line="277" w:lineRule="auto"/>
        <w:tabs>
          <w:tab w:leader="none" w:pos="143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“Bail-In Legislation” in its entirety to read as follows:</w:t>
      </w:r>
    </w:p>
    <w:p>
      <w:pPr>
        <w:spacing w:after="0" w:line="170" w:lineRule="exact"/>
        <w:rPr>
          <w:sz w:val="20"/>
          <w:szCs w:val="20"/>
          <w:color w:val="auto"/>
        </w:rPr>
      </w:pPr>
    </w:p>
    <w:p>
      <w:pPr>
        <w:jc w:val="both"/>
        <w:ind w:left="640" w:right="6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20" w:firstLine="656"/>
        <w:spacing w:after="0" w:line="277" w:lineRule="auto"/>
        <w:tabs>
          <w:tab w:leader="none" w:pos="1361"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“Incremental Facilities Limit” in its entirety to read as follows:</w:t>
      </w:r>
    </w:p>
    <w:p>
      <w:pPr>
        <w:spacing w:after="0" w:line="170" w:lineRule="exact"/>
        <w:rPr>
          <w:sz w:val="20"/>
          <w:szCs w:val="20"/>
          <w:color w:val="auto"/>
        </w:rPr>
      </w:pPr>
    </w:p>
    <w:p>
      <w:pPr>
        <w:jc w:val="both"/>
        <w:ind w:left="640" w:right="64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Facilities Limit</w:t>
      </w:r>
      <w:r>
        <w:rPr>
          <w:rFonts w:ascii="Arial" w:cs="Arial" w:eastAsia="Arial" w:hAnsi="Arial"/>
          <w:sz w:val="16"/>
          <w:szCs w:val="16"/>
          <w:color w:val="auto"/>
        </w:rPr>
        <w:t xml:space="preserve">” means, after the Second Amendment Effective Date, with respect to any proposed incurrence of additional Indebtedness under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 amount equal to the sum of (a) the amount of additional Indebtedness that would cause the Consolidated Secured Net Leverage Ratio as of the most recently ended fiscal quarter prior to the incurrence of such additional Indebtedness (or in the case of any additional Indebtedness, the proceeds of which will finance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for which financial statements have been delivered to the Administrative Agent hereunder, calculated on a pro forma basis after giving effect to the incurrence of such additional Indebtedness and any Limited Condition Acquisition to be consummated using the proceeds of such additional Indebtedness and assuming that any proposed Incremental Revolving Credit Increase is fully drawn at such time and after giving effect to the use of proceeds thereof (calculated without giving effect to any netting of the proceeds thereof from Consolidated Secured Indebtedness), not to exceed 2.75 to 1.00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 amount equal to (i) the greater of (x) $300,000,000 and (y) 100% of Consolidated EBITDA as of the most recently ended Measurement Period prior to the incurrence of such additional Indebtedness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w:t>
      </w:r>
    </w:p>
    <w:p>
      <w:pPr>
        <w:spacing w:after="0" w:line="4" w:lineRule="exact"/>
        <w:rPr>
          <w:sz w:val="20"/>
          <w:szCs w:val="20"/>
          <w:color w:val="auto"/>
        </w:rPr>
      </w:pPr>
    </w:p>
    <w:p>
      <w:pPr>
        <w:jc w:val="both"/>
        <w:ind w:left="640" w:right="660" w:hanging="4"/>
        <w:spacing w:after="0" w:line="287" w:lineRule="auto"/>
        <w:tabs>
          <w:tab w:leader="none" w:pos="915" w:val="left"/>
        </w:tabs>
        <w:numPr>
          <w:ilvl w:val="0"/>
          <w:numId w:val="263"/>
        </w:numPr>
        <w:rPr>
          <w:rFonts w:ascii="Arial" w:cs="Arial" w:eastAsia="Arial" w:hAnsi="Arial"/>
          <w:sz w:val="16"/>
          <w:szCs w:val="16"/>
          <w:u w:val="single" w:color="auto"/>
          <w:color w:val="auto"/>
        </w:rPr>
      </w:pPr>
      <w:r>
        <w:rPr>
          <w:rFonts w:ascii="Arial" w:cs="Arial" w:eastAsia="Arial" w:hAnsi="Arial"/>
          <w:sz w:val="16"/>
          <w:szCs w:val="16"/>
          <w:color w:val="auto"/>
        </w:rPr>
        <w:t xml:space="preserve">(or in the case of any such additional Indebtedness, the proceeds of which will finance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amount of all permanent reductions of the Revolving Credit Commitment pursuant to </w:t>
      </w:r>
      <w:r>
        <w:rPr>
          <w:rFonts w:ascii="Arial" w:cs="Arial" w:eastAsia="Arial" w:hAnsi="Arial"/>
          <w:sz w:val="16"/>
          <w:szCs w:val="16"/>
          <w:u w:val="single" w:color="auto"/>
          <w:color w:val="auto"/>
        </w:rPr>
        <w:t>Section 2.5(a) plus</w:t>
      </w:r>
      <w:r>
        <w:rPr>
          <w:rFonts w:ascii="Arial" w:cs="Arial" w:eastAsia="Arial" w:hAnsi="Arial"/>
          <w:sz w:val="16"/>
          <w:szCs w:val="16"/>
          <w:color w:val="auto"/>
        </w:rPr>
        <w:t xml:space="preserve"> (iii) the aggregate principal amount of all optional prepayments of the Term Loans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4.4(a) less</w:t>
      </w:r>
      <w:r>
        <w:rPr>
          <w:rFonts w:ascii="Arial" w:cs="Arial" w:eastAsia="Arial" w:hAnsi="Arial"/>
          <w:sz w:val="16"/>
          <w:szCs w:val="16"/>
          <w:color w:val="auto"/>
        </w:rPr>
        <w:t xml:space="preserve"> (iv) the total aggregate initial principal amount (as of the date of incurrence thereof) of all Incremental Loan Commitments and Incremental Loans previously incurred under this clause (b) after the Second Amendment Effective Date. Unless the Borrower otherwise notifies the Administrative Agent, if all or any portion of any Incremental Loans would be permitted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on the applicable date of incurrence, such Incremental Loans (or the relevant portion thereof) shall be deemed to have been incurred in reliance 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prior to the utilization of any amount available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0" w:name="page181"/>
    <w:bookmarkEnd w:id="180"/>
    <w:p>
      <w:pPr>
        <w:ind w:firstLine="656"/>
        <w:spacing w:after="0" w:line="277" w:lineRule="auto"/>
        <w:tabs>
          <w:tab w:leader="none" w:pos="1708"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the definition of “Material Contract” by replacing “$50,000,000” with “$100,000,000”.</w:t>
      </w:r>
    </w:p>
    <w:p>
      <w:pPr>
        <w:spacing w:after="0" w:line="170" w:lineRule="exact"/>
        <w:rPr>
          <w:rFonts w:ascii="Arial" w:cs="Arial" w:eastAsia="Arial" w:hAnsi="Arial"/>
          <w:sz w:val="18"/>
          <w:szCs w:val="18"/>
          <w:color w:val="auto"/>
        </w:rPr>
      </w:pPr>
    </w:p>
    <w:p>
      <w:pPr>
        <w:ind w:right="20" w:firstLine="656"/>
        <w:spacing w:after="0" w:line="277" w:lineRule="auto"/>
        <w:tabs>
          <w:tab w:leader="none" w:pos="1582"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the definition of “Material Government Contract” by replacing “$50,000,000” with “$100,000,000”.</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of the Existing Credit Agreement is hereby amended by deleting the definitions of (i) “NuThrax”, (ii) “NuThrax Contract” and</w:t>
      </w:r>
    </w:p>
    <w:p>
      <w:pPr>
        <w:spacing w:after="0" w:line="34" w:lineRule="exact"/>
        <w:rPr>
          <w:rFonts w:ascii="Arial" w:cs="Arial" w:eastAsia="Arial" w:hAnsi="Arial"/>
          <w:sz w:val="17"/>
          <w:szCs w:val="17"/>
          <w:color w:val="auto"/>
        </w:rPr>
      </w:pPr>
    </w:p>
    <w:p>
      <w:pPr>
        <w:ind w:left="320" w:hanging="312"/>
        <w:spacing w:after="0"/>
        <w:tabs>
          <w:tab w:leader="none" w:pos="3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“NuThrax Receivables Account” in their entirety.</w:t>
      </w:r>
    </w:p>
    <w:p>
      <w:pPr>
        <w:spacing w:after="0" w:line="210" w:lineRule="exact"/>
        <w:rPr>
          <w:rFonts w:ascii="Arial" w:cs="Arial" w:eastAsia="Arial" w:hAnsi="Arial"/>
          <w:sz w:val="18"/>
          <w:szCs w:val="18"/>
          <w:color w:val="auto"/>
        </w:rPr>
      </w:pPr>
    </w:p>
    <w:p>
      <w:pPr>
        <w:ind w:firstLine="656"/>
        <w:spacing w:after="0" w:line="277" w:lineRule="auto"/>
        <w:tabs>
          <w:tab w:leader="none" w:pos="1385"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Existing Credit Agreement is hereby amended by amending and restating the definition of “Write-Down and Conversion Powers” in its entirety to read as follows:</w:t>
      </w:r>
    </w:p>
    <w:p>
      <w:pPr>
        <w:spacing w:after="0" w:line="170" w:lineRule="exact"/>
        <w:rPr>
          <w:sz w:val="20"/>
          <w:szCs w:val="20"/>
          <w:color w:val="auto"/>
        </w:rPr>
      </w:pPr>
    </w:p>
    <w:p>
      <w:pPr>
        <w:jc w:val="both"/>
        <w:ind w:left="660" w:right="6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ind w:right="20" w:firstLine="656"/>
        <w:spacing w:after="0" w:line="277" w:lineRule="auto"/>
        <w:tabs>
          <w:tab w:leader="none" w:pos="1451"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Existing Credit Agreement is hereby amended by replacing the term “EEA Financial Institution” in the last sentence thereof with the term “Affected Financial Institution”.</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8.2(i)</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8.12(e)</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9.1(t)</w:t>
      </w:r>
      <w:r>
        <w:rPr>
          <w:rFonts w:ascii="Arial" w:cs="Arial" w:eastAsia="Arial" w:hAnsi="Arial"/>
          <w:sz w:val="18"/>
          <w:szCs w:val="18"/>
          <w:color w:val="auto"/>
        </w:rPr>
        <w:t xml:space="preserve"> of the Existing Credit Agreement is hereby amended by replacing “$25,000,000” with “$100,000,000”.</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Section 9.2(c)</w:t>
      </w:r>
      <w:r>
        <w:rPr>
          <w:rFonts w:ascii="Arial" w:cs="Arial" w:eastAsia="Arial" w:hAnsi="Arial"/>
          <w:sz w:val="18"/>
          <w:szCs w:val="18"/>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left="660" w:right="640" w:firstLine="648"/>
        <w:spacing w:after="0" w:line="288" w:lineRule="auto"/>
        <w:rPr>
          <w:sz w:val="20"/>
          <w:szCs w:val="20"/>
          <w:color w:val="auto"/>
        </w:rPr>
      </w:pPr>
      <w:r>
        <w:rPr>
          <w:rFonts w:ascii="Arial" w:cs="Arial" w:eastAsia="Arial" w:hAnsi="Arial"/>
          <w:sz w:val="16"/>
          <w:szCs w:val="16"/>
          <w:color w:val="auto"/>
        </w:rPr>
        <w:t xml:space="preserve">“(c) (i) Investments by the Borrower and its Subsidiaries in their respective Subsidiaries outstanding on the Second Amendment Effective Date, (ii) additional Investments by the Borrower and its Subsidiaries in Credit Parties, (iii) additional Investments by Non-Guarantor Subsidiaries in other Non-Guarantor Subsidiaries, (iv) Investments in Non-Guarantor Subsidiaries, together with any Investments made pursuant to </w:t>
      </w:r>
      <w:r>
        <w:rPr>
          <w:rFonts w:ascii="Arial" w:cs="Arial" w:eastAsia="Arial" w:hAnsi="Arial"/>
          <w:sz w:val="16"/>
          <w:szCs w:val="16"/>
          <w:u w:val="single" w:color="auto"/>
          <w:color w:val="auto"/>
        </w:rPr>
        <w:t>Section 9.2(h)</w:t>
      </w:r>
      <w:r>
        <w:rPr>
          <w:rFonts w:ascii="Arial" w:cs="Arial" w:eastAsia="Arial" w:hAnsi="Arial"/>
          <w:sz w:val="16"/>
          <w:szCs w:val="16"/>
          <w:color w:val="auto"/>
        </w:rPr>
        <w:t xml:space="preserve">, in an aggregate outstanding amount with respect to such Investments under this clause (iv) not to exceed the greater of $100,000,000 and 10.0% of Consolidated Tangible Assets as of the most recently ended Measurement Period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(v) direct or indirect Investments in Foreign Subsidiaries to fund direct and indirect Permitted Acquisitions by such Foreign Subsidiaries in an aggregate outstanding amount with respect to such Investments under this clause (v) not to exceed the greater of $100,000,000 and 10.0% of Consolidated Tangible Assets as of the most recently ended Measurement Period for which financial statements have been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in the case of a Limited Condition Acquisition, the date determined pursuant to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168" w:lineRule="exact"/>
        <w:rPr>
          <w:sz w:val="20"/>
          <w:szCs w:val="20"/>
          <w:color w:val="auto"/>
        </w:rPr>
      </w:pPr>
    </w:p>
    <w:p>
      <w:pPr>
        <w:ind w:left="1500" w:hanging="844"/>
        <w:spacing w:after="0"/>
        <w:tabs>
          <w:tab w:leader="none" w:pos="150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Section 9.2(f)</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ind w:left="1380" w:hanging="724"/>
        <w:spacing w:after="0"/>
        <w:tabs>
          <w:tab w:leader="none" w:pos="138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Section 9.2(h)</w:t>
      </w:r>
      <w:r>
        <w:rPr>
          <w:rFonts w:ascii="Arial" w:cs="Arial" w:eastAsia="Arial" w:hAnsi="Arial"/>
          <w:sz w:val="18"/>
          <w:szCs w:val="18"/>
          <w:color w:val="auto"/>
        </w:rPr>
        <w:t xml:space="preserve"> of the Existing Credit Agreement is hereby amended by replacing “$25,000,000” with “$100,000,000”.</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of the Existing Credit Agreement is hereby amended by replacing the phrase “date hereof” with “Second Amendment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6"/>
          <w:szCs w:val="16"/>
          <w:color w:val="auto"/>
        </w:rPr>
      </w:pPr>
    </w:p>
    <w:p>
      <w:pPr>
        <w:jc w:val="both"/>
        <w:ind w:firstLine="656"/>
        <w:spacing w:after="0" w:line="263" w:lineRule="auto"/>
        <w:tabs>
          <w:tab w:leader="none" w:pos="1371"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Existing Credit Agreement is hereby amended by (i) deleting the word “and” at the end of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(ii) replacing the “.” at the end of </w:t>
      </w:r>
      <w:r>
        <w:rPr>
          <w:rFonts w:ascii="Arial" w:cs="Arial" w:eastAsia="Arial" w:hAnsi="Arial"/>
          <w:sz w:val="18"/>
          <w:szCs w:val="18"/>
          <w:u w:val="single" w:color="auto"/>
          <w:color w:val="auto"/>
        </w:rPr>
        <w:t>clause (w)</w:t>
      </w:r>
      <w:r>
        <w:rPr>
          <w:rFonts w:ascii="Arial" w:cs="Arial" w:eastAsia="Arial" w:hAnsi="Arial"/>
          <w:sz w:val="18"/>
          <w:szCs w:val="18"/>
          <w:color w:val="auto"/>
        </w:rPr>
        <w:t xml:space="preserve"> with “; and” and (iii) adding a new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to read as follows and such amendment shall be deemed effective immediately prior to the incurrence of the Indebtedness of the Credit Parties under the 2028 Senior Notes:</w:t>
      </w:r>
    </w:p>
    <w:p>
      <w:pPr>
        <w:spacing w:after="0" w:line="184" w:lineRule="exact"/>
        <w:rPr>
          <w:sz w:val="20"/>
          <w:szCs w:val="20"/>
          <w:color w:val="auto"/>
        </w:rPr>
      </w:pPr>
    </w:p>
    <w:p>
      <w:pPr>
        <w:jc w:val="both"/>
        <w:ind w:left="660" w:right="660" w:firstLine="648"/>
        <w:spacing w:after="0" w:line="286" w:lineRule="auto"/>
        <w:rPr>
          <w:sz w:val="20"/>
          <w:szCs w:val="20"/>
          <w:color w:val="auto"/>
        </w:rPr>
      </w:pPr>
      <w:r>
        <w:rPr>
          <w:rFonts w:ascii="Arial" w:cs="Arial" w:eastAsia="Arial" w:hAnsi="Arial"/>
          <w:sz w:val="16"/>
          <w:szCs w:val="16"/>
          <w:color w:val="auto"/>
        </w:rPr>
        <w:t xml:space="preserve">“(x) Indebtedness of the Credit Parties under the 2028 Senior Notes in an aggregate outstanding principal amount not to exceed $450,000,000 at any time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unless otherwise permitted under Section 9.3(h) at the time of such refinancing, refunding, renewal or extension, the principal amount (excluding interest paid in kind) of such Indebtedness shall not exceed the principal amount of the Indebtedness being refinanced, refunded, renewed or extended, plus accrued interest and premiums and defeasance costs, fees, commissions and expenses associated with such refinancing, refunding, renewal or extension, (ii) no obligors, other than any direct or any contingent obligor with respect to such Indebtedness or any obligor that would have been required to become an obligor with respect to the Indebtedness being refinanced, refunded, renewed or extended, shall be an obligor under such refinancing, refunding, renewal or extension, (iii) the final maturity date of such refinancing, refunding, renewal or extension, at the time of incurrence thereof, shall not be prior to the date that is 91 days after the then latest Revolving Credit Maturity Date or maturity date of any Incremental Term Loan, as applicable, and (iv) the material terms (other than fees, interest rate, rate floors, premiums, optional prepayment, redemption provisions and conversion price), taken as a whole, of any such refinancing, refunding, renewing or extending Indebtedness are not more restrictive (as determined by the Borrower in good faith) in any material respect to the Credit Parties than the terms of any agreement or instrument governing the Indebtedness, taken as a whole, being refinanced, refunded, renewed or extended and the interest rate applicable to any such refinancing, refunding, renewing or extending Indebtedness does not exceed the then-applicable market interest rate, as determined by the Borrower in good faith.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right="20" w:firstLine="656"/>
        <w:spacing w:after="0" w:line="277"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the Existing Credit Agreement is hereby further amended by amending the last paragraph of such Section to replace the reference to “clauses (f), (g), (i), (l), (p) and (s) above” with “clauses (f), (g), (i), (l), (p)</w:t>
      </w:r>
      <w:r>
        <w:rPr>
          <w:rFonts w:ascii="Arial" w:cs="Arial" w:eastAsia="Arial" w:hAnsi="Arial"/>
          <w:sz w:val="18"/>
          <w:szCs w:val="18"/>
          <w:color w:val="0000FF"/>
        </w:rPr>
        <w:t>,</w:t>
      </w:r>
      <w:r>
        <w:rPr>
          <w:rFonts w:ascii="Arial" w:cs="Arial" w:eastAsia="Arial" w:hAnsi="Arial"/>
          <w:sz w:val="18"/>
          <w:szCs w:val="18"/>
          <w:color w:val="auto"/>
        </w:rPr>
        <w:t xml:space="preserve"> (s) and (x) above”.</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first two paragraphs of </w:t>
      </w:r>
      <w:r>
        <w:rPr>
          <w:rFonts w:ascii="Arial" w:cs="Arial" w:eastAsia="Arial" w:hAnsi="Arial"/>
          <w:sz w:val="16"/>
          <w:szCs w:val="16"/>
          <w:u w:val="single" w:color="auto"/>
          <w:color w:val="auto"/>
        </w:rPr>
        <w:t>Section 9.11(b)</w:t>
      </w:r>
      <w:r>
        <w:rPr>
          <w:rFonts w:ascii="Arial" w:cs="Arial" w:eastAsia="Arial" w:hAnsi="Arial"/>
          <w:sz w:val="16"/>
          <w:szCs w:val="16"/>
          <w:color w:val="auto"/>
        </w:rPr>
        <w:t xml:space="preserve"> of the Existing Credit Agreement are hereby amended and restated in their entirety to read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right="640" w:firstLine="648"/>
        <w:spacing w:after="0" w:line="268"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Consolidated Net Leverage Ratio</w:t>
      </w:r>
      <w:r>
        <w:rPr>
          <w:rFonts w:ascii="Arial" w:cs="Arial" w:eastAsia="Arial" w:hAnsi="Arial"/>
          <w:sz w:val="17"/>
          <w:szCs w:val="17"/>
          <w:color w:val="auto"/>
        </w:rPr>
        <w:t xml:space="preserve">. Permit the Consolidated Net Leverage Ratio as of the last day of any Measurement Period of the Borrower to be greater than 4.50 to 1.00. Notwithstanding the foregoing, in connection with any Permitted Acquisition after September 30, 2019 having aggregate consideration (including cash, Cash Equivalents and other deferred payment obligations) in excess of $75,000,000, the Borrower may, at its election, in connection with such Permitted Acquisition and upon prior written notice to the Administrative Agent, increase the required Consolidated Net Leverage Ratio pursuant to this Section to 5.00 to 1.00, 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 to a Permitted Acquisition that is a Limited Condition Acquisition, for purposes of determining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9.11(b)</w:t>
      </w:r>
      <w:r>
        <w:rPr>
          <w:rFonts w:ascii="Arial" w:cs="Arial" w:eastAsia="Arial" w:hAnsi="Arial"/>
          <w:sz w:val="17"/>
          <w:szCs w:val="17"/>
          <w:color w:val="auto"/>
        </w:rPr>
        <w:t xml:space="preserve"> at the time definitive purchase agreement, merger agreement or other acquisition agreement governing the Permitted Acquisition is executed, for the fiscal quarter in which such Permitted Acquisition is consummated and for the three (3) consecutive quarterly test periods after which such Permitted Acquisition is consummated (each, a “</w:t>
      </w:r>
      <w:r>
        <w:rPr>
          <w:rFonts w:ascii="Arial" w:cs="Arial" w:eastAsia="Arial" w:hAnsi="Arial"/>
          <w:sz w:val="17"/>
          <w:szCs w:val="17"/>
          <w:u w:val="single" w:color="auto"/>
          <w:color w:val="auto"/>
        </w:rPr>
        <w:t>Leverage Ratio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at least one full fiscal quarter following the cessation of each such Leverage Ratio Increase during which no Leverage Ratio Increase shall then be in effect.”</w:t>
      </w:r>
    </w:p>
    <w:p>
      <w:pPr>
        <w:spacing w:after="0" w:line="186" w:lineRule="exact"/>
        <w:rPr>
          <w:sz w:val="20"/>
          <w:szCs w:val="20"/>
          <w:color w:val="auto"/>
        </w:rPr>
      </w:pPr>
    </w:p>
    <w:p>
      <w:pPr>
        <w:ind w:right="20" w:firstLine="656"/>
        <w:spacing w:after="0" w:line="277" w:lineRule="auto"/>
        <w:tabs>
          <w:tab w:leader="none" w:pos="1361"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of the Existing Credit Agreement is hereby amended by (i) replacing the third “or” in the first sentence of such section with “,” and (ii) adding the phrase “or the 2028 Senior Notes” after the phrase “the Convertible Senior Notes”.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501"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Section 9.14(c)</w:t>
      </w:r>
      <w:r>
        <w:rPr>
          <w:rFonts w:ascii="Arial" w:cs="Arial" w:eastAsia="Arial" w:hAnsi="Arial"/>
          <w:sz w:val="17"/>
          <w:szCs w:val="17"/>
          <w:color w:val="auto"/>
        </w:rPr>
        <w:t xml:space="preserve"> of the Existing Credit Agreement is hereby amended by (i) adding the phrase “and the 2028 Senior Notes” after the phrase “Convertible Senior Notes” and (ii) adding the phrase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2028 Senior Notes such determination may be made at the time of the delivery of a notice thereof under the indenture governing the 2028 Senior Notes” immediately prior to the semi-colon.</w:t>
      </w:r>
    </w:p>
    <w:p>
      <w:pPr>
        <w:spacing w:after="0" w:line="165" w:lineRule="exact"/>
        <w:rPr>
          <w:rFonts w:ascii="Arial" w:cs="Arial" w:eastAsia="Arial" w:hAnsi="Arial"/>
          <w:sz w:val="17"/>
          <w:szCs w:val="17"/>
          <w:color w:val="auto"/>
        </w:rPr>
      </w:pPr>
    </w:p>
    <w:p>
      <w:pPr>
        <w:ind w:firstLine="656"/>
        <w:spacing w:after="0" w:line="277" w:lineRule="auto"/>
        <w:tabs>
          <w:tab w:leader="none" w:pos="142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9.14</w:t>
      </w:r>
      <w:r>
        <w:rPr>
          <w:rFonts w:ascii="Arial" w:cs="Arial" w:eastAsia="Arial" w:hAnsi="Arial"/>
          <w:sz w:val="18"/>
          <w:szCs w:val="18"/>
          <w:color w:val="auto"/>
        </w:rPr>
        <w:t xml:space="preserve"> of the Existing Credit Agreement is hereby amended by (i) deleting the word “and” at the end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(ii) replacing the “.” at the end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with “;” and (iii) adding new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to read as follows:</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“(g) the Borrower and its Subsidiaries may make scheduled payments of interest and payments of expenses and indemnities with respect to the 2028 Senior Notes; and</w:t>
      </w:r>
    </w:p>
    <w:p>
      <w:pPr>
        <w:spacing w:after="0" w:line="170" w:lineRule="exact"/>
        <w:rPr>
          <w:sz w:val="20"/>
          <w:szCs w:val="20"/>
          <w:color w:val="auto"/>
        </w:rPr>
      </w:pPr>
    </w:p>
    <w:p>
      <w:pPr>
        <w:jc w:val="both"/>
        <w:ind w:left="660" w:firstLine="644"/>
        <w:spacing w:after="0" w:line="263" w:lineRule="auto"/>
        <w:tabs>
          <w:tab w:leader="none" w:pos="185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Borrower and any of its Subsidiaries may make any payments of any Subject Indebtedness in the minimum amount necessary to ensure that such Subject Indebtedness shall not constitute an “applicable high yield discount obligation” within the meaning of Section 163(i) of the Code or any successor provision.”</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Section 10.1(n)</w:t>
      </w:r>
      <w:r>
        <w:rPr>
          <w:rFonts w:ascii="Arial" w:cs="Arial" w:eastAsia="Arial" w:hAnsi="Arial"/>
          <w:sz w:val="18"/>
          <w:szCs w:val="18"/>
          <w:color w:val="auto"/>
        </w:rPr>
        <w:t xml:space="preserve"> of the Existing Credit Agreement is hereby amended and restated in its entirety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left="640" w:right="640" w:firstLine="648"/>
        <w:spacing w:after="0" w:line="268" w:lineRule="auto"/>
        <w:rPr>
          <w:sz w:val="20"/>
          <w:szCs w:val="20"/>
          <w:color w:val="auto"/>
        </w:rPr>
      </w:pPr>
      <w:r>
        <w:rPr>
          <w:rFonts w:ascii="Arial" w:cs="Arial" w:eastAsia="Arial" w:hAnsi="Arial"/>
          <w:sz w:val="17"/>
          <w:szCs w:val="17"/>
          <w:color w:val="auto"/>
        </w:rPr>
        <w:t xml:space="preserve">“(n) </w:t>
      </w:r>
      <w:r>
        <w:rPr>
          <w:rFonts w:ascii="Arial" w:cs="Arial" w:eastAsia="Arial" w:hAnsi="Arial"/>
          <w:sz w:val="17"/>
          <w:szCs w:val="17"/>
          <w:u w:val="single" w:color="auto"/>
          <w:color w:val="auto"/>
        </w:rPr>
        <w:t>BioThrax/AV7909</w:t>
      </w:r>
      <w:r>
        <w:rPr>
          <w:rFonts w:ascii="Arial" w:cs="Arial" w:eastAsia="Arial" w:hAnsi="Arial"/>
          <w:sz w:val="17"/>
          <w:szCs w:val="17"/>
          <w:color w:val="auto"/>
        </w:rPr>
        <w:t xml:space="preserve">. The termination or expiration of, or the receipt of any notice by the Borrower or any Subsidiary to terminate, any Material Contract of the Borrower or any Subsidiary for the sale of BioThrax or AV7909 to any Governmental Authority of the Federal Government of the United States, to the extent a reasonably suitable replacement contract (in the reasonable judgment of the Borrower in good faith) with a Governmental Authority is not entered into by the Borrower or such Subsidiary within thirty (30) days after such termination or expiration of, or receipt of notice to terminate, such Material Contract or, if on the termination of such 30-day period, the parties to such Material Contract are engaging in active negotiations to extend or replace such Material Contract (as determined by the Borrower in good faith), within ninety (90) days after such termination or expiration of, or receipt of notice to terminate, such Material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AV7909 shall be deemed to be a reasonably suitable replacement for BioThrax to the extent that AV7909 has either obtained (x) full FDA approval or (y) FDA emergency use authorization pursuant to Section 564 of the FFDCA;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Event of Default under this </w:t>
      </w:r>
      <w:r>
        <w:rPr>
          <w:rFonts w:ascii="Arial" w:cs="Arial" w:eastAsia="Arial" w:hAnsi="Arial"/>
          <w:sz w:val="17"/>
          <w:szCs w:val="17"/>
          <w:u w:val="single" w:color="auto"/>
          <w:color w:val="auto"/>
        </w:rPr>
        <w:t>Section 10.1(n)</w:t>
      </w:r>
      <w:r>
        <w:rPr>
          <w:rFonts w:ascii="Arial" w:cs="Arial" w:eastAsia="Arial" w:hAnsi="Arial"/>
          <w:sz w:val="17"/>
          <w:szCs w:val="17"/>
          <w:color w:val="auto"/>
        </w:rPr>
        <w:t xml:space="preserve"> shall be deemed to have occurred to the extent that the Borrower is in compliance with the financial covenants set forth in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as of the last day of the most recently ended Measurement Period prior to such termination or expiration for which financial statements have been delivered pursuant to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after giving pro forma effect, as if such termination or expiration occurred on the first day of such Measurement Period, to the loss of Consolidated EBITDA attributable to such terminated or expired Material Contract(s), including income statement items attributable to such Material Contract or the products subject thereto, as determined by the Borrower in good faith and believed by the Borrower to be reasonable; or”</w:t>
      </w:r>
    </w:p>
    <w:p>
      <w:pPr>
        <w:spacing w:after="0" w:line="180" w:lineRule="exact"/>
        <w:rPr>
          <w:sz w:val="20"/>
          <w:szCs w:val="20"/>
          <w:color w:val="auto"/>
        </w:rPr>
      </w:pPr>
    </w:p>
    <w:p>
      <w:pPr>
        <w:ind w:left="1360" w:hanging="724"/>
        <w:spacing w:after="0"/>
        <w:tabs>
          <w:tab w:leader="none" w:pos="13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Section 10.1(p)</w:t>
      </w:r>
      <w:r>
        <w:rPr>
          <w:rFonts w:ascii="Arial" w:cs="Arial" w:eastAsia="Arial" w:hAnsi="Arial"/>
          <w:sz w:val="18"/>
          <w:szCs w:val="18"/>
          <w:color w:val="auto"/>
        </w:rPr>
        <w:t xml:space="preserve"> of the Existing Credit Agreement is hereby deleted in its entirety and replaced with “[Reserved].”</w:t>
      </w:r>
    </w:p>
    <w:p>
      <w:pPr>
        <w:spacing w:after="0" w:line="225" w:lineRule="exact"/>
        <w:rPr>
          <w:rFonts w:ascii="Arial" w:cs="Arial" w:eastAsia="Arial" w:hAnsi="Arial"/>
          <w:sz w:val="18"/>
          <w:szCs w:val="18"/>
          <w:color w:val="auto"/>
        </w:rPr>
      </w:pPr>
    </w:p>
    <w:p>
      <w:pPr>
        <w:ind w:left="-20" w:firstLine="656"/>
        <w:spacing w:after="0" w:line="277" w:lineRule="auto"/>
        <w:tabs>
          <w:tab w:leader="none" w:pos="1333"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of the Existing Credit Agreement is hereby amended by amending and restating the Administrative Agent’s “With copies to” address to read as follows:</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2030 Main Street, 8th Floor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MAC: E2231-081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Irvine, CA 92614</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of: Sara Barton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No.: (949) 358-6116</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No.: (949) 251-6000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sara.r.barton@wellsfargo.com</w:t>
      </w:r>
    </w:p>
    <w:p>
      <w:pPr>
        <w:spacing w:after="0" w:line="211" w:lineRule="exact"/>
        <w:rPr>
          <w:sz w:val="20"/>
          <w:szCs w:val="20"/>
          <w:color w:val="auto"/>
        </w:rPr>
      </w:pPr>
    </w:p>
    <w:p>
      <w:pPr>
        <w:jc w:val="both"/>
        <w:ind w:left="-20" w:firstLine="656"/>
        <w:spacing w:after="0" w:line="263" w:lineRule="auto"/>
        <w:tabs>
          <w:tab w:leader="none" w:pos="1506"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Section 12.23</w:t>
      </w:r>
      <w:r>
        <w:rPr>
          <w:rFonts w:ascii="Arial" w:cs="Arial" w:eastAsia="Arial" w:hAnsi="Arial"/>
          <w:sz w:val="18"/>
          <w:szCs w:val="18"/>
          <w:color w:val="auto"/>
        </w:rPr>
        <w:t xml:space="preserve"> of the Existing Credit Agreement is hereby amended and restated in its entirety to read as follows and in connection therewith, the table of contents is hereby amended to replace the reference to “SECTION 12.23 Acknowledgement and Consent to Bail-In of EEA Financial Institutions” with “SECTION 12.23 Acknowledgement and Consent to Bail-In of Affected Financial Institutions”:</w:t>
      </w:r>
    </w:p>
    <w:p>
      <w:pPr>
        <w:spacing w:after="0" w:line="184" w:lineRule="exact"/>
        <w:rPr>
          <w:sz w:val="20"/>
          <w:szCs w:val="20"/>
          <w:color w:val="auto"/>
        </w:rPr>
      </w:pPr>
    </w:p>
    <w:p>
      <w:pPr>
        <w:jc w:val="both"/>
        <w:ind w:left="640" w:right="660" w:firstLine="648"/>
        <w:spacing w:after="0" w:line="257" w:lineRule="auto"/>
        <w:rPr>
          <w:sz w:val="20"/>
          <w:szCs w:val="20"/>
          <w:color w:val="auto"/>
        </w:rPr>
      </w:pPr>
      <w:r>
        <w:rPr>
          <w:rFonts w:ascii="Arial" w:cs="Arial" w:eastAsia="Arial" w:hAnsi="Arial"/>
          <w:sz w:val="18"/>
          <w:szCs w:val="18"/>
          <w:color w:val="auto"/>
        </w:rPr>
        <w:t xml:space="preserve">“SECTION 12.23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4" w:name="page185"/>
    <w:bookmarkEnd w:id="184"/>
    <w:p>
      <w:pPr>
        <w:ind w:left="660" w:right="660" w:firstLine="644"/>
        <w:spacing w:after="0" w:line="308" w:lineRule="auto"/>
        <w:tabs>
          <w:tab w:leader="none" w:pos="243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Arial" w:cs="Arial" w:eastAsia="Arial" w:hAnsi="Arial"/>
          <w:sz w:val="17"/>
          <w:szCs w:val="17"/>
          <w:color w:val="auto"/>
        </w:rPr>
      </w:pPr>
    </w:p>
    <w:p>
      <w:pPr>
        <w:ind w:left="2240" w:hanging="936"/>
        <w:spacing w:after="0"/>
        <w:tabs>
          <w:tab w:leader="none" w:pos="22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300" w:right="660" w:firstLine="652"/>
        <w:spacing w:after="0" w:line="259" w:lineRule="auto"/>
        <w:tabs>
          <w:tab w:leader="none" w:pos="3018"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660" w:firstLine="652"/>
        <w:spacing w:after="0" w:line="277" w:lineRule="auto"/>
        <w:tabs>
          <w:tab w:leader="none" w:pos="3154" w:val="left"/>
        </w:tabs>
        <w:numPr>
          <w:ilvl w:val="2"/>
          <w:numId w:val="27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2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Existing Credit Agreement is hereby further amended by (i) replacing all remaining references therein to “</w:t>
      </w:r>
      <w:r>
        <w:rPr>
          <w:rFonts w:ascii="Arial" w:cs="Arial" w:eastAsia="Arial" w:hAnsi="Arial"/>
          <w:sz w:val="18"/>
          <w:szCs w:val="18"/>
          <w:u w:val="single" w:color="auto"/>
          <w:color w:val="auto"/>
        </w:rPr>
        <w:t>NuThrax</w:t>
      </w:r>
      <w:r>
        <w:rPr>
          <w:rFonts w:ascii="Arial" w:cs="Arial" w:eastAsia="Arial" w:hAnsi="Arial"/>
          <w:sz w:val="18"/>
          <w:szCs w:val="18"/>
          <w:color w:val="auto"/>
        </w:rPr>
        <w:t>” with “</w:t>
      </w:r>
      <w:r>
        <w:rPr>
          <w:rFonts w:ascii="Arial" w:cs="Arial" w:eastAsia="Arial" w:hAnsi="Arial"/>
          <w:sz w:val="18"/>
          <w:szCs w:val="18"/>
          <w:u w:val="single" w:color="auto"/>
          <w:color w:val="auto"/>
        </w:rPr>
        <w:t>AV7909</w:t>
      </w:r>
      <w:r>
        <w:rPr>
          <w:rFonts w:ascii="Arial" w:cs="Arial" w:eastAsia="Arial" w:hAnsi="Arial"/>
          <w:sz w:val="18"/>
          <w:szCs w:val="18"/>
          <w:color w:val="auto"/>
        </w:rPr>
        <w:t>”, (ii) replacing all remaining references therein to “</w:t>
      </w:r>
      <w:r>
        <w:rPr>
          <w:rFonts w:ascii="Arial" w:cs="Arial" w:eastAsia="Arial" w:hAnsi="Arial"/>
          <w:sz w:val="18"/>
          <w:szCs w:val="18"/>
          <w:u w:val="single" w:color="auto"/>
          <w:color w:val="auto"/>
        </w:rPr>
        <w:t>NuThrax Contract</w:t>
      </w:r>
      <w:r>
        <w:rPr>
          <w:rFonts w:ascii="Arial" w:cs="Arial" w:eastAsia="Arial" w:hAnsi="Arial"/>
          <w:sz w:val="18"/>
          <w:szCs w:val="18"/>
          <w:color w:val="auto"/>
        </w:rPr>
        <w:t>” with “</w:t>
      </w:r>
      <w:r>
        <w:rPr>
          <w:rFonts w:ascii="Arial" w:cs="Arial" w:eastAsia="Arial" w:hAnsi="Arial"/>
          <w:sz w:val="18"/>
          <w:szCs w:val="18"/>
          <w:u w:val="single" w:color="auto"/>
          <w:color w:val="auto"/>
        </w:rPr>
        <w:t>AV7909 Contract</w:t>
      </w:r>
      <w:r>
        <w:rPr>
          <w:rFonts w:ascii="Arial" w:cs="Arial" w:eastAsia="Arial" w:hAnsi="Arial"/>
          <w:sz w:val="18"/>
          <w:szCs w:val="18"/>
          <w:color w:val="auto"/>
        </w:rPr>
        <w:t>” and (iii) replacing all remaining references therein to “</w:t>
      </w:r>
      <w:r>
        <w:rPr>
          <w:rFonts w:ascii="Arial" w:cs="Arial" w:eastAsia="Arial" w:hAnsi="Arial"/>
          <w:sz w:val="18"/>
          <w:szCs w:val="18"/>
          <w:u w:val="single" w:color="auto"/>
          <w:color w:val="auto"/>
        </w:rPr>
        <w:t>NuThrax Receivables Account</w:t>
      </w:r>
      <w:r>
        <w:rPr>
          <w:rFonts w:ascii="Arial" w:cs="Arial" w:eastAsia="Arial" w:hAnsi="Arial"/>
          <w:sz w:val="18"/>
          <w:szCs w:val="18"/>
          <w:color w:val="auto"/>
        </w:rPr>
        <w:t>” with “</w:t>
      </w:r>
      <w:r>
        <w:rPr>
          <w:rFonts w:ascii="Arial" w:cs="Arial" w:eastAsia="Arial" w:hAnsi="Arial"/>
          <w:sz w:val="18"/>
          <w:szCs w:val="18"/>
          <w:u w:val="single" w:color="auto"/>
          <w:color w:val="auto"/>
        </w:rPr>
        <w:t>AV7909 Receivables Account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656"/>
        <w:spacing w:after="0" w:line="277" w:lineRule="auto"/>
        <w:tabs>
          <w:tab w:leader="none" w:pos="1467"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Schedules 7.8(b)</w:t>
      </w:r>
      <w:r>
        <w:rPr>
          <w:rFonts w:ascii="Arial" w:cs="Arial" w:eastAsia="Arial" w:hAnsi="Arial"/>
          <w:sz w:val="18"/>
          <w:szCs w:val="18"/>
          <w:color w:val="auto"/>
        </w:rPr>
        <w:t xml:space="preserve">, </w:t>
      </w:r>
      <w:r>
        <w:rPr>
          <w:rFonts w:ascii="Arial" w:cs="Arial" w:eastAsia="Arial" w:hAnsi="Arial"/>
          <w:sz w:val="18"/>
          <w:szCs w:val="18"/>
          <w:u w:val="single" w:color="auto"/>
          <w:color w:val="auto"/>
        </w:rPr>
        <w:t>7.8(d)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to the Existing Credit Agreement are hereby amended and restated in their entirety with </w:t>
      </w:r>
      <w:r>
        <w:rPr>
          <w:rFonts w:ascii="Arial" w:cs="Arial" w:eastAsia="Arial" w:hAnsi="Arial"/>
          <w:sz w:val="18"/>
          <w:szCs w:val="18"/>
          <w:u w:val="single" w:color="auto"/>
          <w:color w:val="auto"/>
        </w:rPr>
        <w:t>Schedules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7.8(b)</w:t>
      </w:r>
      <w:r>
        <w:rPr>
          <w:rFonts w:ascii="Arial" w:cs="Arial" w:eastAsia="Arial" w:hAnsi="Arial"/>
          <w:sz w:val="18"/>
          <w:szCs w:val="18"/>
          <w:color w:val="auto"/>
        </w:rPr>
        <w:t xml:space="preserve">, </w:t>
      </w:r>
      <w:r>
        <w:rPr>
          <w:rFonts w:ascii="Arial" w:cs="Arial" w:eastAsia="Arial" w:hAnsi="Arial"/>
          <w:sz w:val="18"/>
          <w:szCs w:val="18"/>
          <w:u w:val="single" w:color="auto"/>
          <w:color w:val="auto"/>
        </w:rPr>
        <w:t>7.8(d)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Conditions of Effectiveness of Amendment</w:t>
      </w:r>
      <w:r>
        <w:rPr>
          <w:rFonts w:ascii="Arial" w:cs="Arial" w:eastAsia="Arial" w:hAnsi="Arial"/>
          <w:sz w:val="18"/>
          <w:szCs w:val="18"/>
          <w:color w:val="auto"/>
        </w:rPr>
        <w:t xml:space="preserve">. This Amendment, and the amendments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 shall become effective on the date when the following conditions shall have been satisfied or waived (such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170" w:lineRule="exact"/>
        <w:rPr>
          <w:sz w:val="20"/>
          <w:szCs w:val="20"/>
          <w:color w:val="auto"/>
        </w:rPr>
      </w:pPr>
    </w:p>
    <w:p>
      <w:pPr>
        <w:ind w:firstLine="656"/>
        <w:spacing w:after="0" w:line="277" w:lineRule="auto"/>
        <w:tabs>
          <w:tab w:leader="none" w:pos="138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Amendment, duly executed by a Responsible Officer of the Borrower, the Guarantors existing as of the Amendment Effective Date and the Required Lenders;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Administrative Agent shall have received evidence of the substantially contemporaneous funding of the 2028 Senior Notes; and</w:t>
      </w:r>
    </w:p>
    <w:p>
      <w:pPr>
        <w:spacing w:after="0" w:line="236" w:lineRule="exact"/>
        <w:rPr>
          <w:rFonts w:ascii="Arial" w:cs="Arial" w:eastAsia="Arial" w:hAnsi="Arial"/>
          <w:sz w:val="17"/>
          <w:szCs w:val="17"/>
          <w:color w:val="auto"/>
        </w:rPr>
      </w:pPr>
    </w:p>
    <w:p>
      <w:pPr>
        <w:ind w:right="20" w:firstLine="656"/>
        <w:spacing w:after="0" w:line="277" w:lineRule="auto"/>
        <w:tabs>
          <w:tab w:leader="none" w:pos="15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and Wells Fargo Securities, LLC all fees with respect to this Amendment previously agreed to between the Borrower and Wells Fargo Securities, LLC.</w:t>
      </w:r>
    </w:p>
    <w:p>
      <w:pPr>
        <w:spacing w:after="0" w:line="170"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Administrative Agent and the Lenders to enter into this Amendment, each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Credit Party represents and warrants to the Administrative Agent and the Lenders on and as of the Amendment Effective Date that, in each case: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56"/>
        <w:spacing w:after="0" w:line="275" w:lineRule="auto"/>
        <w:tabs>
          <w:tab w:leader="none" w:pos="135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Credit Party set forth in the Credit Agreement and in each other Loan Document to which it is a party are true and correct in all material respects on and as of the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76" w:lineRule="exact"/>
        <w:rPr>
          <w:rFonts w:ascii="Arial" w:cs="Arial" w:eastAsia="Arial" w:hAnsi="Arial"/>
          <w:sz w:val="17"/>
          <w:szCs w:val="17"/>
          <w:color w:val="auto"/>
        </w:rPr>
      </w:pPr>
    </w:p>
    <w:p>
      <w:pPr>
        <w:ind w:left="1360" w:hanging="704"/>
        <w:spacing w:after="0"/>
        <w:tabs>
          <w:tab w:leader="none" w:pos="13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4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it has all requisite power and authority and has taken all necessary corporate and other action to authorize the execution, delivery and performance of this Amendment and each other document executed in connection herewith to which it is a party in accordance with their respective terms and the transactions contemplated hereby; and</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48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the duly authorized officers of each Credit Party, and each such document constitutes the legal, valid and binding obligation of each such Credit Party, enforceable in accordance with its terms, subject to applicable bankruptcy, insolvency, reorganization, moratorium or other laws affecting creditors’ rights generally and subject to general principals of equity.</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Reference to and Effect on the Credit Agreement and the Loan Documents</w:t>
      </w:r>
      <w:r>
        <w:rPr>
          <w:rFonts w:ascii="Arial" w:cs="Arial" w:eastAsia="Arial" w:hAnsi="Arial"/>
          <w:sz w:val="16"/>
          <w:szCs w:val="16"/>
          <w:color w:val="auto"/>
        </w:rPr>
        <w:t>. Except as expressly provided herein, the Existing Credit Agreement and the other Loan Documents shall remain unmodified and in full force and effect. This Amendment shall not be deemed (a) to be a waiver of, or consent to, or a modification or amendment of, any other term or condition of the Existing Credit Agreement or any other Loan Document other than as expressly set forth herein, (b) to prejudice any right or rights which the Administrative Agent or the Lenders may now have or may have in the future under or in connection with the Existing Credit Agreement or the other Loan Documents or any of the instruments or agreements referred to therein, as the same may be amended, restated, supplemented or modified from time to time, or (c) to be a commitment or any other undertaking or expression of any willingness to engage in any further discussion with the Borrower, any of its Subsidiaries or any other Person with respect to any other waiver, amendment, modification or any other change to the Existing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Existing Credit Agreement as modified hereby.</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Credit Party agrees to, to the extent required by the Loan Documents, make, execute and deliver all such additional and further acts, things, deeds, instruments and documents as the Administrative Agent may reasonably require for the purposes of implementing or effectuating the provisions of this Amendment and the other Loan Documents.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Acknowledgement and Reaffirmation</w:t>
      </w:r>
      <w:r>
        <w:rPr>
          <w:rFonts w:ascii="Arial" w:cs="Arial" w:eastAsia="Arial" w:hAnsi="Arial"/>
          <w:sz w:val="17"/>
          <w:szCs w:val="17"/>
          <w:color w:val="auto"/>
        </w:rPr>
        <w:t>. Each Credit Party (a) consents to this Amendment and agrees that the transactions contemplated by this Amendment shall not limit or diminish the obligations of such Person under, or release such Person from any obligations under, any of the Loan Documents to which it is a party (as amended pursuant to this Amendment), (b) confirms and reaffirms its obligations under each of the Loan Documents to which it is a party (as amended pursuant to this Amendment) and (c) agrees that each of the Loan Documents to which it is a party (as amended pursuant to this Amendment) remains in full force and effect and is hereby ratified and confirmed.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both"/>
        <w:ind w:firstLine="648"/>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Borrower hereby reconfirms its obligations pursuant to </w:t>
      </w:r>
      <w:r>
        <w:rPr>
          <w:rFonts w:ascii="Arial" w:cs="Arial" w:eastAsia="Arial" w:hAnsi="Arial"/>
          <w:sz w:val="18"/>
          <w:szCs w:val="18"/>
          <w:u w:val="single" w:color="auto"/>
          <w:color w:val="auto"/>
        </w:rPr>
        <w:t>Section 12.3(a)</w:t>
      </w:r>
      <w:r>
        <w:rPr>
          <w:rFonts w:ascii="Arial" w:cs="Arial" w:eastAsia="Arial" w:hAnsi="Arial"/>
          <w:sz w:val="18"/>
          <w:szCs w:val="18"/>
          <w:color w:val="auto"/>
        </w:rPr>
        <w:t xml:space="preserve"> of the Credit Agreement to pay and reimburse the Administrative Agent in accordance with the terms thereof.</w:t>
      </w:r>
    </w:p>
    <w:p>
      <w:pPr>
        <w:spacing w:after="0" w:line="170"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LAWS OF THE STATE OF NEW YORK, INCLUDING SECTIONS 5-1401 AND 5-1402 OF THE NEW YORK GENERAL OBLIGATIONS LAW.</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different parties hereto on separate counterparts, each of which counterparts when executed and delivered shall be an original, but all of which shall together constitute one and the same instrument. Delivery by facsimile or electronic transmission of an executed counterpart of a signature page to this Amendment shall be effective as delivery of an original executed counterpart of this Amendment.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is the entire agreement, and supersedes any prior agreements and contemporaneous oral agreements, of the parties concerning its subject matter. This Amendment is a Loan Document and is subject to the terms and conditions of the Credit Agreement.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Amendment shall be binding on and inure to the benefit of the parties hereto and their successors and permitted assigns.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their duly authorized officers to execute and deliver this Amendment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EMERGENT BIOSOLUTIONS INC., as Borrower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6"/>
          <w:szCs w:val="16"/>
          <w:color w:val="auto"/>
        </w:rPr>
        <w:t>Title:</w:t>
        <w:tab/>
        <w:t>Executive Vice President, Chief Financial Officer and Treasurer</w:t>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CANGENE BIOPHARMA LLC, as Guarantor</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BIODEFENSE OPERATIONS LANSING LLC, as Guarantor</w:t>
      </w: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MANUFACTURING OPERATIONS BALTIMORE LLC, as</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Executive Manager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EMERGENT PRODUCT DEVELOPMENT GAITHERSBURG INC., as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-130175</wp:posOffset>
            </wp:positionV>
            <wp:extent cx="33604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Second Amendment to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ind w:left="4480"/>
        <w:spacing w:after="0"/>
        <w:rPr>
          <w:sz w:val="20"/>
          <w:szCs w:val="20"/>
          <w:color w:val="auto"/>
        </w:rPr>
      </w:pPr>
      <w:r>
        <w:rPr>
          <w:rFonts w:ascii="Arial" w:cs="Arial" w:eastAsia="Arial" w:hAnsi="Arial"/>
          <w:sz w:val="18"/>
          <w:szCs w:val="18"/>
          <w:color w:val="auto"/>
        </w:rPr>
        <w:t>EMERGENT INTERNATIONAL INC., as Guarantor</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EMERGENT TRAVEL HEALTH INC., as Guarantor</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Chief Financial Officer and Treasurer</w:t>
      </w:r>
    </w:p>
    <w:p>
      <w:pPr>
        <w:spacing w:after="0" w:line="211" w:lineRule="exact"/>
        <w:rPr>
          <w:sz w:val="20"/>
          <w:szCs w:val="20"/>
          <w:color w:val="auto"/>
        </w:rPr>
      </w:pPr>
    </w:p>
    <w:p>
      <w:pPr>
        <w:ind w:left="4480"/>
        <w:spacing w:after="0" w:line="277" w:lineRule="auto"/>
        <w:rPr>
          <w:sz w:val="20"/>
          <w:szCs w:val="20"/>
          <w:color w:val="auto"/>
        </w:rPr>
      </w:pPr>
      <w:r>
        <w:rPr>
          <w:rFonts w:ascii="Arial" w:cs="Arial" w:eastAsia="Arial" w:hAnsi="Arial"/>
          <w:sz w:val="18"/>
          <w:szCs w:val="18"/>
          <w:color w:val="auto"/>
        </w:rPr>
        <w:t>EMERGENT DEVICES INC. (FORMERLY KNOWN AS ADAPT PHARMA INC.), as Guarantor</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Richard S. Lindahl</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-130175</wp:posOffset>
            </wp:positionV>
            <wp:extent cx="33604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38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80"/>
          </w:cols>
          <w:pgMar w:left="1440" w:top="908" w:right="1079" w:bottom="1440" w:gutter="0" w:footer="0" w:header="0"/>
        </w:sectPr>
      </w:pPr>
    </w:p>
    <w:bookmarkStart w:id="189" w:name="page190"/>
    <w:bookmarkEnd w:id="189"/>
    <w:p>
      <w:pPr>
        <w:ind w:left="4520"/>
        <w:spacing w:after="0" w:line="277" w:lineRule="auto"/>
        <w:rPr>
          <w:sz w:val="20"/>
          <w:szCs w:val="20"/>
          <w:color w:val="auto"/>
        </w:rPr>
      </w:pPr>
      <w:r>
        <w:rPr>
          <w:rFonts w:ascii="Arial" w:cs="Arial" w:eastAsia="Arial" w:hAnsi="Arial"/>
          <w:sz w:val="18"/>
          <w:szCs w:val="18"/>
          <w:color w:val="auto"/>
        </w:rPr>
        <w:t>WELLS FARGO BANK, NATIONAL ASSOCIATION, as Administrative Agent, Swingline Lender, Issuing Lender and Lender</w:t>
      </w: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Sara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Sara Barton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00"/>
          </w:cols>
          <w:pgMar w:left="1440" w:top="1124" w:right="559" w:bottom="1440" w:gutter="0" w:footer="0" w:header="0"/>
        </w:sectPr>
      </w:pPr>
    </w:p>
    <w:bookmarkStart w:id="190" w:name="page191"/>
    <w:bookmarkEnd w:id="190"/>
    <w:p>
      <w:pPr>
        <w:ind w:left="4520"/>
        <w:spacing w:after="0"/>
        <w:rPr>
          <w:sz w:val="20"/>
          <w:szCs w:val="20"/>
          <w:color w:val="auto"/>
        </w:rPr>
      </w:pPr>
      <w:r>
        <w:rPr>
          <w:rFonts w:ascii="Arial" w:cs="Arial" w:eastAsia="Arial" w:hAnsi="Arial"/>
          <w:sz w:val="17"/>
          <w:szCs w:val="17"/>
          <w:color w:val="auto"/>
        </w:rPr>
        <w:t>JPMORGAN CHASE BANK, N.A.,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Ling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Ling Li</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Executive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1" w:name="page192"/>
    <w:bookmarkEnd w:id="191"/>
    <w:p>
      <w:pPr>
        <w:ind w:left="4520"/>
        <w:spacing w:after="0"/>
        <w:rPr>
          <w:sz w:val="20"/>
          <w:szCs w:val="20"/>
          <w:color w:val="auto"/>
        </w:rPr>
      </w:pPr>
      <w:r>
        <w:rPr>
          <w:rFonts w:ascii="Arial" w:cs="Arial" w:eastAsia="Arial" w:hAnsi="Arial"/>
          <w:sz w:val="17"/>
          <w:szCs w:val="17"/>
          <w:color w:val="auto"/>
        </w:rPr>
        <w:t>PNC BANK, NATIONAL ASSOCIATION,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Eric H. Williams</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2" w:name="page193"/>
    <w:bookmarkEnd w:id="192"/>
    <w:p>
      <w:pPr>
        <w:ind w:left="4520"/>
        <w:spacing w:after="0"/>
        <w:rPr>
          <w:sz w:val="20"/>
          <w:szCs w:val="20"/>
          <w:color w:val="auto"/>
        </w:rPr>
      </w:pPr>
      <w:r>
        <w:rPr>
          <w:rFonts w:ascii="Arial" w:cs="Arial" w:eastAsia="Arial" w:hAnsi="Arial"/>
          <w:sz w:val="17"/>
          <w:szCs w:val="17"/>
          <w:color w:val="auto"/>
        </w:rPr>
        <w:t>ROYAL BANK OF CANADA, as Lender</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Steven T.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Steven T. Bachman</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3" w:name="page194"/>
    <w:bookmarkEnd w:id="193"/>
    <w:p>
      <w:pPr>
        <w:ind w:left="4180"/>
        <w:spacing w:after="0"/>
        <w:rPr>
          <w:sz w:val="20"/>
          <w:szCs w:val="20"/>
          <w:color w:val="auto"/>
        </w:rPr>
      </w:pPr>
      <w:r>
        <w:rPr>
          <w:rFonts w:ascii="Arial" w:cs="Arial" w:eastAsia="Arial" w:hAnsi="Arial"/>
          <w:sz w:val="17"/>
          <w:szCs w:val="17"/>
          <w:color w:val="auto"/>
        </w:rPr>
        <w:t>BMO HARRIS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Eric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Eric Oppenheimer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340" w:right="1440" w:bottom="1440" w:gutter="0" w:footer="0" w:header="0"/>
        </w:sectPr>
      </w:pPr>
    </w:p>
    <w:bookmarkStart w:id="194" w:name="page195"/>
    <w:bookmarkEnd w:id="194"/>
    <w:p>
      <w:pPr>
        <w:ind w:left="4180"/>
        <w:spacing w:after="0"/>
        <w:rPr>
          <w:sz w:val="20"/>
          <w:szCs w:val="20"/>
          <w:color w:val="auto"/>
        </w:rPr>
      </w:pPr>
      <w:r>
        <w:rPr>
          <w:rFonts w:ascii="Arial" w:cs="Arial" w:eastAsia="Arial" w:hAnsi="Arial"/>
          <w:sz w:val="18"/>
          <w:szCs w:val="18"/>
          <w:color w:val="auto"/>
        </w:rPr>
        <w:t>CAPITAL ONE, N.A., as Lender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Peter 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Peter Itz</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Title: Duly Authorized Signatory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5" w:name="page196"/>
    <w:bookmarkEnd w:id="195"/>
    <w:p>
      <w:pPr>
        <w:ind w:left="4180"/>
        <w:spacing w:after="0"/>
        <w:rPr>
          <w:sz w:val="20"/>
          <w:szCs w:val="20"/>
          <w:color w:val="auto"/>
        </w:rPr>
      </w:pPr>
      <w:r>
        <w:rPr>
          <w:rFonts w:ascii="Arial" w:cs="Arial" w:eastAsia="Arial" w:hAnsi="Arial"/>
          <w:sz w:val="17"/>
          <w:szCs w:val="17"/>
          <w:color w:val="auto"/>
        </w:rPr>
        <w:t>CITIZENS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Mark Guyeski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Mark Guyeski</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6" w:name="page197"/>
    <w:bookmarkEnd w:id="196"/>
    <w:p>
      <w:pPr>
        <w:ind w:left="4180"/>
        <w:spacing w:after="0"/>
        <w:rPr>
          <w:sz w:val="20"/>
          <w:szCs w:val="20"/>
          <w:color w:val="auto"/>
        </w:rPr>
      </w:pPr>
      <w:r>
        <w:rPr>
          <w:rFonts w:ascii="Arial" w:cs="Arial" w:eastAsia="Arial" w:hAnsi="Arial"/>
          <w:sz w:val="17"/>
          <w:szCs w:val="17"/>
          <w:color w:val="auto"/>
        </w:rPr>
        <w:t>MUFG UNION BANK,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Teuta Ghilaga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Teuta Ghilaga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7" w:name="page198"/>
    <w:bookmarkEnd w:id="197"/>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REGIONS BANK, as Lender</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Ned Spitzer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Ned Spitzer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8" w:name="page199"/>
    <w:bookmarkEnd w:id="198"/>
    <w:p>
      <w:pPr>
        <w:ind w:left="4180"/>
        <w:spacing w:after="0"/>
        <w:rPr>
          <w:sz w:val="20"/>
          <w:szCs w:val="20"/>
          <w:color w:val="auto"/>
        </w:rPr>
      </w:pPr>
      <w:r>
        <w:rPr>
          <w:rFonts w:ascii="Arial" w:cs="Arial" w:eastAsia="Arial" w:hAnsi="Arial"/>
          <w:sz w:val="16"/>
          <w:szCs w:val="16"/>
          <w:color w:val="auto"/>
        </w:rPr>
        <w:t>TRUIST BANK (successor by merger to SunTrust Bank), as Lender</w:t>
      </w:r>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Matthew J.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J. Davis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00"/>
          </w:cols>
          <w:pgMar w:left="1440" w:top="908" w:right="1359" w:bottom="1440" w:gutter="0" w:footer="0" w:header="0"/>
        </w:sectPr>
      </w:pPr>
    </w:p>
    <w:bookmarkStart w:id="199" w:name="page200"/>
    <w:bookmarkEnd w:id="199"/>
    <w:p>
      <w:pPr>
        <w:ind w:left="4180"/>
        <w:spacing w:after="0"/>
        <w:rPr>
          <w:sz w:val="20"/>
          <w:szCs w:val="20"/>
          <w:color w:val="auto"/>
        </w:rPr>
      </w:pPr>
      <w:r>
        <w:rPr>
          <w:rFonts w:ascii="Arial" w:cs="Arial" w:eastAsia="Arial" w:hAnsi="Arial"/>
          <w:sz w:val="17"/>
          <w:szCs w:val="17"/>
          <w:color w:val="auto"/>
        </w:rPr>
        <w:t>THE HUNTINGTON NATIONAL BANK,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Joseph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Joseph A Miller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0" w:name="page201"/>
    <w:bookmarkEnd w:id="200"/>
    <w:p>
      <w:pPr>
        <w:ind w:left="4180"/>
        <w:spacing w:after="0"/>
        <w:rPr>
          <w:sz w:val="20"/>
          <w:szCs w:val="20"/>
          <w:color w:val="auto"/>
        </w:rPr>
      </w:pPr>
      <w:r>
        <w:rPr>
          <w:rFonts w:ascii="Arial" w:cs="Arial" w:eastAsia="Arial" w:hAnsi="Arial"/>
          <w:sz w:val="17"/>
          <w:szCs w:val="17"/>
          <w:color w:val="auto"/>
        </w:rPr>
        <w:t>BANK OF AMERICA, N.A., as Lender</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H. Hope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H. Hope Walker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1" w:name="page202"/>
    <w:bookmarkEnd w:id="201"/>
    <w:p>
      <w:pPr>
        <w:spacing w:after="0" w:line="33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BANK OF THE WEST, as a Lender</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Michael Weinert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Michael Weinert</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Caroline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Caroline Smith</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2" w:name="page203"/>
    <w:bookmarkEnd w:id="202"/>
    <w:p>
      <w:pPr>
        <w:ind w:left="4240"/>
        <w:spacing w:after="0"/>
        <w:rPr>
          <w:sz w:val="20"/>
          <w:szCs w:val="20"/>
          <w:color w:val="auto"/>
        </w:rPr>
      </w:pPr>
      <w:r>
        <w:rPr>
          <w:rFonts w:ascii="Arial" w:cs="Arial" w:eastAsia="Arial" w:hAnsi="Arial"/>
          <w:sz w:val="18"/>
          <w:szCs w:val="18"/>
          <w:color w:val="auto"/>
        </w:rPr>
        <w:t>DNB CAPITAL LLC, as a Lender</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Magdalena Brzostowska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Name: Magdalena Brzostowska</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3" w:name="page204"/>
    <w:bookmarkEnd w:id="203"/>
    <w:p>
      <w:pPr>
        <w:ind w:left="4240"/>
        <w:spacing w:after="0"/>
        <w:rPr>
          <w:sz w:val="20"/>
          <w:szCs w:val="20"/>
          <w:color w:val="auto"/>
        </w:rPr>
      </w:pPr>
      <w:r>
        <w:rPr>
          <w:rFonts w:ascii="Arial" w:cs="Arial" w:eastAsia="Arial" w:hAnsi="Arial"/>
          <w:sz w:val="17"/>
          <w:szCs w:val="17"/>
          <w:color w:val="auto"/>
        </w:rPr>
        <w:t>FIRST NATIONAL BANK, as a Lender</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Douglas 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Douglas T. Brown</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4" w:name="page205"/>
    <w:bookmarkEnd w:id="204"/>
    <w:p>
      <w:pPr>
        <w:ind w:left="4240"/>
        <w:spacing w:after="0"/>
        <w:rPr>
          <w:sz w:val="20"/>
          <w:szCs w:val="20"/>
          <w:color w:val="auto"/>
        </w:rPr>
      </w:pPr>
      <w:r>
        <w:rPr>
          <w:rFonts w:ascii="Arial" w:cs="Arial" w:eastAsia="Arial" w:hAnsi="Arial"/>
          <w:sz w:val="17"/>
          <w:szCs w:val="17"/>
          <w:color w:val="auto"/>
        </w:rPr>
        <w:t>FIFTH THIRD BANK, as a Lender</w:t>
      </w:r>
    </w:p>
    <w:p>
      <w:pPr>
        <w:spacing w:after="0" w:line="23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Ellie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35318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Ellie Robertson</w:t>
      </w:r>
    </w:p>
    <w:p>
      <w:pPr>
        <w:spacing w:after="0" w:line="23"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5" w:name="page206"/>
    <w:bookmarkEnd w:id="205"/>
    <w:p>
      <w:pPr>
        <w:ind w:left="4500"/>
        <w:spacing w:after="0"/>
        <w:rPr>
          <w:sz w:val="20"/>
          <w:szCs w:val="20"/>
          <w:color w:val="auto"/>
        </w:rPr>
      </w:pPr>
      <w:r>
        <w:rPr>
          <w:rFonts w:ascii="Arial" w:cs="Arial" w:eastAsia="Arial" w:hAnsi="Arial"/>
          <w:sz w:val="17"/>
          <w:szCs w:val="17"/>
          <w:color w:val="auto"/>
        </w:rPr>
        <w:t>HSBC BANK USA, N.A.,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Robert J Levins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Name:Robert J Levins #21435</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SVP Team Lead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340" w:right="1440" w:bottom="1440" w:gutter="0" w:footer="0" w:header="0"/>
        </w:sectPr>
      </w:pPr>
    </w:p>
    <w:bookmarkStart w:id="206" w:name="page207"/>
    <w:bookmarkEnd w:id="206"/>
    <w:p>
      <w:pPr>
        <w:ind w:left="4500"/>
        <w:spacing w:after="0"/>
        <w:rPr>
          <w:sz w:val="20"/>
          <w:szCs w:val="20"/>
          <w:color w:val="auto"/>
        </w:rPr>
      </w:pPr>
      <w:r>
        <w:rPr>
          <w:rFonts w:ascii="Arial" w:cs="Arial" w:eastAsia="Arial" w:hAnsi="Arial"/>
          <w:sz w:val="17"/>
          <w:szCs w:val="17"/>
          <w:color w:val="auto"/>
        </w:rPr>
        <w:t>MORGAN STANLEY BANK,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Graham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Name:Graham Robertson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7" w:name="page208"/>
    <w:bookmarkEnd w:id="207"/>
    <w:p>
      <w:pPr>
        <w:ind w:left="450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Shivani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Name:Shivani Agarwal</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Title: Senior Vice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8" w:name="page209"/>
    <w:bookmarkEnd w:id="208"/>
    <w:p>
      <w:pPr>
        <w:ind w:left="450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Tom Priedeman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Name:Tom Priedeman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09" w:name="page210"/>
    <w:bookmarkEnd w:id="209"/>
    <w:p>
      <w:pPr>
        <w:ind w:left="4500"/>
        <w:spacing w:after="0"/>
        <w:rPr>
          <w:sz w:val="20"/>
          <w:szCs w:val="20"/>
          <w:color w:val="auto"/>
        </w:rPr>
      </w:pPr>
      <w:r>
        <w:rPr>
          <w:rFonts w:ascii="Arial" w:cs="Arial" w:eastAsia="Arial" w:hAnsi="Arial"/>
          <w:sz w:val="18"/>
          <w:szCs w:val="18"/>
          <w:color w:val="auto"/>
        </w:rPr>
        <w:t>M&amp;T BANK, as a Lender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Neil Ganessingh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33604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Name:Neil Ganessingh</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Emergent BioSolutions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Amendment to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165735</wp:posOffset>
            </wp:positionV>
            <wp:extent cx="1808480" cy="797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0848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Announces Successful Completion of Offering of 3.875% Senior Unsecured Notes Due 2028</w:t>
      </w:r>
    </w:p>
    <w:p>
      <w:pPr>
        <w:spacing w:after="0" w:line="225"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GAITHERSBURG, Md., August 7, 2020</w:t>
      </w:r>
      <w:r>
        <w:rPr>
          <w:rFonts w:ascii="Arial" w:cs="Arial" w:eastAsia="Arial" w:hAnsi="Arial"/>
          <w:sz w:val="16"/>
          <w:szCs w:val="16"/>
          <w:color w:val="auto"/>
        </w:rPr>
        <w:t>—Emergent BioSolutions Inc. (NYSE:EBS) (the “Company”) announced today that it has completed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announced offering of $450 million in aggregate principal amount of its 3.875% Senior Unsecured Notes due 2028 (the “Notes”).</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Notes are fully and unconditionally guaranteed on a senior unsecured basis by all of the Company’s direct and indirect subsidiaries that guarantee debt under its credit facilities. The Company has used the net proceeds of the offering to repay the $353 million outstanding under its $600 million revolving credit facility with the remainder to be used for general corporate purposes.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were offered in the United States to qualified institutional buyers pursuant to Rule 144A under the Securities Act of 1933, as amended (the “Securities Act”), and outside the United States pursuant to Regulation S under the Securities Act. The Notes were not registered under the Securities Act and may not be offered or sold in the United States except pursuant to an exemption from the registration requirements of the Securities Act and applicable state securities laws.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press release is neither an offer to sell nor the solicitation of an offer to buy the Notes or any other securities, and there shall not be any offer to sell, solicitation of an offer to buy or sale of the Notes in any jurisdiction in which, or to any person to whom, such an offer, solicitation or sale is unlawful. Any offers of the Notes will be made only by means of an offering memorandum.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press release includes forward-looking statements within the meaning of the Private Securities Litigation Reform Act of 1995. Any statements, other than statements of historical fact, including statements regarding the intended use of proceeds, are forward-looking statements. We generally identify forward-looking statements by using words like "will," "believes," "expects," "anticipates," "intends," "plans," "forecasts," "estimates" and similar expressions.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11" w:name="page212"/>
    <w:bookmarkEnd w:id="211"/>
    <w:p>
      <w:pPr>
        <w:spacing w:after="0" w:line="296" w:lineRule="auto"/>
        <w:rPr>
          <w:sz w:val="20"/>
          <w:szCs w:val="20"/>
          <w:color w:val="auto"/>
        </w:rPr>
      </w:pPr>
      <w:r>
        <w:rPr>
          <w:rFonts w:ascii="Arial" w:cs="Arial" w:eastAsia="Arial" w:hAnsi="Arial"/>
          <w:sz w:val="16"/>
          <w:szCs w:val="16"/>
          <w:color w:val="auto"/>
        </w:rPr>
        <w:t>There are a number of important factors that could cause our actual results to differ materially from those indicated by such forward-looking statements. In addition, new factors that could cause actual results to differ from our expectations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G. Burrows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BurrowsR@ebsi.com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Miko B. Neri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Global Communications &amp; Public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240-631-3392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NeriM@ebsi.com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1)"/>
      <w:numFmt w:val="lowerLetter"/>
      <w:start w:val="4"/>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1)"/>
      <w:numFmt w:val="decimal"/>
      <w:start w:val="1"/>
    </w:lvl>
  </w:abstractNum>
  <w:abstractNum w:abstractNumId="4">
    <w:nsid w:val="754342"/>
    <w:multiLevelType w:val="hybridMultilevel"/>
    <w:lvl w:ilvl="0">
      <w:lvlJc w:val="left"/>
      <w:lvlText w:val="(%1)"/>
      <w:numFmt w:val="decimal"/>
      <w:start w:val="1"/>
    </w:lvl>
  </w:abstractNum>
  <w:abstractNum w:abstractNumId="5">
    <w:nsid w:val="69E7F3E5"/>
    <w:multiLevelType w:val="hybridMultilevel"/>
    <w:lvl w:ilvl="0">
      <w:lvlJc w:val="left"/>
      <w:lvlText w:val="(%1)"/>
      <w:numFmt w:val="decimal"/>
      <w:start w:val="1"/>
    </w:lvl>
  </w:abstractNum>
  <w:abstractNum w:abstractNumId="6">
    <w:nsid w:val="2A6DE806"/>
    <w:multiLevelType w:val="hybridMultilevel"/>
    <w:lvl w:ilvl="0">
      <w:lvlJc w:val="left"/>
      <w:lvlText w:val="(%1)"/>
      <w:numFmt w:val="decimal"/>
      <w:start w:val="2"/>
    </w:lvl>
  </w:abstractNum>
  <w:abstractNum w:abstractNumId="7">
    <w:nsid w:val="1816F8C4"/>
    <w:multiLevelType w:val="hybridMultilevel"/>
    <w:lvl w:ilvl="0">
      <w:lvlJc w:val="left"/>
      <w:lvlText w:val="(%1)"/>
      <w:numFmt w:val="decimal"/>
      <w:start w:val="1"/>
    </w:lvl>
  </w:abstractNum>
  <w:abstractNum w:abstractNumId="8">
    <w:nsid w:val="37DF2233"/>
    <w:multiLevelType w:val="hybridMultilevel"/>
    <w:lvl w:ilvl="0">
      <w:lvlJc w:val="left"/>
      <w:lvlText w:val="(%1)"/>
      <w:numFmt w:val="decimal"/>
      <w:start w:val="2"/>
    </w:lvl>
  </w:abstractNum>
  <w:abstractNum w:abstractNumId="9">
    <w:nsid w:val="7AB49DAF"/>
    <w:multiLevelType w:val="hybridMultilevel"/>
    <w:lvl w:ilvl="0">
      <w:lvlJc w:val="left"/>
      <w:lvlText w:val="(%1)"/>
      <w:numFmt w:val="decimal"/>
      <w:start w:val="16"/>
    </w:lvl>
  </w:abstractNum>
  <w:abstractNum w:abstractNumId="10">
    <w:nsid w:val="759F82CD"/>
    <w:multiLevelType w:val="hybridMultilevel"/>
    <w:lvl w:ilvl="0">
      <w:lvlJc w:val="left"/>
      <w:lvlText w:val="(%1)"/>
      <w:numFmt w:val="decimal"/>
      <w:start w:val="1"/>
    </w:lvl>
  </w:abstractNum>
  <w:abstractNum w:abstractNumId="11">
    <w:nsid w:val="61E74EA3"/>
    <w:multiLevelType w:val="hybridMultilevel"/>
    <w:lvl w:ilvl="0">
      <w:lvlJc w:val="left"/>
      <w:lvlText w:val="(%1)"/>
      <w:numFmt w:val="decimal"/>
      <w:start w:val="1"/>
    </w:lvl>
  </w:abstractNum>
  <w:abstractNum w:abstractNumId="12">
    <w:nsid w:val="597B4D84"/>
    <w:multiLevelType w:val="hybridMultilevel"/>
    <w:lvl w:ilvl="0">
      <w:lvlJc w:val="left"/>
      <w:lvlText w:val="(%1)"/>
      <w:numFmt w:val="decimal"/>
      <w:start w:val="1"/>
    </w:lvl>
  </w:abstractNum>
  <w:abstractNum w:abstractNumId="13">
    <w:nsid w:val="F819E7F"/>
    <w:multiLevelType w:val="hybridMultilevel"/>
    <w:lvl w:ilvl="0">
      <w:lvlJc w:val="left"/>
      <w:lvlText w:val="%1"/>
      <w:numFmt w:val="lowerRoman"/>
      <w:start w:val="1"/>
    </w:lvl>
    <w:lvl w:ilvl="1">
      <w:lvlJc w:val="left"/>
      <w:lvlText w:val="(%2)"/>
      <w:numFmt w:val="decimal"/>
      <w:start w:val="1"/>
    </w:lvl>
  </w:abstractNum>
  <w:abstractNum w:abstractNumId="14">
    <w:nsid w:val="57C7D42D"/>
    <w:multiLevelType w:val="hybridMultilevel"/>
    <w:lvl w:ilvl="0">
      <w:lvlJc w:val="left"/>
      <w:lvlText w:val="(%1)"/>
      <w:numFmt w:val="lowerRoman"/>
      <w:start w:val="1"/>
    </w:lvl>
    <w:lvl w:ilvl="1">
      <w:lvlJc w:val="left"/>
      <w:lvlText w:val="%2"/>
      <w:numFmt w:val="decimal"/>
      <w:start w:val="1"/>
    </w:lvl>
  </w:abstractNum>
  <w:abstractNum w:abstractNumId="15">
    <w:nsid w:val="312167AD"/>
    <w:multiLevelType w:val="hybridMultilevel"/>
    <w:lvl w:ilvl="0">
      <w:lvlJc w:val="left"/>
      <w:lvlText w:val="(%1)"/>
      <w:numFmt w:val="decimal"/>
      <w:start w:val="1"/>
    </w:lvl>
  </w:abstractNum>
  <w:abstractNum w:abstractNumId="16">
    <w:nsid w:val="631B64D4"/>
    <w:multiLevelType w:val="hybridMultilevel"/>
    <w:lvl w:ilvl="0">
      <w:lvlJc w:val="left"/>
      <w:lvlText w:val="(%1)"/>
      <w:numFmt w:val="lowerRoman"/>
      <w:start w:val="1"/>
    </w:lvl>
  </w:abstractNum>
  <w:abstractNum w:abstractNumId="17">
    <w:nsid w:val="78B5E776"/>
    <w:multiLevelType w:val="hybridMultilevel"/>
    <w:lvl w:ilvl="0">
      <w:lvlJc w:val="left"/>
      <w:lvlText w:val="(%1)"/>
      <w:numFmt w:val="lowerRoman"/>
      <w:start w:val="7"/>
    </w:lvl>
  </w:abstractNum>
  <w:abstractNum w:abstractNumId="18">
    <w:nsid w:val="75486E47"/>
    <w:multiLevelType w:val="hybridMultilevel"/>
    <w:lvl w:ilvl="0">
      <w:lvlJc w:val="left"/>
      <w:lvlText w:val="(%1)"/>
      <w:numFmt w:val="decimal"/>
      <w:start w:val="3"/>
    </w:lvl>
  </w:abstractNum>
  <w:abstractNum w:abstractNumId="19">
    <w:nsid w:val="6E534CDE"/>
    <w:multiLevelType w:val="hybridMultilevel"/>
    <w:lvl w:ilvl="0">
      <w:lvlJc w:val="left"/>
      <w:lvlText w:val="(%1)"/>
      <w:numFmt w:val="lowerRoman"/>
      <w:start w:val="1"/>
    </w:lvl>
  </w:abstractNum>
  <w:abstractNum w:abstractNumId="20">
    <w:nsid w:val="1A0DDE32"/>
    <w:multiLevelType w:val="hybridMultilevel"/>
    <w:lvl w:ilvl="0">
      <w:lvlJc w:val="left"/>
      <w:lvlText w:val="(%1)"/>
      <w:numFmt w:val="lowerLetter"/>
      <w:start w:val="1"/>
    </w:lvl>
  </w:abstractNum>
  <w:abstractNum w:abstractNumId="21">
    <w:nsid w:val="65968C1C"/>
    <w:multiLevelType w:val="hybridMultilevel"/>
    <w:lvl w:ilvl="0">
      <w:lvlJc w:val="left"/>
      <w:lvlText w:val="(%1)"/>
      <w:numFmt w:val="decimal"/>
      <w:start w:val="1"/>
    </w:lvl>
  </w:abstractNum>
  <w:abstractNum w:abstractNumId="22">
    <w:nsid w:val="46263DEC"/>
    <w:multiLevelType w:val="hybridMultilevel"/>
    <w:lvl w:ilvl="0">
      <w:lvlJc w:val="left"/>
      <w:lvlText w:val="(%1)"/>
      <w:numFmt w:val="decimal"/>
      <w:start w:val="6"/>
    </w:lvl>
  </w:abstractNum>
  <w:abstractNum w:abstractNumId="23">
    <w:nsid w:val="260D8C4A"/>
    <w:multiLevelType w:val="hybridMultilevel"/>
    <w:lvl w:ilvl="0">
      <w:lvlJc w:val="left"/>
      <w:lvlText w:val="(%1)"/>
      <w:numFmt w:val="decimal"/>
      <w:start w:val="1"/>
    </w:lvl>
  </w:abstractNum>
  <w:abstractNum w:abstractNumId="24">
    <w:nsid w:val="73D4D3C4"/>
    <w:multiLevelType w:val="hybridMultilevel"/>
    <w:lvl w:ilvl="0">
      <w:lvlJc w:val="left"/>
      <w:lvlText w:val="(%1)"/>
      <w:numFmt w:val="decimal"/>
      <w:start w:val="1"/>
    </w:lvl>
  </w:abstractNum>
  <w:abstractNum w:abstractNumId="25">
    <w:nsid w:val="746F2E30"/>
    <w:multiLevelType w:val="hybridMultilevel"/>
    <w:lvl w:ilvl="0">
      <w:lvlJc w:val="left"/>
      <w:lvlText w:val="(%1)"/>
      <w:numFmt w:val="lowerLetter"/>
      <w:start w:val="1"/>
    </w:lvl>
  </w:abstractNum>
  <w:abstractNum w:abstractNumId="26">
    <w:nsid w:val="6FDE8AF6"/>
    <w:multiLevelType w:val="hybridMultilevel"/>
    <w:lvl w:ilvl="0">
      <w:lvlJc w:val="left"/>
      <w:lvlText w:val="(%1)"/>
      <w:numFmt w:val="lowerLetter"/>
      <w:start w:val="4"/>
    </w:lvl>
  </w:abstractNum>
  <w:abstractNum w:abstractNumId="27">
    <w:nsid w:val="3FC32E20"/>
    <w:multiLevelType w:val="hybridMultilevel"/>
    <w:lvl w:ilvl="0">
      <w:lvlJc w:val="left"/>
      <w:lvlText w:val="(%1)"/>
      <w:numFmt w:val="lowerRoman"/>
      <w:start w:val="2"/>
    </w:lvl>
  </w:abstractNum>
  <w:abstractNum w:abstractNumId="28">
    <w:nsid w:val="49C0E823"/>
    <w:multiLevelType w:val="hybridMultilevel"/>
    <w:lvl w:ilvl="0">
      <w:lvlJc w:val="left"/>
      <w:lvlText w:val="(%1)"/>
      <w:numFmt w:val="decimal"/>
      <w:start w:val="1"/>
    </w:lvl>
  </w:abstractNum>
  <w:abstractNum w:abstractNumId="29">
    <w:nsid w:val="14D53685"/>
    <w:multiLevelType w:val="hybridMultilevel"/>
    <w:lvl w:ilvl="0">
      <w:lvlJc w:val="left"/>
      <w:lvlText w:val="(%1)"/>
      <w:numFmt w:val="decimal"/>
      <w:start w:val="1"/>
    </w:lvl>
    <w:lvl w:ilvl="1">
      <w:lvlJc w:val="left"/>
      <w:lvlText w:val="(%2)"/>
      <w:numFmt w:val="lowerLetter"/>
      <w:start w:val="1"/>
    </w:lvl>
  </w:abstractNum>
  <w:abstractNum w:abstractNumId="30">
    <w:nsid w:val="230F856C"/>
    <w:multiLevelType w:val="hybridMultilevel"/>
    <w:lvl w:ilvl="0">
      <w:lvlJc w:val="left"/>
      <w:lvlText w:val="%1"/>
      <w:numFmt w:val="lowerRoman"/>
      <w:start w:val="1"/>
    </w:lvl>
    <w:lvl w:ilvl="1">
      <w:lvlJc w:val="left"/>
      <w:lvlText w:val="(%2)"/>
      <w:numFmt w:val="decimal"/>
      <w:start w:val="8"/>
    </w:lvl>
  </w:abstractNum>
  <w:abstractNum w:abstractNumId="31">
    <w:nsid w:val="6EAA85FB"/>
    <w:multiLevelType w:val="hybridMultilevel"/>
    <w:lvl w:ilvl="0">
      <w:lvlJc w:val="left"/>
      <w:lvlText w:val="(%1)"/>
      <w:numFmt w:val="lowerRoman"/>
      <w:start w:val="4"/>
    </w:lvl>
    <w:lvl w:ilvl="1">
      <w:lvlJc w:val="left"/>
      <w:lvlText w:val="(%2)"/>
      <w:numFmt w:val="decimal"/>
      <w:start w:val="14"/>
    </w:lvl>
  </w:abstractNum>
  <w:abstractNum w:abstractNumId="32">
    <w:nsid w:val="3F06ECB2"/>
    <w:multiLevelType w:val="hybridMultilevel"/>
    <w:lvl w:ilvl="0">
      <w:lvlJc w:val="left"/>
      <w:lvlText w:val="(%1)"/>
      <w:numFmt w:val="decimal"/>
      <w:start w:val="1"/>
    </w:lvl>
  </w:abstractNum>
  <w:abstractNum w:abstractNumId="33">
    <w:nsid w:val="3B594807"/>
    <w:multiLevelType w:val="hybridMultilevel"/>
    <w:lvl w:ilvl="0">
      <w:lvlJc w:val="left"/>
      <w:lvlText w:val="(%1)"/>
      <w:numFmt w:val="decimal"/>
      <w:start w:val="3"/>
    </w:lvl>
    <w:lvl w:ilvl="1">
      <w:lvlJc w:val="left"/>
      <w:lvlText w:val="(%2)"/>
      <w:numFmt w:val="lowerLetter"/>
      <w:start w:val="1"/>
    </w:lvl>
  </w:abstractNum>
  <w:abstractNum w:abstractNumId="34">
    <w:nsid w:val="6CAA2304"/>
    <w:multiLevelType w:val="hybridMultilevel"/>
    <w:lvl w:ilvl="0">
      <w:lvlJc w:val="left"/>
      <w:lvlText w:val="%1"/>
      <w:numFmt w:val="decimal"/>
      <w:start w:val="1"/>
    </w:lvl>
    <w:lvl w:ilvl="1">
      <w:lvlJc w:val="left"/>
      <w:lvlText w:val="(%2)"/>
      <w:numFmt w:val="lowerLetter"/>
      <w:start w:val="2"/>
    </w:lvl>
  </w:abstractNum>
  <w:abstractNum w:abstractNumId="35">
    <w:nsid w:val="3F7C2FF4"/>
    <w:multiLevelType w:val="hybridMultilevel"/>
    <w:lvl w:ilvl="0">
      <w:lvlJc w:val="left"/>
      <w:lvlText w:val="(%1)"/>
      <w:numFmt w:val="decimal"/>
      <w:start w:val="14"/>
    </w:lvl>
    <w:lvl w:ilvl="1">
      <w:lvlJc w:val="left"/>
      <w:lvlText w:val="%2"/>
      <w:numFmt w:val="lowerLetter"/>
      <w:start w:val="1"/>
    </w:lvl>
  </w:abstractNum>
  <w:abstractNum w:abstractNumId="36">
    <w:nsid w:val="25413BEC"/>
    <w:multiLevelType w:val="hybridMultilevel"/>
    <w:lvl w:ilvl="0">
      <w:lvlJc w:val="left"/>
      <w:lvlText w:val="(%1)"/>
      <w:numFmt w:val="decimal"/>
      <w:start w:val="25"/>
    </w:lvl>
  </w:abstractNum>
  <w:abstractNum w:abstractNumId="37">
    <w:nsid w:val="17180B0B"/>
    <w:multiLevelType w:val="hybridMultilevel"/>
    <w:lvl w:ilvl="0">
      <w:lvlJc w:val="left"/>
      <w:lvlText w:val="(%1)"/>
      <w:numFmt w:val="decimal"/>
      <w:start w:val="39"/>
    </w:lvl>
  </w:abstractNum>
  <w:abstractNum w:abstractNumId="38">
    <w:nsid w:val="579328B9"/>
    <w:multiLevelType w:val="hybridMultilevel"/>
    <w:lvl w:ilvl="0">
      <w:lvlJc w:val="left"/>
      <w:lvlText w:val="(%1)"/>
      <w:numFmt w:val="decimal"/>
      <w:start w:val="1"/>
    </w:lvl>
  </w:abstractNum>
  <w:abstractNum w:abstractNumId="39">
    <w:nsid w:val="5D205E20"/>
    <w:multiLevelType w:val="hybridMultilevel"/>
    <w:lvl w:ilvl="0">
      <w:lvlJc w:val="left"/>
      <w:lvlText w:val="(%1)"/>
      <w:numFmt w:val="lowerRoman"/>
      <w:start w:val="10"/>
    </w:lvl>
  </w:abstractNum>
  <w:abstractNum w:abstractNumId="40">
    <w:nsid w:val="11CCA8BA"/>
    <w:multiLevelType w:val="hybridMultilevel"/>
    <w:lvl w:ilvl="0">
      <w:lvlJc w:val="left"/>
      <w:lvlText w:val="(%1)"/>
      <w:numFmt w:val="decimal"/>
      <w:start w:val="1"/>
    </w:lvl>
  </w:abstractNum>
  <w:abstractNum w:abstractNumId="41">
    <w:nsid w:val="4D32AB86"/>
    <w:multiLevelType w:val="hybridMultilevel"/>
    <w:lvl w:ilvl="0">
      <w:lvlJc w:val="left"/>
      <w:lvlText w:val="(%1)"/>
      <w:numFmt w:val="decimal"/>
      <w:start w:val="1"/>
    </w:lvl>
  </w:abstractNum>
  <w:abstractNum w:abstractNumId="42">
    <w:nsid w:val="3F07ACC3"/>
    <w:multiLevelType w:val="hybridMultilevel"/>
    <w:lvl w:ilvl="0">
      <w:lvlJc w:val="left"/>
      <w:lvlText w:val="(%1)"/>
      <w:numFmt w:val="decimal"/>
      <w:start w:val="4"/>
    </w:lvl>
  </w:abstractNum>
  <w:abstractNum w:abstractNumId="43">
    <w:nsid w:val="6B47F63E"/>
    <w:multiLevelType w:val="hybridMultilevel"/>
    <w:lvl w:ilvl="0">
      <w:lvlJc w:val="left"/>
      <w:lvlText w:val="(%1)"/>
      <w:numFmt w:val="decimal"/>
      <w:start w:val="1"/>
    </w:lvl>
  </w:abstractNum>
  <w:abstractNum w:abstractNumId="44">
    <w:nsid w:val="5CB44A05"/>
    <w:multiLevelType w:val="hybridMultilevel"/>
    <w:lvl w:ilvl="0">
      <w:lvlJc w:val="left"/>
      <w:lvlText w:val="(%1)"/>
      <w:numFmt w:val="lowerLetter"/>
      <w:start w:val="1"/>
    </w:lvl>
  </w:abstractNum>
  <w:abstractNum w:abstractNumId="45">
    <w:nsid w:val="16CF80F1"/>
    <w:multiLevelType w:val="hybridMultilevel"/>
    <w:lvl w:ilvl="0">
      <w:lvlJc w:val="left"/>
      <w:lvlText w:val="%1"/>
      <w:numFmt w:val="upperLetter"/>
      <w:start w:val="1"/>
    </w:lvl>
    <w:lvl w:ilvl="1">
      <w:lvlJc w:val="left"/>
      <w:lvlText w:val="(%2)"/>
      <w:numFmt w:val="lowerLetter"/>
      <w:start w:val="1"/>
    </w:lvl>
  </w:abstractNum>
  <w:abstractNum w:abstractNumId="46">
    <w:nsid w:val="1C695DEC"/>
    <w:multiLevelType w:val="hybridMultilevel"/>
    <w:lvl w:ilvl="0">
      <w:lvlJc w:val="left"/>
      <w:lvlText w:val="(%1)"/>
      <w:numFmt w:val="upperLetter"/>
      <w:start w:val="2"/>
    </w:lvl>
    <w:lvl w:ilvl="1">
      <w:lvlJc w:val="left"/>
      <w:lvlText w:val="%2"/>
      <w:numFmt w:val="lowerLetter"/>
      <w:start w:val="1"/>
    </w:lvl>
  </w:abstractNum>
  <w:abstractNum w:abstractNumId="47">
    <w:nsid w:val="3FCFAED9"/>
    <w:multiLevelType w:val="hybridMultilevel"/>
    <w:lvl w:ilvl="0">
      <w:lvlJc w:val="left"/>
      <w:lvlText w:val="(%1)"/>
      <w:numFmt w:val="lowerLetter"/>
      <w:start w:val="3"/>
    </w:lvl>
  </w:abstractNum>
  <w:abstractNum w:abstractNumId="48">
    <w:nsid w:val="F856867"/>
    <w:multiLevelType w:val="hybridMultilevel"/>
    <w:lvl w:ilvl="0">
      <w:lvlJc w:val="left"/>
      <w:lvlText w:val="(%1)"/>
      <w:numFmt w:val="decimal"/>
      <w:start w:val="1"/>
    </w:lvl>
  </w:abstractNum>
  <w:abstractNum w:abstractNumId="49">
    <w:nsid w:val="11B1CC33"/>
    <w:multiLevelType w:val="hybridMultilevel"/>
    <w:lvl w:ilvl="0">
      <w:lvlJc w:val="left"/>
      <w:lvlText w:val="(%1)"/>
      <w:numFmt w:val="lowerLetter"/>
      <w:start w:val="4"/>
    </w:lvl>
  </w:abstractNum>
  <w:abstractNum w:abstractNumId="50">
    <w:nsid w:val="2E22FBB7"/>
    <w:multiLevelType w:val="hybridMultilevel"/>
    <w:lvl w:ilvl="0">
      <w:lvlJc w:val="left"/>
      <w:lvlText w:val="(%1)"/>
      <w:numFmt w:val="lowerLetter"/>
      <w:start w:val="1"/>
    </w:lvl>
  </w:abstractNum>
  <w:abstractNum w:abstractNumId="51">
    <w:nsid w:val="29934699"/>
    <w:multiLevelType w:val="hybridMultilevel"/>
    <w:lvl w:ilvl="0">
      <w:lvlJc w:val="left"/>
      <w:lvlText w:val="(%1)"/>
      <w:numFmt w:val="lowerLetter"/>
      <w:start w:val="2"/>
    </w:lvl>
  </w:abstractNum>
  <w:abstractNum w:abstractNumId="52">
    <w:nsid w:val="77485850"/>
    <w:multiLevelType w:val="hybridMultilevel"/>
    <w:lvl w:ilvl="0">
      <w:lvlJc w:val="left"/>
      <w:lvlText w:val="(%1)"/>
      <w:numFmt w:val="lowerLetter"/>
      <w:start w:val="1"/>
    </w:lvl>
    <w:lvl w:ilvl="1">
      <w:lvlJc w:val="left"/>
      <w:lvlText w:val="(%2)"/>
      <w:numFmt w:val="decimal"/>
      <w:start w:val="1"/>
    </w:lvl>
  </w:abstractNum>
  <w:abstractNum w:abstractNumId="53">
    <w:nsid w:val="744939A3"/>
    <w:multiLevelType w:val="hybridMultilevel"/>
    <w:lvl w:ilvl="0">
      <w:lvlJc w:val="left"/>
      <w:lvlText w:val="(%1)"/>
      <w:numFmt w:val="decimal"/>
      <w:start w:val="2"/>
    </w:lvl>
  </w:abstractNum>
  <w:abstractNum w:abstractNumId="54">
    <w:nsid w:val="4FA0D2E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5">
    <w:nsid w:val="6B1D2C14"/>
    <w:multiLevelType w:val="hybridMultilevel"/>
    <w:lvl w:ilvl="0">
      <w:lvlJc w:val="left"/>
      <w:lvlText w:val="(%1)"/>
      <w:numFmt w:val="upperLetter"/>
      <w:start w:val="2"/>
    </w:lvl>
    <w:lvl w:ilvl="1">
      <w:lvlJc w:val="left"/>
      <w:lvlText w:val="(%2)"/>
      <w:numFmt w:val="lowerRoman"/>
      <w:start w:val="1"/>
    </w:lvl>
  </w:abstractNum>
  <w:abstractNum w:abstractNumId="56">
    <w:nsid w:val="68B867D3"/>
    <w:multiLevelType w:val="hybridMultilevel"/>
    <w:lvl w:ilvl="0">
      <w:lvlJc w:val="left"/>
      <w:lvlText w:val="(%1)"/>
      <w:numFmt w:val="decimal"/>
      <w:start w:val="3"/>
    </w:lvl>
    <w:lvl w:ilvl="1">
      <w:lvlJc w:val="left"/>
      <w:lvlText w:val="(%2)"/>
      <w:numFmt w:val="upperLetter"/>
      <w:start w:val="1"/>
    </w:lvl>
  </w:abstractNum>
  <w:abstractNum w:abstractNumId="57">
    <w:nsid w:val="3F7F5DD9"/>
    <w:multiLevelType w:val="hybridMultilevel"/>
    <w:lvl w:ilvl="0">
      <w:lvlJc w:val="left"/>
      <w:lvlText w:val="(%1)"/>
      <w:numFmt w:val="decimal"/>
      <w:start w:val="3"/>
    </w:lvl>
    <w:lvl w:ilvl="1">
      <w:lvlJc w:val="left"/>
      <w:lvlText w:val="%2"/>
      <w:numFmt w:val="upperLetter"/>
      <w:start w:val="1"/>
    </w:lvl>
  </w:abstractNum>
  <w:abstractNum w:abstractNumId="58">
    <w:nsid w:val="2AE05A34"/>
    <w:multiLevelType w:val="hybridMultilevel"/>
    <w:lvl w:ilvl="0">
      <w:lvlJc w:val="left"/>
      <w:lvlText w:val="(%1)"/>
      <w:numFmt w:val="decimal"/>
      <w:start w:val="4"/>
    </w:lvl>
    <w:lvl w:ilvl="1">
      <w:lvlJc w:val="left"/>
      <w:lvlText w:val="(%2)"/>
      <w:numFmt w:val="upperLetter"/>
      <w:start w:val="1"/>
    </w:lvl>
  </w:abstractNum>
  <w:abstractNum w:abstractNumId="59">
    <w:nsid w:val="32794FF7"/>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0">
    <w:nsid w:val="5454945E"/>
    <w:multiLevelType w:val="hybridMultilevel"/>
    <w:lvl w:ilvl="0">
      <w:lvlJc w:val="left"/>
      <w:lvlText w:val="(%1)"/>
      <w:numFmt w:val="decimal"/>
      <w:start w:val="2"/>
    </w:lvl>
    <w:lvl w:ilvl="1">
      <w:lvlJc w:val="left"/>
      <w:lvlText w:val="(%2)"/>
      <w:numFmt w:val="upperLetter"/>
      <w:start w:val="1"/>
    </w:lvl>
  </w:abstractNum>
  <w:abstractNum w:abstractNumId="61">
    <w:nsid w:val="4DEFDFA0"/>
    <w:multiLevelType w:val="hybridMultilevel"/>
    <w:lvl w:ilvl="0">
      <w:lvlJc w:val="left"/>
      <w:lvlText w:val="%1"/>
      <w:numFmt w:val="decimal"/>
      <w:start w:val="1"/>
    </w:lvl>
    <w:lvl w:ilvl="1">
      <w:lvlJc w:val="left"/>
      <w:lvlText w:val="(%2)"/>
      <w:numFmt w:val="decimal"/>
      <w:start w:val="3"/>
    </w:lvl>
  </w:abstractNum>
  <w:abstractNum w:abstractNumId="62">
    <w:nsid w:val="2123D5F2"/>
    <w:multiLevelType w:val="hybridMultilevel"/>
    <w:lvl w:ilvl="0">
      <w:lvlJc w:val="left"/>
      <w:lvlText w:val="(%1)"/>
      <w:numFmt w:val="decimal"/>
      <w:start w:val="3"/>
    </w:lvl>
    <w:lvl w:ilvl="1">
      <w:lvlJc w:val="left"/>
      <w:lvlText w:val="%2"/>
      <w:numFmt w:val="decimal"/>
      <w:start w:val="1"/>
    </w:lvl>
  </w:abstractNum>
  <w:abstractNum w:abstractNumId="63">
    <w:nsid w:val="135B8110"/>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64">
    <w:nsid w:val="94927A8"/>
    <w:multiLevelType w:val="hybridMultilevel"/>
    <w:lvl w:ilvl="0">
      <w:lvlJc w:val="left"/>
      <w:lvlText w:val="%1"/>
      <w:numFmt w:val="decimal"/>
      <w:start w:val="1"/>
    </w:lvl>
    <w:lvl w:ilvl="1">
      <w:lvlJc w:val="left"/>
      <w:lvlText w:val="(%2)"/>
      <w:numFmt w:val="upperLetter"/>
      <w:start w:val="2"/>
    </w:lvl>
  </w:abstractNum>
  <w:abstractNum w:abstractNumId="65">
    <w:nsid w:val="DCDF8F6"/>
    <w:multiLevelType w:val="hybridMultilevel"/>
    <w:lvl w:ilvl="0">
      <w:lvlJc w:val="left"/>
      <w:lvlText w:val="(%1)"/>
      <w:numFmt w:val="decimal"/>
      <w:start w:val="3"/>
    </w:lvl>
    <w:lvl w:ilvl="1">
      <w:lvlJc w:val="left"/>
      <w:lvlText w:val="(%2)"/>
      <w:numFmt w:val="upperLetter"/>
      <w:start w:val="5"/>
    </w:lvl>
  </w:abstractNum>
  <w:abstractNum w:abstractNumId="66">
    <w:nsid w:val="52D7B105"/>
    <w:multiLevelType w:val="hybridMultilevel"/>
    <w:lvl w:ilvl="0">
      <w:lvlJc w:val="left"/>
      <w:lvlText w:val="(%1)"/>
      <w:numFmt w:val="decimal"/>
      <w:start w:val="3"/>
    </w:lvl>
    <w:lvl w:ilvl="1">
      <w:lvlJc w:val="left"/>
      <w:lvlText w:val="(%2)"/>
      <w:numFmt w:val="upperLetter"/>
      <w:start w:val="6"/>
    </w:lvl>
  </w:abstractNum>
  <w:abstractNum w:abstractNumId="67">
    <w:nsid w:val="2E8A6394"/>
    <w:multiLevelType w:val="hybridMultilevel"/>
    <w:lvl w:ilvl="0">
      <w:lvlJc w:val="left"/>
      <w:lvlText w:val="(%1)"/>
      <w:numFmt w:val="upperLetter"/>
      <w:start w:val="1"/>
    </w:lvl>
  </w:abstractNum>
  <w:abstractNum w:abstractNumId="68">
    <w:nsid w:val="24E60401"/>
    <w:multiLevelType w:val="hybridMultilevel"/>
    <w:lvl w:ilvl="0">
      <w:lvlJc w:val="left"/>
      <w:lvlText w:val="(%1)"/>
      <w:numFmt w:val="decimal"/>
      <w:start w:val="2"/>
    </w:lvl>
    <w:lvl w:ilvl="1">
      <w:lvlJc w:val="left"/>
      <w:lvlText w:val="(%2)"/>
      <w:numFmt w:val="upperLetter"/>
      <w:start w:val="1"/>
    </w:lvl>
  </w:abstractNum>
  <w:abstractNum w:abstractNumId="69">
    <w:nsid w:val="2A6AD9BE"/>
    <w:multiLevelType w:val="hybridMultilevel"/>
    <w:lvl w:ilvl="0">
      <w:lvlJc w:val="left"/>
      <w:lvlText w:val="(%1)"/>
      <w:numFmt w:val="decimal"/>
      <w:start w:val="3"/>
    </w:lvl>
  </w:abstractNum>
  <w:abstractNum w:abstractNumId="70">
    <w:nsid w:val="BAAC1B4"/>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71">
    <w:nsid w:val="36B2ACB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2">
    <w:nsid w:val="779D8544"/>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73">
    <w:nsid w:val="4AB26E78"/>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74">
    <w:nsid w:val="21FAA2FA"/>
    <w:multiLevelType w:val="hybridMultilevel"/>
    <w:lvl w:ilvl="0">
      <w:lvlJc w:val="left"/>
      <w:lvlText w:val="(%1)"/>
      <w:numFmt w:val="lowerLetter"/>
      <w:start w:val="4"/>
    </w:lvl>
    <w:lvl w:ilvl="1">
      <w:lvlJc w:val="left"/>
      <w:lvlText w:val="%2"/>
      <w:numFmt w:val="upperLetter"/>
      <w:start w:val="1"/>
    </w:lvl>
    <w:lvl w:ilvl="2">
      <w:lvlJc w:val="left"/>
      <w:lvlText w:val="(%3)"/>
      <w:numFmt w:val="decimal"/>
      <w:start w:val="2"/>
    </w:lvl>
  </w:abstractNum>
  <w:abstractNum w:abstractNumId="75">
    <w:nsid w:val="5451CF49"/>
    <w:multiLevelType w:val="hybridMultilevel"/>
    <w:lvl w:ilvl="0">
      <w:lvlJc w:val="left"/>
      <w:lvlText w:val="(%1)"/>
      <w:numFmt w:val="decimal"/>
      <w:start w:val="3"/>
    </w:lvl>
  </w:abstractNum>
  <w:abstractNum w:abstractNumId="76">
    <w:nsid w:val="6181EF69"/>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77">
    <w:nsid w:val="3E6400E6"/>
    <w:multiLevelType w:val="hybridMultilevel"/>
    <w:lvl w:ilvl="0">
      <w:lvlJc w:val="left"/>
      <w:lvlText w:val="(%1)"/>
      <w:numFmt w:val="decimal"/>
      <w:start w:val="7"/>
    </w:lvl>
  </w:abstractNum>
  <w:abstractNum w:abstractNumId="78">
    <w:nsid w:val="14217E23"/>
    <w:multiLevelType w:val="hybridMultilevel"/>
    <w:lvl w:ilvl="0">
      <w:lvlJc w:val="left"/>
      <w:lvlText w:val="(%1)"/>
      <w:numFmt w:val="decimal"/>
      <w:start w:val="1"/>
    </w:lvl>
  </w:abstractNum>
  <w:abstractNum w:abstractNumId="79">
    <w:nsid w:val="710757D0"/>
    <w:multiLevelType w:val="hybridMultilevel"/>
    <w:lvl w:ilvl="0">
      <w:lvlJc w:val="left"/>
      <w:lvlText w:val="(%1)"/>
      <w:numFmt w:val="decimal"/>
      <w:start w:val="1"/>
    </w:lvl>
  </w:abstractNum>
  <w:abstractNum w:abstractNumId="80">
    <w:nsid w:val="5015CD1A"/>
    <w:multiLevelType w:val="hybridMultilevel"/>
    <w:lvl w:ilvl="0">
      <w:lvlJc w:val="left"/>
      <w:lvlText w:val="(%1)"/>
      <w:numFmt w:val="decimal"/>
      <w:start w:val="5"/>
    </w:lvl>
  </w:abstractNum>
  <w:abstractNum w:abstractNumId="81">
    <w:nsid w:val="424479DA"/>
    <w:multiLevelType w:val="hybridMultilevel"/>
    <w:lvl w:ilvl="0">
      <w:lvlJc w:val="left"/>
      <w:lvlText w:val="(%1)"/>
      <w:numFmt w:val="lowerLetter"/>
      <w:start w:val="1"/>
    </w:lvl>
    <w:lvl w:ilvl="1">
      <w:lvlJc w:val="left"/>
      <w:lvlText w:val="(%2)"/>
      <w:numFmt w:val="decimal"/>
      <w:start w:val="1"/>
    </w:lvl>
  </w:abstractNum>
  <w:abstractNum w:abstractNumId="82">
    <w:nsid w:val="1A9A9E69"/>
    <w:multiLevelType w:val="hybridMultilevel"/>
    <w:lvl w:ilvl="0">
      <w:lvlJc w:val="left"/>
      <w:lvlText w:val="(%1)"/>
      <w:numFmt w:val="lowerLetter"/>
      <w:start w:val="6"/>
    </w:lvl>
  </w:abstractNum>
  <w:abstractNum w:abstractNumId="83">
    <w:nsid w:val="475E256A"/>
    <w:multiLevelType w:val="hybridMultilevel"/>
    <w:lvl w:ilvl="0">
      <w:lvlJc w:val="left"/>
      <w:lvlText w:val="(%1)"/>
      <w:numFmt w:val="decimal"/>
      <w:start w:val="1"/>
    </w:lvl>
  </w:abstractNum>
  <w:abstractNum w:abstractNumId="84">
    <w:nsid w:val="368DB37E"/>
    <w:multiLevelType w:val="hybridMultilevel"/>
    <w:lvl w:ilvl="0">
      <w:lvlJc w:val="left"/>
      <w:lvlText w:val="(%1)"/>
      <w:numFmt w:val="decimal"/>
      <w:start w:val="8"/>
    </w:lvl>
  </w:abstractNum>
  <w:abstractNum w:abstractNumId="85">
    <w:nsid w:val="6A3B714C"/>
    <w:multiLevelType w:val="hybridMultilevel"/>
    <w:lvl w:ilvl="0">
      <w:lvlJc w:val="left"/>
      <w:lvlText w:val="(%1)"/>
      <w:numFmt w:val="lowerLetter"/>
      <w:start w:val="1"/>
    </w:lvl>
    <w:lvl w:ilvl="1">
      <w:lvlJc w:val="left"/>
      <w:lvlText w:val="(%2)"/>
      <w:numFmt w:val="decimal"/>
      <w:start w:val="1"/>
    </w:lvl>
  </w:abstractNum>
  <w:abstractNum w:abstractNumId="86">
    <w:nsid w:val="327B517E"/>
    <w:multiLevelType w:val="hybridMultilevel"/>
    <w:lvl w:ilvl="0">
      <w:lvlJc w:val="left"/>
      <w:lvlText w:val="%1"/>
      <w:numFmt w:val="lowerLetter"/>
      <w:start w:val="1"/>
    </w:lvl>
    <w:lvl w:ilvl="1">
      <w:lvlJc w:val="left"/>
      <w:lvlText w:val="(%2)"/>
      <w:numFmt w:val="lowerLetter"/>
      <w:start w:val="2"/>
    </w:lvl>
  </w:abstractNum>
  <w:abstractNum w:abstractNumId="87">
    <w:nsid w:val="1F461B51"/>
    <w:multiLevelType w:val="hybridMultilevel"/>
    <w:lvl w:ilvl="0">
      <w:lvlJc w:val="left"/>
      <w:lvlText w:val="(%1)"/>
      <w:numFmt w:val="lowerLetter"/>
      <w:start w:val="1"/>
    </w:lvl>
    <w:lvl w:ilvl="1">
      <w:lvlJc w:val="left"/>
      <w:lvlText w:val="(%2)"/>
      <w:numFmt w:val="lowerLetter"/>
      <w:start w:val="4"/>
    </w:lvl>
  </w:abstractNum>
  <w:abstractNum w:abstractNumId="88">
    <w:nsid w:val="29BACF25"/>
    <w:multiLevelType w:val="hybridMultilevel"/>
    <w:lvl w:ilvl="0">
      <w:lvlJc w:val="left"/>
      <w:lvlText w:val="(%1)"/>
      <w:numFmt w:val="lowerLetter"/>
      <w:start w:val="5"/>
    </w:lvl>
  </w:abstractNum>
  <w:abstractNum w:abstractNumId="89">
    <w:nsid w:val="5D5BABB3"/>
    <w:multiLevelType w:val="hybridMultilevel"/>
    <w:lvl w:ilvl="0">
      <w:lvlJc w:val="left"/>
      <w:lvlText w:val="(%1)"/>
      <w:numFmt w:val="lowerLetter"/>
      <w:start w:val="1"/>
    </w:lvl>
  </w:abstractNum>
  <w:abstractNum w:abstractNumId="90">
    <w:nsid w:val="51BF6B48"/>
    <w:multiLevelType w:val="hybridMultilevel"/>
    <w:lvl w:ilvl="0">
      <w:lvlJc w:val="left"/>
      <w:lvlText w:val="(%1)"/>
      <w:numFmt w:val="lowerLetter"/>
      <w:start w:val="1"/>
    </w:lvl>
    <w:lvl w:ilvl="1">
      <w:lvlJc w:val="left"/>
      <w:lvlText w:val="(%2)"/>
      <w:numFmt w:val="decimal"/>
      <w:start w:val="1"/>
    </w:lvl>
  </w:abstractNum>
  <w:abstractNum w:abstractNumId="91">
    <w:nsid w:val="7E0F6384"/>
    <w:multiLevelType w:val="hybridMultilevel"/>
    <w:lvl w:ilvl="0">
      <w:lvlJc w:val="left"/>
      <w:lvlText w:val="(%1)"/>
      <w:numFmt w:val="decimal"/>
      <w:start w:val="1"/>
    </w:lvl>
    <w:lvl w:ilvl="1">
      <w:lvlJc w:val="left"/>
      <w:lvlText w:val="(%2)"/>
      <w:numFmt w:val="upperLetter"/>
      <w:start w:val="1"/>
    </w:lvl>
  </w:abstractNum>
  <w:abstractNum w:abstractNumId="92">
    <w:nsid w:val="2B4B8B5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93">
    <w:nsid w:val="72E3413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4">
    <w:nsid w:val="116AE494"/>
    <w:multiLevelType w:val="hybridMultilevel"/>
    <w:lvl w:ilvl="0">
      <w:lvlJc w:val="left"/>
      <w:lvlText w:val="(%1)"/>
      <w:numFmt w:val="decimal"/>
      <w:start w:val="6"/>
    </w:lvl>
  </w:abstractNum>
  <w:abstractNum w:abstractNumId="95">
    <w:nsid w:val="3494B2FB"/>
    <w:multiLevelType w:val="hybridMultilevel"/>
    <w:lvl w:ilvl="0">
      <w:lvlJc w:val="left"/>
      <w:lvlText w:val="%1"/>
      <w:numFmt w:val="lowerRoman"/>
      <w:start w:val="1"/>
    </w:lvl>
    <w:lvl w:ilvl="1">
      <w:lvlJc w:val="left"/>
      <w:lvlText w:val="(%2)"/>
      <w:numFmt w:val="decimal"/>
      <w:start w:val="15"/>
    </w:lvl>
  </w:abstractNum>
  <w:abstractNum w:abstractNumId="96">
    <w:nsid w:val="B13A31"/>
    <w:multiLevelType w:val="hybridMultilevel"/>
    <w:lvl w:ilvl="0">
      <w:lvlJc w:val="left"/>
      <w:lvlText w:val="(%1)"/>
      <w:numFmt w:val="lowerRoman"/>
      <w:start w:val="1"/>
    </w:lvl>
    <w:lvl w:ilvl="1">
      <w:lvlJc w:val="left"/>
      <w:lvlText w:val="%2"/>
      <w:numFmt w:val="decimal"/>
      <w:start w:val="1"/>
    </w:lvl>
  </w:abstractNum>
  <w:abstractNum w:abstractNumId="97">
    <w:nsid w:val="64429599"/>
    <w:multiLevelType w:val="hybridMultilevel"/>
    <w:lvl w:ilvl="0">
      <w:lvlJc w:val="left"/>
      <w:lvlText w:val="(%1)"/>
      <w:numFmt w:val="lowerLetter"/>
      <w:start w:val="3"/>
    </w:lvl>
  </w:abstractNum>
  <w:abstractNum w:abstractNumId="98">
    <w:nsid w:val="631F1690"/>
    <w:multiLevelType w:val="hybridMultilevel"/>
    <w:lvl w:ilvl="0">
      <w:lvlJc w:val="left"/>
      <w:lvlText w:val="(%1)"/>
      <w:numFmt w:val="lowerLetter"/>
      <w:start w:val="1"/>
    </w:lvl>
    <w:lvl w:ilvl="1">
      <w:lvlJc w:val="left"/>
      <w:lvlText w:val="(%2)"/>
      <w:numFmt w:val="decimal"/>
      <w:start w:val="1"/>
    </w:lvl>
  </w:abstractNum>
  <w:abstractNum w:abstractNumId="99">
    <w:nsid w:val="25973E32"/>
    <w:multiLevelType w:val="hybridMultilevel"/>
    <w:lvl w:ilvl="0">
      <w:lvlJc w:val="left"/>
      <w:lvlText w:val="(%1)"/>
      <w:numFmt w:val="decimal"/>
      <w:start w:val="2"/>
    </w:lvl>
  </w:abstractNum>
  <w:abstractNum w:abstractNumId="100">
    <w:nsid w:val="EAD6F57"/>
    <w:multiLevelType w:val="hybridMultilevel"/>
    <w:lvl w:ilvl="0">
      <w:lvlJc w:val="left"/>
      <w:lvlText w:val="(%1)"/>
      <w:numFmt w:val="decimal"/>
      <w:start w:val="11"/>
    </w:lvl>
  </w:abstractNum>
  <w:abstractNum w:abstractNumId="101">
    <w:nsid w:val="6EC9D844"/>
    <w:multiLevelType w:val="hybridMultilevel"/>
    <w:lvl w:ilvl="0">
      <w:lvlJc w:val="left"/>
      <w:lvlText w:val="(%1)"/>
      <w:numFmt w:val="decimal"/>
      <w:start w:val="14"/>
    </w:lvl>
  </w:abstractNum>
  <w:abstractNum w:abstractNumId="102">
    <w:nsid w:val="5C49EAEE"/>
    <w:multiLevelType w:val="hybridMultilevel"/>
    <w:lvl w:ilvl="0">
      <w:lvlJc w:val="left"/>
      <w:lvlText w:val="(%1)"/>
      <w:numFmt w:val="lowerLetter"/>
      <w:start w:val="1"/>
    </w:lvl>
    <w:lvl w:ilvl="1">
      <w:lvlJc w:val="left"/>
      <w:lvlText w:val="(%2)"/>
      <w:numFmt w:val="decimal"/>
      <w:start w:val="1"/>
    </w:lvl>
  </w:abstractNum>
  <w:abstractNum w:abstractNumId="103">
    <w:nsid w:val="64AF49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04">
    <w:nsid w:val="397C46BC"/>
    <w:multiLevelType w:val="hybridMultilevel"/>
    <w:lvl w:ilvl="0">
      <w:lvlJc w:val="left"/>
      <w:lvlText w:val="(%1)"/>
      <w:numFmt w:val="lowerLetter"/>
      <w:start w:val="25"/>
    </w:lvl>
    <w:lvl w:ilvl="1">
      <w:lvlJc w:val="left"/>
      <w:lvlText w:val="(%2)"/>
      <w:numFmt w:val="decimal"/>
      <w:start w:val="4"/>
    </w:lvl>
    <w:lvl w:ilvl="2">
      <w:lvlJc w:val="left"/>
      <w:lvlText w:val="(%3)"/>
      <w:numFmt w:val="upperLetter"/>
      <w:start w:val="1"/>
    </w:lvl>
  </w:abstractNum>
  <w:abstractNum w:abstractNumId="105">
    <w:nsid w:val="7E448DE9"/>
    <w:multiLevelType w:val="hybridMultilevel"/>
    <w:lvl w:ilvl="0">
      <w:lvlJc w:val="left"/>
      <w:lvlText w:val="%1"/>
      <w:numFmt w:val="upperLetter"/>
      <w:start w:val="1"/>
    </w:lvl>
    <w:lvl w:ilvl="1">
      <w:lvlJc w:val="left"/>
      <w:lvlText w:val="(%2)"/>
      <w:numFmt w:val="decimal"/>
      <w:start w:val="7"/>
    </w:lvl>
  </w:abstractNum>
  <w:abstractNum w:abstractNumId="106">
    <w:nsid w:val="5A9CC3E5"/>
    <w:multiLevelType w:val="hybridMultilevel"/>
    <w:lvl w:ilvl="0">
      <w:lvlJc w:val="left"/>
      <w:lvlText w:val="(%1)"/>
      <w:numFmt w:val="upperLetter"/>
      <w:start w:val="1"/>
    </w:lvl>
    <w:lvl w:ilvl="1">
      <w:lvlJc w:val="left"/>
      <w:lvlText w:val="%2"/>
      <w:numFmt w:val="decimal"/>
      <w:start w:val="1"/>
    </w:lvl>
  </w:abstractNum>
  <w:abstractNum w:abstractNumId="107">
    <w:nsid w:val="1AFE3625"/>
    <w:multiLevelType w:val="hybridMultilevel"/>
    <w:lvl w:ilvl="0">
      <w:lvlJc w:val="left"/>
      <w:lvlText w:val="(%1)"/>
      <w:numFmt w:val="decimal"/>
      <w:start w:val="16"/>
    </w:lvl>
  </w:abstractNum>
  <w:abstractNum w:abstractNumId="108">
    <w:nsid w:val="3CA88ECF"/>
    <w:multiLevelType w:val="hybridMultilevel"/>
    <w:lvl w:ilvl="0">
      <w:lvlJc w:val="left"/>
      <w:lvlText w:val="%1"/>
      <w:numFmt w:val="decimal"/>
      <w:start w:val="1"/>
    </w:lvl>
    <w:lvl w:ilvl="1">
      <w:lvlJc w:val="left"/>
      <w:lvlText w:val="%2"/>
      <w:numFmt w:val="lowerLetter"/>
      <w:start w:val="1"/>
    </w:lvl>
    <w:lvl w:ilvl="2">
      <w:lvlJc w:val="left"/>
      <w:lvlText w:val="(%3)"/>
      <w:numFmt w:val="decimal"/>
      <w:start w:val="24"/>
    </w:lvl>
  </w:abstractNum>
  <w:abstractNum w:abstractNumId="109">
    <w:nsid w:val="6EBE420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0">
    <w:nsid w:val="C058DF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1">
    <w:nsid w:val="CBE5BE9"/>
    <w:multiLevelType w:val="hybridMultilevel"/>
    <w:lvl w:ilvl="0">
      <w:lvlJc w:val="left"/>
      <w:lvlText w:val="(%1)"/>
      <w:numFmt w:val="decimal"/>
      <w:start w:val="3"/>
    </w:lvl>
    <w:lvl w:ilvl="1">
      <w:lvlJc w:val="left"/>
      <w:lvlText w:val="(%2)"/>
      <w:numFmt w:val="lowerLetter"/>
      <w:start w:val="4"/>
    </w:lvl>
    <w:lvl w:ilvl="2">
      <w:lvlJc w:val="left"/>
      <w:lvlText w:val="(%3)"/>
      <w:numFmt w:val="decimal"/>
      <w:start w:val="1"/>
    </w:lvl>
  </w:abstractNum>
  <w:abstractNum w:abstractNumId="112">
    <w:nsid w:val="3102BBE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13">
    <w:nsid w:val="26A02C5E"/>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114">
    <w:nsid w:val="541C8153"/>
    <w:multiLevelType w:val="hybridMultilevel"/>
    <w:lvl w:ilvl="0">
      <w:lvlJc w:val="left"/>
      <w:lvlText w:val="(%1)"/>
      <w:numFmt w:val="lowerLetter"/>
      <w:start w:val="9"/>
    </w:lvl>
    <w:lvl w:ilvl="1">
      <w:lvlJc w:val="left"/>
      <w:lvlText w:val="(%2)"/>
      <w:numFmt w:val="lowerLetter"/>
      <w:start w:val="7"/>
    </w:lvl>
    <w:lvl w:ilvl="2">
      <w:lvlJc w:val="left"/>
      <w:lvlText w:val="%3"/>
      <w:numFmt w:val="decimal"/>
      <w:start w:val="1"/>
    </w:lvl>
  </w:abstractNum>
  <w:abstractNum w:abstractNumId="115">
    <w:nsid w:val="67906F60"/>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1"/>
    </w:lvl>
  </w:abstractNum>
  <w:abstractNum w:abstractNumId="116">
    <w:nsid w:val="10DB9DAA"/>
    <w:multiLevelType w:val="hybridMultilevel"/>
    <w:lvl w:ilvl="0">
      <w:lvlJc w:val="left"/>
      <w:lvlText w:val="(%1)"/>
      <w:numFmt w:val="lowerLetter"/>
      <w:start w:val="1"/>
    </w:lvl>
    <w:lvl w:ilvl="1">
      <w:lvlJc w:val="left"/>
      <w:lvlText w:val="(%2)"/>
      <w:numFmt w:val="decimal"/>
      <w:start w:val="1"/>
    </w:lvl>
  </w:abstractNum>
  <w:abstractNum w:abstractNumId="117">
    <w:nsid w:val="697D2D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8">
    <w:nsid w:val="6D68AB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9">
    <w:nsid w:val="3A966CD0"/>
    <w:multiLevelType w:val="hybridMultilevel"/>
    <w:lvl w:ilvl="0">
      <w:lvlJc w:val="left"/>
      <w:lvlText w:val="(%1)"/>
      <w:numFmt w:val="lowerLetter"/>
      <w:start w:val="3"/>
    </w:lvl>
  </w:abstractNum>
  <w:abstractNum w:abstractNumId="120">
    <w:nsid w:val="63F37E85"/>
    <w:multiLevelType w:val="hybridMultilevel"/>
    <w:lvl w:ilvl="0">
      <w:lvlJc w:val="left"/>
      <w:lvlText w:val="(%1)"/>
      <w:numFmt w:val="lowerLetter"/>
      <w:start w:val="5"/>
    </w:lvl>
  </w:abstractNum>
  <w:abstractNum w:abstractNumId="121">
    <w:nsid w:val="5895F5FA"/>
    <w:multiLevelType w:val="hybridMultilevel"/>
    <w:lvl w:ilvl="0">
      <w:lvlJc w:val="left"/>
      <w:lvlText w:val="(%1)"/>
      <w:numFmt w:val="lowerLetter"/>
      <w:start w:val="1"/>
    </w:lvl>
  </w:abstractNum>
  <w:abstractNum w:abstractNumId="122">
    <w:nsid w:val="38A5D054"/>
    <w:multiLevelType w:val="hybridMultilevel"/>
    <w:lvl w:ilvl="0">
      <w:lvlJc w:val="left"/>
      <w:lvlText w:val="%1"/>
      <w:numFmt w:val="lowerLetter"/>
      <w:start w:val="1"/>
    </w:lvl>
    <w:lvl w:ilvl="1">
      <w:lvlJc w:val="left"/>
      <w:lvlText w:val="(%2)"/>
      <w:numFmt w:val="decimal"/>
      <w:start w:val="1"/>
    </w:lvl>
  </w:abstractNum>
  <w:abstractNum w:abstractNumId="123">
    <w:nsid w:val="F3F09D8"/>
    <w:multiLevelType w:val="hybridMultilevel"/>
    <w:lvl w:ilvl="0">
      <w:lvlJc w:val="left"/>
      <w:lvlText w:val="(%1)"/>
      <w:numFmt w:val="lowerLetter"/>
      <w:start w:val="2"/>
    </w:lvl>
    <w:lvl w:ilvl="1">
      <w:lvlJc w:val="left"/>
      <w:lvlText w:val="%2"/>
      <w:numFmt w:val="decimal"/>
      <w:start w:val="1"/>
    </w:lvl>
  </w:abstractNum>
  <w:abstractNum w:abstractNumId="124">
    <w:nsid w:val="4B793735"/>
    <w:multiLevelType w:val="hybridMultilevel"/>
    <w:lvl w:ilvl="0">
      <w:lvlJc w:val="left"/>
      <w:lvlText w:val="(%1)"/>
      <w:numFmt w:val="decimal"/>
      <w:start w:val="1"/>
    </w:lvl>
  </w:abstractNum>
  <w:abstractNum w:abstractNumId="125">
    <w:nsid w:val="4A10B4E8"/>
    <w:multiLevelType w:val="hybridMultilevel"/>
    <w:lvl w:ilvl="0">
      <w:lvlJc w:val="left"/>
      <w:lvlText w:val="(%1)"/>
      <w:numFmt w:val="decimal"/>
      <w:start w:val="10"/>
    </w:lvl>
  </w:abstractNum>
  <w:abstractNum w:abstractNumId="126">
    <w:nsid w:val="43D3BCD4"/>
    <w:multiLevelType w:val="hybridMultilevel"/>
    <w:lvl w:ilvl="0">
      <w:lvlJc w:val="left"/>
      <w:lvlText w:val="(%1)"/>
      <w:numFmt w:val="lowerLetter"/>
      <w:start w:val="1"/>
    </w:lvl>
    <w:lvl w:ilvl="1">
      <w:lvlJc w:val="left"/>
      <w:lvlText w:val="(%2)"/>
      <w:numFmt w:val="decimal"/>
      <w:start w:val="1"/>
    </w:lvl>
  </w:abstractNum>
  <w:abstractNum w:abstractNumId="127">
    <w:nsid w:val="4C2A7166"/>
    <w:multiLevelType w:val="hybridMultilevel"/>
    <w:lvl w:ilvl="0">
      <w:lvlJc w:val="left"/>
      <w:lvlText w:val="(%1)"/>
      <w:numFmt w:val="decimal"/>
      <w:start w:val="1"/>
    </w:lvl>
  </w:abstractNum>
  <w:abstractNum w:abstractNumId="128">
    <w:nsid w:val="2E534A82"/>
    <w:multiLevelType w:val="hybridMultilevel"/>
    <w:lvl w:ilvl="0">
      <w:lvlJc w:val="left"/>
      <w:lvlText w:val="(%1)"/>
      <w:numFmt w:val="lowerLetter"/>
      <w:start w:val="1"/>
    </w:lvl>
    <w:lvl w:ilvl="1">
      <w:lvlJc w:val="left"/>
      <w:lvlText w:val="(%2)"/>
      <w:numFmt w:val="decimal"/>
      <w:start w:val="1"/>
    </w:lvl>
  </w:abstractNum>
  <w:abstractNum w:abstractNumId="129">
    <w:nsid w:val="26F2D364"/>
    <w:multiLevelType w:val="hybridMultilevel"/>
    <w:lvl w:ilvl="0">
      <w:lvlJc w:val="left"/>
      <w:lvlText w:val="(%1)"/>
      <w:numFmt w:val="decimal"/>
      <w:start w:val="7"/>
    </w:lvl>
  </w:abstractNum>
  <w:abstractNum w:abstractNumId="130">
    <w:nsid w:val="71C1AF98"/>
    <w:multiLevelType w:val="hybridMultilevel"/>
    <w:lvl w:ilvl="0">
      <w:lvlJc w:val="left"/>
      <w:lvlText w:val="(%1)"/>
      <w:numFmt w:val="lowerLetter"/>
      <w:start w:val="2"/>
    </w:lvl>
    <w:lvl w:ilvl="1">
      <w:lvlJc w:val="left"/>
      <w:lvlText w:val="(%2)"/>
      <w:numFmt w:val="decimal"/>
      <w:start w:val="1"/>
    </w:lvl>
  </w:abstractNum>
  <w:abstractNum w:abstractNumId="131">
    <w:nsid w:val="3D00B9D9"/>
    <w:multiLevelType w:val="hybridMultilevel"/>
    <w:lvl w:ilvl="0">
      <w:lvlJc w:val="left"/>
      <w:lvlText w:val="(%1)"/>
      <w:numFmt w:val="lowerLetter"/>
      <w:start w:val="3"/>
    </w:lvl>
  </w:abstractNum>
  <w:abstractNum w:abstractNumId="132">
    <w:nsid w:val="15BCABA8"/>
    <w:multiLevelType w:val="hybridMultilevel"/>
    <w:lvl w:ilvl="0">
      <w:lvlJc w:val="left"/>
      <w:lvlText w:val="(%1)"/>
      <w:numFmt w:val="lowerLetter"/>
      <w:start w:val="1"/>
    </w:lvl>
  </w:abstractNum>
  <w:abstractNum w:abstractNumId="133">
    <w:nsid w:val="4E0B9A87"/>
    <w:multiLevelType w:val="hybridMultilevel"/>
    <w:lvl w:ilvl="0">
      <w:lvlJc w:val="left"/>
      <w:lvlText w:val="(%1)"/>
      <w:numFmt w:val="decimal"/>
      <w:start w:val="2"/>
    </w:lvl>
  </w:abstractNum>
  <w:abstractNum w:abstractNumId="134">
    <w:nsid w:val="434BAE75"/>
    <w:multiLevelType w:val="hybridMultilevel"/>
    <w:lvl w:ilvl="0">
      <w:lvlJc w:val="left"/>
      <w:lvlText w:val="(%1)"/>
      <w:numFmt w:val="decimal"/>
      <w:start w:val="1"/>
    </w:lvl>
  </w:abstractNum>
  <w:abstractNum w:abstractNumId="135">
    <w:nsid w:val="4F38F265"/>
    <w:multiLevelType w:val="hybridMultilevel"/>
    <w:lvl w:ilvl="0">
      <w:lvlJc w:val="left"/>
      <w:lvlText w:val="%1"/>
      <w:numFmt w:val="upperLetter"/>
      <w:start w:val="1"/>
    </w:lvl>
    <w:lvl w:ilvl="1">
      <w:lvlJc w:val="left"/>
      <w:lvlText w:val="(%2)"/>
      <w:numFmt w:val="decimal"/>
      <w:start w:val="2"/>
    </w:lvl>
  </w:abstractNum>
  <w:abstractNum w:abstractNumId="136">
    <w:nsid w:val="4C502870"/>
    <w:multiLevelType w:val="hybridMultilevel"/>
    <w:lvl w:ilvl="0">
      <w:lvlJc w:val="left"/>
      <w:lvlText w:val="(%1)"/>
      <w:numFmt w:val="upperLetter"/>
      <w:start w:val="1"/>
    </w:lvl>
    <w:lvl w:ilvl="1">
      <w:lvlJc w:val="left"/>
      <w:lvlText w:val="(%2)"/>
      <w:numFmt w:val="decimal"/>
      <w:start w:val="5"/>
    </w:lvl>
  </w:abstractNum>
  <w:abstractNum w:abstractNumId="137">
    <w:nsid w:val="1DE8725A"/>
    <w:multiLevelType w:val="hybridMultilevel"/>
    <w:lvl w:ilvl="0">
      <w:lvlJc w:val="left"/>
      <w:lvlText w:val="(%1)"/>
      <w:numFmt w:val="decimal"/>
      <w:start w:val="1"/>
    </w:lvl>
  </w:abstractNum>
  <w:abstractNum w:abstractNumId="138">
    <w:nsid w:val="6A37288A"/>
    <w:multiLevelType w:val="hybridMultilevel"/>
    <w:lvl w:ilvl="0">
      <w:lvlJc w:val="left"/>
      <w:lvlText w:val="(%1)"/>
      <w:numFmt w:val="lowerLetter"/>
      <w:start w:val="1"/>
    </w:lvl>
  </w:abstractNum>
  <w:abstractNum w:abstractNumId="139">
    <w:nsid w:val="8F8B73F"/>
    <w:multiLevelType w:val="hybridMultilevel"/>
    <w:lvl w:ilvl="0">
      <w:lvlJc w:val="left"/>
      <w:lvlText w:val="(%1)"/>
      <w:numFmt w:val="decimal"/>
      <w:start w:val="1"/>
    </w:lvl>
  </w:abstractNum>
  <w:abstractNum w:abstractNumId="140">
    <w:nsid w:val="CA6B462"/>
    <w:multiLevelType w:val="hybridMultilevel"/>
    <w:lvl w:ilvl="0">
      <w:lvlJc w:val="left"/>
      <w:lvlText w:val="(%1)"/>
      <w:numFmt w:val="decimal"/>
      <w:start w:val="2"/>
    </w:lvl>
  </w:abstractNum>
  <w:abstractNum w:abstractNumId="141">
    <w:nsid w:val="763CB680"/>
    <w:multiLevelType w:val="hybridMultilevel"/>
    <w:lvl w:ilvl="0">
      <w:lvlJc w:val="left"/>
      <w:lvlText w:val="(%1)"/>
      <w:numFmt w:val="decimal"/>
      <w:start w:val="3"/>
    </w:lvl>
    <w:lvl w:ilvl="1">
      <w:lvlJc w:val="left"/>
      <w:lvlText w:val="(%2)"/>
      <w:numFmt w:val="upperLetter"/>
      <w:start w:val="1"/>
    </w:lvl>
  </w:abstractNum>
  <w:abstractNum w:abstractNumId="142">
    <w:nsid w:val="15B71329"/>
    <w:multiLevelType w:val="hybridMultilevel"/>
    <w:lvl w:ilvl="0">
      <w:lvlJc w:val="left"/>
      <w:lvlText w:val="%1"/>
      <w:numFmt w:val="decimal"/>
      <w:start w:val="1"/>
    </w:lvl>
    <w:lvl w:ilvl="1">
      <w:lvlJc w:val="left"/>
      <w:lvlText w:val="(%2)"/>
      <w:numFmt w:val="upperLetter"/>
      <w:start w:val="3"/>
    </w:lvl>
  </w:abstractNum>
  <w:abstractNum w:abstractNumId="143">
    <w:nsid w:val="3DA97044"/>
    <w:multiLevelType w:val="hybridMultilevel"/>
    <w:lvl w:ilvl="0">
      <w:lvlJc w:val="left"/>
      <w:lvlText w:val="(%1)"/>
      <w:numFmt w:val="decimal"/>
      <w:start w:val="10"/>
    </w:lvl>
    <w:lvl w:ilvl="1">
      <w:lvlJc w:val="left"/>
      <w:lvlText w:val="(%2)"/>
      <w:numFmt w:val="upperLetter"/>
      <w:start w:val="1"/>
    </w:lvl>
  </w:abstractNum>
  <w:abstractNum w:abstractNumId="144">
    <w:nsid w:val="1CDCE2DE"/>
    <w:multiLevelType w:val="hybridMultilevel"/>
    <w:lvl w:ilvl="0">
      <w:lvlJc w:val="left"/>
      <w:lvlText w:val="(%1)"/>
      <w:numFmt w:val="lowerLetter"/>
      <w:start w:val="2"/>
    </w:lvl>
  </w:abstractNum>
  <w:abstractNum w:abstractNumId="145">
    <w:nsid w:val="69D3947C"/>
    <w:multiLevelType w:val="hybridMultilevel"/>
    <w:lvl w:ilvl="0">
      <w:lvlJc w:val="left"/>
      <w:lvlText w:val="(%1)"/>
      <w:numFmt w:val="lowerLetter"/>
      <w:start w:val="3"/>
    </w:lvl>
  </w:abstractNum>
  <w:abstractNum w:abstractNumId="146">
    <w:nsid w:val="2539DFA5"/>
    <w:multiLevelType w:val="hybridMultilevel"/>
    <w:lvl w:ilvl="0">
      <w:lvlJc w:val="left"/>
      <w:lvlText w:val="(%1)"/>
      <w:numFmt w:val="decimal"/>
      <w:start w:val="1"/>
    </w:lvl>
  </w:abstractNum>
  <w:abstractNum w:abstractNumId="147">
    <w:nsid w:val="2DB88089"/>
    <w:multiLevelType w:val="hybridMultilevel"/>
    <w:lvl w:ilvl="0">
      <w:lvlJc w:val="left"/>
      <w:lvlText w:val="(%1)"/>
      <w:numFmt w:val="decimal"/>
      <w:start w:val="1"/>
    </w:lvl>
  </w:abstractNum>
  <w:abstractNum w:abstractNumId="148">
    <w:nsid w:val="706B674E"/>
    <w:multiLevelType w:val="hybridMultilevel"/>
    <w:lvl w:ilvl="0">
      <w:lvlJc w:val="left"/>
      <w:lvlText w:val="(%1)"/>
      <w:numFmt w:val="decimal"/>
      <w:start w:val="2"/>
    </w:lvl>
  </w:abstractNum>
  <w:abstractNum w:abstractNumId="149">
    <w:nsid w:val="2C106A57"/>
    <w:multiLevelType w:val="hybridMultilevel"/>
    <w:lvl w:ilvl="0">
      <w:lvlJc w:val="left"/>
      <w:lvlText w:val="(%1)"/>
      <w:numFmt w:val="lowerLetter"/>
      <w:start w:val="1"/>
    </w:lvl>
    <w:lvl w:ilvl="1">
      <w:lvlJc w:val="left"/>
      <w:lvlText w:val="(%2)"/>
      <w:numFmt w:val="decimal"/>
      <w:start w:val="1"/>
    </w:lvl>
  </w:abstractNum>
  <w:abstractNum w:abstractNumId="150">
    <w:nsid w:val="684EED59"/>
    <w:multiLevelType w:val="hybridMultilevel"/>
    <w:lvl w:ilvl="0">
      <w:lvlJc w:val="left"/>
      <w:lvlText w:val="%1"/>
      <w:numFmt w:val="lowerLetter"/>
      <w:start w:val="1"/>
    </w:lvl>
    <w:lvl w:ilvl="1">
      <w:lvlJc w:val="left"/>
      <w:lvlText w:val="(%2)"/>
      <w:numFmt w:val="decimal"/>
      <w:start w:val="1"/>
    </w:lvl>
  </w:abstractNum>
  <w:abstractNum w:abstractNumId="151">
    <w:nsid w:val="545EE5D3"/>
    <w:multiLevelType w:val="hybridMultilevel"/>
    <w:lvl w:ilvl="0">
      <w:lvlJc w:val="left"/>
      <w:lvlText w:val="(%1)"/>
      <w:numFmt w:val="lowerLetter"/>
      <w:start w:val="4"/>
    </w:lvl>
    <w:lvl w:ilvl="1">
      <w:lvlJc w:val="left"/>
      <w:lvlText w:val="%2"/>
      <w:numFmt w:val="decimal"/>
      <w:start w:val="1"/>
    </w:lvl>
  </w:abstractNum>
  <w:abstractNum w:abstractNumId="152">
    <w:nsid w:val="4A66051"/>
    <w:multiLevelType w:val="hybridMultilevel"/>
    <w:lvl w:ilvl="0">
      <w:lvlJc w:val="left"/>
      <w:lvlText w:val="(%1)"/>
      <w:numFmt w:val="lowerLetter"/>
      <w:start w:val="1"/>
    </w:lvl>
  </w:abstractNum>
  <w:abstractNum w:abstractNumId="153">
    <w:nsid w:val="20F4BDAD"/>
    <w:multiLevelType w:val="hybridMultilevel"/>
    <w:lvl w:ilvl="0">
      <w:lvlJc w:val="left"/>
      <w:lvlText w:val="(%1)"/>
      <w:numFmt w:val="lowerLetter"/>
      <w:start w:val="8"/>
    </w:lvl>
  </w:abstractNum>
  <w:abstractNum w:abstractNumId="154">
    <w:nsid w:val="639DEFAC"/>
    <w:multiLevelType w:val="hybridMultilevel"/>
    <w:lvl w:ilvl="0">
      <w:lvlJc w:val="left"/>
      <w:lvlText w:val="(%1)"/>
      <w:numFmt w:val="lowerLetter"/>
      <w:start w:val="1"/>
    </w:lvl>
  </w:abstractNum>
  <w:abstractNum w:abstractNumId="155">
    <w:nsid w:val="501F9786"/>
    <w:multiLevelType w:val="hybridMultilevel"/>
    <w:lvl w:ilvl="0">
      <w:lvlJc w:val="left"/>
      <w:lvlText w:val="(%1)"/>
      <w:numFmt w:val="lowerLetter"/>
      <w:start w:val="1"/>
    </w:lvl>
  </w:abstractNum>
  <w:abstractNum w:abstractNumId="156">
    <w:nsid w:val="6B057295"/>
    <w:multiLevelType w:val="hybridMultilevel"/>
    <w:lvl w:ilvl="0">
      <w:lvlJc w:val="left"/>
      <w:lvlText w:val="%1"/>
      <w:numFmt w:val="lowerLetter"/>
      <w:start w:val="1"/>
    </w:lvl>
    <w:lvl w:ilvl="1">
      <w:lvlJc w:val="left"/>
      <w:lvlText w:val="(%2)"/>
      <w:numFmt w:val="decimal"/>
      <w:start w:val="1"/>
    </w:lvl>
  </w:abstractNum>
  <w:abstractNum w:abstractNumId="157">
    <w:nsid w:val="2771AC80"/>
    <w:multiLevelType w:val="hybridMultilevel"/>
    <w:lvl w:ilvl="0">
      <w:lvlJc w:val="left"/>
      <w:lvlText w:val="(%1)"/>
      <w:numFmt w:val="lowerLetter"/>
      <w:start w:val="3"/>
    </w:lvl>
    <w:lvl w:ilvl="1">
      <w:lvlJc w:val="left"/>
      <w:lvlText w:val="%2"/>
      <w:numFmt w:val="decimal"/>
      <w:start w:val="1"/>
    </w:lvl>
  </w:abstractNum>
  <w:abstractNum w:abstractNumId="158">
    <w:nsid w:val="1C4A08EC"/>
    <w:multiLevelType w:val="hybridMultilevel"/>
    <w:lvl w:ilvl="0">
      <w:lvlJc w:val="left"/>
      <w:lvlText w:val="(%1)"/>
      <w:numFmt w:val="decimal"/>
      <w:start w:val="1"/>
    </w:lvl>
  </w:abstractNum>
  <w:abstractNum w:abstractNumId="159">
    <w:nsid w:val="1958BD17"/>
    <w:multiLevelType w:val="hybridMultilevel"/>
    <w:lvl w:ilvl="0">
      <w:lvlJc w:val="left"/>
      <w:lvlText w:val="(%1)"/>
      <w:numFmt w:val="decimal"/>
      <w:start w:val="1"/>
    </w:lvl>
  </w:abstractNum>
  <w:abstractNum w:abstractNumId="160">
    <w:nsid w:val="4E647FE4"/>
    <w:multiLevelType w:val="hybridMultilevel"/>
    <w:lvl w:ilvl="0">
      <w:lvlJc w:val="left"/>
      <w:lvlText w:val="(%1)"/>
      <w:numFmt w:val="lowerLetter"/>
      <w:start w:val="1"/>
    </w:lvl>
  </w:abstractNum>
  <w:abstractNum w:abstractNumId="161">
    <w:nsid w:val="E0BB885"/>
    <w:multiLevelType w:val="hybridMultilevel"/>
    <w:lvl w:ilvl="0">
      <w:lvlJc w:val="left"/>
      <w:lvlText w:val="(%1)"/>
      <w:numFmt w:val="lowerLetter"/>
      <w:start w:val="3"/>
    </w:lvl>
  </w:abstractNum>
  <w:abstractNum w:abstractNumId="162">
    <w:nsid w:val="565976F1"/>
    <w:multiLevelType w:val="hybridMultilevel"/>
    <w:lvl w:ilvl="0">
      <w:lvlJc w:val="left"/>
      <w:lvlText w:val="(%1)"/>
      <w:numFmt w:val="decimal"/>
      <w:start w:val="1"/>
    </w:lvl>
  </w:abstractNum>
  <w:abstractNum w:abstractNumId="163">
    <w:nsid w:val="64212B8C"/>
    <w:multiLevelType w:val="hybridMultilevel"/>
    <w:lvl w:ilvl="0">
      <w:lvlJc w:val="left"/>
      <w:lvlText w:val="(%1)"/>
      <w:numFmt w:val="decimal"/>
      <w:start w:val="6"/>
    </w:lvl>
  </w:abstractNum>
  <w:abstractNum w:abstractNumId="164">
    <w:nsid w:val="5C17530C"/>
    <w:multiLevelType w:val="hybridMultilevel"/>
    <w:lvl w:ilvl="0">
      <w:lvlJc w:val="left"/>
      <w:lvlText w:val="(%1)"/>
      <w:numFmt w:val="decimal"/>
      <w:start w:val="7"/>
    </w:lvl>
  </w:abstractNum>
  <w:abstractNum w:abstractNumId="165">
    <w:nsid w:val="19A52566"/>
    <w:multiLevelType w:val="hybridMultilevel"/>
    <w:lvl w:ilvl="0">
      <w:lvlJc w:val="left"/>
      <w:lvlText w:val="(%1)"/>
      <w:numFmt w:val="decimal"/>
      <w:start w:val="1"/>
    </w:lvl>
  </w:abstractNum>
  <w:abstractNum w:abstractNumId="166">
    <w:nsid w:val="335A1DF1"/>
    <w:multiLevelType w:val="hybridMultilevel"/>
    <w:lvl w:ilvl="0">
      <w:lvlJc w:val="left"/>
      <w:lvlText w:val="(%1)"/>
      <w:numFmt w:val="lowerLetter"/>
      <w:start w:val="1"/>
    </w:lvl>
    <w:lvl w:ilvl="1">
      <w:lvlJc w:val="left"/>
      <w:lvlText w:val="(%2)"/>
      <w:numFmt w:val="decimal"/>
      <w:start w:val="1"/>
    </w:lvl>
  </w:abstractNum>
  <w:abstractNum w:abstractNumId="167">
    <w:nsid w:val="28677B7C"/>
    <w:multiLevelType w:val="hybridMultilevel"/>
    <w:lvl w:ilvl="0">
      <w:lvlJc w:val="left"/>
      <w:lvlText w:val="(%1)"/>
      <w:numFmt w:val="lowerLetter"/>
      <w:start w:val="2"/>
    </w:lvl>
  </w:abstractNum>
  <w:abstractNum w:abstractNumId="168">
    <w:nsid w:val="378D97C0"/>
    <w:multiLevelType w:val="hybridMultilevel"/>
    <w:lvl w:ilvl="0">
      <w:lvlJc w:val="left"/>
      <w:lvlText w:val="(%1)"/>
      <w:numFmt w:val="lowerLetter"/>
      <w:start w:val="4"/>
    </w:lvl>
  </w:abstractNum>
  <w:abstractNum w:abstractNumId="169">
    <w:nsid w:val="1D91467C"/>
    <w:multiLevelType w:val="hybridMultilevel"/>
    <w:lvl w:ilvl="0">
      <w:lvlJc w:val="left"/>
      <w:lvlText w:val="(%1)"/>
      <w:numFmt w:val="decimal"/>
      <w:start w:val="1"/>
    </w:lvl>
    <w:lvl w:ilvl="1">
      <w:lvlJc w:val="left"/>
      <w:lvlText w:val="(%2)"/>
      <w:numFmt w:val="lowerLetter"/>
      <w:start w:val="1"/>
    </w:lvl>
  </w:abstractNum>
  <w:abstractNum w:abstractNumId="170">
    <w:nsid w:val="316032BB"/>
    <w:multiLevelType w:val="hybridMultilevel"/>
    <w:lvl w:ilvl="0">
      <w:lvlJc w:val="left"/>
      <w:lvlText w:val="(%1)"/>
      <w:numFmt w:val="lowerLetter"/>
      <w:start w:val="2"/>
    </w:lvl>
  </w:abstractNum>
  <w:abstractNum w:abstractNumId="171">
    <w:nsid w:val="44344C22"/>
    <w:multiLevelType w:val="hybridMultilevel"/>
    <w:lvl w:ilvl="0">
      <w:lvlJc w:val="left"/>
      <w:lvlText w:val="(%1)"/>
      <w:numFmt w:val="lowerLetter"/>
      <w:start w:val="1"/>
    </w:lvl>
  </w:abstractNum>
  <w:abstractNum w:abstractNumId="172">
    <w:nsid w:val="13CDFCFC"/>
    <w:multiLevelType w:val="hybridMultilevel"/>
    <w:lvl w:ilvl="0">
      <w:lvlJc w:val="left"/>
      <w:lvlText w:val="(%1)"/>
      <w:numFmt w:val="lowerLetter"/>
      <w:start w:val="5"/>
    </w:lvl>
  </w:abstractNum>
  <w:abstractNum w:abstractNumId="173">
    <w:nsid w:val="471745E4"/>
    <w:multiLevelType w:val="hybridMultilevel"/>
    <w:lvl w:ilvl="0">
      <w:lvlJc w:val="left"/>
      <w:lvlText w:val="(%1)"/>
      <w:numFmt w:val="decimal"/>
      <w:start w:val="1"/>
    </w:lvl>
    <w:lvl w:ilvl="1">
      <w:lvlJc w:val="left"/>
      <w:lvlText w:val="(%2)"/>
      <w:numFmt w:val="lowerLetter"/>
      <w:start w:val="1"/>
    </w:lvl>
  </w:abstractNum>
  <w:abstractNum w:abstractNumId="174">
    <w:nsid w:val="1DDBC66"/>
    <w:multiLevelType w:val="hybridMultilevel"/>
    <w:lvl w:ilvl="0">
      <w:lvlJc w:val="left"/>
      <w:lvlText w:val="(%1)"/>
      <w:numFmt w:val="decimal"/>
      <w:start w:val="1"/>
    </w:lvl>
  </w:abstractNum>
  <w:abstractNum w:abstractNumId="175">
    <w:nsid w:val="30AADFDA"/>
    <w:multiLevelType w:val="hybridMultilevel"/>
    <w:lvl w:ilvl="0">
      <w:lvlJc w:val="left"/>
      <w:lvlText w:val="(%1)"/>
      <w:numFmt w:val="decimal"/>
      <w:start w:val="1"/>
    </w:lvl>
  </w:abstractNum>
  <w:abstractNum w:abstractNumId="176">
    <w:nsid w:val="30EADA61"/>
    <w:multiLevelType w:val="hybridMultilevel"/>
    <w:lvl w:ilvl="0">
      <w:lvlJc w:val="left"/>
      <w:lvlText w:val="(%1)"/>
      <w:numFmt w:val="decimal"/>
      <w:start w:val="1"/>
    </w:lvl>
  </w:abstractNum>
  <w:abstractNum w:abstractNumId="177">
    <w:nsid w:val="27179C0B"/>
    <w:multiLevelType w:val="hybridMultilevel"/>
    <w:lvl w:ilvl="0">
      <w:lvlJc w:val="left"/>
      <w:lvlText w:val="1"/>
      <w:numFmt w:val="bullet"/>
      <w:start w:val="1"/>
    </w:lvl>
  </w:abstractNum>
  <w:abstractNum w:abstractNumId="178">
    <w:nsid w:val="5E636063"/>
    <w:multiLevelType w:val="hybridMultilevel"/>
    <w:lvl w:ilvl="0">
      <w:lvlJc w:val="left"/>
      <w:lvlText w:val="2"/>
      <w:numFmt w:val="bullet"/>
      <w:start w:val="1"/>
    </w:lvl>
  </w:abstractNum>
  <w:abstractNum w:abstractNumId="179">
    <w:nsid w:val="215641AF"/>
    <w:multiLevelType w:val="hybridMultilevel"/>
    <w:lvl w:ilvl="0">
      <w:lvlJc w:val="left"/>
      <w:lvlText w:val="3"/>
      <w:numFmt w:val="bullet"/>
      <w:start w:val="1"/>
    </w:lvl>
  </w:abstractNum>
  <w:abstractNum w:abstractNumId="180">
    <w:nsid w:val="53280662"/>
    <w:multiLevelType w:val="hybridMultilevel"/>
    <w:lvl w:ilvl="0">
      <w:lvlJc w:val="left"/>
      <w:lvlText w:val="4"/>
      <w:numFmt w:val="bullet"/>
      <w:start w:val="1"/>
    </w:lvl>
  </w:abstractNum>
  <w:abstractNum w:abstractNumId="181">
    <w:nsid w:val="46B24DBC"/>
    <w:multiLevelType w:val="hybridMultilevel"/>
    <w:lvl w:ilvl="0">
      <w:lvlJc w:val="left"/>
      <w:lvlText w:val="5"/>
      <w:numFmt w:val="bullet"/>
      <w:start w:val="1"/>
    </w:lvl>
  </w:abstractNum>
  <w:abstractNum w:abstractNumId="182">
    <w:nsid w:val="75B52783"/>
    <w:multiLevelType w:val="hybridMultilevel"/>
    <w:lvl w:ilvl="0">
      <w:lvlJc w:val="left"/>
      <w:lvlText w:val="(%1)"/>
      <w:numFmt w:val="decimal"/>
      <w:start w:val="1"/>
    </w:lvl>
  </w:abstractNum>
  <w:abstractNum w:abstractNumId="183">
    <w:nsid w:val="57CE66B4"/>
    <w:multiLevelType w:val="hybridMultilevel"/>
    <w:lvl w:ilvl="0">
      <w:lvlJc w:val="left"/>
      <w:lvlText w:val="(%1)"/>
      <w:numFmt w:val="decimal"/>
      <w:start w:val="2"/>
    </w:lvl>
  </w:abstractNum>
  <w:abstractNum w:abstractNumId="184">
    <w:nsid w:val="67A70B69"/>
    <w:multiLevelType w:val="hybridMultilevel"/>
    <w:lvl w:ilvl="0">
      <w:lvlJc w:val="left"/>
      <w:lvlText w:val="(%1)"/>
      <w:numFmt w:val="lowerLetter"/>
      <w:start w:val="1"/>
    </w:lvl>
  </w:abstractNum>
  <w:abstractNum w:abstractNumId="185">
    <w:nsid w:val="5953172F"/>
    <w:multiLevelType w:val="hybridMultilevel"/>
    <w:lvl w:ilvl="0">
      <w:lvlJc w:val="left"/>
      <w:lvlText w:val="6"/>
      <w:numFmt w:val="bullet"/>
      <w:start w:val="1"/>
    </w:lvl>
  </w:abstractNum>
  <w:abstractNum w:abstractNumId="186">
    <w:nsid w:val="27EDFE3A"/>
    <w:multiLevelType w:val="hybridMultilevel"/>
    <w:lvl w:ilvl="0">
      <w:lvlJc w:val="left"/>
      <w:lvlText w:val="7"/>
      <w:numFmt w:val="bullet"/>
      <w:start w:val="1"/>
    </w:lvl>
  </w:abstractNum>
  <w:abstractNum w:abstractNumId="187">
    <w:nsid w:val="52AC7DFF"/>
    <w:multiLevelType w:val="hybridMultilevel"/>
    <w:lvl w:ilvl="0">
      <w:lvlJc w:val="left"/>
      <w:lvlText w:val="(%1)"/>
      <w:numFmt w:val="lowerLetter"/>
      <w:start w:val="2"/>
    </w:lvl>
  </w:abstractNum>
  <w:abstractNum w:abstractNumId="188">
    <w:nsid w:val="C4C3AF"/>
    <w:multiLevelType w:val="hybridMultilevel"/>
    <w:lvl w:ilvl="0">
      <w:lvlJc w:val="left"/>
      <w:lvlText w:val="(%1)"/>
      <w:numFmt w:val="decimal"/>
      <w:start w:val="6"/>
    </w:lvl>
  </w:abstractNum>
  <w:abstractNum w:abstractNumId="189">
    <w:nsid w:val="44380727"/>
    <w:multiLevelType w:val="hybridMultilevel"/>
    <w:lvl w:ilvl="0">
      <w:lvlJc w:val="left"/>
      <w:lvlText w:val="(%1)"/>
      <w:numFmt w:val="decimal"/>
      <w:start w:val="8"/>
    </w:lvl>
  </w:abstractNum>
  <w:abstractNum w:abstractNumId="190">
    <w:nsid w:val="6C053B16"/>
    <w:multiLevelType w:val="hybridMultilevel"/>
    <w:lvl w:ilvl="0">
      <w:lvlJc w:val="left"/>
      <w:lvlText w:val="%1"/>
      <w:numFmt w:val="lowerRoman"/>
      <w:start w:val="1"/>
    </w:lvl>
    <w:lvl w:ilvl="1">
      <w:lvlJc w:val="left"/>
      <w:lvlText w:val="(%2)"/>
      <w:numFmt w:val="decimal"/>
      <w:start w:val="12"/>
    </w:lvl>
  </w:abstractNum>
  <w:abstractNum w:abstractNumId="191">
    <w:nsid w:val="4F294393"/>
    <w:multiLevelType w:val="hybridMultilevel"/>
    <w:lvl w:ilvl="0">
      <w:lvlJc w:val="left"/>
      <w:lvlText w:val="(%1)"/>
      <w:numFmt w:val="lowerRoman"/>
      <w:start w:val="5"/>
    </w:lvl>
    <w:lvl w:ilvl="1">
      <w:lvlJc w:val="left"/>
      <w:lvlText w:val="%2"/>
      <w:numFmt w:val="decimal"/>
      <w:start w:val="1"/>
    </w:lvl>
  </w:abstractNum>
  <w:abstractNum w:abstractNumId="192">
    <w:nsid w:val="5243BFAC"/>
    <w:multiLevelType w:val="hybridMultilevel"/>
    <w:lvl w:ilvl="0">
      <w:lvlJc w:val="left"/>
      <w:lvlText w:val="(%1)"/>
      <w:numFmt w:val="decimal"/>
      <w:start w:val="13"/>
    </w:lvl>
  </w:abstractNum>
  <w:abstractNum w:abstractNumId="193">
    <w:nsid w:val="425EB207"/>
    <w:multiLevelType w:val="hybridMultilevel"/>
    <w:lvl w:ilvl="0">
      <w:lvlJc w:val="left"/>
      <w:lvlText w:val="8"/>
      <w:numFmt w:val="bullet"/>
      <w:start w:val="1"/>
    </w:lvl>
  </w:abstractNum>
  <w:abstractNum w:abstractNumId="194">
    <w:nsid w:val="334A6F1F"/>
    <w:multiLevelType w:val="hybridMultilevel"/>
    <w:lvl w:ilvl="0">
      <w:lvlJc w:val="left"/>
      <w:lvlText w:val="☐"/>
      <w:numFmt w:val="bullet"/>
      <w:start w:val="1"/>
    </w:lvl>
  </w:abstractNum>
  <w:abstractNum w:abstractNumId="195">
    <w:nsid w:val="2E5B12B8"/>
    <w:multiLevelType w:val="hybridMultilevel"/>
    <w:lvl w:ilvl="0">
      <w:lvlJc w:val="left"/>
      <w:lvlText w:val="1"/>
      <w:numFmt w:val="bullet"/>
      <w:start w:val="1"/>
    </w:lvl>
  </w:abstractNum>
  <w:abstractNum w:abstractNumId="196">
    <w:nsid w:val="5C03D76D"/>
    <w:multiLevelType w:val="hybridMultilevel"/>
    <w:lvl w:ilvl="0">
      <w:lvlJc w:val="left"/>
      <w:lvlText w:val="%1"/>
      <w:numFmt w:val="decimal"/>
      <w:start w:val="10"/>
    </w:lvl>
  </w:abstractNum>
  <w:abstractNum w:abstractNumId="197">
    <w:nsid w:val="66A48D11"/>
    <w:multiLevelType w:val="hybridMultilevel"/>
    <w:lvl w:ilvl="0">
      <w:lvlJc w:val="left"/>
      <w:lvlText w:val="%1"/>
      <w:numFmt w:val="lowerRoman"/>
      <w:start w:val="1"/>
    </w:lvl>
    <w:lvl w:ilvl="1">
      <w:lvlJc w:val="left"/>
      <w:lvlText w:val="%2."/>
      <w:numFmt w:val="decimal"/>
      <w:start w:val="1"/>
    </w:lvl>
  </w:abstractNum>
  <w:abstractNum w:abstractNumId="198">
    <w:nsid w:val="56C28E34"/>
    <w:multiLevelType w:val="hybridMultilevel"/>
    <w:lvl w:ilvl="0">
      <w:lvlJc w:val="left"/>
      <w:lvlText w:val="(%1)"/>
      <w:numFmt w:val="lowerRoman"/>
      <w:start w:val="3"/>
    </w:lvl>
    <w:lvl w:ilvl="1">
      <w:lvlJc w:val="left"/>
      <w:lvlText w:val="%2"/>
      <w:numFmt w:val="decimal"/>
      <w:start w:val="1"/>
    </w:lvl>
  </w:abstractNum>
  <w:abstractNum w:abstractNumId="199">
    <w:nsid w:val="13916F2D"/>
    <w:multiLevelType w:val="hybridMultilevel"/>
    <w:lvl w:ilvl="0">
      <w:lvlJc w:val="left"/>
      <w:lvlText w:val="%1."/>
      <w:numFmt w:val="decimal"/>
      <w:start w:val="3"/>
    </w:lvl>
    <w:lvl w:ilvl="1">
      <w:lvlJc w:val="left"/>
      <w:lvlText w:val="(%2)"/>
      <w:numFmt w:val="lowerLetter"/>
      <w:start w:val="1"/>
    </w:lvl>
  </w:abstractNum>
  <w:abstractNum w:abstractNumId="200">
    <w:nsid w:val="435D38D"/>
    <w:multiLevelType w:val="hybridMultilevel"/>
    <w:lvl w:ilvl="0">
      <w:lvlJc w:val="left"/>
      <w:lvlText w:val="(%1)"/>
      <w:numFmt w:val="lowerLetter"/>
      <w:start w:val="3"/>
    </w:lvl>
  </w:abstractNum>
  <w:abstractNum w:abstractNumId="201">
    <w:nsid w:val="822C0EF"/>
    <w:multiLevelType w:val="hybridMultilevel"/>
    <w:lvl w:ilvl="0">
      <w:lvlJc w:val="left"/>
      <w:lvlText w:val="%1."/>
      <w:numFmt w:val="decimal"/>
      <w:start w:val="1"/>
    </w:lvl>
  </w:abstractNum>
  <w:abstractNum w:abstractNumId="202">
    <w:nsid w:val="57C5BB4F"/>
    <w:multiLevelType w:val="hybridMultilevel"/>
    <w:lvl w:ilvl="0">
      <w:lvlJc w:val="left"/>
      <w:lvlText w:val="(%1)"/>
      <w:numFmt w:val="lowerLetter"/>
      <w:start w:val="1"/>
    </w:lvl>
  </w:abstractNum>
  <w:abstractNum w:abstractNumId="203">
    <w:nsid w:val="1803D089"/>
    <w:multiLevelType w:val="hybridMultilevel"/>
    <w:lvl w:ilvl="0">
      <w:lvlJc w:val="left"/>
      <w:lvlText w:val="%1"/>
      <w:numFmt w:val="decimal"/>
      <w:start w:val="1"/>
    </w:lvl>
    <w:lvl w:ilvl="1">
      <w:lvlJc w:val="left"/>
      <w:lvlText w:val="(%2)"/>
      <w:numFmt w:val="lowerLetter"/>
      <w:start w:val="2"/>
    </w:lvl>
  </w:abstractNum>
  <w:abstractNum w:abstractNumId="204">
    <w:nsid w:val="4F3A06D4"/>
    <w:multiLevelType w:val="hybridMultilevel"/>
    <w:lvl w:ilvl="0">
      <w:lvlJc w:val="left"/>
      <w:lvlText w:val="%1."/>
      <w:numFmt w:val="decimal"/>
      <w:start w:val="2"/>
    </w:lvl>
    <w:lvl w:ilvl="1">
      <w:lvlJc w:val="left"/>
      <w:lvlText w:val="%2"/>
      <w:numFmt w:val="lowerLetter"/>
      <w:start w:val="1"/>
    </w:lvl>
  </w:abstractNum>
  <w:abstractNum w:abstractNumId="205">
    <w:nsid w:val="59A377B6"/>
    <w:multiLevelType w:val="hybridMultilevel"/>
    <w:lvl w:ilvl="0">
      <w:lvlJc w:val="left"/>
      <w:lvlText w:val="(%1)"/>
      <w:numFmt w:val="lowerLetter"/>
      <w:start w:val="1"/>
    </w:lvl>
  </w:abstractNum>
  <w:abstractNum w:abstractNumId="206">
    <w:nsid w:val="48AEB063"/>
    <w:multiLevelType w:val="hybridMultilevel"/>
    <w:lvl w:ilvl="0">
      <w:lvlJc w:val="left"/>
      <w:lvlText w:val="(%1)"/>
      <w:numFmt w:val="lowerLetter"/>
      <w:start w:val="2"/>
    </w:lvl>
  </w:abstractNum>
  <w:abstractNum w:abstractNumId="207">
    <w:nsid w:val="24E135"/>
    <w:multiLevelType w:val="hybridMultilevel"/>
    <w:lvl w:ilvl="0">
      <w:lvlJc w:val="left"/>
      <w:lvlText w:val="%1."/>
      <w:numFmt w:val="decimal"/>
      <w:start w:val="1"/>
    </w:lvl>
    <w:lvl w:ilvl="1">
      <w:lvlJc w:val="left"/>
      <w:lvlText w:val="(%2)"/>
      <w:numFmt w:val="lowerLetter"/>
      <w:start w:val="1"/>
    </w:lvl>
  </w:abstractNum>
  <w:abstractNum w:abstractNumId="208">
    <w:nsid w:val="BB13C1"/>
    <w:multiLevelType w:val="hybridMultilevel"/>
    <w:lvl w:ilvl="0">
      <w:lvlJc w:val="left"/>
      <w:lvlText w:val="%1"/>
      <w:numFmt w:val="decimal"/>
      <w:start w:val="1"/>
    </w:lvl>
    <w:lvl w:ilvl="1">
      <w:lvlJc w:val="left"/>
      <w:lvlText w:val="(%2)"/>
      <w:numFmt w:val="lowerLetter"/>
      <w:start w:val="4"/>
    </w:lvl>
  </w:abstractNum>
  <w:abstractNum w:abstractNumId="209">
    <w:nsid w:val="271210C7"/>
    <w:multiLevelType w:val="hybridMultilevel"/>
    <w:lvl w:ilvl="0">
      <w:lvlJc w:val="left"/>
      <w:lvlText w:val="%1."/>
      <w:numFmt w:val="decimal"/>
      <w:start w:val="2"/>
    </w:lvl>
    <w:lvl w:ilvl="1">
      <w:lvlJc w:val="left"/>
      <w:lvlText w:val="(%2)"/>
      <w:numFmt w:val="lowerLetter"/>
      <w:start w:val="1"/>
    </w:lvl>
  </w:abstractNum>
  <w:abstractNum w:abstractNumId="210">
    <w:nsid w:val="217B22E4"/>
    <w:multiLevelType w:val="hybridMultilevel"/>
    <w:lvl w:ilvl="0">
      <w:lvlJc w:val="left"/>
      <w:lvlText w:val="(%1)"/>
      <w:numFmt w:val="lowerLetter"/>
      <w:start w:val="1"/>
    </w:lvl>
  </w:abstractNum>
  <w:abstractNum w:abstractNumId="211">
    <w:nsid w:val="53E31A24"/>
    <w:multiLevelType w:val="hybridMultilevel"/>
    <w:lvl w:ilvl="0">
      <w:lvlJc w:val="left"/>
      <w:lvlText w:val="%1."/>
      <w:numFmt w:val="decimal"/>
      <w:start w:val="1"/>
    </w:lvl>
  </w:abstractNum>
  <w:abstractNum w:abstractNumId="212">
    <w:nsid w:val="6DC45E83"/>
    <w:multiLevelType w:val="hybridMultilevel"/>
    <w:lvl w:ilvl="0">
      <w:lvlJc w:val="left"/>
      <w:lvlText w:val="%1."/>
      <w:numFmt w:val="decimal"/>
      <w:start w:val="4"/>
    </w:lvl>
  </w:abstractNum>
  <w:abstractNum w:abstractNumId="213">
    <w:nsid w:val="17304A67"/>
    <w:multiLevelType w:val="hybridMultilevel"/>
    <w:lvl w:ilvl="0">
      <w:lvlJc w:val="left"/>
      <w:lvlText w:val="%1."/>
      <w:numFmt w:val="decimal"/>
      <w:start w:val="1"/>
    </w:lvl>
  </w:abstractNum>
  <w:abstractNum w:abstractNumId="214">
    <w:nsid w:val="2BB180D8"/>
    <w:multiLevelType w:val="hybridMultilevel"/>
    <w:lvl w:ilvl="0">
      <w:lvlJc w:val="left"/>
      <w:lvlText w:val="%1."/>
      <w:numFmt w:val="decimal"/>
      <w:start w:val="6"/>
    </w:lvl>
  </w:abstractNum>
  <w:abstractNum w:abstractNumId="215">
    <w:nsid w:val="556B69ED"/>
    <w:multiLevelType w:val="hybridMultilevel"/>
    <w:lvl w:ilvl="0">
      <w:lvlJc w:val="left"/>
      <w:lvlText w:val="(%1)"/>
      <w:numFmt w:val="lowerLetter"/>
      <w:start w:val="1"/>
    </w:lvl>
    <w:lvl w:ilvl="1">
      <w:lvlJc w:val="left"/>
      <w:lvlText w:val="(%2)"/>
      <w:numFmt w:val="decimal"/>
      <w:start w:val="1"/>
    </w:lvl>
  </w:abstractNum>
  <w:abstractNum w:abstractNumId="216">
    <w:nsid w:val="70836196"/>
    <w:multiLevelType w:val="hybridMultilevel"/>
    <w:lvl w:ilvl="0">
      <w:lvlJc w:val="left"/>
      <w:lvlText w:val="(%1)"/>
      <w:numFmt w:val="decimal"/>
      <w:start w:val="4"/>
    </w:lvl>
  </w:abstractNum>
  <w:abstractNum w:abstractNumId="217">
    <w:nsid w:val="539F7F12"/>
    <w:multiLevelType w:val="hybridMultilevel"/>
    <w:lvl w:ilvl="0">
      <w:lvlJc w:val="left"/>
      <w:lvlText w:val="(%1)"/>
      <w:numFmt w:val="decimal"/>
      <w:start w:val="8"/>
    </w:lvl>
  </w:abstractNum>
  <w:abstractNum w:abstractNumId="218">
    <w:nsid w:val="2817E7EC"/>
    <w:multiLevelType w:val="hybridMultilevel"/>
    <w:lvl w:ilvl="0">
      <w:lvlJc w:val="left"/>
      <w:lvlText w:val="(%1)"/>
      <w:numFmt w:val="decimal"/>
      <w:start w:val="11"/>
    </w:lvl>
  </w:abstractNum>
  <w:abstractNum w:abstractNumId="219">
    <w:nsid w:val="71482545"/>
    <w:multiLevelType w:val="hybridMultilevel"/>
    <w:lvl w:ilvl="0">
      <w:lvlJc w:val="left"/>
      <w:lvlText w:val="(%1)"/>
      <w:numFmt w:val="decimal"/>
      <w:start w:val="15"/>
    </w:lvl>
  </w:abstractNum>
  <w:abstractNum w:abstractNumId="220">
    <w:nsid w:val="17D78639"/>
    <w:multiLevelType w:val="hybridMultilevel"/>
    <w:lvl w:ilvl="0">
      <w:lvlJc w:val="left"/>
      <w:lvlText w:val="(%1)"/>
      <w:numFmt w:val="decimal"/>
      <w:start w:val="22"/>
    </w:lvl>
  </w:abstractNum>
  <w:abstractNum w:abstractNumId="221">
    <w:nsid w:val="141D2302"/>
    <w:multiLevelType w:val="hybridMultilevel"/>
    <w:lvl w:ilvl="0">
      <w:lvlJc w:val="left"/>
      <w:lvlText w:val="(%1)"/>
      <w:numFmt w:val="decimal"/>
      <w:start w:val="25"/>
    </w:lvl>
  </w:abstractNum>
  <w:abstractNum w:abstractNumId="222">
    <w:nsid w:val="407168D8"/>
    <w:multiLevelType w:val="hybridMultilevel"/>
    <w:lvl w:ilvl="0">
      <w:lvlJc w:val="left"/>
      <w:lvlText w:val="(%1)"/>
      <w:numFmt w:val="decimal"/>
      <w:start w:val="29"/>
    </w:lvl>
  </w:abstractNum>
  <w:abstractNum w:abstractNumId="223">
    <w:nsid w:val="6A1B45E5"/>
    <w:multiLevelType w:val="hybridMultilevel"/>
    <w:lvl w:ilvl="0">
      <w:lvlJc w:val="left"/>
      <w:lvlText w:val="(%1)"/>
      <w:numFmt w:val="decimal"/>
      <w:start w:val="31"/>
    </w:lvl>
  </w:abstractNum>
  <w:abstractNum w:abstractNumId="224">
    <w:nsid w:val="567BD50A"/>
    <w:multiLevelType w:val="hybridMultilevel"/>
    <w:lvl w:ilvl="0">
      <w:lvlJc w:val="left"/>
      <w:lvlText w:val="(%1)"/>
      <w:numFmt w:val="decimal"/>
      <w:start w:val="33"/>
    </w:lvl>
  </w:abstractNum>
  <w:abstractNum w:abstractNumId="225">
    <w:nsid w:val="73BBD7F8"/>
    <w:multiLevelType w:val="hybridMultilevel"/>
    <w:lvl w:ilvl="0">
      <w:lvlJc w:val="left"/>
      <w:lvlText w:val="(%1)"/>
      <w:numFmt w:val="decimal"/>
      <w:start w:val="36"/>
    </w:lvl>
  </w:abstractNum>
  <w:abstractNum w:abstractNumId="226">
    <w:nsid w:val="1876589D"/>
    <w:multiLevelType w:val="hybridMultilevel"/>
    <w:lvl w:ilvl="0">
      <w:lvlJc w:val="left"/>
      <w:lvlText w:val="(%1)"/>
      <w:numFmt w:val="decimal"/>
      <w:start w:val="39"/>
    </w:lvl>
  </w:abstractNum>
  <w:abstractNum w:abstractNumId="227">
    <w:nsid w:val="327FAC77"/>
    <w:multiLevelType w:val="hybridMultilevel"/>
    <w:lvl w:ilvl="0">
      <w:lvlJc w:val="left"/>
      <w:lvlText w:val="(%1)"/>
      <w:numFmt w:val="decimal"/>
      <w:start w:val="43"/>
    </w:lvl>
  </w:abstractNum>
  <w:abstractNum w:abstractNumId="228">
    <w:nsid w:val="5A606509"/>
    <w:multiLevelType w:val="hybridMultilevel"/>
    <w:lvl w:ilvl="0">
      <w:lvlJc w:val="left"/>
      <w:lvlText w:val="(%1)"/>
      <w:numFmt w:val="decimal"/>
      <w:start w:val="46"/>
    </w:lvl>
  </w:abstractNum>
  <w:abstractNum w:abstractNumId="229">
    <w:nsid w:val="6F38E6D1"/>
    <w:multiLevelType w:val="hybridMultilevel"/>
    <w:lvl w:ilvl="0">
      <w:lvlJc w:val="left"/>
      <w:lvlText w:val="(%1)"/>
      <w:numFmt w:val="decimal"/>
      <w:start w:val="48"/>
    </w:lvl>
  </w:abstractNum>
  <w:abstractNum w:abstractNumId="230">
    <w:nsid w:val="46111BA5"/>
    <w:multiLevelType w:val="hybridMultilevel"/>
    <w:lvl w:ilvl="0">
      <w:lvlJc w:val="left"/>
      <w:lvlText w:val="(%1)"/>
      <w:numFmt w:val="lowerLetter"/>
      <w:start w:val="2"/>
    </w:lvl>
  </w:abstractNum>
  <w:abstractNum w:abstractNumId="231">
    <w:nsid w:val="5E963896"/>
    <w:multiLevelType w:val="hybridMultilevel"/>
    <w:lvl w:ilvl="0">
      <w:lvlJc w:val="left"/>
      <w:lvlText w:val="(%1)"/>
      <w:numFmt w:val="lowerLetter"/>
      <w:start w:val="1"/>
    </w:lvl>
  </w:abstractNum>
  <w:abstractNum w:abstractNumId="232">
    <w:nsid w:val="775BA7C1"/>
    <w:multiLevelType w:val="hybridMultilevel"/>
    <w:lvl w:ilvl="0">
      <w:lvlJc w:val="left"/>
      <w:lvlText w:val="(%1)"/>
      <w:numFmt w:val="lowerLetter"/>
      <w:start w:val="3"/>
    </w:lvl>
  </w:abstractNum>
  <w:abstractNum w:abstractNumId="233">
    <w:nsid w:val="1DD6D6F4"/>
    <w:multiLevelType w:val="hybridMultilevel"/>
    <w:lvl w:ilvl="0">
      <w:lvlJc w:val="left"/>
      <w:lvlText w:val="(%1)"/>
      <w:numFmt w:val="lowerLetter"/>
      <w:start w:val="4"/>
    </w:lvl>
  </w:abstractNum>
  <w:abstractNum w:abstractNumId="234">
    <w:nsid w:val="769A091F"/>
    <w:multiLevelType w:val="hybridMultilevel"/>
    <w:lvl w:ilvl="0">
      <w:lvlJc w:val="left"/>
      <w:lvlText w:val="(%1)"/>
      <w:numFmt w:val="lowerRoman"/>
      <w:start w:val="2"/>
    </w:lvl>
    <w:lvl w:ilvl="1">
      <w:lvlJc w:val="left"/>
      <w:lvlText w:val="(%2)"/>
      <w:numFmt w:val="upperLetter"/>
      <w:start w:val="1"/>
    </w:lvl>
  </w:abstractNum>
  <w:abstractNum w:abstractNumId="235">
    <w:nsid w:val="4695AE95"/>
    <w:multiLevelType w:val="hybridMultilevel"/>
    <w:lvl w:ilvl="0">
      <w:lvlJc w:val="left"/>
      <w:lvlText w:val="(%1)"/>
      <w:numFmt w:val="lowerRoman"/>
      <w:start w:val="3"/>
    </w:lvl>
  </w:abstractNum>
  <w:abstractNum w:abstractNumId="236">
    <w:nsid w:val="777A4EAA"/>
    <w:multiLevelType w:val="hybridMultilevel"/>
    <w:lvl w:ilvl="0">
      <w:lvlJc w:val="left"/>
      <w:lvlText w:val="(%1)"/>
      <w:numFmt w:val="lowerLetter"/>
      <w:start w:val="1"/>
    </w:lvl>
  </w:abstractNum>
  <w:abstractNum w:abstractNumId="237">
    <w:nsid w:val="3F48B982"/>
    <w:multiLevelType w:val="hybridMultilevel"/>
    <w:lvl w:ilvl="0">
      <w:lvlJc w:val="left"/>
      <w:lvlText w:val="(%1)"/>
      <w:numFmt w:val="lowerLetter"/>
      <w:start w:val="3"/>
    </w:lvl>
  </w:abstractNum>
  <w:abstractNum w:abstractNumId="238">
    <w:nsid w:val="46BA8FCA"/>
    <w:multiLevelType w:val="hybridMultilevel"/>
    <w:lvl w:ilvl="0">
      <w:lvlJc w:val="left"/>
      <w:lvlText w:val="(%1)"/>
      <w:numFmt w:val="lowerLetter"/>
      <w:start w:val="5"/>
    </w:lvl>
  </w:abstractNum>
  <w:abstractNum w:abstractNumId="239">
    <w:nsid w:val="7835626C"/>
    <w:multiLevelType w:val="hybridMultilevel"/>
    <w:lvl w:ilvl="0">
      <w:lvlJc w:val="left"/>
      <w:lvlText w:val="(%1)"/>
      <w:numFmt w:val="lowerLetter"/>
      <w:start w:val="9"/>
    </w:lvl>
  </w:abstractNum>
  <w:abstractNum w:abstractNumId="240">
    <w:nsid w:val="665ACA49"/>
    <w:multiLevelType w:val="hybridMultilevel"/>
    <w:lvl w:ilvl="0">
      <w:lvlJc w:val="left"/>
      <w:lvlText w:val="(%1)"/>
      <w:numFmt w:val="lowerLetter"/>
      <w:start w:val="16"/>
    </w:lvl>
  </w:abstractNum>
  <w:abstractNum w:abstractNumId="241">
    <w:nsid w:val="6835B2AE"/>
    <w:multiLevelType w:val="hybridMultilevel"/>
    <w:lvl w:ilvl="0">
      <w:lvlJc w:val="left"/>
      <w:lvlText w:val="(%1)"/>
      <w:numFmt w:val="lowerLetter"/>
      <w:start w:val="1"/>
    </w:lvl>
  </w:abstractNum>
  <w:abstractNum w:abstractNumId="242">
    <w:nsid w:val="4C187C90"/>
    <w:multiLevelType w:val="hybridMultilevel"/>
    <w:lvl w:ilvl="0">
      <w:lvlJc w:val="left"/>
      <w:lvlText w:val="(%1)"/>
      <w:numFmt w:val="lowerLetter"/>
      <w:start w:val="2"/>
    </w:lvl>
  </w:abstractNum>
  <w:abstractNum w:abstractNumId="243">
    <w:nsid w:val="541F28CD"/>
    <w:multiLevelType w:val="hybridMultilevel"/>
    <w:lvl w:ilvl="0">
      <w:lvlJc w:val="left"/>
      <w:lvlText w:val="(%1)"/>
      <w:numFmt w:val="lowerLetter"/>
      <w:start w:val="1"/>
    </w:lvl>
  </w:abstractNum>
  <w:abstractNum w:abstractNumId="244">
    <w:nsid w:val="7F65FD16"/>
    <w:multiLevelType w:val="hybridMultilevel"/>
    <w:lvl w:ilvl="0">
      <w:lvlJc w:val="left"/>
      <w:lvlText w:val="(%1)"/>
      <w:numFmt w:val="lowerLetter"/>
      <w:start w:val="4"/>
    </w:lvl>
  </w:abstractNum>
  <w:abstractNum w:abstractNumId="245">
    <w:nsid w:val="77C9FD68"/>
    <w:multiLevelType w:val="hybridMultilevel"/>
    <w:lvl w:ilvl="0">
      <w:lvlJc w:val="left"/>
      <w:lvlText w:val="(%1)"/>
      <w:numFmt w:val="lowerLetter"/>
      <w:start w:val="9"/>
    </w:lvl>
  </w:abstractNum>
  <w:abstractNum w:abstractNumId="246">
    <w:nsid w:val="298A92BA"/>
    <w:multiLevelType w:val="hybridMultilevel"/>
    <w:lvl w:ilvl="0">
      <w:lvlJc w:val="left"/>
      <w:lvlText w:val="(%1)"/>
      <w:numFmt w:val="lowerLetter"/>
      <w:start w:val="1"/>
    </w:lvl>
    <w:lvl w:ilvl="1">
      <w:lvlJc w:val="left"/>
      <w:lvlText w:val="(%2)"/>
      <w:numFmt w:val="lowerRoman"/>
      <w:start w:val="1"/>
    </w:lvl>
  </w:abstractNum>
  <w:abstractNum w:abstractNumId="247">
    <w:nsid w:val="6FE95EAC"/>
    <w:multiLevelType w:val="hybridMultilevel"/>
    <w:lvl w:ilvl="0">
      <w:lvlJc w:val="left"/>
      <w:lvlText w:val="%1"/>
      <w:numFmt w:val="lowerRoman"/>
      <w:start w:val="1"/>
    </w:lvl>
    <w:lvl w:ilvl="1">
      <w:lvlJc w:val="left"/>
      <w:lvlText w:val="(%2)"/>
      <w:numFmt w:val="lowerRoman"/>
      <w:start w:val="3"/>
    </w:lvl>
  </w:abstractNum>
  <w:abstractNum w:abstractNumId="248">
    <w:nsid w:val="4B697C7A"/>
    <w:multiLevelType w:val="hybridMultilevel"/>
    <w:lvl w:ilvl="0">
      <w:lvlJc w:val="left"/>
      <w:lvlText w:val="(%1)"/>
      <w:numFmt w:val="lowerRoman"/>
      <w:start w:val="1"/>
    </w:lvl>
    <w:lvl w:ilvl="1">
      <w:lvlJc w:val="left"/>
      <w:lvlText w:val="%2"/>
      <w:numFmt w:val="lowerRoman"/>
      <w:start w:val="1"/>
    </w:lvl>
  </w:abstractNum>
  <w:abstractNum w:abstractNumId="249">
    <w:nsid w:val="51A27AA6"/>
    <w:multiLevelType w:val="hybridMultilevel"/>
    <w:lvl w:ilvl="0">
      <w:lvlJc w:val="left"/>
      <w:lvlText w:val="(%1)"/>
      <w:numFmt w:val="lowerLetter"/>
      <w:start w:val="2"/>
    </w:lvl>
  </w:abstractNum>
  <w:abstractNum w:abstractNumId="250">
    <w:nsid w:val="613183F2"/>
    <w:multiLevelType w:val="hybridMultilevel"/>
    <w:lvl w:ilvl="0">
      <w:lvlJc w:val="left"/>
      <w:lvlText w:val="(%1)"/>
      <w:numFmt w:val="lowerLetter"/>
      <w:start w:val="3"/>
    </w:lvl>
  </w:abstractNum>
  <w:abstractNum w:abstractNumId="251">
    <w:nsid w:val="634102B4"/>
    <w:multiLevelType w:val="hybridMultilevel"/>
    <w:lvl w:ilvl="0">
      <w:lvlJc w:val="left"/>
      <w:lvlText w:val="(%1)"/>
      <w:numFmt w:val="lowerLetter"/>
      <w:start w:val="1"/>
    </w:lvl>
  </w:abstractNum>
  <w:abstractNum w:abstractNumId="252">
    <w:nsid w:val="65BF9DA8"/>
    <w:multiLevelType w:val="hybridMultilevel"/>
    <w:lvl w:ilvl="0">
      <w:lvlJc w:val="left"/>
      <w:lvlText w:val="(%1)"/>
      <w:numFmt w:val="lowerLetter"/>
      <w:start w:val="2"/>
    </w:lvl>
  </w:abstractNum>
  <w:abstractNum w:abstractNumId="253">
    <w:nsid w:val="21A2ECCA"/>
    <w:multiLevelType w:val="hybridMultilevel"/>
    <w:lvl w:ilvl="0">
      <w:lvlJc w:val="left"/>
      <w:lvlText w:val="(%1)"/>
      <w:numFmt w:val="lowerRoman"/>
      <w:start w:val="1"/>
    </w:lvl>
  </w:abstractNum>
  <w:abstractNum w:abstractNumId="254">
    <w:nsid w:val="4D5C4899"/>
    <w:multiLevelType w:val="hybridMultilevel"/>
    <w:lvl w:ilvl="0">
      <w:lvlJc w:val="left"/>
      <w:lvlText w:val="(%1)"/>
      <w:numFmt w:val="lowerLetter"/>
      <w:start w:val="1"/>
    </w:lvl>
  </w:abstractNum>
  <w:abstractNum w:abstractNumId="255">
    <w:nsid w:val="3C3B72B2"/>
    <w:multiLevelType w:val="hybridMultilevel"/>
    <w:lvl w:ilvl="0">
      <w:lvlJc w:val="left"/>
      <w:lvlText w:val="(%1)"/>
      <w:numFmt w:val="lowerLetter"/>
      <w:start w:val="1"/>
    </w:lvl>
  </w:abstractNum>
  <w:abstractNum w:abstractNumId="256">
    <w:nsid w:val="155EC4C2"/>
    <w:multiLevelType w:val="hybridMultilevel"/>
    <w:lvl w:ilvl="0">
      <w:lvlJc w:val="left"/>
      <w:lvlText w:val="(%1)"/>
      <w:numFmt w:val="lowerLetter"/>
      <w:start w:val="3"/>
    </w:lvl>
  </w:abstractNum>
  <w:abstractNum w:abstractNumId="257">
    <w:nsid w:val="65D2A137"/>
    <w:multiLevelType w:val="hybridMultilevel"/>
    <w:lvl w:ilvl="0">
      <w:lvlJc w:val="left"/>
      <w:lvlText w:val="(%1)"/>
      <w:numFmt w:val="lowerRoman"/>
      <w:start w:val="1"/>
    </w:lvl>
  </w:abstractNum>
  <w:abstractNum w:abstractNumId="258">
    <w:nsid w:val="6EBB1F2A"/>
    <w:multiLevelType w:val="hybridMultilevel"/>
    <w:lvl w:ilvl="0">
      <w:lvlJc w:val="left"/>
      <w:lvlText w:val="(%1)"/>
      <w:numFmt w:val="lowerLetter"/>
      <w:start w:val="1"/>
    </w:lvl>
  </w:abstractNum>
  <w:abstractNum w:abstractNumId="259">
    <w:nsid w:val="6FBF29CB"/>
    <w:multiLevelType w:val="hybridMultilevel"/>
    <w:lvl w:ilvl="0">
      <w:lvlJc w:val="left"/>
      <w:lvlText w:val="(%1)"/>
      <w:numFmt w:val="lowerLetter"/>
      <w:start w:val="2"/>
    </w:lvl>
  </w:abstractNum>
  <w:abstractNum w:abstractNumId="260">
    <w:nsid w:val="550B8808"/>
    <w:multiLevelType w:val="hybridMultilevel"/>
    <w:lvl w:ilvl="0">
      <w:lvlJc w:val="left"/>
      <w:lvlText w:val="(%1)"/>
      <w:numFmt w:val="lowerLetter"/>
      <w:start w:val="4"/>
    </w:lvl>
  </w:abstractNum>
  <w:abstractNum w:abstractNumId="261">
    <w:nsid w:val="34CC3ACF"/>
    <w:multiLevelType w:val="hybridMultilevel"/>
    <w:lvl w:ilvl="0">
      <w:lvlJc w:val="left"/>
      <w:lvlText w:val="(%1)"/>
      <w:numFmt w:val="lowerLetter"/>
      <w:start w:val="6"/>
    </w:lvl>
  </w:abstractNum>
  <w:abstractNum w:abstractNumId="262">
    <w:nsid w:val="4E556261"/>
    <w:multiLevelType w:val="hybridMultilevel"/>
    <w:lvl w:ilvl="0">
      <w:lvlJc w:val="left"/>
      <w:lvlText w:val="(%1)"/>
      <w:numFmt w:val="lowerLetter"/>
      <w:start w:val="2"/>
    </w:lvl>
  </w:abstractNum>
  <w:abstractNum w:abstractNumId="263">
    <w:nsid w:val="4C672FC9"/>
    <w:multiLevelType w:val="hybridMultilevel"/>
    <w:lvl w:ilvl="0">
      <w:lvlJc w:val="left"/>
      <w:lvlText w:val="%1"/>
      <w:numFmt w:val="lowerLetter"/>
      <w:start w:val="1"/>
    </w:lvl>
    <w:lvl w:ilvl="1">
      <w:lvlJc w:val="left"/>
      <w:lvlText w:val="(%2)"/>
      <w:numFmt w:val="lowerLetter"/>
      <w:start w:val="7"/>
    </w:lvl>
  </w:abstractNum>
  <w:abstractNum w:abstractNumId="264">
    <w:nsid w:val="52A311C3"/>
    <w:multiLevelType w:val="hybridMultilevel"/>
    <w:lvl w:ilvl="0">
      <w:lvlJc w:val="left"/>
      <w:lvlText w:val="(%1)"/>
      <w:numFmt w:val="lowerLetter"/>
      <w:start w:val="61"/>
    </w:lvl>
    <w:lvl w:ilvl="1">
      <w:lvlJc w:val="left"/>
      <w:lvlText w:val="(%2)"/>
      <w:numFmt w:val="lowerLetter"/>
      <w:start w:val="10"/>
    </w:lvl>
  </w:abstractNum>
  <w:abstractNum w:abstractNumId="265">
    <w:nsid w:val="44EF6B80"/>
    <w:multiLevelType w:val="hybridMultilevel"/>
    <w:lvl w:ilvl="0">
      <w:lvlJc w:val="left"/>
      <w:lvlText w:val="(%1)"/>
      <w:numFmt w:val="lowerLetter"/>
      <w:start w:val="11"/>
    </w:lvl>
  </w:abstractNum>
  <w:abstractNum w:abstractNumId="266">
    <w:nsid w:val="12FCDE5E"/>
    <w:multiLevelType w:val="hybridMultilevel"/>
    <w:lvl w:ilvl="0">
      <w:lvlJc w:val="left"/>
      <w:lvlText w:val="(%1)"/>
      <w:numFmt w:val="lowerLetter"/>
      <w:start w:val="17"/>
    </w:lvl>
  </w:abstractNum>
  <w:abstractNum w:abstractNumId="267">
    <w:nsid w:val="4A1D606E"/>
    <w:multiLevelType w:val="hybridMultilevel"/>
    <w:lvl w:ilvl="0">
      <w:lvlJc w:val="left"/>
      <w:lvlText w:val="(%1)"/>
      <w:numFmt w:val="lowerLetter"/>
      <w:start w:val="21"/>
    </w:lvl>
  </w:abstractNum>
  <w:abstractNum w:abstractNumId="268">
    <w:nsid w:val="4382503"/>
    <w:multiLevelType w:val="hybridMultilevel"/>
    <w:lvl w:ilvl="0">
      <w:lvlJc w:val="left"/>
      <w:lvlText w:val="(%1)"/>
      <w:numFmt w:val="lowerLetter"/>
      <w:start w:val="23"/>
    </w:lvl>
  </w:abstractNum>
  <w:abstractNum w:abstractNumId="269">
    <w:nsid w:val="59B76E28"/>
    <w:multiLevelType w:val="hybridMultilevel"/>
    <w:lvl w:ilvl="0">
      <w:lvlJc w:val="left"/>
      <w:lvlText w:val="%1"/>
      <w:numFmt w:val="lowerLetter"/>
      <w:start w:val="1"/>
    </w:lvl>
    <w:lvl w:ilvl="1">
      <w:lvlJc w:val="left"/>
      <w:lvlText w:val="(%2)"/>
      <w:numFmt w:val="lowerLetter"/>
      <w:start w:val="8"/>
    </w:lvl>
  </w:abstractNum>
  <w:abstractNum w:abstractNumId="270">
    <w:nsid w:val="4252C2DA"/>
    <w:multiLevelType w:val="hybridMultilevel"/>
    <w:lvl w:ilvl="0">
      <w:lvlJc w:val="left"/>
      <w:lvlText w:val="(%1)"/>
      <w:numFmt w:val="lowerLetter"/>
      <w:start w:val="26"/>
    </w:lvl>
    <w:lvl w:ilvl="1">
      <w:lvlJc w:val="left"/>
      <w:lvlText w:val="%2"/>
      <w:numFmt w:val="lowerLetter"/>
      <w:start w:val="1"/>
    </w:lvl>
  </w:abstractNum>
  <w:abstractNum w:abstractNumId="271">
    <w:nsid w:val="6A92EF4C"/>
    <w:multiLevelType w:val="hybridMultilevel"/>
    <w:lvl w:ilvl="0">
      <w:lvlJc w:val="left"/>
      <w:lvlText w:val="(%1)"/>
      <w:numFmt w:val="lowerLetter"/>
      <w:start w:val="27"/>
    </w:lvl>
  </w:abstractNum>
  <w:abstractNum w:abstractNumId="272">
    <w:nsid w:val="41ED20D7"/>
    <w:multiLevelType w:val="hybridMultilevel"/>
    <w:lvl w:ilvl="0">
      <w:lvlJc w:val="left"/>
      <w:lvlText w:val="(%1)"/>
      <w:numFmt w:val="lowerLetter"/>
      <w:start w:val="29"/>
    </w:lvl>
  </w:abstractNum>
  <w:abstractNum w:abstractNumId="273">
    <w:nsid w:val="E6B3F6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4">
    <w:nsid w:val="3EB21819"/>
    <w:multiLevelType w:val="hybridMultilevel"/>
    <w:lvl w:ilvl="0">
      <w:lvlJc w:val="left"/>
      <w:lvlText w:val="(%1)"/>
      <w:numFmt w:val="lowerLetter"/>
      <w:start w:val="30"/>
    </w:lvl>
    <w:lvl w:ilvl="1">
      <w:lvlJc w:val="left"/>
      <w:lvlText w:val="%2"/>
      <w:numFmt w:val="lowerLetter"/>
      <w:start w:val="1"/>
    </w:lvl>
    <w:lvl w:ilvl="2">
      <w:lvlJc w:val="left"/>
      <w:lvlText w:val="%3"/>
      <w:numFmt w:val="lowerRoman"/>
      <w:start w:val="1"/>
    </w:lvl>
  </w:abstractNum>
  <w:abstractNum w:abstractNumId="275">
    <w:nsid w:val="41531DED"/>
    <w:multiLevelType w:val="hybridMultilevel"/>
    <w:lvl w:ilvl="0">
      <w:lvlJc w:val="left"/>
      <w:lvlText w:val="(%1)"/>
      <w:numFmt w:val="lowerLetter"/>
      <w:start w:val="1"/>
    </w:lvl>
  </w:abstractNum>
  <w:abstractNum w:abstractNumId="276">
    <w:nsid w:val="6353CD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2020-08-07T15:31:17Z</dcterms:created>
  <dcterms:modified xsi:type="dcterms:W3CDTF">2020-08-07T15:31:17Z</dcterms:modified>
</cp:coreProperties>
</file>