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7"/>
          <w:szCs w:val="17"/>
          <w:color w:val="auto"/>
        </w:rPr>
        <w:t>SECURITIES AND EXCHANGE COMMISSION</w:t>
      </w:r>
    </w:p>
    <w:p>
      <w:pPr>
        <w:spacing w:after="0" w:line="2" w:lineRule="exact"/>
        <w:rPr>
          <w:sz w:val="24"/>
          <w:szCs w:val="24"/>
          <w:color w:val="auto"/>
        </w:rPr>
      </w:pPr>
    </w:p>
    <w:p>
      <w:pPr>
        <w:jc w:val="center"/>
        <w:ind w:right="-19"/>
        <w:spacing w:after="0"/>
        <w:rPr>
          <w:sz w:val="20"/>
          <w:szCs w:val="20"/>
          <w:color w:val="auto"/>
        </w:rPr>
      </w:pPr>
      <w:r>
        <w:rPr>
          <w:rFonts w:ascii="Arial" w:cs="Arial" w:eastAsia="Arial" w:hAnsi="Arial"/>
          <w:sz w:val="17"/>
          <w:szCs w:val="17"/>
          <w:color w:val="auto"/>
        </w:rPr>
        <w:t>Washington, D.C. 20549</w:t>
      </w:r>
    </w:p>
    <w:p>
      <w:pPr>
        <w:spacing w:after="0" w:line="192" w:lineRule="exact"/>
        <w:rPr>
          <w:sz w:val="24"/>
          <w:szCs w:val="24"/>
          <w:color w:val="auto"/>
        </w:rPr>
      </w:pPr>
    </w:p>
    <w:p>
      <w:pPr>
        <w:jc w:val="center"/>
        <w:ind w:right="-19"/>
        <w:spacing w:after="0"/>
        <w:rPr>
          <w:sz w:val="20"/>
          <w:szCs w:val="20"/>
          <w:color w:val="auto"/>
        </w:rPr>
      </w:pPr>
      <w:r>
        <w:rPr>
          <w:rFonts w:ascii="Arial" w:cs="Arial" w:eastAsia="Arial" w:hAnsi="Arial"/>
          <w:sz w:val="17"/>
          <w:szCs w:val="17"/>
          <w:color w:val="auto"/>
        </w:rPr>
        <w:t>Schedule 13G</w:t>
      </w:r>
    </w:p>
    <w:p>
      <w:pPr>
        <w:spacing w:after="0" w:line="206" w:lineRule="exact"/>
        <w:rPr>
          <w:sz w:val="24"/>
          <w:szCs w:val="24"/>
          <w:color w:val="auto"/>
        </w:rPr>
      </w:pPr>
    </w:p>
    <w:p>
      <w:pPr>
        <w:jc w:val="center"/>
        <w:ind w:right="-19"/>
        <w:spacing w:after="0"/>
        <w:rPr>
          <w:sz w:val="20"/>
          <w:szCs w:val="20"/>
          <w:color w:val="auto"/>
        </w:rPr>
      </w:pPr>
      <w:r>
        <w:rPr>
          <w:rFonts w:ascii="Arial" w:cs="Arial" w:eastAsia="Arial" w:hAnsi="Arial"/>
          <w:sz w:val="17"/>
          <w:szCs w:val="17"/>
          <w:color w:val="auto"/>
        </w:rPr>
        <w:t>Under the Securities Exchange Act of 1934</w:t>
      </w:r>
    </w:p>
    <w:p>
      <w:pPr>
        <w:spacing w:after="0" w:line="19" w:lineRule="exact"/>
        <w:rPr>
          <w:sz w:val="24"/>
          <w:szCs w:val="24"/>
          <w:color w:val="auto"/>
        </w:rPr>
      </w:pPr>
    </w:p>
    <w:p>
      <w:pPr>
        <w:jc w:val="center"/>
        <w:ind w:right="-19"/>
        <w:spacing w:after="0"/>
        <w:rPr>
          <w:sz w:val="20"/>
          <w:szCs w:val="20"/>
          <w:color w:val="auto"/>
        </w:rPr>
      </w:pPr>
      <w:r>
        <w:rPr>
          <w:rFonts w:ascii="Arial" w:cs="Arial" w:eastAsia="Arial" w:hAnsi="Arial"/>
          <w:sz w:val="17"/>
          <w:szCs w:val="17"/>
          <w:color w:val="auto"/>
        </w:rPr>
        <w:t>(Amendment No.: 5 )*</w:t>
      </w:r>
    </w:p>
    <w:p>
      <w:pPr>
        <w:spacing w:after="0" w:line="200" w:lineRule="exact"/>
        <w:rPr>
          <w:sz w:val="24"/>
          <w:szCs w:val="24"/>
          <w:color w:val="auto"/>
        </w:rPr>
      </w:pPr>
    </w:p>
    <w:p>
      <w:pPr>
        <w:spacing w:after="0" w:line="393" w:lineRule="exact"/>
        <w:rPr>
          <w:sz w:val="24"/>
          <w:szCs w:val="24"/>
          <w:color w:val="auto"/>
        </w:rPr>
      </w:pPr>
    </w:p>
    <w:p>
      <w:pPr>
        <w:spacing w:after="0"/>
        <w:rPr>
          <w:sz w:val="20"/>
          <w:szCs w:val="20"/>
          <w:color w:val="auto"/>
        </w:rPr>
      </w:pPr>
      <w:r>
        <w:rPr>
          <w:rFonts w:ascii="Arial" w:cs="Arial" w:eastAsia="Arial" w:hAnsi="Arial"/>
          <w:sz w:val="17"/>
          <w:szCs w:val="17"/>
          <w:color w:val="auto"/>
        </w:rPr>
        <w:t>Name of issuer: Emergent BioSolutions Inc</w:t>
      </w:r>
    </w:p>
    <w:p>
      <w:pPr>
        <w:spacing w:after="0" w:line="200" w:lineRule="exact"/>
        <w:rPr>
          <w:sz w:val="24"/>
          <w:szCs w:val="24"/>
          <w:color w:val="auto"/>
        </w:rPr>
      </w:pPr>
    </w:p>
    <w:p>
      <w:pPr>
        <w:spacing w:after="0" w:line="207" w:lineRule="exact"/>
        <w:rPr>
          <w:sz w:val="24"/>
          <w:szCs w:val="24"/>
          <w:color w:val="auto"/>
        </w:rPr>
      </w:pPr>
    </w:p>
    <w:p>
      <w:pPr>
        <w:spacing w:after="0"/>
        <w:rPr>
          <w:sz w:val="20"/>
          <w:szCs w:val="20"/>
          <w:color w:val="auto"/>
        </w:rPr>
      </w:pPr>
      <w:r>
        <w:rPr>
          <w:rFonts w:ascii="Arial" w:cs="Arial" w:eastAsia="Arial" w:hAnsi="Arial"/>
          <w:sz w:val="17"/>
          <w:szCs w:val="17"/>
          <w:color w:val="auto"/>
        </w:rPr>
        <w:t>Title of Class of Securities: Common Stock</w:t>
      </w:r>
    </w:p>
    <w:p>
      <w:pPr>
        <w:spacing w:after="0" w:line="200" w:lineRule="exact"/>
        <w:rPr>
          <w:sz w:val="24"/>
          <w:szCs w:val="24"/>
          <w:color w:val="auto"/>
        </w:rPr>
      </w:pPr>
    </w:p>
    <w:p>
      <w:pPr>
        <w:spacing w:after="0" w:line="207" w:lineRule="exact"/>
        <w:rPr>
          <w:sz w:val="24"/>
          <w:szCs w:val="24"/>
          <w:color w:val="auto"/>
        </w:rPr>
      </w:pPr>
    </w:p>
    <w:p>
      <w:pPr>
        <w:spacing w:after="0"/>
        <w:rPr>
          <w:sz w:val="20"/>
          <w:szCs w:val="20"/>
          <w:color w:val="auto"/>
        </w:rPr>
      </w:pPr>
      <w:r>
        <w:rPr>
          <w:rFonts w:ascii="Arial" w:cs="Arial" w:eastAsia="Arial" w:hAnsi="Arial"/>
          <w:sz w:val="17"/>
          <w:szCs w:val="17"/>
          <w:color w:val="auto"/>
        </w:rPr>
        <w:t>CUSIP Number: 29089Q105</w:t>
      </w:r>
    </w:p>
    <w:p>
      <w:pPr>
        <w:spacing w:after="0" w:line="200" w:lineRule="exact"/>
        <w:rPr>
          <w:sz w:val="24"/>
          <w:szCs w:val="24"/>
          <w:color w:val="auto"/>
        </w:rPr>
      </w:pPr>
    </w:p>
    <w:p>
      <w:pPr>
        <w:spacing w:after="0" w:line="207" w:lineRule="exact"/>
        <w:rPr>
          <w:sz w:val="24"/>
          <w:szCs w:val="24"/>
          <w:color w:val="auto"/>
        </w:rPr>
      </w:pPr>
    </w:p>
    <w:p>
      <w:pPr>
        <w:spacing w:after="0"/>
        <w:rPr>
          <w:sz w:val="20"/>
          <w:szCs w:val="20"/>
          <w:color w:val="auto"/>
        </w:rPr>
      </w:pPr>
      <w:r>
        <w:rPr>
          <w:rFonts w:ascii="Arial" w:cs="Arial" w:eastAsia="Arial" w:hAnsi="Arial"/>
          <w:sz w:val="17"/>
          <w:szCs w:val="17"/>
          <w:color w:val="auto"/>
        </w:rPr>
        <w:t>Date of Event Which Requires Filing of this Statement: December 31, 2018</w:t>
      </w:r>
    </w:p>
    <w:p>
      <w:pPr>
        <w:spacing w:after="0" w:line="206" w:lineRule="exact"/>
        <w:rPr>
          <w:sz w:val="24"/>
          <w:szCs w:val="24"/>
          <w:color w:val="auto"/>
        </w:rPr>
      </w:pPr>
    </w:p>
    <w:p>
      <w:pPr>
        <w:spacing w:after="0"/>
        <w:rPr>
          <w:sz w:val="20"/>
          <w:szCs w:val="20"/>
          <w:color w:val="auto"/>
        </w:rPr>
      </w:pPr>
      <w:r>
        <w:rPr>
          <w:rFonts w:ascii="Arial" w:cs="Arial" w:eastAsia="Arial" w:hAnsi="Arial"/>
          <w:sz w:val="17"/>
          <w:szCs w:val="17"/>
          <w:color w:val="auto"/>
        </w:rPr>
        <w:t>Check the appropriate box to designate the rule pursuant to which this Schedule is filed:</w:t>
      </w:r>
    </w:p>
    <w:p>
      <w:pPr>
        <w:spacing w:after="0" w:line="19" w:lineRule="exact"/>
        <w:rPr>
          <w:sz w:val="24"/>
          <w:szCs w:val="24"/>
          <w:color w:val="auto"/>
        </w:rPr>
      </w:pPr>
    </w:p>
    <w:p>
      <w:pPr>
        <w:jc w:val="both"/>
        <w:ind w:left="80" w:right="9840" w:firstLine="5"/>
        <w:spacing w:after="0" w:line="299" w:lineRule="auto"/>
        <w:tabs>
          <w:tab w:leader="none" w:pos="358" w:val="left"/>
        </w:tabs>
        <w:numPr>
          <w:ilvl w:val="0"/>
          <w:numId w:val="1"/>
        </w:numPr>
        <w:rPr>
          <w:rFonts w:ascii="Arial" w:cs="Arial" w:eastAsia="Arial" w:hAnsi="Arial"/>
          <w:sz w:val="15"/>
          <w:szCs w:val="15"/>
          <w:color w:val="auto"/>
        </w:rPr>
      </w:pPr>
      <w:r>
        <w:rPr>
          <w:rFonts w:ascii="Arial" w:cs="Arial" w:eastAsia="Arial" w:hAnsi="Arial"/>
          <w:sz w:val="15"/>
          <w:szCs w:val="15"/>
          <w:color w:val="auto"/>
        </w:rPr>
        <w:t>Rule 13d-1(b) ( ) Rule 13d-1(c) ( ) Rule 13d-1(d)</w:t>
      </w:r>
    </w:p>
    <w:p>
      <w:pPr>
        <w:spacing w:after="0" w:line="144" w:lineRule="exact"/>
        <w:rPr>
          <w:sz w:val="24"/>
          <w:szCs w:val="24"/>
          <w:color w:val="auto"/>
        </w:rPr>
      </w:pPr>
    </w:p>
    <w:p>
      <w:pPr>
        <w:ind w:right="300" w:firstLine="85"/>
        <w:spacing w:after="0" w:line="270" w:lineRule="auto"/>
        <w:rPr>
          <w:sz w:val="20"/>
          <w:szCs w:val="20"/>
          <w:color w:val="auto"/>
        </w:rPr>
      </w:pP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2" w:lineRule="exact"/>
        <w:rPr>
          <w:sz w:val="24"/>
          <w:szCs w:val="24"/>
          <w:color w:val="auto"/>
        </w:rPr>
      </w:pPr>
    </w:p>
    <w:p>
      <w:pPr>
        <w:ind w:firstLine="82"/>
        <w:spacing w:after="0" w:line="302"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40" w:lineRule="exact"/>
        <w:rPr>
          <w:sz w:val="24"/>
          <w:szCs w:val="24"/>
          <w:color w:val="auto"/>
        </w:rPr>
      </w:pPr>
    </w:p>
    <w:p>
      <w:pPr>
        <w:spacing w:after="0"/>
        <w:rPr>
          <w:sz w:val="20"/>
          <w:szCs w:val="20"/>
          <w:color w:val="auto"/>
        </w:rPr>
      </w:pPr>
      <w:r>
        <w:rPr>
          <w:rFonts w:ascii="Arial" w:cs="Arial" w:eastAsia="Arial" w:hAnsi="Arial"/>
          <w:sz w:val="17"/>
          <w:szCs w:val="17"/>
          <w:color w:val="auto"/>
        </w:rPr>
        <w:t>(Continued on the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207645</wp:posOffset>
            </wp:positionV>
            <wp:extent cx="7086600" cy="209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86600" cy="20955"/>
                    </a:xfrm>
                    <a:prstGeom prst="rect">
                      <a:avLst/>
                    </a:prstGeom>
                    <a:noFill/>
                  </pic:spPr>
                </pic:pic>
              </a:graphicData>
            </a:graphic>
          </wp:anchor>
        </w:drawing>
      </w:r>
    </w:p>
    <w:p>
      <w:pPr>
        <w:sectPr>
          <w:pgSz w:w="12240" w:h="15840" w:orient="portrait"/>
          <w:cols w:equalWidth="0" w:num="1">
            <w:col w:w="11160"/>
          </w:cols>
          <w:pgMar w:left="520" w:top="0" w:right="560" w:bottom="1440" w:gutter="0" w:footer="0" w:header="0"/>
        </w:sectPr>
      </w:pPr>
    </w:p>
    <w:bookmarkStart w:id="1" w:name="page2"/>
    <w:bookmarkEnd w:id="1"/>
    <w:p>
      <w:pPr>
        <w:ind w:left="5440"/>
        <w:spacing w:after="0"/>
        <w:rPr>
          <w:sz w:val="20"/>
          <w:szCs w:val="20"/>
          <w:color w:val="auto"/>
        </w:rPr>
      </w:pPr>
      <w:r>
        <w:rPr>
          <w:rFonts w:ascii="Arial" w:cs="Arial" w:eastAsia="Arial" w:hAnsi="Arial"/>
          <w:sz w:val="17"/>
          <w:szCs w:val="17"/>
          <w:color w:val="auto"/>
        </w:rPr>
        <w:t>13G</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color w:val="auto"/>
        </w:rPr>
        <w:t>CUSIP No.: 29089Q105</w:t>
      </w:r>
    </w:p>
    <w:p>
      <w:pPr>
        <w:spacing w:after="0" w:line="393" w:lineRule="exact"/>
        <w:rPr>
          <w:sz w:val="20"/>
          <w:szCs w:val="20"/>
          <w:color w:val="auto"/>
        </w:rPr>
      </w:pPr>
    </w:p>
    <w:p>
      <w:pPr>
        <w:ind w:left="220" w:hanging="220"/>
        <w:spacing w:after="0"/>
        <w:tabs>
          <w:tab w:leader="none" w:pos="220" w:val="left"/>
        </w:tabs>
        <w:numPr>
          <w:ilvl w:val="0"/>
          <w:numId w:val="2"/>
        </w:numPr>
        <w:rPr>
          <w:rFonts w:ascii="Arial" w:cs="Arial" w:eastAsia="Arial" w:hAnsi="Arial"/>
          <w:sz w:val="17"/>
          <w:szCs w:val="17"/>
          <w:color w:val="auto"/>
        </w:rPr>
      </w:pPr>
      <w:r>
        <w:rPr>
          <w:rFonts w:ascii="Arial" w:cs="Arial" w:eastAsia="Arial" w:hAnsi="Arial"/>
          <w:sz w:val="17"/>
          <w:szCs w:val="17"/>
          <w:color w:val="auto"/>
        </w:rPr>
        <w:t>NAME OF REPORTING PERSON</w:t>
      </w:r>
    </w:p>
    <w:p>
      <w:pPr>
        <w:spacing w:after="0" w:line="19" w:lineRule="exact"/>
        <w:rPr>
          <w:rFonts w:ascii="Arial" w:cs="Arial" w:eastAsia="Arial" w:hAnsi="Arial"/>
          <w:sz w:val="17"/>
          <w:szCs w:val="17"/>
          <w:color w:val="auto"/>
        </w:rPr>
      </w:pPr>
    </w:p>
    <w:p>
      <w:pPr>
        <w:ind w:left="80"/>
        <w:spacing w:after="0"/>
        <w:rPr>
          <w:rFonts w:ascii="Arial" w:cs="Arial" w:eastAsia="Arial" w:hAnsi="Arial"/>
          <w:sz w:val="17"/>
          <w:szCs w:val="17"/>
          <w:color w:val="auto"/>
        </w:rPr>
      </w:pPr>
      <w:r>
        <w:rPr>
          <w:rFonts w:ascii="Arial" w:cs="Arial" w:eastAsia="Arial" w:hAnsi="Arial"/>
          <w:sz w:val="17"/>
          <w:szCs w:val="17"/>
          <w:color w:val="auto"/>
        </w:rPr>
        <w:t>S.S. OR I.R.S. IDENTIFICATION NO. OF ABOVE PERSON</w:t>
      </w:r>
    </w:p>
    <w:p>
      <w:pPr>
        <w:spacing w:after="0" w:line="200" w:lineRule="exact"/>
        <w:rPr>
          <w:sz w:val="20"/>
          <w:szCs w:val="20"/>
          <w:color w:val="auto"/>
        </w:rPr>
      </w:pPr>
    </w:p>
    <w:p>
      <w:pPr>
        <w:spacing w:after="0" w:line="393" w:lineRule="exact"/>
        <w:rPr>
          <w:sz w:val="20"/>
          <w:szCs w:val="20"/>
          <w:color w:val="auto"/>
        </w:rPr>
      </w:pPr>
    </w:p>
    <w:p>
      <w:pPr>
        <w:ind w:left="220" w:hanging="220"/>
        <w:spacing w:after="0"/>
        <w:tabs>
          <w:tab w:leader="none" w:pos="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CHECK THE APPROPRIATE [LINE] IF A MEMBER OF A GROUP</w:t>
      </w:r>
    </w:p>
    <w:p>
      <w:pPr>
        <w:spacing w:after="0" w:line="205" w:lineRule="exact"/>
        <w:rPr>
          <w:rFonts w:ascii="Arial" w:cs="Arial" w:eastAsia="Arial" w:hAnsi="Arial"/>
          <w:sz w:val="17"/>
          <w:szCs w:val="17"/>
          <w:color w:val="auto"/>
        </w:rPr>
      </w:pPr>
    </w:p>
    <w:p>
      <w:pPr>
        <w:ind w:left="600" w:hanging="504"/>
        <w:spacing w:after="0"/>
        <w:tabs>
          <w:tab w:leader="none" w:pos="600" w:val="left"/>
        </w:tabs>
        <w:numPr>
          <w:ilvl w:val="1"/>
          <w:numId w:val="3"/>
        </w:numPr>
        <w:rPr>
          <w:rFonts w:ascii="Arial" w:cs="Arial" w:eastAsia="Arial" w:hAnsi="Arial"/>
          <w:sz w:val="17"/>
          <w:szCs w:val="17"/>
          <w:color w:val="auto"/>
        </w:rPr>
      </w:pPr>
      <w:r>
        <w:rPr>
          <w:rFonts w:ascii="Arial" w:cs="Arial" w:eastAsia="Arial" w:hAnsi="Arial"/>
          <w:sz w:val="17"/>
          <w:szCs w:val="17"/>
          <w:color w:val="auto"/>
        </w:rPr>
        <w:t>B.</w:t>
      </w:r>
    </w:p>
    <w:p>
      <w:pPr>
        <w:spacing w:after="0" w:line="19" w:lineRule="exact"/>
        <w:rPr>
          <w:rFonts w:ascii="Arial" w:cs="Arial" w:eastAsia="Arial" w:hAnsi="Arial"/>
          <w:sz w:val="17"/>
          <w:szCs w:val="17"/>
          <w:color w:val="auto"/>
        </w:rPr>
      </w:pPr>
    </w:p>
    <w:p>
      <w:pPr>
        <w:ind w:left="600"/>
        <w:spacing w:after="0"/>
        <w:rPr>
          <w:rFonts w:ascii="Arial" w:cs="Arial" w:eastAsia="Arial" w:hAnsi="Arial"/>
          <w:sz w:val="17"/>
          <w:szCs w:val="17"/>
          <w:color w:val="auto"/>
        </w:rPr>
      </w:pPr>
      <w:r>
        <w:rPr>
          <w:rFonts w:ascii="Arial" w:cs="Arial" w:eastAsia="Arial" w:hAnsi="Arial"/>
          <w:sz w:val="17"/>
          <w:szCs w:val="17"/>
          <w:u w:val="single" w:color="auto"/>
          <w:color w:val="auto"/>
        </w:rPr>
        <w:t>X</w:t>
      </w:r>
    </w:p>
    <w:p>
      <w:pPr>
        <w:spacing w:after="0" w:line="191" w:lineRule="exact"/>
        <w:rPr>
          <w:rFonts w:ascii="Arial" w:cs="Arial" w:eastAsia="Arial" w:hAnsi="Arial"/>
          <w:sz w:val="17"/>
          <w:szCs w:val="17"/>
          <w:color w:val="auto"/>
        </w:rPr>
      </w:pPr>
    </w:p>
    <w:p>
      <w:pPr>
        <w:ind w:left="220" w:hanging="220"/>
        <w:spacing w:after="0"/>
        <w:tabs>
          <w:tab w:leader="none" w:pos="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SEC USE ONLY</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7" w:lineRule="exact"/>
        <w:rPr>
          <w:rFonts w:ascii="Arial" w:cs="Arial" w:eastAsia="Arial" w:hAnsi="Arial"/>
          <w:sz w:val="17"/>
          <w:szCs w:val="17"/>
          <w:color w:val="auto"/>
        </w:rPr>
      </w:pPr>
    </w:p>
    <w:p>
      <w:pPr>
        <w:ind w:left="220" w:hanging="220"/>
        <w:spacing w:after="0"/>
        <w:tabs>
          <w:tab w:leader="none" w:pos="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CITIZENSHIP OF PLACE OF ORGANIZATION</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5"/>
          <w:szCs w:val="15"/>
          <w:color w:val="auto"/>
        </w:rPr>
        <w:t>(For questions 5-8, report the number of shares beneficially owned by each reporting person with:)</w:t>
      </w:r>
    </w:p>
    <w:p>
      <w:pPr>
        <w:spacing w:after="0" w:line="229" w:lineRule="exact"/>
        <w:rPr>
          <w:sz w:val="20"/>
          <w:szCs w:val="20"/>
          <w:color w:val="auto"/>
        </w:rPr>
      </w:pPr>
    </w:p>
    <w:p>
      <w:pPr>
        <w:ind w:left="80" w:right="8320" w:hanging="80"/>
        <w:spacing w:after="0" w:line="492" w:lineRule="auto"/>
        <w:tabs>
          <w:tab w:leader="none" w:pos="207" w:val="left"/>
        </w:tabs>
        <w:numPr>
          <w:ilvl w:val="0"/>
          <w:numId w:val="4"/>
        </w:numPr>
        <w:rPr>
          <w:rFonts w:ascii="Arial" w:cs="Arial" w:eastAsia="Arial" w:hAnsi="Arial"/>
          <w:sz w:val="17"/>
          <w:szCs w:val="17"/>
          <w:color w:val="auto"/>
        </w:rPr>
      </w:pPr>
      <w:r>
        <w:rPr>
          <w:rFonts w:ascii="Arial" w:cs="Arial" w:eastAsia="Arial" w:hAnsi="Arial"/>
          <w:sz w:val="17"/>
          <w:szCs w:val="17"/>
          <w:color w:val="auto"/>
        </w:rPr>
        <w:t>SOLE VOTING POWER 93,842</w:t>
      </w:r>
    </w:p>
    <w:p>
      <w:pPr>
        <w:spacing w:after="0" w:line="1" w:lineRule="exact"/>
        <w:rPr>
          <w:rFonts w:ascii="Arial" w:cs="Arial" w:eastAsia="Arial" w:hAnsi="Arial"/>
          <w:sz w:val="17"/>
          <w:szCs w:val="17"/>
          <w:color w:val="auto"/>
        </w:rPr>
      </w:pPr>
    </w:p>
    <w:p>
      <w:pPr>
        <w:ind w:left="80" w:right="8060" w:hanging="80"/>
        <w:spacing w:after="0" w:line="492" w:lineRule="auto"/>
        <w:tabs>
          <w:tab w:leader="none" w:pos="207" w:val="left"/>
        </w:tabs>
        <w:numPr>
          <w:ilvl w:val="0"/>
          <w:numId w:val="4"/>
        </w:numPr>
        <w:rPr>
          <w:rFonts w:ascii="Arial" w:cs="Arial" w:eastAsia="Arial" w:hAnsi="Arial"/>
          <w:sz w:val="17"/>
          <w:szCs w:val="17"/>
          <w:color w:val="auto"/>
        </w:rPr>
      </w:pPr>
      <w:r>
        <w:rPr>
          <w:rFonts w:ascii="Arial" w:cs="Arial" w:eastAsia="Arial" w:hAnsi="Arial"/>
          <w:sz w:val="17"/>
          <w:szCs w:val="17"/>
          <w:color w:val="auto"/>
        </w:rPr>
        <w:t>SHARED VOTING POWER 6,199</w:t>
      </w:r>
    </w:p>
    <w:p>
      <w:pPr>
        <w:spacing w:after="0" w:line="1" w:lineRule="exact"/>
        <w:rPr>
          <w:rFonts w:ascii="Arial" w:cs="Arial" w:eastAsia="Arial" w:hAnsi="Arial"/>
          <w:sz w:val="17"/>
          <w:szCs w:val="17"/>
          <w:color w:val="auto"/>
        </w:rPr>
      </w:pPr>
    </w:p>
    <w:p>
      <w:pPr>
        <w:ind w:left="80" w:right="7940" w:hanging="80"/>
        <w:spacing w:after="0" w:line="492" w:lineRule="auto"/>
        <w:tabs>
          <w:tab w:leader="none" w:pos="207" w:val="left"/>
        </w:tabs>
        <w:numPr>
          <w:ilvl w:val="0"/>
          <w:numId w:val="4"/>
        </w:numPr>
        <w:rPr>
          <w:rFonts w:ascii="Arial" w:cs="Arial" w:eastAsia="Arial" w:hAnsi="Arial"/>
          <w:sz w:val="17"/>
          <w:szCs w:val="17"/>
          <w:color w:val="auto"/>
        </w:rPr>
      </w:pPr>
      <w:r>
        <w:rPr>
          <w:rFonts w:ascii="Arial" w:cs="Arial" w:eastAsia="Arial" w:hAnsi="Arial"/>
          <w:sz w:val="17"/>
          <w:szCs w:val="17"/>
          <w:color w:val="auto"/>
        </w:rPr>
        <w:t>SOLE DISPOSITIVE POWER 4,736,297</w:t>
      </w:r>
    </w:p>
    <w:p>
      <w:pPr>
        <w:spacing w:after="0" w:line="1" w:lineRule="exact"/>
        <w:rPr>
          <w:rFonts w:ascii="Arial" w:cs="Arial" w:eastAsia="Arial" w:hAnsi="Arial"/>
          <w:sz w:val="17"/>
          <w:szCs w:val="17"/>
          <w:color w:val="auto"/>
        </w:rPr>
      </w:pPr>
    </w:p>
    <w:p>
      <w:pPr>
        <w:ind w:left="120" w:right="7680" w:hanging="120"/>
        <w:spacing w:after="0" w:line="492" w:lineRule="auto"/>
        <w:tabs>
          <w:tab w:leader="none" w:pos="205" w:val="left"/>
        </w:tabs>
        <w:numPr>
          <w:ilvl w:val="0"/>
          <w:numId w:val="4"/>
        </w:numPr>
        <w:rPr>
          <w:rFonts w:ascii="Arial" w:cs="Arial" w:eastAsia="Arial" w:hAnsi="Arial"/>
          <w:sz w:val="17"/>
          <w:szCs w:val="17"/>
          <w:color w:val="auto"/>
        </w:rPr>
      </w:pPr>
      <w:r>
        <w:rPr>
          <w:rFonts w:ascii="Arial" w:cs="Arial" w:eastAsia="Arial" w:hAnsi="Arial"/>
          <w:sz w:val="17"/>
          <w:szCs w:val="17"/>
          <w:color w:val="auto"/>
        </w:rPr>
        <w:t>SHARED DISPOSITIVE POWER 96,004</w:t>
      </w:r>
    </w:p>
    <w:p>
      <w:pPr>
        <w:spacing w:after="0" w:line="1" w:lineRule="exact"/>
        <w:rPr>
          <w:rFonts w:ascii="Arial" w:cs="Arial" w:eastAsia="Arial" w:hAnsi="Arial"/>
          <w:sz w:val="17"/>
          <w:szCs w:val="17"/>
          <w:color w:val="auto"/>
        </w:rPr>
      </w:pPr>
    </w:p>
    <w:p>
      <w:pPr>
        <w:ind w:left="80" w:right="3920" w:hanging="80"/>
        <w:spacing w:after="0" w:line="492" w:lineRule="auto"/>
        <w:tabs>
          <w:tab w:leader="none" w:pos="198" w:val="left"/>
        </w:tabs>
        <w:numPr>
          <w:ilvl w:val="0"/>
          <w:numId w:val="4"/>
        </w:numPr>
        <w:rPr>
          <w:rFonts w:ascii="Arial" w:cs="Arial" w:eastAsia="Arial" w:hAnsi="Arial"/>
          <w:sz w:val="17"/>
          <w:szCs w:val="17"/>
          <w:color w:val="auto"/>
        </w:rPr>
      </w:pPr>
      <w:r>
        <w:rPr>
          <w:rFonts w:ascii="Arial" w:cs="Arial" w:eastAsia="Arial" w:hAnsi="Arial"/>
          <w:sz w:val="17"/>
          <w:szCs w:val="17"/>
          <w:color w:val="auto"/>
        </w:rPr>
        <w:t>AGGREGATE AMOUNT BENEFICIALLY OWNED BY EACH REPORTING PERSON 4,832,301</w:t>
      </w:r>
    </w:p>
    <w:p>
      <w:pPr>
        <w:spacing w:after="0" w:line="1" w:lineRule="exact"/>
        <w:rPr>
          <w:rFonts w:ascii="Arial" w:cs="Arial" w:eastAsia="Arial" w:hAnsi="Arial"/>
          <w:sz w:val="17"/>
          <w:szCs w:val="17"/>
          <w:color w:val="auto"/>
        </w:rPr>
      </w:pPr>
    </w:p>
    <w:p>
      <w:pPr>
        <w:ind w:left="80" w:right="3340" w:hanging="80"/>
        <w:spacing w:after="0" w:line="492" w:lineRule="auto"/>
        <w:tabs>
          <w:tab w:leader="none" w:pos="292" w:val="left"/>
        </w:tabs>
        <w:numPr>
          <w:ilvl w:val="0"/>
          <w:numId w:val="4"/>
        </w:numPr>
        <w:rPr>
          <w:rFonts w:ascii="Arial" w:cs="Arial" w:eastAsia="Arial" w:hAnsi="Arial"/>
          <w:sz w:val="17"/>
          <w:szCs w:val="17"/>
          <w:color w:val="auto"/>
        </w:rPr>
      </w:pPr>
      <w:r>
        <w:rPr>
          <w:rFonts w:ascii="Arial" w:cs="Arial" w:eastAsia="Arial" w:hAnsi="Arial"/>
          <w:sz w:val="17"/>
          <w:szCs w:val="17"/>
          <w:color w:val="auto"/>
        </w:rPr>
        <w:t>CHECK BOX IF THE AGGREGATE AMOUNT IN ROW (9) EXCLUDES CERTAIN SHARES N/A</w:t>
      </w:r>
    </w:p>
    <w:p>
      <w:pPr>
        <w:spacing w:after="0" w:line="1" w:lineRule="exact"/>
        <w:rPr>
          <w:rFonts w:ascii="Arial" w:cs="Arial" w:eastAsia="Arial" w:hAnsi="Arial"/>
          <w:sz w:val="17"/>
          <w:szCs w:val="17"/>
          <w:color w:val="auto"/>
        </w:rPr>
      </w:pPr>
    </w:p>
    <w:p>
      <w:pPr>
        <w:ind w:left="300" w:hanging="300"/>
        <w:spacing w:after="0"/>
        <w:tabs>
          <w:tab w:leader="none" w:pos="300" w:val="left"/>
        </w:tabs>
        <w:numPr>
          <w:ilvl w:val="0"/>
          <w:numId w:val="4"/>
        </w:numPr>
        <w:rPr>
          <w:rFonts w:ascii="Arial" w:cs="Arial" w:eastAsia="Arial" w:hAnsi="Arial"/>
          <w:sz w:val="17"/>
          <w:szCs w:val="17"/>
          <w:color w:val="auto"/>
        </w:rPr>
      </w:pPr>
      <w:r>
        <w:rPr>
          <w:rFonts w:ascii="Arial" w:cs="Arial" w:eastAsia="Arial" w:hAnsi="Arial"/>
          <w:sz w:val="17"/>
          <w:szCs w:val="17"/>
          <w:color w:val="auto"/>
        </w:rPr>
        <w:t>PERCENT OF CLASS REPRESENTED BY AMOUNT IN ROW 9</w:t>
      </w:r>
    </w:p>
    <w:p>
      <w:pPr>
        <w:spacing w:after="0" w:line="206" w:lineRule="exact"/>
        <w:rPr>
          <w:sz w:val="20"/>
          <w:szCs w:val="20"/>
          <w:color w:val="auto"/>
        </w:rPr>
      </w:pPr>
    </w:p>
    <w:p>
      <w:pPr>
        <w:ind w:left="80"/>
        <w:spacing w:after="0"/>
        <w:rPr>
          <w:sz w:val="20"/>
          <w:szCs w:val="20"/>
          <w:color w:val="auto"/>
        </w:rPr>
      </w:pPr>
      <w:r>
        <w:rPr>
          <w:rFonts w:ascii="Arial" w:cs="Arial" w:eastAsia="Arial" w:hAnsi="Arial"/>
          <w:sz w:val="17"/>
          <w:szCs w:val="17"/>
          <w:color w:val="auto"/>
        </w:rPr>
        <w:t>9.48%</w:t>
      </w:r>
    </w:p>
    <w:p>
      <w:pPr>
        <w:spacing w:after="0" w:line="206" w:lineRule="exact"/>
        <w:rPr>
          <w:sz w:val="20"/>
          <w:szCs w:val="20"/>
          <w:color w:val="auto"/>
        </w:rPr>
      </w:pPr>
    </w:p>
    <w:p>
      <w:pPr>
        <w:ind w:left="300" w:hanging="300"/>
        <w:spacing w:after="0"/>
        <w:tabs>
          <w:tab w:leader="none" w:pos="300" w:val="left"/>
        </w:tabs>
        <w:numPr>
          <w:ilvl w:val="0"/>
          <w:numId w:val="5"/>
        </w:numPr>
        <w:rPr>
          <w:rFonts w:ascii="Arial" w:cs="Arial" w:eastAsia="Arial" w:hAnsi="Arial"/>
          <w:sz w:val="17"/>
          <w:szCs w:val="17"/>
          <w:color w:val="auto"/>
        </w:rPr>
      </w:pPr>
      <w:r>
        <w:rPr>
          <w:rFonts w:ascii="Arial" w:cs="Arial" w:eastAsia="Arial" w:hAnsi="Arial"/>
          <w:sz w:val="17"/>
          <w:szCs w:val="17"/>
          <w:color w:val="auto"/>
        </w:rPr>
        <w:t>TYPE OF REPORTING PERSON</w:t>
      </w:r>
    </w:p>
    <w:p>
      <w:pPr>
        <w:spacing w:after="0" w:line="205" w:lineRule="exact"/>
        <w:rPr>
          <w:rFonts w:ascii="Arial" w:cs="Arial" w:eastAsia="Arial" w:hAnsi="Arial"/>
          <w:sz w:val="17"/>
          <w:szCs w:val="17"/>
          <w:color w:val="auto"/>
        </w:rPr>
      </w:pPr>
    </w:p>
    <w:p>
      <w:pPr>
        <w:ind w:left="80"/>
        <w:spacing w:after="0"/>
        <w:rPr>
          <w:rFonts w:ascii="Arial" w:cs="Arial" w:eastAsia="Arial" w:hAnsi="Arial"/>
          <w:sz w:val="17"/>
          <w:szCs w:val="17"/>
          <w:color w:val="auto"/>
        </w:rPr>
      </w:pPr>
      <w:r>
        <w:rPr>
          <w:rFonts w:ascii="Arial" w:cs="Arial" w:eastAsia="Arial" w:hAnsi="Arial"/>
          <w:sz w:val="17"/>
          <w:szCs w:val="17"/>
          <w:color w:val="auto"/>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80645</wp:posOffset>
            </wp:positionV>
            <wp:extent cx="7086600" cy="209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86600" cy="20955"/>
                    </a:xfrm>
                    <a:prstGeom prst="rect">
                      <a:avLst/>
                    </a:prstGeom>
                    <a:noFill/>
                  </pic:spPr>
                </pic:pic>
              </a:graphicData>
            </a:graphic>
          </wp:anchor>
        </w:drawing>
      </w:r>
    </w:p>
    <w:p>
      <w:pPr>
        <w:sectPr>
          <w:pgSz w:w="12240" w:h="15840" w:orient="portrait"/>
          <w:cols w:equalWidth="0" w:num="1">
            <w:col w:w="10280"/>
          </w:cols>
          <w:pgMar w:left="520" w:top="223" w:right="1440" w:bottom="1440" w:gutter="0" w:footer="0" w:header="0"/>
        </w:sectPr>
      </w:pPr>
    </w:p>
    <w:bookmarkStart w:id="2" w:name="page3"/>
    <w:bookmarkEnd w:id="2"/>
    <w:p>
      <w:pPr>
        <w:jc w:val="center"/>
        <w:ind w:right="-899"/>
        <w:spacing w:after="0"/>
        <w:rPr>
          <w:sz w:val="20"/>
          <w:szCs w:val="20"/>
          <w:color w:val="auto"/>
        </w:rPr>
      </w:pPr>
      <w:r>
        <w:rPr>
          <w:rFonts w:ascii="Arial" w:cs="Arial" w:eastAsia="Arial" w:hAnsi="Arial"/>
          <w:sz w:val="17"/>
          <w:szCs w:val="17"/>
          <w:color w:val="auto"/>
        </w:rPr>
        <w:t>SECURITIES AND EXCHANGE COMMISSION</w:t>
      </w:r>
    </w:p>
    <w:p>
      <w:pPr>
        <w:spacing w:after="0" w:line="19" w:lineRule="exact"/>
        <w:rPr>
          <w:sz w:val="20"/>
          <w:szCs w:val="20"/>
          <w:color w:val="auto"/>
        </w:rPr>
      </w:pPr>
    </w:p>
    <w:p>
      <w:pPr>
        <w:jc w:val="center"/>
        <w:ind w:right="-899"/>
        <w:spacing w:after="0"/>
        <w:rPr>
          <w:sz w:val="20"/>
          <w:szCs w:val="20"/>
          <w:color w:val="auto"/>
        </w:rPr>
      </w:pPr>
      <w:r>
        <w:rPr>
          <w:rFonts w:ascii="Arial" w:cs="Arial" w:eastAsia="Arial" w:hAnsi="Arial"/>
          <w:sz w:val="17"/>
          <w:szCs w:val="17"/>
          <w:color w:val="auto"/>
        </w:rPr>
        <w:t>Washington, D.C. 20549</w:t>
      </w:r>
    </w:p>
    <w:p>
      <w:pPr>
        <w:spacing w:after="0" w:line="192" w:lineRule="exact"/>
        <w:rPr>
          <w:sz w:val="20"/>
          <w:szCs w:val="20"/>
          <w:color w:val="auto"/>
        </w:rPr>
      </w:pPr>
    </w:p>
    <w:p>
      <w:pPr>
        <w:jc w:val="center"/>
        <w:ind w:right="-899"/>
        <w:spacing w:after="0"/>
        <w:rPr>
          <w:sz w:val="20"/>
          <w:szCs w:val="20"/>
          <w:color w:val="auto"/>
        </w:rPr>
      </w:pPr>
      <w:r>
        <w:rPr>
          <w:rFonts w:ascii="Arial" w:cs="Arial" w:eastAsia="Arial" w:hAnsi="Arial"/>
          <w:sz w:val="17"/>
          <w:szCs w:val="17"/>
          <w:color w:val="auto"/>
        </w:rPr>
        <w:t>SCHEDULE 13G</w:t>
      </w:r>
    </w:p>
    <w:p>
      <w:pPr>
        <w:spacing w:after="0" w:line="19" w:lineRule="exact"/>
        <w:rPr>
          <w:sz w:val="20"/>
          <w:szCs w:val="20"/>
          <w:color w:val="auto"/>
        </w:rPr>
      </w:pPr>
    </w:p>
    <w:p>
      <w:pPr>
        <w:jc w:val="center"/>
        <w:ind w:right="-899"/>
        <w:spacing w:after="0"/>
        <w:rPr>
          <w:sz w:val="20"/>
          <w:szCs w:val="20"/>
          <w:color w:val="auto"/>
        </w:rPr>
      </w:pPr>
      <w:r>
        <w:rPr>
          <w:rFonts w:ascii="Arial" w:cs="Arial" w:eastAsia="Arial" w:hAnsi="Arial"/>
          <w:sz w:val="17"/>
          <w:szCs w:val="17"/>
          <w:color w:val="auto"/>
        </w:rPr>
        <w:t>Under the Securities Act of 1934</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color w:val="auto"/>
        </w:rPr>
        <w:t>Check the following [line] if a fee is being paid with this statement  N/A</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1(a) - Name of Issuer:</w:t>
      </w:r>
    </w:p>
    <w:p>
      <w:pPr>
        <w:spacing w:after="0" w:line="206" w:lineRule="exact"/>
        <w:rPr>
          <w:sz w:val="20"/>
          <w:szCs w:val="20"/>
          <w:color w:val="auto"/>
        </w:rPr>
      </w:pPr>
    </w:p>
    <w:p>
      <w:pPr>
        <w:ind w:left="80"/>
        <w:spacing w:after="0"/>
        <w:rPr>
          <w:sz w:val="20"/>
          <w:szCs w:val="20"/>
          <w:color w:val="auto"/>
        </w:rPr>
      </w:pPr>
      <w:r>
        <w:rPr>
          <w:rFonts w:ascii="Arial" w:cs="Arial" w:eastAsia="Arial" w:hAnsi="Arial"/>
          <w:sz w:val="17"/>
          <w:szCs w:val="17"/>
          <w:color w:val="auto"/>
        </w:rPr>
        <w:t>Emergent BioSolutions Inc</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1(b) - Address of Issuer's Principal Executive Offices:</w:t>
      </w:r>
    </w:p>
    <w:p>
      <w:pPr>
        <w:spacing w:after="0" w:line="206" w:lineRule="exact"/>
        <w:rPr>
          <w:sz w:val="20"/>
          <w:szCs w:val="20"/>
          <w:color w:val="auto"/>
        </w:rPr>
      </w:pPr>
    </w:p>
    <w:p>
      <w:pPr>
        <w:ind w:left="80"/>
        <w:spacing w:after="0"/>
        <w:rPr>
          <w:sz w:val="20"/>
          <w:szCs w:val="20"/>
          <w:color w:val="auto"/>
        </w:rPr>
      </w:pPr>
      <w:r>
        <w:rPr>
          <w:rFonts w:ascii="Arial" w:cs="Arial" w:eastAsia="Arial" w:hAnsi="Arial"/>
          <w:sz w:val="17"/>
          <w:szCs w:val="17"/>
          <w:color w:val="auto"/>
        </w:rPr>
        <w:t>2273 Research Boulevard</w:t>
      </w:r>
    </w:p>
    <w:p>
      <w:pPr>
        <w:spacing w:after="0" w:line="19" w:lineRule="exact"/>
        <w:rPr>
          <w:sz w:val="20"/>
          <w:szCs w:val="20"/>
          <w:color w:val="auto"/>
        </w:rPr>
      </w:pPr>
    </w:p>
    <w:p>
      <w:pPr>
        <w:ind w:left="80"/>
        <w:spacing w:after="0"/>
        <w:rPr>
          <w:sz w:val="20"/>
          <w:szCs w:val="20"/>
          <w:color w:val="auto"/>
        </w:rPr>
      </w:pPr>
      <w:r>
        <w:rPr>
          <w:rFonts w:ascii="Arial" w:cs="Arial" w:eastAsia="Arial" w:hAnsi="Arial"/>
          <w:sz w:val="17"/>
          <w:szCs w:val="17"/>
          <w:color w:val="auto"/>
        </w:rPr>
        <w:t>Suite 400</w:t>
      </w:r>
    </w:p>
    <w:p>
      <w:pPr>
        <w:spacing w:after="0" w:line="5" w:lineRule="exact"/>
        <w:rPr>
          <w:sz w:val="20"/>
          <w:szCs w:val="20"/>
          <w:color w:val="auto"/>
        </w:rPr>
      </w:pPr>
    </w:p>
    <w:p>
      <w:pPr>
        <w:ind w:left="80"/>
        <w:spacing w:after="0"/>
        <w:rPr>
          <w:sz w:val="20"/>
          <w:szCs w:val="20"/>
          <w:color w:val="auto"/>
        </w:rPr>
      </w:pPr>
      <w:r>
        <w:rPr>
          <w:rFonts w:ascii="Arial" w:cs="Arial" w:eastAsia="Arial" w:hAnsi="Arial"/>
          <w:sz w:val="17"/>
          <w:szCs w:val="17"/>
          <w:color w:val="auto"/>
        </w:rPr>
        <w:t>Rockville, Maryland 20850</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2(a) - Name of Person Filing:</w:t>
      </w:r>
    </w:p>
    <w:p>
      <w:pPr>
        <w:spacing w:after="0" w:line="206" w:lineRule="exact"/>
        <w:rPr>
          <w:sz w:val="20"/>
          <w:szCs w:val="20"/>
          <w:color w:val="auto"/>
        </w:rPr>
      </w:pPr>
    </w:p>
    <w:p>
      <w:pPr>
        <w:ind w:left="80"/>
        <w:spacing w:after="0"/>
        <w:rPr>
          <w:sz w:val="20"/>
          <w:szCs w:val="20"/>
          <w:color w:val="auto"/>
        </w:rPr>
      </w:pPr>
      <w:r>
        <w:rPr>
          <w:rFonts w:ascii="Arial" w:cs="Arial" w:eastAsia="Arial" w:hAnsi="Arial"/>
          <w:sz w:val="17"/>
          <w:szCs w:val="17"/>
          <w:color w:val="auto"/>
        </w:rPr>
        <w:t>The Vanguard Group - 23-1945930</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2(b) – Address of Principal Business Office or, if none, residence:</w:t>
      </w:r>
    </w:p>
    <w:p>
      <w:pPr>
        <w:spacing w:after="0" w:line="206" w:lineRule="exact"/>
        <w:rPr>
          <w:sz w:val="20"/>
          <w:szCs w:val="20"/>
          <w:color w:val="auto"/>
        </w:rPr>
      </w:pPr>
    </w:p>
    <w:p>
      <w:pPr>
        <w:ind w:left="80"/>
        <w:spacing w:after="0"/>
        <w:rPr>
          <w:sz w:val="20"/>
          <w:szCs w:val="20"/>
          <w:color w:val="auto"/>
        </w:rPr>
      </w:pPr>
      <w:r>
        <w:rPr>
          <w:rFonts w:ascii="Arial" w:cs="Arial" w:eastAsia="Arial" w:hAnsi="Arial"/>
          <w:sz w:val="17"/>
          <w:szCs w:val="17"/>
          <w:color w:val="auto"/>
        </w:rPr>
        <w:t>100 Vanguard Blvd.</w:t>
      </w:r>
    </w:p>
    <w:p>
      <w:pPr>
        <w:spacing w:after="0" w:line="19" w:lineRule="exact"/>
        <w:rPr>
          <w:sz w:val="20"/>
          <w:szCs w:val="20"/>
          <w:color w:val="auto"/>
        </w:rPr>
      </w:pPr>
    </w:p>
    <w:p>
      <w:pPr>
        <w:ind w:left="80"/>
        <w:spacing w:after="0"/>
        <w:rPr>
          <w:sz w:val="20"/>
          <w:szCs w:val="20"/>
          <w:color w:val="auto"/>
        </w:rPr>
      </w:pPr>
      <w:r>
        <w:rPr>
          <w:rFonts w:ascii="Arial" w:cs="Arial" w:eastAsia="Arial" w:hAnsi="Arial"/>
          <w:sz w:val="17"/>
          <w:szCs w:val="17"/>
          <w:color w:val="auto"/>
        </w:rPr>
        <w:t>Malvern, PA 19355</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2(c) – Citizenship:</w:t>
      </w:r>
    </w:p>
    <w:p>
      <w:pPr>
        <w:spacing w:after="0" w:line="206" w:lineRule="exact"/>
        <w:rPr>
          <w:sz w:val="20"/>
          <w:szCs w:val="20"/>
          <w:color w:val="auto"/>
        </w:rPr>
      </w:pPr>
    </w:p>
    <w:p>
      <w:pPr>
        <w:ind w:left="80"/>
        <w:spacing w:after="0"/>
        <w:rPr>
          <w:sz w:val="20"/>
          <w:szCs w:val="20"/>
          <w:color w:val="auto"/>
        </w:rPr>
      </w:pPr>
      <w:r>
        <w:rPr>
          <w:rFonts w:ascii="Arial" w:cs="Arial" w:eastAsia="Arial" w:hAnsi="Arial"/>
          <w:sz w:val="17"/>
          <w:szCs w:val="17"/>
          <w:color w:val="auto"/>
        </w:rPr>
        <w:t>Pennsylvania</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2(d) - Title of Class of Securities:</w:t>
      </w:r>
    </w:p>
    <w:p>
      <w:pPr>
        <w:spacing w:after="0" w:line="206" w:lineRule="exact"/>
        <w:rPr>
          <w:sz w:val="20"/>
          <w:szCs w:val="20"/>
          <w:color w:val="auto"/>
        </w:rPr>
      </w:pPr>
    </w:p>
    <w:p>
      <w:pPr>
        <w:ind w:left="80"/>
        <w:spacing w:after="0"/>
        <w:rPr>
          <w:sz w:val="20"/>
          <w:szCs w:val="20"/>
          <w:color w:val="auto"/>
        </w:rPr>
      </w:pPr>
      <w:r>
        <w:rPr>
          <w:rFonts w:ascii="Arial" w:cs="Arial" w:eastAsia="Arial" w:hAnsi="Arial"/>
          <w:sz w:val="17"/>
          <w:szCs w:val="17"/>
          <w:color w:val="auto"/>
        </w:rPr>
        <w:t>Common Stock</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2(e) - CUSIP Number</w:t>
      </w:r>
    </w:p>
    <w:p>
      <w:pPr>
        <w:spacing w:after="0" w:line="206" w:lineRule="exact"/>
        <w:rPr>
          <w:sz w:val="20"/>
          <w:szCs w:val="20"/>
          <w:color w:val="auto"/>
        </w:rPr>
      </w:pPr>
    </w:p>
    <w:p>
      <w:pPr>
        <w:ind w:left="80"/>
        <w:spacing w:after="0"/>
        <w:rPr>
          <w:sz w:val="20"/>
          <w:szCs w:val="20"/>
          <w:color w:val="auto"/>
        </w:rPr>
      </w:pPr>
      <w:r>
        <w:rPr>
          <w:rFonts w:ascii="Arial" w:cs="Arial" w:eastAsia="Arial" w:hAnsi="Arial"/>
          <w:sz w:val="17"/>
          <w:szCs w:val="17"/>
          <w:color w:val="auto"/>
        </w:rPr>
        <w:t>29089Q105</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3 - Type of Filing:</w:t>
      </w:r>
    </w:p>
    <w:p>
      <w:pPr>
        <w:spacing w:after="0" w:line="206" w:lineRule="exact"/>
        <w:rPr>
          <w:sz w:val="20"/>
          <w:szCs w:val="20"/>
          <w:color w:val="auto"/>
        </w:rPr>
      </w:pPr>
    </w:p>
    <w:p>
      <w:pPr>
        <w:ind w:left="80"/>
        <w:spacing w:after="0"/>
        <w:rPr>
          <w:sz w:val="20"/>
          <w:szCs w:val="20"/>
          <w:color w:val="auto"/>
        </w:rPr>
      </w:pPr>
      <w:r>
        <w:rPr>
          <w:rFonts w:ascii="Arial" w:cs="Arial" w:eastAsia="Arial" w:hAnsi="Arial"/>
          <w:sz w:val="15"/>
          <w:szCs w:val="15"/>
          <w:color w:val="auto"/>
        </w:rPr>
        <w:t>This statement is being filed pursuant to Rule 13d-1. An investment adviser in accordance with §240.13d-1(b)(1)(ii)(E).</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4 - Ownership:</w:t>
      </w:r>
    </w:p>
    <w:p>
      <w:pPr>
        <w:spacing w:after="0" w:line="206" w:lineRule="exact"/>
        <w:rPr>
          <w:sz w:val="20"/>
          <w:szCs w:val="20"/>
          <w:color w:val="auto"/>
        </w:rPr>
      </w:pPr>
    </w:p>
    <w:p>
      <w:pPr>
        <w:ind w:left="80" w:right="7960" w:firstLine="5"/>
        <w:spacing w:after="0" w:line="492" w:lineRule="auto"/>
        <w:tabs>
          <w:tab w:leader="none" w:pos="310" w:val="left"/>
        </w:tabs>
        <w:numPr>
          <w:ilvl w:val="0"/>
          <w:numId w:val="6"/>
        </w:numPr>
        <w:rPr>
          <w:rFonts w:ascii="Arial" w:cs="Arial" w:eastAsia="Arial" w:hAnsi="Arial"/>
          <w:sz w:val="17"/>
          <w:szCs w:val="17"/>
          <w:color w:val="auto"/>
        </w:rPr>
      </w:pPr>
      <w:r>
        <w:rPr>
          <w:rFonts w:ascii="Arial" w:cs="Arial" w:eastAsia="Arial" w:hAnsi="Arial"/>
          <w:sz w:val="17"/>
          <w:szCs w:val="17"/>
          <w:color w:val="auto"/>
        </w:rPr>
        <w:t>Amount Beneficially Owned: 4,832,301</w:t>
      </w:r>
    </w:p>
    <w:p>
      <w:pPr>
        <w:spacing w:after="0" w:line="1" w:lineRule="exact"/>
        <w:rPr>
          <w:rFonts w:ascii="Arial" w:cs="Arial" w:eastAsia="Arial" w:hAnsi="Arial"/>
          <w:sz w:val="17"/>
          <w:szCs w:val="17"/>
          <w:color w:val="auto"/>
        </w:rPr>
      </w:pPr>
    </w:p>
    <w:p>
      <w:pPr>
        <w:ind w:left="320" w:hanging="235"/>
        <w:spacing w:after="0"/>
        <w:tabs>
          <w:tab w:leader="none" w:pos="320" w:val="left"/>
        </w:tabs>
        <w:numPr>
          <w:ilvl w:val="0"/>
          <w:numId w:val="6"/>
        </w:numPr>
        <w:rPr>
          <w:rFonts w:ascii="Arial" w:cs="Arial" w:eastAsia="Arial" w:hAnsi="Arial"/>
          <w:sz w:val="17"/>
          <w:szCs w:val="17"/>
          <w:color w:val="auto"/>
        </w:rPr>
      </w:pPr>
      <w:r>
        <w:rPr>
          <w:rFonts w:ascii="Arial" w:cs="Arial" w:eastAsia="Arial" w:hAnsi="Arial"/>
          <w:sz w:val="17"/>
          <w:szCs w:val="17"/>
          <w:color w:val="auto"/>
        </w:rPr>
        <w:t>Percent of Class:</w:t>
      </w:r>
    </w:p>
    <w:p>
      <w:pPr>
        <w:spacing w:after="0" w:line="206" w:lineRule="exact"/>
        <w:rPr>
          <w:sz w:val="20"/>
          <w:szCs w:val="20"/>
          <w:color w:val="auto"/>
        </w:rPr>
      </w:pPr>
    </w:p>
    <w:p>
      <w:pPr>
        <w:ind w:left="80"/>
        <w:spacing w:after="0"/>
        <w:rPr>
          <w:sz w:val="20"/>
          <w:szCs w:val="20"/>
          <w:color w:val="auto"/>
        </w:rPr>
      </w:pPr>
      <w:r>
        <w:rPr>
          <w:rFonts w:ascii="Arial" w:cs="Arial" w:eastAsia="Arial" w:hAnsi="Arial"/>
          <w:sz w:val="17"/>
          <w:szCs w:val="17"/>
          <w:color w:val="auto"/>
        </w:rPr>
        <w:t>9.48%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80645</wp:posOffset>
            </wp:positionV>
            <wp:extent cx="7086600" cy="20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86600" cy="20955"/>
                    </a:xfrm>
                    <a:prstGeom prst="rect">
                      <a:avLst/>
                    </a:prstGeom>
                    <a:noFill/>
                  </pic:spPr>
                </pic:pic>
              </a:graphicData>
            </a:graphic>
          </wp:anchor>
        </w:drawing>
      </w:r>
    </w:p>
    <w:p>
      <w:pPr>
        <w:sectPr>
          <w:pgSz w:w="12240" w:h="15840" w:orient="portrait"/>
          <w:cols w:equalWidth="0" w:num="1">
            <w:col w:w="10280"/>
          </w:cols>
          <w:pgMar w:left="520" w:top="223" w:right="1440" w:bottom="1440" w:gutter="0" w:footer="0" w:header="0"/>
        </w:sectPr>
      </w:pPr>
    </w:p>
    <w:bookmarkStart w:id="3" w:name="page4"/>
    <w:bookmarkEnd w:id="3"/>
    <w:p>
      <w:pPr>
        <w:ind w:left="360" w:hanging="275"/>
        <w:spacing w:after="0"/>
        <w:tabs>
          <w:tab w:leader="none" w:pos="360" w:val="left"/>
        </w:tabs>
        <w:numPr>
          <w:ilvl w:val="0"/>
          <w:numId w:val="7"/>
        </w:numPr>
        <w:rPr>
          <w:rFonts w:ascii="Arial" w:cs="Arial" w:eastAsia="Arial" w:hAnsi="Arial"/>
          <w:sz w:val="17"/>
          <w:szCs w:val="17"/>
          <w:color w:val="auto"/>
        </w:rPr>
      </w:pPr>
      <w:r>
        <w:rPr>
          <w:rFonts w:ascii="Arial" w:cs="Arial" w:eastAsia="Arial" w:hAnsi="Arial"/>
          <w:sz w:val="17"/>
          <w:szCs w:val="17"/>
          <w:color w:val="auto"/>
        </w:rPr>
        <w:t>Number of shares as to which such person has:</w:t>
      </w:r>
    </w:p>
    <w:p>
      <w:pPr>
        <w:spacing w:after="0" w:line="205" w:lineRule="exact"/>
        <w:rPr>
          <w:rFonts w:ascii="Arial" w:cs="Arial" w:eastAsia="Arial" w:hAnsi="Arial"/>
          <w:sz w:val="17"/>
          <w:szCs w:val="17"/>
          <w:color w:val="auto"/>
        </w:rPr>
      </w:pPr>
    </w:p>
    <w:p>
      <w:pPr>
        <w:ind w:left="320" w:hanging="235"/>
        <w:spacing w:after="0"/>
        <w:tabs>
          <w:tab w:leader="none" w:pos="320" w:val="left"/>
        </w:tabs>
        <w:numPr>
          <w:ilvl w:val="0"/>
          <w:numId w:val="8"/>
        </w:numPr>
        <w:rPr>
          <w:rFonts w:ascii="Arial" w:cs="Arial" w:eastAsia="Arial" w:hAnsi="Arial"/>
          <w:sz w:val="17"/>
          <w:szCs w:val="17"/>
          <w:color w:val="auto"/>
        </w:rPr>
      </w:pPr>
      <w:r>
        <w:rPr>
          <w:rFonts w:ascii="Arial" w:cs="Arial" w:eastAsia="Arial" w:hAnsi="Arial"/>
          <w:sz w:val="17"/>
          <w:szCs w:val="17"/>
          <w:color w:val="auto"/>
        </w:rPr>
        <w:t>sole power to vote or direct to vote: 93,842</w:t>
      </w:r>
    </w:p>
    <w:p>
      <w:pPr>
        <w:spacing w:after="0" w:line="205" w:lineRule="exact"/>
        <w:rPr>
          <w:rFonts w:ascii="Arial" w:cs="Arial" w:eastAsia="Arial" w:hAnsi="Arial"/>
          <w:sz w:val="17"/>
          <w:szCs w:val="17"/>
          <w:color w:val="auto"/>
        </w:rPr>
      </w:pPr>
    </w:p>
    <w:p>
      <w:pPr>
        <w:ind w:left="380" w:hanging="295"/>
        <w:spacing w:after="0"/>
        <w:tabs>
          <w:tab w:leader="none" w:pos="380" w:val="left"/>
        </w:tabs>
        <w:numPr>
          <w:ilvl w:val="0"/>
          <w:numId w:val="9"/>
        </w:numPr>
        <w:rPr>
          <w:rFonts w:ascii="Arial" w:cs="Arial" w:eastAsia="Arial" w:hAnsi="Arial"/>
          <w:sz w:val="17"/>
          <w:szCs w:val="17"/>
          <w:color w:val="auto"/>
        </w:rPr>
      </w:pPr>
      <w:r>
        <w:rPr>
          <w:rFonts w:ascii="Arial" w:cs="Arial" w:eastAsia="Arial" w:hAnsi="Arial"/>
          <w:sz w:val="17"/>
          <w:szCs w:val="17"/>
          <w:color w:val="auto"/>
        </w:rPr>
        <w:t>shared power to vote or direct to vote: 6,199</w:t>
      </w:r>
    </w:p>
    <w:p>
      <w:pPr>
        <w:spacing w:after="0" w:line="205" w:lineRule="exact"/>
        <w:rPr>
          <w:rFonts w:ascii="Arial" w:cs="Arial" w:eastAsia="Arial" w:hAnsi="Arial"/>
          <w:sz w:val="17"/>
          <w:szCs w:val="17"/>
          <w:color w:val="auto"/>
        </w:rPr>
      </w:pPr>
    </w:p>
    <w:p>
      <w:pPr>
        <w:ind w:left="80" w:right="6220" w:firstLine="5"/>
        <w:spacing w:after="0" w:line="558" w:lineRule="auto"/>
        <w:tabs>
          <w:tab w:leader="none" w:pos="419" w:val="left"/>
        </w:tabs>
        <w:numPr>
          <w:ilvl w:val="0"/>
          <w:numId w:val="10"/>
        </w:numPr>
        <w:rPr>
          <w:rFonts w:ascii="Arial" w:cs="Arial" w:eastAsia="Arial" w:hAnsi="Arial"/>
          <w:sz w:val="15"/>
          <w:szCs w:val="15"/>
          <w:color w:val="auto"/>
        </w:rPr>
      </w:pPr>
      <w:r>
        <w:rPr>
          <w:rFonts w:ascii="Arial" w:cs="Arial" w:eastAsia="Arial" w:hAnsi="Arial"/>
          <w:sz w:val="15"/>
          <w:szCs w:val="15"/>
          <w:color w:val="auto"/>
        </w:rPr>
        <w:t>sole power to dispose of or to direct the disposition of: 4,736,297 (iv) shared power to dispose or to direct the disposition of: 96,004</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Comments:</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5 - Ownership of Five Percent or Less of a Class:</w:t>
      </w:r>
    </w:p>
    <w:p>
      <w:pPr>
        <w:spacing w:after="0" w:line="206" w:lineRule="exact"/>
        <w:rPr>
          <w:sz w:val="20"/>
          <w:szCs w:val="20"/>
          <w:color w:val="auto"/>
        </w:rPr>
      </w:pPr>
    </w:p>
    <w:p>
      <w:pPr>
        <w:ind w:left="80"/>
        <w:spacing w:after="0"/>
        <w:rPr>
          <w:sz w:val="20"/>
          <w:szCs w:val="20"/>
          <w:color w:val="auto"/>
        </w:rPr>
      </w:pPr>
      <w:r>
        <w:rPr>
          <w:rFonts w:ascii="Arial" w:cs="Arial" w:eastAsia="Arial" w:hAnsi="Arial"/>
          <w:sz w:val="17"/>
          <w:szCs w:val="17"/>
          <w:color w:val="auto"/>
        </w:rPr>
        <w:t>Not Applicable</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6 - Ownership of More Than Five Percent on Behalf of Another Person:</w:t>
      </w:r>
    </w:p>
    <w:p>
      <w:pPr>
        <w:spacing w:after="0" w:line="206" w:lineRule="exact"/>
        <w:rPr>
          <w:sz w:val="20"/>
          <w:szCs w:val="20"/>
          <w:color w:val="auto"/>
        </w:rPr>
      </w:pPr>
    </w:p>
    <w:p>
      <w:pPr>
        <w:ind w:left="80"/>
        <w:spacing w:after="0"/>
        <w:rPr>
          <w:sz w:val="20"/>
          <w:szCs w:val="20"/>
          <w:color w:val="auto"/>
        </w:rPr>
      </w:pPr>
      <w:r>
        <w:rPr>
          <w:rFonts w:ascii="Arial" w:cs="Arial" w:eastAsia="Arial" w:hAnsi="Arial"/>
          <w:sz w:val="17"/>
          <w:szCs w:val="17"/>
          <w:color w:val="auto"/>
        </w:rPr>
        <w:t>Not applicable</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7 - Identification and Classification of the Subsidiary Which Acquired The Security Being Reported on by the Parent Holding Company</w:t>
      </w:r>
      <w:r>
        <w:rPr>
          <w:rFonts w:ascii="Arial" w:cs="Arial" w:eastAsia="Arial" w:hAnsi="Arial"/>
          <w:sz w:val="17"/>
          <w:szCs w:val="17"/>
          <w:color w:val="auto"/>
        </w:rPr>
        <w:t>:</w:t>
      </w:r>
    </w:p>
    <w:p>
      <w:pPr>
        <w:spacing w:after="0" w:line="206" w:lineRule="exact"/>
        <w:rPr>
          <w:sz w:val="20"/>
          <w:szCs w:val="20"/>
          <w:color w:val="auto"/>
        </w:rPr>
      </w:pPr>
    </w:p>
    <w:p>
      <w:pPr>
        <w:ind w:left="80"/>
        <w:spacing w:after="0"/>
        <w:rPr>
          <w:sz w:val="20"/>
          <w:szCs w:val="20"/>
          <w:color w:val="auto"/>
        </w:rPr>
      </w:pPr>
      <w:r>
        <w:rPr>
          <w:rFonts w:ascii="Arial" w:cs="Arial" w:eastAsia="Arial" w:hAnsi="Arial"/>
          <w:sz w:val="17"/>
          <w:szCs w:val="17"/>
          <w:color w:val="auto"/>
        </w:rPr>
        <w:t>See Attached Appendix A</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8 - Identification and Classification of Members of Group:</w:t>
      </w:r>
    </w:p>
    <w:p>
      <w:pPr>
        <w:spacing w:after="0" w:line="206" w:lineRule="exact"/>
        <w:rPr>
          <w:sz w:val="20"/>
          <w:szCs w:val="20"/>
          <w:color w:val="auto"/>
        </w:rPr>
      </w:pPr>
    </w:p>
    <w:p>
      <w:pPr>
        <w:ind w:left="80"/>
        <w:spacing w:after="0"/>
        <w:rPr>
          <w:sz w:val="20"/>
          <w:szCs w:val="20"/>
          <w:color w:val="auto"/>
        </w:rPr>
      </w:pPr>
      <w:r>
        <w:rPr>
          <w:rFonts w:ascii="Arial" w:cs="Arial" w:eastAsia="Arial" w:hAnsi="Arial"/>
          <w:sz w:val="17"/>
          <w:szCs w:val="17"/>
          <w:color w:val="auto"/>
        </w:rPr>
        <w:t>Not applicable</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9 - Notice of Dissolution of Group:</w:t>
      </w:r>
    </w:p>
    <w:p>
      <w:pPr>
        <w:spacing w:after="0" w:line="206" w:lineRule="exact"/>
        <w:rPr>
          <w:sz w:val="20"/>
          <w:szCs w:val="20"/>
          <w:color w:val="auto"/>
        </w:rPr>
      </w:pPr>
    </w:p>
    <w:p>
      <w:pPr>
        <w:ind w:left="80"/>
        <w:spacing w:after="0"/>
        <w:rPr>
          <w:sz w:val="20"/>
          <w:szCs w:val="20"/>
          <w:color w:val="auto"/>
        </w:rPr>
      </w:pPr>
      <w:r>
        <w:rPr>
          <w:rFonts w:ascii="Arial" w:cs="Arial" w:eastAsia="Arial" w:hAnsi="Arial"/>
          <w:sz w:val="17"/>
          <w:szCs w:val="17"/>
          <w:color w:val="auto"/>
        </w:rPr>
        <w:t>Not applicable</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10 - Certification:</w:t>
      </w:r>
    </w:p>
    <w:p>
      <w:pPr>
        <w:spacing w:after="0" w:line="206" w:lineRule="exact"/>
        <w:rPr>
          <w:sz w:val="20"/>
          <w:szCs w:val="20"/>
          <w:color w:val="auto"/>
        </w:rPr>
      </w:pPr>
    </w:p>
    <w:p>
      <w:pPr>
        <w:jc w:val="both"/>
        <w:ind w:firstLine="85"/>
        <w:spacing w:after="0" w:line="258" w:lineRule="auto"/>
        <w:rPr>
          <w:sz w:val="20"/>
          <w:szCs w:val="20"/>
          <w:color w:val="auto"/>
        </w:rPr>
      </w:pPr>
      <w:r>
        <w:rPr>
          <w:rFonts w:ascii="Arial" w:cs="Arial" w:eastAsia="Arial" w:hAnsi="Arial"/>
          <w:sz w:val="17"/>
          <w:szCs w:val="17"/>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Signature</w:t>
      </w:r>
    </w:p>
    <w:p>
      <w:pPr>
        <w:spacing w:after="0" w:line="206" w:lineRule="exact"/>
        <w:rPr>
          <w:sz w:val="20"/>
          <w:szCs w:val="20"/>
          <w:color w:val="auto"/>
        </w:rPr>
      </w:pPr>
    </w:p>
    <w:p>
      <w:pPr>
        <w:ind w:left="8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color w:val="auto"/>
        </w:rPr>
        <w:t>Date: 02/11/2019</w:t>
      </w:r>
    </w:p>
    <w:p>
      <w:pPr>
        <w:spacing w:after="0" w:line="209" w:lineRule="exact"/>
        <w:rPr>
          <w:sz w:val="20"/>
          <w:szCs w:val="20"/>
          <w:color w:val="auto"/>
        </w:rPr>
      </w:pPr>
    </w:p>
    <w:p>
      <w:pPr>
        <w:ind w:left="3860"/>
        <w:spacing w:after="0"/>
        <w:rPr>
          <w:sz w:val="20"/>
          <w:szCs w:val="20"/>
          <w:color w:val="auto"/>
        </w:rPr>
      </w:pPr>
      <w:r>
        <w:rPr>
          <w:rFonts w:ascii="Arial" w:cs="Arial" w:eastAsia="Arial" w:hAnsi="Arial"/>
          <w:sz w:val="18"/>
          <w:szCs w:val="18"/>
          <w:color w:val="auto"/>
        </w:rPr>
        <w:t>By /s/ Christine M. Buchanan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2579370</wp:posOffset>
            </wp:positionH>
            <wp:positionV relativeFrom="paragraph">
              <wp:posOffset>-11430</wp:posOffset>
            </wp:positionV>
            <wp:extent cx="121729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17295" cy="8255"/>
                    </a:xfrm>
                    <a:prstGeom prst="rect">
                      <a:avLst/>
                    </a:prstGeom>
                    <a:noFill/>
                  </pic:spPr>
                </pic:pic>
              </a:graphicData>
            </a:graphic>
          </wp:anchor>
        </w:drawing>
      </w:r>
    </w:p>
    <w:p>
      <w:pPr>
        <w:ind w:left="3860"/>
        <w:spacing w:after="0"/>
        <w:rPr>
          <w:sz w:val="20"/>
          <w:szCs w:val="20"/>
          <w:color w:val="auto"/>
        </w:rPr>
      </w:pPr>
      <w:r>
        <w:rPr>
          <w:rFonts w:ascii="Arial" w:cs="Arial" w:eastAsia="Arial" w:hAnsi="Arial"/>
          <w:sz w:val="18"/>
          <w:szCs w:val="18"/>
          <w:color w:val="auto"/>
        </w:rPr>
        <w:t>Name: Christine M. Buchanan</w:t>
      </w:r>
    </w:p>
    <w:p>
      <w:pPr>
        <w:spacing w:after="0" w:line="7" w:lineRule="exact"/>
        <w:rPr>
          <w:sz w:val="20"/>
          <w:szCs w:val="20"/>
          <w:color w:val="auto"/>
        </w:rPr>
      </w:pPr>
    </w:p>
    <w:p>
      <w:pPr>
        <w:ind w:left="3860"/>
        <w:spacing w:after="0"/>
        <w:rPr>
          <w:sz w:val="20"/>
          <w:szCs w:val="20"/>
          <w:color w:val="auto"/>
        </w:rPr>
      </w:pPr>
      <w:r>
        <w:rPr>
          <w:rFonts w:ascii="Arial" w:cs="Arial" w:eastAsia="Arial" w:hAnsi="Arial"/>
          <w:sz w:val="18"/>
          <w:szCs w:val="18"/>
          <w:color w:val="auto"/>
        </w:rPr>
        <w:t>Title: Principal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326390</wp:posOffset>
            </wp:positionV>
            <wp:extent cx="7086600" cy="209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86600" cy="20955"/>
                    </a:xfrm>
                    <a:prstGeom prst="rect">
                      <a:avLst/>
                    </a:prstGeom>
                    <a:noFill/>
                  </pic:spPr>
                </pic:pic>
              </a:graphicData>
            </a:graphic>
          </wp:anchor>
        </w:drawing>
      </w:r>
    </w:p>
    <w:p>
      <w:pPr>
        <w:sectPr>
          <w:pgSz w:w="12240" w:h="15840" w:orient="portrait"/>
          <w:cols w:equalWidth="0" w:num="1">
            <w:col w:w="11100"/>
          </w:cols>
          <w:pgMar w:left="520" w:top="223" w:right="620" w:bottom="1440" w:gutter="0" w:footer="0" w:header="0"/>
        </w:sectPr>
      </w:pPr>
    </w:p>
    <w:bookmarkStart w:id="4" w:name="page5"/>
    <w:bookmarkEnd w:id="4"/>
    <w:p>
      <w:pPr>
        <w:spacing w:after="0"/>
        <w:rPr>
          <w:sz w:val="20"/>
          <w:szCs w:val="20"/>
          <w:color w:val="auto"/>
        </w:rPr>
      </w:pPr>
      <w:r>
        <w:rPr>
          <w:rFonts w:ascii="Arial" w:cs="Arial" w:eastAsia="Arial" w:hAnsi="Arial"/>
          <w:sz w:val="17"/>
          <w:szCs w:val="17"/>
          <w:color w:val="auto"/>
        </w:rPr>
        <w:t>Appendix A</w:t>
      </w:r>
    </w:p>
    <w:p>
      <w:pPr>
        <w:spacing w:after="0" w:line="206" w:lineRule="exact"/>
        <w:rPr>
          <w:sz w:val="20"/>
          <w:szCs w:val="20"/>
          <w:color w:val="auto"/>
        </w:rPr>
      </w:pPr>
    </w:p>
    <w:p>
      <w:pPr>
        <w:ind w:firstLine="39"/>
        <w:spacing w:after="0" w:line="270" w:lineRule="auto"/>
        <w:rPr>
          <w:sz w:val="20"/>
          <w:szCs w:val="20"/>
          <w:color w:val="auto"/>
        </w:rPr>
      </w:pPr>
      <w:r>
        <w:rPr>
          <w:rFonts w:ascii="Arial" w:cs="Arial" w:eastAsia="Arial" w:hAnsi="Arial"/>
          <w:sz w:val="17"/>
          <w:szCs w:val="17"/>
          <w:color w:val="auto"/>
        </w:rPr>
        <w:t>Vanguard Fiduciary Trust Company ("VFTC"), a wholly-owned subsidiary of The Vanguard Group, Inc., is the beneficial owner of 89,805 shares or .17% of the Common Stock outstanding of the Company as a result of its serving as investment manager of collective trust accounts.</w:t>
      </w:r>
    </w:p>
    <w:p>
      <w:pPr>
        <w:spacing w:after="0" w:line="162"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Vanguard Investments Australia, Ltd. ("VIA"), a wholly-owned subsidiary of The Vanguard Group, Inc., is the beneficial owner of 10,236 shares or .02% of the Common Stock outstanding of the Company as a result of its serving as investment manager of Australian investment offerings.</w:t>
      </w:r>
    </w:p>
    <w:sectPr>
      <w:pgSz w:w="12240" w:h="15840" w:orient="portrait"/>
      <w:cols w:equalWidth="0" w:num="1">
        <w:col w:w="11000"/>
      </w:cols>
      <w:pgMar w:left="520" w:top="223" w:right="72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1"/>
    </w:lvl>
    <w:lvl w:ilvl="1">
      <w:lvlJc w:val="left"/>
      <w:lvlText w:val="%2"/>
      <w:numFmt w:val="upperLetter"/>
      <w:start w:val="1"/>
    </w:lvl>
  </w:abstractNum>
  <w:abstractNum w:abstractNumId="2">
    <w:nsid w:val="2EB141F2"/>
    <w:multiLevelType w:val="hybridMultilevel"/>
    <w:lvl w:ilvl="0">
      <w:lvlJc w:val="left"/>
      <w:lvlText w:val="%1."/>
      <w:numFmt w:val="decimal"/>
      <w:start w:val="2"/>
    </w:lvl>
    <w:lvl w:ilvl="1">
      <w:lvlJc w:val="left"/>
      <w:lvlText w:val="%2."/>
      <w:numFmt w:val="upperLetter"/>
      <w:start w:val="1"/>
    </w:lvl>
  </w:abstractNum>
  <w:abstractNum w:abstractNumId="3">
    <w:nsid w:val="41B71EFB"/>
    <w:multiLevelType w:val="hybridMultilevel"/>
    <w:lvl w:ilvl="0">
      <w:lvlJc w:val="left"/>
      <w:lvlText w:val="%1."/>
      <w:numFmt w:val="decimal"/>
      <w:start w:val="5"/>
    </w:lvl>
  </w:abstractNum>
  <w:abstractNum w:abstractNumId="4">
    <w:nsid w:val="79E2A9E3"/>
    <w:multiLevelType w:val="hybridMultilevel"/>
    <w:lvl w:ilvl="0">
      <w:lvlJc w:val="left"/>
      <w:lvlText w:val="%1."/>
      <w:numFmt w:val="decimal"/>
      <w:start w:val="12"/>
    </w:lvl>
  </w:abstractNum>
  <w:abstractNum w:abstractNumId="5">
    <w:nsid w:val="7545E146"/>
    <w:multiLevelType w:val="hybridMultilevel"/>
    <w:lvl w:ilvl="0">
      <w:lvlJc w:val="left"/>
      <w:lvlText w:val="(%1)"/>
      <w:numFmt w:val="lowerLetter"/>
      <w:start w:val="1"/>
    </w:lvl>
  </w:abstractNum>
  <w:abstractNum w:abstractNumId="6">
    <w:nsid w:val="515F007C"/>
    <w:multiLevelType w:val="hybridMultilevel"/>
    <w:lvl w:ilvl="0">
      <w:lvlJc w:val="left"/>
      <w:lvlText w:val="(%1)"/>
      <w:numFmt w:val="lowerLetter"/>
      <w:start w:val="3"/>
    </w:lvl>
  </w:abstractNum>
  <w:abstractNum w:abstractNumId="7">
    <w:nsid w:val="5BD062C2"/>
    <w:multiLevelType w:val="hybridMultilevel"/>
    <w:lvl w:ilvl="0">
      <w:lvlJc w:val="left"/>
      <w:lvlText w:val="(%1)"/>
      <w:numFmt w:val="lowerLetter"/>
      <w:start w:val="9"/>
    </w:lvl>
  </w:abstractNum>
  <w:abstractNum w:abstractNumId="8">
    <w:nsid w:val="12200854"/>
    <w:multiLevelType w:val="hybridMultilevel"/>
    <w:lvl w:ilvl="0">
      <w:lvlJc w:val="left"/>
      <w:lvlText w:val="(%1)"/>
      <w:numFmt w:val="lowerLetter"/>
      <w:start w:val="35"/>
    </w:lvl>
  </w:abstractNum>
  <w:abstractNum w:abstractNumId="9">
    <w:nsid w:val="4DB127F8"/>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2019-12-15T12:03:30Z</dcterms:created>
  <dcterms:modified xsi:type="dcterms:W3CDTF">2019-12-15T12:03:30Z</dcterms:modified>
</cp:coreProperties>
</file>