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 2019</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EMERGENT BIOSOLUTIONS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679" w:right="299" w:bottom="1440" w:gutter="0" w:footer="0" w:header="0"/>
        </w:sectPr>
      </w:pPr>
    </w:p>
    <w:p>
      <w:pPr>
        <w:spacing w:after="0" w:line="367" w:lineRule="exact"/>
        <w:rPr>
          <w:sz w:val="24"/>
          <w:szCs w:val="24"/>
          <w:color w:val="auto"/>
        </w:rPr>
      </w:pPr>
    </w:p>
    <w:p>
      <w:pPr>
        <w:ind w:left="18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1980"/>
        <w:spacing w:after="0"/>
        <w:rPr>
          <w:sz w:val="20"/>
          <w:szCs w:val="20"/>
          <w:color w:val="auto"/>
        </w:rPr>
      </w:pPr>
      <w:r>
        <w:rPr>
          <w:rFonts w:ascii="Arial" w:cs="Arial" w:eastAsia="Arial" w:hAnsi="Arial"/>
          <w:sz w:val="16"/>
          <w:szCs w:val="16"/>
          <w:b w:val="1"/>
          <w:bCs w:val="1"/>
          <w:color w:val="auto"/>
        </w:rPr>
        <w:t>001-33137</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14-1902018</w:t>
      </w:r>
    </w:p>
    <w:p>
      <w:pPr>
        <w:spacing w:after="0" w:line="90" w:lineRule="exact"/>
        <w:rPr>
          <w:sz w:val="24"/>
          <w:szCs w:val="24"/>
          <w:color w:val="auto"/>
        </w:rPr>
      </w:pPr>
    </w:p>
    <w:p>
      <w:pPr>
        <w:sectPr>
          <w:pgSz w:w="11900" w:h="16838" w:orient="portrait"/>
          <w:cols w:equalWidth="0" w:num="3">
            <w:col w:w="4620" w:space="720"/>
            <w:col w:w="2760" w:space="720"/>
            <w:col w:w="2540"/>
          </w:cols>
          <w:pgMar w:left="240" w:top="679" w:right="299" w:bottom="1440" w:gutter="0" w:footer="0" w:header="0"/>
          <w:type w:val="continuous"/>
        </w:sectPr>
      </w:pPr>
    </w:p>
    <w:p>
      <w:pPr>
        <w:ind w:left="122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w:t>
      </w:r>
    </w:p>
    <w:p>
      <w:pPr>
        <w:spacing w:after="0" w:line="86" w:lineRule="exact"/>
        <w:rPr>
          <w:sz w:val="24"/>
          <w:szCs w:val="24"/>
          <w:color w:val="auto"/>
        </w:rPr>
      </w:pPr>
    </w:p>
    <w:p>
      <w:pPr>
        <w:sectPr>
          <w:pgSz w:w="11900" w:h="16838" w:orient="portrait"/>
          <w:cols w:equalWidth="0" w:num="3">
            <w:col w:w="4000" w:space="720"/>
            <w:col w:w="3280" w:space="720"/>
            <w:col w:w="2640"/>
          </w:cols>
          <w:pgMar w:left="240" w:top="679" w:right="299" w:bottom="1440" w:gutter="0" w:footer="0" w:header="0"/>
          <w:type w:val="continuous"/>
        </w:sectPr>
      </w:pPr>
    </w:p>
    <w:p>
      <w:pPr>
        <w:ind w:left="156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Identification No.)</w:t>
      </w:r>
    </w:p>
    <w:p>
      <w:pPr>
        <w:spacing w:after="0" w:line="48" w:lineRule="exact"/>
        <w:rPr>
          <w:sz w:val="24"/>
          <w:szCs w:val="24"/>
          <w:color w:val="auto"/>
        </w:rPr>
      </w:pPr>
    </w:p>
    <w:p>
      <w:pPr>
        <w:sectPr>
          <w:pgSz w:w="11900" w:h="16838" w:orient="portrait"/>
          <w:cols w:equalWidth="0" w:num="2">
            <w:col w:w="7860" w:space="720"/>
            <w:col w:w="2780"/>
          </w:cols>
          <w:pgMar w:left="240" w:top="679" w:right="299" w:bottom="1440" w:gutter="0" w:footer="0" w:header="0"/>
          <w:type w:val="continuous"/>
        </w:sectPr>
      </w:pPr>
    </w:p>
    <w:p>
      <w:pPr>
        <w:ind w:left="4200"/>
        <w:spacing w:after="0"/>
        <w:rPr>
          <w:sz w:val="20"/>
          <w:szCs w:val="20"/>
          <w:color w:val="auto"/>
        </w:rPr>
      </w:pPr>
      <w:r>
        <w:rPr>
          <w:rFonts w:ascii="Arial" w:cs="Arial" w:eastAsia="Arial" w:hAnsi="Arial"/>
          <w:sz w:val="22"/>
          <w:szCs w:val="22"/>
          <w:b w:val="1"/>
          <w:bCs w:val="1"/>
          <w:color w:val="auto"/>
        </w:rPr>
        <w:t>400 Professional Drive, Suite 400,</w:t>
      </w:r>
    </w:p>
    <w:p>
      <w:pPr>
        <w:spacing w:after="0" w:line="28"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Gaithersburg, Maryland 20879</w:t>
      </w:r>
    </w:p>
    <w:p>
      <w:pPr>
        <w:spacing w:after="0" w:line="74"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(240) 631-3200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679" w:right="299" w:bottom="1440" w:gutter="0" w:footer="0" w:header="0"/>
          <w:type w:val="continuous"/>
        </w:sectPr>
      </w:pPr>
    </w:p>
    <w:p>
      <w:pPr>
        <w:spacing w:after="0" w:line="23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tabs>
          <w:tab w:leader="none" w:pos="21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55" w:lineRule="exact"/>
        <w:rPr>
          <w:sz w:val="24"/>
          <w:szCs w:val="24"/>
          <w:color w:val="auto"/>
        </w:rPr>
      </w:pPr>
    </w:p>
    <w:tbl>
      <w:tblPr>
        <w:tblLayout w:type="fixed"/>
        <w:tblInd w:w="270" w:type="dxa"/>
        <w:tblCellMar>
          <w:top w:w="0" w:type="dxa"/>
          <w:left w:w="0" w:type="dxa"/>
          <w:bottom w:w="0" w:type="dxa"/>
          <w:right w:w="0" w:type="dxa"/>
        </w:tblCellMar>
      </w:tblPr>
      <w:tr>
        <w:trPr>
          <w:trHeight w:val="257"/>
        </w:trPr>
        <w:tc>
          <w:tcPr>
            <w:tcW w:w="45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Title of each class</w:t>
            </w:r>
          </w:p>
        </w:tc>
        <w:tc>
          <w:tcPr>
            <w:tcW w:w="23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Trading Symbol(s)</w:t>
            </w:r>
          </w:p>
        </w:tc>
        <w:tc>
          <w:tcPr>
            <w:tcW w:w="4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r>
      <w:tr>
        <w:trPr>
          <w:trHeight w:val="237"/>
        </w:trPr>
        <w:tc>
          <w:tcPr>
            <w:tcW w:w="4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Common Stock, Par Value $0.001 per share</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EBS</w:t>
            </w:r>
          </w:p>
        </w:tc>
        <w:tc>
          <w:tcPr>
            <w:tcW w:w="4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360"/>
          </w:cols>
          <w:pgMar w:left="240" w:top="679"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August 1, 2019, Emergent BioSolutions Inc. announced financial and operating results for the period ended June 30, 2019. The full text of the press release issued in connection with the announcement is attached as Exhibit 99 to this Current Report on Form 8-K.</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37" w:lineRule="exact"/>
        <w:rPr>
          <w:sz w:val="20"/>
          <w:szCs w:val="20"/>
          <w:color w:val="auto"/>
        </w:rPr>
      </w:pPr>
    </w:p>
    <w:p>
      <w:pPr>
        <w:ind w:left="540"/>
        <w:spacing w:after="0"/>
        <w:tabs>
          <w:tab w:leader="none" w:pos="62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34290</wp:posOffset>
            </wp:positionV>
            <wp:extent cx="10636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61" w:lineRule="exact"/>
        <w:rPr>
          <w:sz w:val="20"/>
          <w:szCs w:val="20"/>
          <w:color w:val="auto"/>
        </w:rPr>
      </w:pPr>
    </w:p>
    <w:p>
      <w:pPr>
        <w:ind w:left="2520" w:hanging="1258"/>
        <w:spacing w:after="0"/>
        <w:tabs>
          <w:tab w:leader="none" w:pos="2520" w:val="left"/>
        </w:tabs>
        <w:numPr>
          <w:ilvl w:val="0"/>
          <w:numId w:val="3"/>
        </w:numPr>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Press release issued by the company on August 1, 2019</w:t>
        </w:r>
      </w:hyperlink>
    </w:p>
    <w:p>
      <w:pPr>
        <w:spacing w:after="0" w:line="63"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8820" w:type="dxa"/>
            <w:vAlign w:val="bottom"/>
          </w:tcPr>
          <w:p>
            <w:pPr>
              <w:ind w:left="520"/>
              <w:spacing w:after="0"/>
              <w:rPr>
                <w:sz w:val="20"/>
                <w:szCs w:val="20"/>
                <w:color w:val="auto"/>
              </w:rPr>
            </w:pPr>
            <w:r>
              <w:rPr>
                <w:rFonts w:ascii="Arial" w:cs="Arial" w:eastAsia="Arial" w:hAnsi="Arial"/>
                <w:sz w:val="18"/>
                <w:szCs w:val="18"/>
                <w:color w:val="auto"/>
                <w:w w:val="89"/>
              </w:rPr>
              <w:t>Interactive data files - The instance document does not appear in the interactive data file because its XBRL tags are</w:t>
            </w:r>
          </w:p>
        </w:tc>
      </w:tr>
      <w:tr>
        <w:trPr>
          <w:trHeight w:val="230"/>
        </w:trPr>
        <w:tc>
          <w:tcPr>
            <w:tcW w:w="780" w:type="dxa"/>
            <w:vAlign w:val="bottom"/>
          </w:tcPr>
          <w:p>
            <w:pPr>
              <w:jc w:val="right"/>
              <w:ind w:right="430"/>
              <w:spacing w:after="0"/>
              <w:rPr>
                <w:sz w:val="20"/>
                <w:szCs w:val="20"/>
                <w:color w:val="auto"/>
              </w:rPr>
            </w:pPr>
            <w:r>
              <w:rPr>
                <w:rFonts w:ascii="Arial" w:cs="Arial" w:eastAsia="Arial" w:hAnsi="Arial"/>
                <w:sz w:val="18"/>
                <w:szCs w:val="18"/>
                <w:color w:val="auto"/>
                <w:w w:val="79"/>
              </w:rPr>
              <w:t>101</w:t>
            </w:r>
          </w:p>
        </w:tc>
        <w:tc>
          <w:tcPr>
            <w:tcW w:w="8820" w:type="dxa"/>
            <w:vAlign w:val="bottom"/>
          </w:tcPr>
          <w:p>
            <w:pPr>
              <w:ind w:left="520"/>
              <w:spacing w:after="0"/>
              <w:rPr>
                <w:sz w:val="20"/>
                <w:szCs w:val="20"/>
                <w:color w:val="auto"/>
              </w:rPr>
            </w:pPr>
            <w:r>
              <w:rPr>
                <w:rFonts w:ascii="Arial" w:cs="Arial" w:eastAsia="Arial" w:hAnsi="Arial"/>
                <w:sz w:val="18"/>
                <w:szCs w:val="18"/>
                <w:color w:val="auto"/>
              </w:rPr>
              <w:t>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EMERGENT BIOSOLUTIONS INC.</w:t>
      </w:r>
    </w:p>
    <w:p>
      <w:pPr>
        <w:spacing w:after="0" w:line="337" w:lineRule="exact"/>
        <w:rPr>
          <w:sz w:val="20"/>
          <w:szCs w:val="20"/>
          <w:color w:val="auto"/>
        </w:rPr>
      </w:pPr>
    </w:p>
    <w:p>
      <w:pPr>
        <w:ind w:left="520"/>
        <w:spacing w:after="0"/>
        <w:tabs>
          <w:tab w:leader="none" w:pos="5820" w:val="left"/>
          <w:tab w:leader="none" w:pos="6360" w:val="left"/>
        </w:tabs>
        <w:rPr>
          <w:sz w:val="20"/>
          <w:szCs w:val="20"/>
          <w:color w:val="auto"/>
        </w:rPr>
      </w:pPr>
      <w:r>
        <w:rPr>
          <w:rFonts w:ascii="Arial" w:cs="Arial" w:eastAsia="Arial" w:hAnsi="Arial"/>
          <w:sz w:val="18"/>
          <w:szCs w:val="18"/>
          <w:color w:val="auto"/>
        </w:rPr>
        <w:t>Dated: August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31750</wp:posOffset>
            </wp:positionV>
            <wp:extent cx="2907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Name:Richard S. Lindahl</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Title: Executive Vice President, Chief Financial</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Officer and Treasurer</w:t>
      </w:r>
    </w:p>
    <w:p>
      <w:pPr>
        <w:sectPr>
          <w:pgSz w:w="11900" w:h="16838" w:orient="portrait"/>
          <w:cols w:equalWidth="0" w:num="1">
            <w:col w:w="11420"/>
          </w:cols>
          <w:pgMar w:left="240" w:top="634"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226060</wp:posOffset>
            </wp:positionV>
            <wp:extent cx="1517650"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5151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877570</wp:posOffset>
            </wp:positionV>
            <wp:extent cx="124333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243330" cy="13716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500"/>
        <w:spacing w:after="0" w:line="274" w:lineRule="auto"/>
        <w:rPr>
          <w:sz w:val="20"/>
          <w:szCs w:val="20"/>
          <w:color w:val="auto"/>
        </w:rPr>
      </w:pPr>
      <w:r>
        <w:rPr>
          <w:rFonts w:ascii="Arial" w:cs="Arial" w:eastAsia="Arial" w:hAnsi="Arial"/>
          <w:sz w:val="22"/>
          <w:szCs w:val="22"/>
          <w:b w:val="1"/>
          <w:bCs w:val="1"/>
          <w:color w:val="auto"/>
        </w:rPr>
        <w:t>EMERGENT BIOSOLUTIONS REPORTS FINANCIAL RESULTS FOR SECOND QUARTER AND SIX MONTHS ENDED JUNE 30, 2019</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  Reaffirms full year 2019 financial forecast and operational goals</w:t>
      </w:r>
    </w:p>
    <w:p>
      <w:pPr>
        <w:spacing w:after="0" w:line="2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  Provides Q3 2019 revenue forecast of $245M-$275M</w:t>
      </w:r>
    </w:p>
    <w:p>
      <w:pPr>
        <w:spacing w:after="0" w:line="190"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auto"/>
        </w:rPr>
        <w:t>GAITHERSBURG, Md., August 1, 2019</w:t>
      </w:r>
      <w:r>
        <w:rPr>
          <w:rFonts w:ascii="Arial" w:cs="Arial" w:eastAsia="Arial" w:hAnsi="Arial"/>
          <w:sz w:val="18"/>
          <w:szCs w:val="18"/>
          <w:color w:val="auto"/>
        </w:rPr>
        <w:t>—Emergent BioSolutions Inc. (NYSE: EBS) reported financial results for the second quarter and six</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June 30, 2019.</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12330" cy="1217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121793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900" w:type="dxa"/>
            <w:vAlign w:val="bottom"/>
            <w:tcBorders>
              <w:bottom w:val="single" w:sz="8" w:color="0F243E"/>
            </w:tcBorders>
            <w:gridSpan w:val="2"/>
            <w:shd w:val="clear" w:color="auto" w:fill="0F243E"/>
          </w:tcPr>
          <w:p>
            <w:pPr>
              <w:ind w:left="40"/>
              <w:spacing w:after="0"/>
              <w:rPr>
                <w:sz w:val="20"/>
                <w:szCs w:val="20"/>
                <w:color w:val="auto"/>
              </w:rPr>
            </w:pPr>
            <w:r>
              <w:rPr>
                <w:rFonts w:ascii="Arial" w:cs="Arial" w:eastAsia="Arial" w:hAnsi="Arial"/>
                <w:sz w:val="18"/>
                <w:szCs w:val="18"/>
                <w:color w:val="FFFFFF"/>
              </w:rPr>
              <w:t>(in millions)</w:t>
            </w:r>
          </w:p>
        </w:tc>
        <w:tc>
          <w:tcPr>
            <w:tcW w:w="2720" w:type="dxa"/>
            <w:vAlign w:val="bottom"/>
            <w:tcBorders>
              <w:bottom w:val="single" w:sz="8" w:color="0F243E"/>
            </w:tcBorders>
            <w:shd w:val="clear" w:color="auto" w:fill="0F243E"/>
          </w:tcPr>
          <w:p>
            <w:pPr>
              <w:jc w:val="center"/>
              <w:spacing w:after="0"/>
              <w:rPr>
                <w:sz w:val="20"/>
                <w:szCs w:val="20"/>
                <w:color w:val="auto"/>
              </w:rPr>
            </w:pPr>
            <w:r>
              <w:rPr>
                <w:rFonts w:ascii="Arial" w:cs="Arial" w:eastAsia="Arial" w:hAnsi="Arial"/>
                <w:sz w:val="18"/>
                <w:szCs w:val="18"/>
                <w:b w:val="1"/>
                <w:bCs w:val="1"/>
                <w:color w:val="FFFFFF"/>
                <w:w w:val="98"/>
              </w:rPr>
              <w:t>Q2 2019</w:t>
            </w:r>
          </w:p>
        </w:tc>
        <w:tc>
          <w:tcPr>
            <w:tcW w:w="2700" w:type="dxa"/>
            <w:vAlign w:val="bottom"/>
            <w:tcBorders>
              <w:bottom w:val="single" w:sz="8" w:color="0F243E"/>
            </w:tcBorders>
            <w:shd w:val="clear" w:color="auto" w:fill="0F243E"/>
          </w:tcPr>
          <w:p>
            <w:pPr>
              <w:jc w:val="center"/>
              <w:spacing w:after="0"/>
              <w:rPr>
                <w:sz w:val="20"/>
                <w:szCs w:val="20"/>
                <w:color w:val="auto"/>
              </w:rPr>
            </w:pPr>
            <w:r>
              <w:rPr>
                <w:rFonts w:ascii="Arial" w:cs="Arial" w:eastAsia="Arial" w:hAnsi="Arial"/>
                <w:sz w:val="18"/>
                <w:szCs w:val="18"/>
                <w:b w:val="1"/>
                <w:bCs w:val="1"/>
                <w:color w:val="FFFFFF"/>
              </w:rPr>
              <w:t>Q2 2018</w:t>
            </w:r>
          </w:p>
        </w:tc>
        <w:tc>
          <w:tcPr>
            <w:tcW w:w="60" w:type="dxa"/>
            <w:vAlign w:val="bottom"/>
          </w:tcPr>
          <w:p>
            <w:pPr>
              <w:spacing w:after="0"/>
              <w:rPr>
                <w:sz w:val="22"/>
                <w:szCs w:val="22"/>
                <w:color w:val="auto"/>
              </w:rPr>
            </w:pPr>
          </w:p>
        </w:tc>
      </w:tr>
      <w:tr>
        <w:trPr>
          <w:trHeight w:val="257"/>
        </w:trPr>
        <w:tc>
          <w:tcPr>
            <w:tcW w:w="5900" w:type="dxa"/>
            <w:vAlign w:val="bottom"/>
            <w:gridSpan w:val="2"/>
            <w:shd w:val="clear" w:color="auto" w:fill="CCCCCC"/>
          </w:tcPr>
          <w:p>
            <w:pPr>
              <w:ind w:left="40"/>
              <w:spacing w:after="0"/>
              <w:rPr>
                <w:sz w:val="20"/>
                <w:szCs w:val="20"/>
                <w:color w:val="auto"/>
              </w:rPr>
            </w:pPr>
            <w:r>
              <w:rPr>
                <w:rFonts w:ascii="Arial" w:cs="Arial" w:eastAsia="Arial" w:hAnsi="Arial"/>
                <w:sz w:val="18"/>
                <w:szCs w:val="18"/>
                <w:color w:val="auto"/>
              </w:rPr>
              <w:t>Total Revenues</w:t>
            </w:r>
          </w:p>
        </w:tc>
        <w:tc>
          <w:tcPr>
            <w:tcW w:w="2720" w:type="dxa"/>
            <w:vAlign w:val="bottom"/>
            <w:shd w:val="clear" w:color="auto" w:fill="CCCCCC"/>
          </w:tcPr>
          <w:p>
            <w:pPr>
              <w:jc w:val="center"/>
              <w:spacing w:after="0"/>
              <w:rPr>
                <w:sz w:val="20"/>
                <w:szCs w:val="20"/>
                <w:color w:val="auto"/>
              </w:rPr>
            </w:pPr>
            <w:r>
              <w:rPr>
                <w:rFonts w:ascii="Arial" w:cs="Arial" w:eastAsia="Arial" w:hAnsi="Arial"/>
                <w:sz w:val="18"/>
                <w:szCs w:val="18"/>
                <w:b w:val="1"/>
                <w:bCs w:val="1"/>
                <w:color w:val="auto"/>
              </w:rPr>
              <w:t>$243.2</w:t>
            </w:r>
          </w:p>
        </w:tc>
        <w:tc>
          <w:tcPr>
            <w:tcW w:w="270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$220.2</w:t>
            </w:r>
          </w:p>
        </w:tc>
        <w:tc>
          <w:tcPr>
            <w:tcW w:w="60" w:type="dxa"/>
            <w:vAlign w:val="bottom"/>
          </w:tcPr>
          <w:p>
            <w:pPr>
              <w:spacing w:after="0"/>
              <w:rPr>
                <w:sz w:val="22"/>
                <w:szCs w:val="22"/>
                <w:color w:val="auto"/>
              </w:rPr>
            </w:pPr>
          </w:p>
        </w:tc>
      </w:tr>
      <w:tr>
        <w:trPr>
          <w:trHeight w:val="270"/>
        </w:trPr>
        <w:tc>
          <w:tcPr>
            <w:tcW w:w="5900" w:type="dxa"/>
            <w:vAlign w:val="bottom"/>
            <w:gridSpan w:val="2"/>
            <w:shd w:val="clear" w:color="auto" w:fill="CCCCCC"/>
          </w:tcPr>
          <w:p>
            <w:pPr>
              <w:ind w:left="40"/>
              <w:spacing w:after="0"/>
              <w:rPr>
                <w:sz w:val="20"/>
                <w:szCs w:val="20"/>
                <w:color w:val="auto"/>
              </w:rPr>
            </w:pPr>
            <w:r>
              <w:rPr>
                <w:rFonts w:ascii="Arial" w:cs="Arial" w:eastAsia="Arial" w:hAnsi="Arial"/>
                <w:sz w:val="18"/>
                <w:szCs w:val="18"/>
                <w:color w:val="auto"/>
              </w:rPr>
              <w:t>Pre-tax (Loss) Income</w:t>
            </w:r>
          </w:p>
        </w:tc>
        <w:tc>
          <w:tcPr>
            <w:tcW w:w="2720" w:type="dxa"/>
            <w:vAlign w:val="bottom"/>
            <w:shd w:val="clear" w:color="auto" w:fill="CCCCCC"/>
          </w:tcPr>
          <w:p>
            <w:pPr>
              <w:jc w:val="center"/>
              <w:spacing w:after="0"/>
              <w:rPr>
                <w:sz w:val="20"/>
                <w:szCs w:val="20"/>
                <w:color w:val="auto"/>
              </w:rPr>
            </w:pPr>
            <w:r>
              <w:rPr>
                <w:rFonts w:ascii="Arial" w:cs="Arial" w:eastAsia="Arial" w:hAnsi="Arial"/>
                <w:sz w:val="18"/>
                <w:szCs w:val="18"/>
                <w:b w:val="1"/>
                <w:bCs w:val="1"/>
                <w:color w:val="auto"/>
                <w:w w:val="98"/>
              </w:rPr>
              <w:t>$(15.1)</w:t>
            </w:r>
          </w:p>
        </w:tc>
        <w:tc>
          <w:tcPr>
            <w:tcW w:w="270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$65.8</w:t>
            </w:r>
          </w:p>
        </w:tc>
        <w:tc>
          <w:tcPr>
            <w:tcW w:w="60" w:type="dxa"/>
            <w:vAlign w:val="bottom"/>
          </w:tcPr>
          <w:p>
            <w:pPr>
              <w:spacing w:after="0"/>
              <w:rPr>
                <w:sz w:val="23"/>
                <w:szCs w:val="23"/>
                <w:color w:val="auto"/>
              </w:rPr>
            </w:pPr>
          </w:p>
        </w:tc>
      </w:tr>
      <w:tr>
        <w:trPr>
          <w:trHeight w:val="270"/>
        </w:trPr>
        <w:tc>
          <w:tcPr>
            <w:tcW w:w="5900" w:type="dxa"/>
            <w:vAlign w:val="bottom"/>
            <w:gridSpan w:val="2"/>
            <w:shd w:val="clear" w:color="auto" w:fill="CCCCCC"/>
          </w:tcPr>
          <w:p>
            <w:pPr>
              <w:ind w:left="40"/>
              <w:spacing w:after="0"/>
              <w:rPr>
                <w:sz w:val="20"/>
                <w:szCs w:val="20"/>
                <w:color w:val="auto"/>
              </w:rPr>
            </w:pPr>
            <w:r>
              <w:rPr>
                <w:rFonts w:ascii="Arial" w:cs="Arial" w:eastAsia="Arial" w:hAnsi="Arial"/>
                <w:sz w:val="18"/>
                <w:szCs w:val="18"/>
                <w:color w:val="auto"/>
              </w:rPr>
              <w:t>Net (Loss) Income</w:t>
            </w:r>
          </w:p>
        </w:tc>
        <w:tc>
          <w:tcPr>
            <w:tcW w:w="272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$(9.5)</w:t>
            </w:r>
          </w:p>
        </w:tc>
        <w:tc>
          <w:tcPr>
            <w:tcW w:w="270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$50.1</w:t>
            </w:r>
          </w:p>
        </w:tc>
        <w:tc>
          <w:tcPr>
            <w:tcW w:w="60" w:type="dxa"/>
            <w:vAlign w:val="bottom"/>
          </w:tcPr>
          <w:p>
            <w:pPr>
              <w:spacing w:after="0"/>
              <w:rPr>
                <w:sz w:val="23"/>
                <w:szCs w:val="23"/>
                <w:color w:val="auto"/>
              </w:rPr>
            </w:pPr>
          </w:p>
        </w:tc>
      </w:tr>
      <w:tr>
        <w:trPr>
          <w:trHeight w:val="270"/>
        </w:trPr>
        <w:tc>
          <w:tcPr>
            <w:tcW w:w="5900" w:type="dxa"/>
            <w:vAlign w:val="bottom"/>
            <w:gridSpan w:val="2"/>
            <w:shd w:val="clear" w:color="auto" w:fill="CCCCCC"/>
          </w:tcPr>
          <w:p>
            <w:pPr>
              <w:ind w:left="40"/>
              <w:spacing w:after="0"/>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18"/>
                <w:szCs w:val="18"/>
                <w:i w:val="1"/>
                <w:iCs w:val="1"/>
                <w:color w:val="auto"/>
              </w:rPr>
              <w:t>(1)</w:t>
            </w:r>
          </w:p>
        </w:tc>
        <w:tc>
          <w:tcPr>
            <w:tcW w:w="272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$6.3</w:t>
            </w:r>
          </w:p>
        </w:tc>
        <w:tc>
          <w:tcPr>
            <w:tcW w:w="270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$54.7</w:t>
            </w:r>
          </w:p>
        </w:tc>
        <w:tc>
          <w:tcPr>
            <w:tcW w:w="60" w:type="dxa"/>
            <w:vAlign w:val="bottom"/>
          </w:tcPr>
          <w:p>
            <w:pPr>
              <w:spacing w:after="0"/>
              <w:rPr>
                <w:sz w:val="23"/>
                <w:szCs w:val="23"/>
                <w:color w:val="auto"/>
              </w:rPr>
            </w:pPr>
          </w:p>
        </w:tc>
      </w:tr>
      <w:tr>
        <w:trPr>
          <w:trHeight w:val="270"/>
        </w:trPr>
        <w:tc>
          <w:tcPr>
            <w:tcW w:w="5900" w:type="dxa"/>
            <w:vAlign w:val="bottom"/>
            <w:gridSpan w:val="2"/>
            <w:shd w:val="clear" w:color="auto" w:fill="CCCCCC"/>
          </w:tcPr>
          <w:p>
            <w:pPr>
              <w:ind w:left="40"/>
              <w:spacing w:after="0"/>
              <w:rPr>
                <w:sz w:val="20"/>
                <w:szCs w:val="20"/>
                <w:color w:val="auto"/>
              </w:rPr>
            </w:pPr>
            <w:r>
              <w:rPr>
                <w:rFonts w:ascii="Arial" w:cs="Arial" w:eastAsia="Arial" w:hAnsi="Arial"/>
                <w:sz w:val="18"/>
                <w:szCs w:val="18"/>
                <w:color w:val="auto"/>
              </w:rPr>
              <w:t xml:space="preserve">EBITDA </w:t>
            </w:r>
            <w:r>
              <w:rPr>
                <w:rFonts w:ascii="Arial" w:cs="Arial" w:eastAsia="Arial" w:hAnsi="Arial"/>
                <w:sz w:val="18"/>
                <w:szCs w:val="18"/>
                <w:i w:val="1"/>
                <w:iCs w:val="1"/>
                <w:color w:val="auto"/>
              </w:rPr>
              <w:t>(1)</w:t>
            </w:r>
          </w:p>
        </w:tc>
        <w:tc>
          <w:tcPr>
            <w:tcW w:w="272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7"/>
              </w:rPr>
              <w:t>$21.6</w:t>
            </w:r>
          </w:p>
        </w:tc>
        <w:tc>
          <w:tcPr>
            <w:tcW w:w="270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$79.0</w:t>
            </w:r>
          </w:p>
        </w:tc>
        <w:tc>
          <w:tcPr>
            <w:tcW w:w="60" w:type="dxa"/>
            <w:vAlign w:val="bottom"/>
          </w:tcPr>
          <w:p>
            <w:pPr>
              <w:spacing w:after="0"/>
              <w:rPr>
                <w:sz w:val="23"/>
                <w:szCs w:val="23"/>
                <w:color w:val="auto"/>
              </w:rPr>
            </w:pPr>
          </w:p>
        </w:tc>
      </w:tr>
      <w:tr>
        <w:trPr>
          <w:trHeight w:val="284"/>
        </w:trPr>
        <w:tc>
          <w:tcPr>
            <w:tcW w:w="5900" w:type="dxa"/>
            <w:vAlign w:val="bottom"/>
            <w:gridSpan w:val="2"/>
            <w:shd w:val="clear" w:color="auto" w:fill="CCCCCC"/>
          </w:tcPr>
          <w:p>
            <w:pPr>
              <w:ind w:left="4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8"/>
                <w:szCs w:val="18"/>
                <w:i w:val="1"/>
                <w:iCs w:val="1"/>
                <w:color w:val="auto"/>
              </w:rPr>
              <w:t>(1)</w:t>
            </w:r>
          </w:p>
        </w:tc>
        <w:tc>
          <w:tcPr>
            <w:tcW w:w="272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7"/>
              </w:rPr>
              <w:t>$26.2</w:t>
            </w:r>
          </w:p>
        </w:tc>
        <w:tc>
          <w:tcPr>
            <w:tcW w:w="270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$80.4</w:t>
            </w:r>
          </w:p>
        </w:tc>
        <w:tc>
          <w:tcPr>
            <w:tcW w:w="60" w:type="dxa"/>
            <w:vAlign w:val="bottom"/>
          </w:tcPr>
          <w:p>
            <w:pPr>
              <w:spacing w:after="0"/>
              <w:rPr>
                <w:sz w:val="24"/>
                <w:szCs w:val="24"/>
                <w:color w:val="auto"/>
              </w:rPr>
            </w:pPr>
          </w:p>
        </w:tc>
      </w:tr>
      <w:tr>
        <w:trPr>
          <w:trHeight w:val="365"/>
        </w:trPr>
        <w:tc>
          <w:tcPr>
            <w:tcW w:w="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4"/>
        </w:trPr>
        <w:tc>
          <w:tcPr>
            <w:tcW w:w="60" w:type="dxa"/>
            <w:vAlign w:val="bottom"/>
          </w:tcPr>
          <w:p>
            <w:pPr>
              <w:spacing w:after="0"/>
              <w:rPr>
                <w:sz w:val="22"/>
                <w:szCs w:val="22"/>
                <w:color w:val="auto"/>
              </w:rPr>
            </w:pPr>
          </w:p>
        </w:tc>
        <w:tc>
          <w:tcPr>
            <w:tcW w:w="5840" w:type="dxa"/>
            <w:vAlign w:val="bottom"/>
            <w:tcBorders>
              <w:bottom w:val="single" w:sz="8" w:color="0F243E"/>
            </w:tcBorders>
            <w:shd w:val="clear" w:color="auto" w:fill="0F243E"/>
          </w:tcPr>
          <w:p>
            <w:pPr>
              <w:ind w:left="40"/>
              <w:spacing w:after="0"/>
              <w:rPr>
                <w:sz w:val="20"/>
                <w:szCs w:val="20"/>
                <w:color w:val="auto"/>
              </w:rPr>
            </w:pPr>
            <w:r>
              <w:rPr>
                <w:rFonts w:ascii="Arial" w:cs="Arial" w:eastAsia="Arial" w:hAnsi="Arial"/>
                <w:sz w:val="18"/>
                <w:szCs w:val="18"/>
                <w:color w:val="FFFFFF"/>
              </w:rPr>
              <w:t>(in millions)</w:t>
            </w:r>
          </w:p>
        </w:tc>
        <w:tc>
          <w:tcPr>
            <w:tcW w:w="2720" w:type="dxa"/>
            <w:vAlign w:val="bottom"/>
            <w:tcBorders>
              <w:bottom w:val="single" w:sz="8" w:color="0F243E"/>
            </w:tcBorders>
            <w:shd w:val="clear" w:color="auto" w:fill="0F243E"/>
          </w:tcPr>
          <w:p>
            <w:pPr>
              <w:ind w:left="820"/>
              <w:spacing w:after="0"/>
              <w:rPr>
                <w:sz w:val="20"/>
                <w:szCs w:val="20"/>
                <w:color w:val="auto"/>
              </w:rPr>
            </w:pPr>
            <w:r>
              <w:rPr>
                <w:rFonts w:ascii="Arial" w:cs="Arial" w:eastAsia="Arial" w:hAnsi="Arial"/>
                <w:sz w:val="18"/>
                <w:szCs w:val="18"/>
                <w:color w:val="FFFFFF"/>
              </w:rPr>
              <w:t>6 Months 2019</w:t>
            </w:r>
          </w:p>
        </w:tc>
        <w:tc>
          <w:tcPr>
            <w:tcW w:w="2700" w:type="dxa"/>
            <w:vAlign w:val="bottom"/>
            <w:tcBorders>
              <w:bottom w:val="single" w:sz="8" w:color="0F243E"/>
            </w:tcBorders>
            <w:shd w:val="clear" w:color="auto" w:fill="0F243E"/>
          </w:tcPr>
          <w:p>
            <w:pPr>
              <w:ind w:left="800"/>
              <w:spacing w:after="0"/>
              <w:rPr>
                <w:sz w:val="20"/>
                <w:szCs w:val="20"/>
                <w:color w:val="auto"/>
              </w:rPr>
            </w:pPr>
            <w:r>
              <w:rPr>
                <w:rFonts w:ascii="Arial" w:cs="Arial" w:eastAsia="Arial" w:hAnsi="Arial"/>
                <w:sz w:val="18"/>
                <w:szCs w:val="18"/>
                <w:color w:val="FFFFFF"/>
              </w:rPr>
              <w:t>6 Months 2018</w:t>
            </w:r>
          </w:p>
        </w:tc>
        <w:tc>
          <w:tcPr>
            <w:tcW w:w="60" w:type="dxa"/>
            <w:vAlign w:val="bottom"/>
            <w:tcBorders>
              <w:bottom w:val="single" w:sz="8" w:color="0F243E"/>
            </w:tcBorders>
            <w:shd w:val="clear" w:color="auto" w:fill="0F243E"/>
          </w:tcPr>
          <w:p>
            <w:pPr>
              <w:spacing w:after="0"/>
              <w:rPr>
                <w:sz w:val="22"/>
                <w:szCs w:val="22"/>
                <w:color w:val="auto"/>
              </w:rPr>
            </w:pPr>
          </w:p>
        </w:tc>
      </w:tr>
      <w:tr>
        <w:trPr>
          <w:trHeight w:val="257"/>
        </w:trPr>
        <w:tc>
          <w:tcPr>
            <w:tcW w:w="60" w:type="dxa"/>
            <w:vAlign w:val="bottom"/>
          </w:tcPr>
          <w:p>
            <w:pPr>
              <w:spacing w:after="0"/>
              <w:rPr>
                <w:sz w:val="22"/>
                <w:szCs w:val="22"/>
                <w:color w:val="auto"/>
              </w:rPr>
            </w:pPr>
          </w:p>
        </w:tc>
        <w:tc>
          <w:tcPr>
            <w:tcW w:w="5840" w:type="dxa"/>
            <w:vAlign w:val="bottom"/>
            <w:shd w:val="clear" w:color="auto" w:fill="CCCCCC"/>
          </w:tcPr>
          <w:p>
            <w:pPr>
              <w:ind w:left="40"/>
              <w:spacing w:after="0"/>
              <w:rPr>
                <w:sz w:val="20"/>
                <w:szCs w:val="20"/>
                <w:color w:val="auto"/>
              </w:rPr>
            </w:pPr>
            <w:r>
              <w:rPr>
                <w:rFonts w:ascii="Arial" w:cs="Arial" w:eastAsia="Arial" w:hAnsi="Arial"/>
                <w:sz w:val="18"/>
                <w:szCs w:val="18"/>
                <w:color w:val="auto"/>
              </w:rPr>
              <w:t>Total Revenues</w:t>
            </w:r>
          </w:p>
        </w:tc>
        <w:tc>
          <w:tcPr>
            <w:tcW w:w="2720" w:type="dxa"/>
            <w:vAlign w:val="bottom"/>
            <w:shd w:val="clear" w:color="auto" w:fill="CCCCCC"/>
          </w:tcPr>
          <w:p>
            <w:pPr>
              <w:jc w:val="center"/>
              <w:ind w:left="10"/>
              <w:spacing w:after="0"/>
              <w:rPr>
                <w:sz w:val="20"/>
                <w:szCs w:val="20"/>
                <w:color w:val="auto"/>
              </w:rPr>
            </w:pPr>
            <w:r>
              <w:rPr>
                <w:rFonts w:ascii="Arial" w:cs="Arial" w:eastAsia="Arial" w:hAnsi="Arial"/>
                <w:sz w:val="18"/>
                <w:szCs w:val="18"/>
                <w:b w:val="1"/>
                <w:bCs w:val="1"/>
                <w:color w:val="auto"/>
                <w:w w:val="98"/>
              </w:rPr>
              <w:t>$433.9</w:t>
            </w:r>
          </w:p>
        </w:tc>
        <w:tc>
          <w:tcPr>
            <w:tcW w:w="2700" w:type="dxa"/>
            <w:vAlign w:val="bottom"/>
            <w:shd w:val="clear" w:color="auto" w:fill="CCCCCC"/>
          </w:tcPr>
          <w:p>
            <w:pPr>
              <w:jc w:val="center"/>
              <w:ind w:left="10"/>
              <w:spacing w:after="0"/>
              <w:rPr>
                <w:sz w:val="20"/>
                <w:szCs w:val="20"/>
                <w:color w:val="auto"/>
              </w:rPr>
            </w:pPr>
            <w:r>
              <w:rPr>
                <w:rFonts w:ascii="Arial" w:cs="Arial" w:eastAsia="Arial" w:hAnsi="Arial"/>
                <w:sz w:val="18"/>
                <w:szCs w:val="18"/>
                <w:color w:val="auto"/>
              </w:rPr>
              <w:t>$338.0</w:t>
            </w:r>
          </w:p>
        </w:tc>
        <w:tc>
          <w:tcPr>
            <w:tcW w:w="60" w:type="dxa"/>
            <w:vAlign w:val="bottom"/>
            <w:shd w:val="clear" w:color="auto" w:fill="CCCCCC"/>
          </w:tcPr>
          <w:p>
            <w:pPr>
              <w:spacing w:after="0"/>
              <w:rPr>
                <w:sz w:val="22"/>
                <w:szCs w:val="22"/>
                <w:color w:val="auto"/>
              </w:rPr>
            </w:pPr>
          </w:p>
        </w:tc>
      </w:tr>
      <w:tr>
        <w:trPr>
          <w:trHeight w:val="270"/>
        </w:trPr>
        <w:tc>
          <w:tcPr>
            <w:tcW w:w="60" w:type="dxa"/>
            <w:vAlign w:val="bottom"/>
          </w:tcPr>
          <w:p>
            <w:pPr>
              <w:spacing w:after="0"/>
              <w:rPr>
                <w:sz w:val="23"/>
                <w:szCs w:val="23"/>
                <w:color w:val="auto"/>
              </w:rPr>
            </w:pPr>
          </w:p>
        </w:tc>
        <w:tc>
          <w:tcPr>
            <w:tcW w:w="5840" w:type="dxa"/>
            <w:vAlign w:val="bottom"/>
            <w:shd w:val="clear" w:color="auto" w:fill="CCCCCC"/>
          </w:tcPr>
          <w:p>
            <w:pPr>
              <w:ind w:left="40"/>
              <w:spacing w:after="0"/>
              <w:rPr>
                <w:sz w:val="20"/>
                <w:szCs w:val="20"/>
                <w:color w:val="auto"/>
              </w:rPr>
            </w:pPr>
            <w:r>
              <w:rPr>
                <w:rFonts w:ascii="Arial" w:cs="Arial" w:eastAsia="Arial" w:hAnsi="Arial"/>
                <w:sz w:val="18"/>
                <w:szCs w:val="18"/>
                <w:color w:val="auto"/>
              </w:rPr>
              <w:t>Pre-tax (Loss) Income</w:t>
            </w:r>
          </w:p>
        </w:tc>
        <w:tc>
          <w:tcPr>
            <w:tcW w:w="2720" w:type="dxa"/>
            <w:vAlign w:val="bottom"/>
            <w:shd w:val="clear" w:color="auto" w:fill="CCCCCC"/>
          </w:tcPr>
          <w:p>
            <w:pPr>
              <w:jc w:val="center"/>
              <w:ind w:left="10"/>
              <w:spacing w:after="0"/>
              <w:rPr>
                <w:sz w:val="20"/>
                <w:szCs w:val="20"/>
                <w:color w:val="auto"/>
              </w:rPr>
            </w:pPr>
            <w:r>
              <w:rPr>
                <w:rFonts w:ascii="Arial" w:cs="Arial" w:eastAsia="Arial" w:hAnsi="Arial"/>
                <w:sz w:val="18"/>
                <w:szCs w:val="18"/>
                <w:b w:val="1"/>
                <w:bCs w:val="1"/>
                <w:color w:val="auto"/>
              </w:rPr>
              <w:t>$(53.0)</w:t>
            </w:r>
          </w:p>
        </w:tc>
        <w:tc>
          <w:tcPr>
            <w:tcW w:w="2700" w:type="dxa"/>
            <w:vAlign w:val="bottom"/>
            <w:shd w:val="clear" w:color="auto" w:fill="CCCCCC"/>
          </w:tcPr>
          <w:p>
            <w:pPr>
              <w:jc w:val="center"/>
              <w:ind w:left="10"/>
              <w:spacing w:after="0"/>
              <w:rPr>
                <w:sz w:val="20"/>
                <w:szCs w:val="20"/>
                <w:color w:val="auto"/>
              </w:rPr>
            </w:pPr>
            <w:r>
              <w:rPr>
                <w:rFonts w:ascii="Arial" w:cs="Arial" w:eastAsia="Arial" w:hAnsi="Arial"/>
                <w:sz w:val="18"/>
                <w:szCs w:val="18"/>
                <w:color w:val="auto"/>
                <w:w w:val="97"/>
              </w:rPr>
              <w:t>$56.4</w:t>
            </w:r>
          </w:p>
        </w:tc>
        <w:tc>
          <w:tcPr>
            <w:tcW w:w="60" w:type="dxa"/>
            <w:vAlign w:val="bottom"/>
            <w:shd w:val="clear" w:color="auto" w:fill="CCCCCC"/>
          </w:tcPr>
          <w:p>
            <w:pPr>
              <w:spacing w:after="0"/>
              <w:rPr>
                <w:sz w:val="23"/>
                <w:szCs w:val="23"/>
                <w:color w:val="auto"/>
              </w:rPr>
            </w:pPr>
          </w:p>
        </w:tc>
      </w:tr>
      <w:tr>
        <w:trPr>
          <w:trHeight w:val="270"/>
        </w:trPr>
        <w:tc>
          <w:tcPr>
            <w:tcW w:w="60" w:type="dxa"/>
            <w:vAlign w:val="bottom"/>
          </w:tcPr>
          <w:p>
            <w:pPr>
              <w:spacing w:after="0"/>
              <w:rPr>
                <w:sz w:val="23"/>
                <w:szCs w:val="23"/>
                <w:color w:val="auto"/>
              </w:rPr>
            </w:pPr>
          </w:p>
        </w:tc>
        <w:tc>
          <w:tcPr>
            <w:tcW w:w="5840" w:type="dxa"/>
            <w:vAlign w:val="bottom"/>
            <w:shd w:val="clear" w:color="auto" w:fill="CCCCCC"/>
          </w:tcPr>
          <w:p>
            <w:pPr>
              <w:ind w:left="40"/>
              <w:spacing w:after="0"/>
              <w:rPr>
                <w:sz w:val="20"/>
                <w:szCs w:val="20"/>
                <w:color w:val="auto"/>
              </w:rPr>
            </w:pPr>
            <w:r>
              <w:rPr>
                <w:rFonts w:ascii="Arial" w:cs="Arial" w:eastAsia="Arial" w:hAnsi="Arial"/>
                <w:sz w:val="18"/>
                <w:szCs w:val="18"/>
                <w:color w:val="auto"/>
              </w:rPr>
              <w:t>Net (Loss) Income</w:t>
            </w:r>
          </w:p>
        </w:tc>
        <w:tc>
          <w:tcPr>
            <w:tcW w:w="2720" w:type="dxa"/>
            <w:vAlign w:val="bottom"/>
            <w:shd w:val="clear" w:color="auto" w:fill="CCCCCC"/>
          </w:tcPr>
          <w:p>
            <w:pPr>
              <w:jc w:val="center"/>
              <w:ind w:left="10"/>
              <w:spacing w:after="0"/>
              <w:rPr>
                <w:sz w:val="20"/>
                <w:szCs w:val="20"/>
                <w:color w:val="auto"/>
              </w:rPr>
            </w:pPr>
            <w:r>
              <w:rPr>
                <w:rFonts w:ascii="Arial" w:cs="Arial" w:eastAsia="Arial" w:hAnsi="Arial"/>
                <w:sz w:val="18"/>
                <w:szCs w:val="18"/>
                <w:color w:val="auto"/>
              </w:rPr>
              <w:t>$(35.6)</w:t>
            </w:r>
          </w:p>
        </w:tc>
        <w:tc>
          <w:tcPr>
            <w:tcW w:w="2700" w:type="dxa"/>
            <w:vAlign w:val="bottom"/>
            <w:shd w:val="clear" w:color="auto" w:fill="CCCCCC"/>
          </w:tcPr>
          <w:p>
            <w:pPr>
              <w:jc w:val="center"/>
              <w:ind w:left="10"/>
              <w:spacing w:after="0"/>
              <w:rPr>
                <w:sz w:val="20"/>
                <w:szCs w:val="20"/>
                <w:color w:val="auto"/>
              </w:rPr>
            </w:pPr>
            <w:r>
              <w:rPr>
                <w:rFonts w:ascii="Arial" w:cs="Arial" w:eastAsia="Arial" w:hAnsi="Arial"/>
                <w:sz w:val="18"/>
                <w:szCs w:val="18"/>
                <w:color w:val="auto"/>
                <w:w w:val="97"/>
              </w:rPr>
              <w:t>$45.2</w:t>
            </w:r>
          </w:p>
        </w:tc>
        <w:tc>
          <w:tcPr>
            <w:tcW w:w="60" w:type="dxa"/>
            <w:vAlign w:val="bottom"/>
            <w:shd w:val="clear" w:color="auto" w:fill="CCCCCC"/>
          </w:tcPr>
          <w:p>
            <w:pPr>
              <w:spacing w:after="0"/>
              <w:rPr>
                <w:sz w:val="23"/>
                <w:szCs w:val="23"/>
                <w:color w:val="auto"/>
              </w:rPr>
            </w:pPr>
          </w:p>
        </w:tc>
      </w:tr>
      <w:tr>
        <w:trPr>
          <w:trHeight w:val="270"/>
        </w:trPr>
        <w:tc>
          <w:tcPr>
            <w:tcW w:w="60" w:type="dxa"/>
            <w:vAlign w:val="bottom"/>
          </w:tcPr>
          <w:p>
            <w:pPr>
              <w:spacing w:after="0"/>
              <w:rPr>
                <w:sz w:val="23"/>
                <w:szCs w:val="23"/>
                <w:color w:val="auto"/>
              </w:rPr>
            </w:pPr>
          </w:p>
        </w:tc>
        <w:tc>
          <w:tcPr>
            <w:tcW w:w="5840" w:type="dxa"/>
            <w:vAlign w:val="bottom"/>
            <w:shd w:val="clear" w:color="auto" w:fill="CCCCCC"/>
          </w:tcPr>
          <w:p>
            <w:pPr>
              <w:ind w:left="40"/>
              <w:spacing w:after="0"/>
              <w:rPr>
                <w:sz w:val="20"/>
                <w:szCs w:val="20"/>
                <w:color w:val="auto"/>
              </w:rPr>
            </w:pPr>
            <w:r>
              <w:rPr>
                <w:rFonts w:ascii="Arial" w:cs="Arial" w:eastAsia="Arial" w:hAnsi="Arial"/>
                <w:sz w:val="18"/>
                <w:szCs w:val="18"/>
                <w:color w:val="auto"/>
              </w:rPr>
              <w:t xml:space="preserve">Adjusted Net (Loss) Income </w:t>
            </w:r>
            <w:r>
              <w:rPr>
                <w:rFonts w:ascii="Arial" w:cs="Arial" w:eastAsia="Arial" w:hAnsi="Arial"/>
                <w:sz w:val="18"/>
                <w:szCs w:val="18"/>
                <w:i w:val="1"/>
                <w:iCs w:val="1"/>
                <w:color w:val="auto"/>
              </w:rPr>
              <w:t>(1)</w:t>
            </w:r>
          </w:p>
        </w:tc>
        <w:tc>
          <w:tcPr>
            <w:tcW w:w="2720" w:type="dxa"/>
            <w:vAlign w:val="bottom"/>
            <w:shd w:val="clear" w:color="auto" w:fill="CCCCCC"/>
          </w:tcPr>
          <w:p>
            <w:pPr>
              <w:jc w:val="center"/>
              <w:ind w:left="10"/>
              <w:spacing w:after="0"/>
              <w:rPr>
                <w:sz w:val="20"/>
                <w:szCs w:val="20"/>
                <w:color w:val="auto"/>
              </w:rPr>
            </w:pPr>
            <w:r>
              <w:rPr>
                <w:rFonts w:ascii="Arial" w:cs="Arial" w:eastAsia="Arial" w:hAnsi="Arial"/>
                <w:sz w:val="18"/>
                <w:szCs w:val="18"/>
                <w:color w:val="auto"/>
                <w:w w:val="97"/>
              </w:rPr>
              <w:t>$(0.7)</w:t>
            </w:r>
          </w:p>
        </w:tc>
        <w:tc>
          <w:tcPr>
            <w:tcW w:w="2700" w:type="dxa"/>
            <w:vAlign w:val="bottom"/>
            <w:shd w:val="clear" w:color="auto" w:fill="CCCCCC"/>
          </w:tcPr>
          <w:p>
            <w:pPr>
              <w:jc w:val="center"/>
              <w:ind w:left="10"/>
              <w:spacing w:after="0"/>
              <w:rPr>
                <w:sz w:val="20"/>
                <w:szCs w:val="20"/>
                <w:color w:val="auto"/>
              </w:rPr>
            </w:pPr>
            <w:r>
              <w:rPr>
                <w:rFonts w:ascii="Arial" w:cs="Arial" w:eastAsia="Arial" w:hAnsi="Arial"/>
                <w:sz w:val="18"/>
                <w:szCs w:val="18"/>
                <w:color w:val="auto"/>
                <w:w w:val="97"/>
              </w:rPr>
              <w:t>$53.1</w:t>
            </w:r>
          </w:p>
        </w:tc>
        <w:tc>
          <w:tcPr>
            <w:tcW w:w="60" w:type="dxa"/>
            <w:vAlign w:val="bottom"/>
            <w:shd w:val="clear" w:color="auto" w:fill="CCCCCC"/>
          </w:tcPr>
          <w:p>
            <w:pPr>
              <w:spacing w:after="0"/>
              <w:rPr>
                <w:sz w:val="23"/>
                <w:szCs w:val="23"/>
                <w:color w:val="auto"/>
              </w:rPr>
            </w:pPr>
          </w:p>
        </w:tc>
      </w:tr>
      <w:tr>
        <w:trPr>
          <w:trHeight w:val="270"/>
        </w:trPr>
        <w:tc>
          <w:tcPr>
            <w:tcW w:w="60" w:type="dxa"/>
            <w:vAlign w:val="bottom"/>
          </w:tcPr>
          <w:p>
            <w:pPr>
              <w:spacing w:after="0"/>
              <w:rPr>
                <w:sz w:val="23"/>
                <w:szCs w:val="23"/>
                <w:color w:val="auto"/>
              </w:rPr>
            </w:pPr>
          </w:p>
        </w:tc>
        <w:tc>
          <w:tcPr>
            <w:tcW w:w="5840" w:type="dxa"/>
            <w:vAlign w:val="bottom"/>
            <w:shd w:val="clear" w:color="auto" w:fill="CCCCCC"/>
          </w:tcPr>
          <w:p>
            <w:pPr>
              <w:ind w:left="40"/>
              <w:spacing w:after="0"/>
              <w:rPr>
                <w:sz w:val="20"/>
                <w:szCs w:val="20"/>
                <w:color w:val="auto"/>
              </w:rPr>
            </w:pPr>
            <w:r>
              <w:rPr>
                <w:rFonts w:ascii="Arial" w:cs="Arial" w:eastAsia="Arial" w:hAnsi="Arial"/>
                <w:sz w:val="18"/>
                <w:szCs w:val="18"/>
                <w:color w:val="auto"/>
              </w:rPr>
              <w:t xml:space="preserve">EBITDA </w:t>
            </w:r>
            <w:r>
              <w:rPr>
                <w:rFonts w:ascii="Arial" w:cs="Arial" w:eastAsia="Arial" w:hAnsi="Arial"/>
                <w:sz w:val="18"/>
                <w:szCs w:val="18"/>
                <w:i w:val="1"/>
                <w:iCs w:val="1"/>
                <w:color w:val="auto"/>
              </w:rPr>
              <w:t>(1)</w:t>
            </w:r>
          </w:p>
        </w:tc>
        <w:tc>
          <w:tcPr>
            <w:tcW w:w="2720" w:type="dxa"/>
            <w:vAlign w:val="bottom"/>
            <w:shd w:val="clear" w:color="auto" w:fill="CCCCCC"/>
          </w:tcPr>
          <w:p>
            <w:pPr>
              <w:jc w:val="center"/>
              <w:ind w:left="10"/>
              <w:spacing w:after="0"/>
              <w:rPr>
                <w:sz w:val="20"/>
                <w:szCs w:val="20"/>
                <w:color w:val="auto"/>
              </w:rPr>
            </w:pPr>
            <w:r>
              <w:rPr>
                <w:rFonts w:ascii="Arial" w:cs="Arial" w:eastAsia="Arial" w:hAnsi="Arial"/>
                <w:sz w:val="18"/>
                <w:szCs w:val="18"/>
                <w:color w:val="auto"/>
              </w:rPr>
              <w:t>$19.8</w:t>
            </w:r>
          </w:p>
        </w:tc>
        <w:tc>
          <w:tcPr>
            <w:tcW w:w="2700" w:type="dxa"/>
            <w:vAlign w:val="bottom"/>
            <w:shd w:val="clear" w:color="auto" w:fill="CCCCCC"/>
          </w:tcPr>
          <w:p>
            <w:pPr>
              <w:jc w:val="center"/>
              <w:ind w:left="10"/>
              <w:spacing w:after="0"/>
              <w:rPr>
                <w:sz w:val="20"/>
                <w:szCs w:val="20"/>
                <w:color w:val="auto"/>
              </w:rPr>
            </w:pPr>
            <w:r>
              <w:rPr>
                <w:rFonts w:ascii="Arial" w:cs="Arial" w:eastAsia="Arial" w:hAnsi="Arial"/>
                <w:sz w:val="18"/>
                <w:szCs w:val="18"/>
                <w:color w:val="auto"/>
                <w:w w:val="97"/>
              </w:rPr>
              <w:t>$82.1</w:t>
            </w:r>
          </w:p>
        </w:tc>
        <w:tc>
          <w:tcPr>
            <w:tcW w:w="60" w:type="dxa"/>
            <w:vAlign w:val="bottom"/>
            <w:shd w:val="clear" w:color="auto" w:fill="CCCCCC"/>
          </w:tcPr>
          <w:p>
            <w:pPr>
              <w:spacing w:after="0"/>
              <w:rPr>
                <w:sz w:val="23"/>
                <w:szCs w:val="23"/>
                <w:color w:val="auto"/>
              </w:rPr>
            </w:pPr>
          </w:p>
        </w:tc>
      </w:tr>
      <w:tr>
        <w:trPr>
          <w:trHeight w:val="284"/>
        </w:trPr>
        <w:tc>
          <w:tcPr>
            <w:tcW w:w="60" w:type="dxa"/>
            <w:vAlign w:val="bottom"/>
          </w:tcPr>
          <w:p>
            <w:pPr>
              <w:spacing w:after="0"/>
              <w:rPr>
                <w:sz w:val="24"/>
                <w:szCs w:val="24"/>
                <w:color w:val="auto"/>
              </w:rPr>
            </w:pPr>
          </w:p>
        </w:tc>
        <w:tc>
          <w:tcPr>
            <w:tcW w:w="5840" w:type="dxa"/>
            <w:vAlign w:val="bottom"/>
            <w:shd w:val="clear" w:color="auto" w:fill="CCCCCC"/>
          </w:tcPr>
          <w:p>
            <w:pPr>
              <w:ind w:left="4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8"/>
                <w:szCs w:val="18"/>
                <w:i w:val="1"/>
                <w:iCs w:val="1"/>
                <w:color w:val="auto"/>
              </w:rPr>
              <w:t>(1)</w:t>
            </w:r>
          </w:p>
        </w:tc>
        <w:tc>
          <w:tcPr>
            <w:tcW w:w="2720" w:type="dxa"/>
            <w:vAlign w:val="bottom"/>
            <w:shd w:val="clear" w:color="auto" w:fill="CCCCCC"/>
          </w:tcPr>
          <w:p>
            <w:pPr>
              <w:jc w:val="center"/>
              <w:ind w:left="10"/>
              <w:spacing w:after="0"/>
              <w:rPr>
                <w:sz w:val="20"/>
                <w:szCs w:val="20"/>
                <w:color w:val="auto"/>
              </w:rPr>
            </w:pPr>
            <w:r>
              <w:rPr>
                <w:rFonts w:ascii="Arial" w:cs="Arial" w:eastAsia="Arial" w:hAnsi="Arial"/>
                <w:sz w:val="18"/>
                <w:szCs w:val="18"/>
                <w:color w:val="auto"/>
              </w:rPr>
              <w:t>$33.3</w:t>
            </w:r>
          </w:p>
        </w:tc>
        <w:tc>
          <w:tcPr>
            <w:tcW w:w="2700" w:type="dxa"/>
            <w:vAlign w:val="bottom"/>
            <w:shd w:val="clear" w:color="auto" w:fill="CCCCCC"/>
          </w:tcPr>
          <w:p>
            <w:pPr>
              <w:jc w:val="center"/>
              <w:ind w:left="10"/>
              <w:spacing w:after="0"/>
              <w:rPr>
                <w:sz w:val="20"/>
                <w:szCs w:val="20"/>
                <w:color w:val="auto"/>
              </w:rPr>
            </w:pPr>
            <w:r>
              <w:rPr>
                <w:rFonts w:ascii="Arial" w:cs="Arial" w:eastAsia="Arial" w:hAnsi="Arial"/>
                <w:sz w:val="18"/>
                <w:szCs w:val="18"/>
                <w:color w:val="auto"/>
                <w:w w:val="97"/>
              </w:rPr>
              <w:t>$83.7</w:t>
            </w:r>
          </w:p>
        </w:tc>
        <w:tc>
          <w:tcPr>
            <w:tcW w:w="60" w:type="dxa"/>
            <w:vAlign w:val="bottom"/>
            <w:shd w:val="clear" w:color="auto" w:fill="CCCCC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-1208405</wp:posOffset>
            </wp:positionV>
            <wp:extent cx="7212330" cy="1217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12179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2019 AND RECENT BUSINESS ACCOMPLISHMENTS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Procurement</w:t>
      </w:r>
    </w:p>
    <w:p>
      <w:pPr>
        <w:spacing w:after="0" w:line="247" w:lineRule="exact"/>
        <w:rPr>
          <w:sz w:val="20"/>
          <w:szCs w:val="20"/>
          <w:color w:val="auto"/>
        </w:rPr>
      </w:pPr>
    </w:p>
    <w:p>
      <w:pPr>
        <w:ind w:left="660" w:right="40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Announced the exercise by the Biomedical Advanced Research and Development Authority (BARDA) of the first contract option, valued at $261 million, to procure doses of the next generation anthrax vaccine candidate AV7909 (anthrax vaccine adsorbed with adjuvant) for delivery into the U.S. Strategic National Stockpile (SNS) over 12 months.</w:t>
      </w:r>
    </w:p>
    <w:p>
      <w:pPr>
        <w:spacing w:after="0" w:line="201" w:lineRule="exact"/>
        <w:rPr>
          <w:rFonts w:ascii="Arial" w:cs="Arial" w:eastAsia="Arial" w:hAnsi="Arial"/>
          <w:sz w:val="18"/>
          <w:szCs w:val="18"/>
          <w:color w:val="auto"/>
        </w:rPr>
      </w:pPr>
    </w:p>
    <w:p>
      <w:pPr>
        <w:ind w:left="660" w:right="320" w:hanging="328"/>
        <w:spacing w:after="0" w:line="29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Awarded a 10-year procurement contract from the U.S. Department of Health and Human Services (HHS), valued at approximately $535 million, to deliver VIGIV (vaccinia immune globulin intravenous) into the SNS in support of smallpox preparedness.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 of 16</w:t>
      </w:r>
    </w:p>
    <w:p>
      <w:pPr>
        <w:sectPr>
          <w:pgSz w:w="11900" w:h="16838" w:orient="portrait"/>
          <w:cols w:equalWidth="0" w:num="1">
            <w:col w:w="11380"/>
          </w:cols>
          <w:pgMar w:left="240" w:top="1440" w:right="279" w:bottom="1440" w:gutter="0" w:footer="0" w:header="0"/>
        </w:sectPr>
      </w:pPr>
    </w:p>
    <w:bookmarkStart w:id="3" w:name="page4"/>
    <w:bookmarkEnd w:id="3"/>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226060</wp:posOffset>
            </wp:positionV>
            <wp:extent cx="1517650" cy="6343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343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Product Development</w:t>
      </w:r>
    </w:p>
    <w:p>
      <w:pPr>
        <w:spacing w:after="0" w:line="247" w:lineRule="exact"/>
        <w:rPr>
          <w:sz w:val="20"/>
          <w:szCs w:val="20"/>
          <w:color w:val="auto"/>
        </w:rPr>
      </w:pPr>
    </w:p>
    <w:p>
      <w:pPr>
        <w:ind w:left="660" w:hanging="328"/>
        <w:spacing w:after="0" w:line="25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Initiated a Phase III trial to evaluate the lot consistency, immunogenicity and safety of the next generation anthrax vaccine candidate AV7909, with funding from BARDA, pursuant to a development and procurement contract signed in September 2016; the Company also continued manufacturing of AV7909, first begun in Q1 2019, and is preparing to initiate in the third quarter the first delivery of doses of AV7909 into the SNS pursuant to the same September 2016 contract. More recently, enrollment for this Phase III trial has now been completed, ahead of schedule.</w:t>
      </w:r>
    </w:p>
    <w:p>
      <w:pPr>
        <w:spacing w:after="0" w:line="205" w:lineRule="exact"/>
        <w:rPr>
          <w:rFonts w:ascii="Arial" w:cs="Arial" w:eastAsia="Arial" w:hAnsi="Arial"/>
          <w:sz w:val="18"/>
          <w:szCs w:val="18"/>
          <w:color w:val="auto"/>
        </w:rPr>
      </w:pPr>
    </w:p>
    <w:p>
      <w:pPr>
        <w:ind w:left="660" w:right="20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Provided interim analysis of the Phase II clinical study evaluating the safety and immunogenicity of the Company's chikungunya virus virus-like-particle (VLP) vaccine candidate, CHIKV-VLP, showing with a single dose administered up to 98% of study participants produced neutralizing antibodies against the chikungunya virus by day 7, with persistent effect out to the six-month visit, including in the single-dose regimen.</w:t>
      </w:r>
    </w:p>
    <w:p>
      <w:pPr>
        <w:spacing w:after="0" w:line="204"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Granted marketing authorization in five EU countries for the Company's oral typhoid vaccine, expanding the availability of this vaccine across Europe.</w:t>
      </w:r>
    </w:p>
    <w:p>
      <w:pPr>
        <w:spacing w:after="0" w:line="196" w:lineRule="exact"/>
        <w:rPr>
          <w:rFonts w:ascii="Arial" w:cs="Arial" w:eastAsia="Arial" w:hAnsi="Arial"/>
          <w:sz w:val="18"/>
          <w:szCs w:val="18"/>
          <w:color w:val="auto"/>
        </w:rPr>
      </w:pPr>
    </w:p>
    <w:p>
      <w:pPr>
        <w:ind w:left="660" w:right="40" w:hanging="328"/>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Granted approval by the U.S. Food and Drug Administration (FDA) of a change in the storage conditions of the Company's oral cholera vaccine, Vaxchora® (Cholera Vaccine, Live, Oral) from frozen to 2-8 degrees Celsius as well as the transfer of bulk drug substance manufacturing from the Company's facilities in San Diego to its manufacturing site in Bern, Switzerland.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FINANCIAL PERFORMANCE (unaudited)</w:t>
      </w:r>
    </w:p>
    <w:p>
      <w:pPr>
        <w:spacing w:after="0" w:line="225" w:lineRule="exact"/>
        <w:rPr>
          <w:sz w:val="20"/>
          <w:szCs w:val="20"/>
          <w:color w:val="auto"/>
        </w:rPr>
      </w:pPr>
    </w:p>
    <w:p>
      <w:pPr>
        <w:ind w:right="8320" w:firstLine="8"/>
        <w:spacing w:after="0" w:line="501" w:lineRule="auto"/>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 Ended June 30, 2019 (Q2) </w:t>
      </w:r>
      <w:r>
        <w:rPr>
          <w:rFonts w:ascii="Arial" w:cs="Arial" w:eastAsia="Arial" w:hAnsi="Arial"/>
          <w:sz w:val="18"/>
          <w:szCs w:val="18"/>
          <w:b w:val="1"/>
          <w:bCs w:val="1"/>
          <w:u w:val="single" w:color="auto"/>
          <w:color w:val="auto"/>
        </w:rPr>
        <w:t>Revenues</w:t>
      </w: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139"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For Q2 2019, total revenues were $243.2 million, an increase of 10% over 2018. Total revenues reflect the contribution of recently acquired products as well as increased contracts and grants revenue.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Q2 2019, product sales were $183.5 million, an increase of $3.4 million or 2% as compared to 2018. The increase primarily reflects sales of both NARCAN® (naloxone HCl) Nasal Spray, which was acquired in October 2018, and other products, offset by decreased sales of ACAM2000® (Smallpox (Vaccinia) Vaccine, Live) and BioThrax® (Anthrax Vaccine Adsorbed).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6766560" cy="1423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66560" cy="1423670"/>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780" w:type="dxa"/>
            <w:vAlign w:val="bottom"/>
            <w:shd w:val="clear" w:color="auto" w:fill="0F243E"/>
          </w:tcPr>
          <w:p>
            <w:pPr>
              <w:spacing w:after="0"/>
              <w:rPr>
                <w:sz w:val="22"/>
                <w:szCs w:val="22"/>
                <w:color w:val="auto"/>
              </w:rPr>
            </w:pPr>
          </w:p>
        </w:tc>
        <w:tc>
          <w:tcPr>
            <w:tcW w:w="6880" w:type="dxa"/>
            <w:vAlign w:val="bottom"/>
            <w:gridSpan w:val="3"/>
            <w:shd w:val="clear" w:color="auto" w:fill="0F243E"/>
          </w:tcPr>
          <w:p>
            <w:pPr>
              <w:ind w:left="3380"/>
              <w:spacing w:after="0"/>
              <w:rPr>
                <w:sz w:val="20"/>
                <w:szCs w:val="20"/>
                <w:color w:val="auto"/>
              </w:rPr>
            </w:pPr>
            <w:r>
              <w:rPr>
                <w:rFonts w:ascii="Arial" w:cs="Arial" w:eastAsia="Arial" w:hAnsi="Arial"/>
                <w:sz w:val="18"/>
                <w:szCs w:val="18"/>
                <w:b w:val="1"/>
                <w:bCs w:val="1"/>
                <w:color w:val="FFFFFF"/>
              </w:rPr>
              <w:t>Three Months Ended June 30,</w:t>
            </w:r>
          </w:p>
        </w:tc>
      </w:tr>
      <w:tr>
        <w:trPr>
          <w:trHeight w:val="281"/>
        </w:trPr>
        <w:tc>
          <w:tcPr>
            <w:tcW w:w="3780" w:type="dxa"/>
            <w:vAlign w:val="bottom"/>
            <w:shd w:val="clear" w:color="auto" w:fill="0F243E"/>
          </w:tcPr>
          <w:p>
            <w:pPr>
              <w:ind w:left="40"/>
              <w:spacing w:after="0"/>
              <w:rPr>
                <w:sz w:val="20"/>
                <w:szCs w:val="20"/>
                <w:color w:val="auto"/>
              </w:rPr>
            </w:pPr>
            <w:r>
              <w:rPr>
                <w:rFonts w:ascii="Arial" w:cs="Arial" w:eastAsia="Arial" w:hAnsi="Arial"/>
                <w:sz w:val="18"/>
                <w:szCs w:val="18"/>
                <w:color w:val="FFFFFF"/>
              </w:rPr>
              <w:t>(in millions)</w:t>
            </w:r>
          </w:p>
        </w:tc>
        <w:tc>
          <w:tcPr>
            <w:tcW w:w="3920" w:type="dxa"/>
            <w:vAlign w:val="bottom"/>
            <w:shd w:val="clear" w:color="auto" w:fill="0F243E"/>
          </w:tcPr>
          <w:p>
            <w:pPr>
              <w:jc w:val="right"/>
              <w:ind w:right="471"/>
              <w:spacing w:after="0"/>
              <w:rPr>
                <w:sz w:val="20"/>
                <w:szCs w:val="20"/>
                <w:color w:val="auto"/>
              </w:rPr>
            </w:pPr>
            <w:r>
              <w:rPr>
                <w:rFonts w:ascii="Arial" w:cs="Arial" w:eastAsia="Arial" w:hAnsi="Arial"/>
                <w:sz w:val="18"/>
                <w:szCs w:val="18"/>
                <w:b w:val="1"/>
                <w:bCs w:val="1"/>
                <w:color w:val="FFFFFF"/>
              </w:rPr>
              <w:t>2019</w:t>
            </w:r>
          </w:p>
        </w:tc>
        <w:tc>
          <w:tcPr>
            <w:tcW w:w="1580" w:type="dxa"/>
            <w:vAlign w:val="bottom"/>
            <w:shd w:val="clear" w:color="auto" w:fill="0F243E"/>
          </w:tcPr>
          <w:p>
            <w:pPr>
              <w:jc w:val="right"/>
              <w:ind w:right="550"/>
              <w:spacing w:after="0"/>
              <w:rPr>
                <w:sz w:val="20"/>
                <w:szCs w:val="20"/>
                <w:color w:val="auto"/>
              </w:rPr>
            </w:pPr>
            <w:r>
              <w:rPr>
                <w:rFonts w:ascii="Arial" w:cs="Arial" w:eastAsia="Arial" w:hAnsi="Arial"/>
                <w:sz w:val="18"/>
                <w:szCs w:val="18"/>
                <w:b w:val="1"/>
                <w:bCs w:val="1"/>
                <w:color w:val="FFFFFF"/>
              </w:rPr>
              <w:t>2018</w:t>
            </w:r>
          </w:p>
        </w:tc>
        <w:tc>
          <w:tcPr>
            <w:tcW w:w="1380" w:type="dxa"/>
            <w:vAlign w:val="bottom"/>
            <w:shd w:val="clear" w:color="auto" w:fill="0F243E"/>
          </w:tcPr>
          <w:p>
            <w:pPr>
              <w:jc w:val="center"/>
              <w:ind w:right="30"/>
              <w:spacing w:after="0"/>
              <w:rPr>
                <w:sz w:val="20"/>
                <w:szCs w:val="20"/>
                <w:color w:val="auto"/>
              </w:rPr>
            </w:pPr>
            <w:r>
              <w:rPr>
                <w:rFonts w:ascii="Arial" w:cs="Arial" w:eastAsia="Arial" w:hAnsi="Arial"/>
                <w:sz w:val="18"/>
                <w:szCs w:val="18"/>
                <w:b w:val="1"/>
                <w:bCs w:val="1"/>
                <w:color w:val="FFFFFF"/>
                <w:w w:val="98"/>
              </w:rPr>
              <w:t>% Change</w:t>
            </w:r>
          </w:p>
        </w:tc>
      </w:tr>
      <w:tr>
        <w:trPr>
          <w:trHeight w:val="257"/>
        </w:trPr>
        <w:tc>
          <w:tcPr>
            <w:tcW w:w="378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Product Sales</w:t>
            </w:r>
          </w:p>
        </w:tc>
        <w:tc>
          <w:tcPr>
            <w:tcW w:w="3920" w:type="dxa"/>
            <w:vAlign w:val="bottom"/>
            <w:shd w:val="clear" w:color="auto" w:fill="CCCCCC"/>
          </w:tcPr>
          <w:p>
            <w:pPr>
              <w:spacing w:after="0"/>
              <w:rPr>
                <w:sz w:val="22"/>
                <w:szCs w:val="22"/>
                <w:color w:val="auto"/>
              </w:rPr>
            </w:pPr>
          </w:p>
        </w:tc>
        <w:tc>
          <w:tcPr>
            <w:tcW w:w="1580" w:type="dxa"/>
            <w:vAlign w:val="bottom"/>
            <w:shd w:val="clear" w:color="auto" w:fill="CCCCCC"/>
          </w:tcPr>
          <w:p>
            <w:pPr>
              <w:spacing w:after="0"/>
              <w:rPr>
                <w:sz w:val="22"/>
                <w:szCs w:val="22"/>
                <w:color w:val="auto"/>
              </w:rPr>
            </w:pPr>
          </w:p>
        </w:tc>
        <w:tc>
          <w:tcPr>
            <w:tcW w:w="1380" w:type="dxa"/>
            <w:vAlign w:val="bottom"/>
            <w:shd w:val="clear" w:color="auto" w:fill="CCCCCC"/>
          </w:tcPr>
          <w:p>
            <w:pPr>
              <w:spacing w:after="0"/>
              <w:rPr>
                <w:sz w:val="22"/>
                <w:szCs w:val="22"/>
                <w:color w:val="auto"/>
              </w:rPr>
            </w:pPr>
          </w:p>
        </w:tc>
      </w:tr>
      <w:tr>
        <w:trPr>
          <w:trHeight w:val="270"/>
        </w:trPr>
        <w:tc>
          <w:tcPr>
            <w:tcW w:w="3780" w:type="dxa"/>
            <w:vAlign w:val="bottom"/>
            <w:shd w:val="clear" w:color="auto" w:fill="CCCCCC"/>
          </w:tcPr>
          <w:p>
            <w:pPr>
              <w:ind w:left="280"/>
              <w:spacing w:after="0"/>
              <w:rPr>
                <w:sz w:val="20"/>
                <w:szCs w:val="20"/>
                <w:color w:val="auto"/>
              </w:rPr>
            </w:pPr>
            <w:r>
              <w:rPr>
                <w:rFonts w:ascii="Arial" w:cs="Arial" w:eastAsia="Arial" w:hAnsi="Arial"/>
                <w:sz w:val="18"/>
                <w:szCs w:val="18"/>
                <w:color w:val="auto"/>
              </w:rPr>
              <w:t>NARCAN Nasal Spray</w:t>
            </w:r>
          </w:p>
        </w:tc>
        <w:tc>
          <w:tcPr>
            <w:tcW w:w="3920" w:type="dxa"/>
            <w:vAlign w:val="bottom"/>
            <w:shd w:val="clear" w:color="auto" w:fill="CCCCCC"/>
          </w:tcPr>
          <w:p>
            <w:pPr>
              <w:jc w:val="right"/>
              <w:ind w:right="31"/>
              <w:spacing w:after="0"/>
              <w:rPr>
                <w:sz w:val="20"/>
                <w:szCs w:val="20"/>
                <w:color w:val="auto"/>
              </w:rPr>
            </w:pPr>
            <w:r>
              <w:rPr>
                <w:rFonts w:ascii="Arial" w:cs="Arial" w:eastAsia="Arial" w:hAnsi="Arial"/>
                <w:sz w:val="18"/>
                <w:szCs w:val="18"/>
                <w:b w:val="1"/>
                <w:bCs w:val="1"/>
                <w:color w:val="auto"/>
              </w:rPr>
              <w:t>$73.0</w:t>
            </w:r>
          </w:p>
        </w:tc>
        <w:tc>
          <w:tcPr>
            <w:tcW w:w="1580" w:type="dxa"/>
            <w:vAlign w:val="bottom"/>
            <w:shd w:val="clear" w:color="auto" w:fill="CCCCCC"/>
          </w:tcPr>
          <w:p>
            <w:pPr>
              <w:jc w:val="right"/>
              <w:ind w:right="11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CCCC"/>
          </w:tcPr>
          <w:p>
            <w:pPr>
              <w:jc w:val="center"/>
              <w:ind w:right="10"/>
              <w:spacing w:after="0"/>
              <w:rPr>
                <w:sz w:val="20"/>
                <w:szCs w:val="20"/>
                <w:color w:val="auto"/>
              </w:rPr>
            </w:pPr>
            <w:r>
              <w:rPr>
                <w:rFonts w:ascii="Arial" w:cs="Arial" w:eastAsia="Arial" w:hAnsi="Arial"/>
                <w:sz w:val="18"/>
                <w:szCs w:val="18"/>
                <w:color w:val="auto"/>
                <w:w w:val="99"/>
              </w:rPr>
              <w:t>NM</w:t>
            </w:r>
          </w:p>
        </w:tc>
      </w:tr>
      <w:tr>
        <w:trPr>
          <w:trHeight w:val="284"/>
        </w:trPr>
        <w:tc>
          <w:tcPr>
            <w:tcW w:w="3780" w:type="dxa"/>
            <w:vAlign w:val="bottom"/>
            <w:shd w:val="clear" w:color="auto" w:fill="CCCCCC"/>
          </w:tcPr>
          <w:p>
            <w:pPr>
              <w:ind w:left="280"/>
              <w:spacing w:after="0"/>
              <w:rPr>
                <w:sz w:val="20"/>
                <w:szCs w:val="20"/>
                <w:color w:val="auto"/>
              </w:rPr>
            </w:pPr>
            <w:r>
              <w:rPr>
                <w:rFonts w:ascii="Arial" w:cs="Arial" w:eastAsia="Arial" w:hAnsi="Arial"/>
                <w:sz w:val="18"/>
                <w:szCs w:val="18"/>
                <w:color w:val="auto"/>
              </w:rPr>
              <w:t>ACAM2000</w:t>
            </w:r>
          </w:p>
        </w:tc>
        <w:tc>
          <w:tcPr>
            <w:tcW w:w="3920" w:type="dxa"/>
            <w:vAlign w:val="bottom"/>
            <w:shd w:val="clear" w:color="auto" w:fill="CCCCCC"/>
          </w:tcPr>
          <w:p>
            <w:pPr>
              <w:jc w:val="right"/>
              <w:ind w:right="31"/>
              <w:spacing w:after="0"/>
              <w:rPr>
                <w:sz w:val="20"/>
                <w:szCs w:val="20"/>
                <w:color w:val="auto"/>
              </w:rPr>
            </w:pPr>
            <w:r>
              <w:rPr>
                <w:rFonts w:ascii="Arial" w:cs="Arial" w:eastAsia="Arial" w:hAnsi="Arial"/>
                <w:sz w:val="18"/>
                <w:szCs w:val="18"/>
                <w:b w:val="1"/>
                <w:bCs w:val="1"/>
                <w:color w:val="auto"/>
              </w:rPr>
              <w:t>$6.5</w:t>
            </w:r>
          </w:p>
        </w:tc>
        <w:tc>
          <w:tcPr>
            <w:tcW w:w="1580" w:type="dxa"/>
            <w:vAlign w:val="bottom"/>
            <w:shd w:val="clear" w:color="auto" w:fill="CCCCCC"/>
          </w:tcPr>
          <w:p>
            <w:pPr>
              <w:jc w:val="right"/>
              <w:ind w:right="110"/>
              <w:spacing w:after="0"/>
              <w:rPr>
                <w:sz w:val="20"/>
                <w:szCs w:val="20"/>
                <w:color w:val="auto"/>
              </w:rPr>
            </w:pPr>
            <w:r>
              <w:rPr>
                <w:rFonts w:ascii="Arial" w:cs="Arial" w:eastAsia="Arial" w:hAnsi="Arial"/>
                <w:sz w:val="18"/>
                <w:szCs w:val="18"/>
                <w:b w:val="1"/>
                <w:bCs w:val="1"/>
                <w:color w:val="auto"/>
              </w:rPr>
              <w:t>$56.5</w:t>
            </w:r>
          </w:p>
        </w:tc>
        <w:tc>
          <w:tcPr>
            <w:tcW w:w="1380" w:type="dxa"/>
            <w:vAlign w:val="bottom"/>
            <w:shd w:val="clear" w:color="auto" w:fill="CCCCCC"/>
          </w:tcPr>
          <w:p>
            <w:pPr>
              <w:jc w:val="center"/>
              <w:ind w:right="10"/>
              <w:spacing w:after="0"/>
              <w:rPr>
                <w:sz w:val="20"/>
                <w:szCs w:val="20"/>
                <w:color w:val="auto"/>
              </w:rPr>
            </w:pPr>
            <w:r>
              <w:rPr>
                <w:rFonts w:ascii="Arial" w:cs="Arial" w:eastAsia="Arial" w:hAnsi="Arial"/>
                <w:sz w:val="18"/>
                <w:szCs w:val="18"/>
                <w:color w:val="auto"/>
                <w:w w:val="99"/>
              </w:rPr>
              <w:t>(88)%</w:t>
            </w:r>
          </w:p>
        </w:tc>
      </w:tr>
      <w:tr>
        <w:trPr>
          <w:trHeight w:val="284"/>
        </w:trPr>
        <w:tc>
          <w:tcPr>
            <w:tcW w:w="3780" w:type="dxa"/>
            <w:vAlign w:val="bottom"/>
            <w:shd w:val="clear" w:color="auto" w:fill="CCCCCC"/>
          </w:tcPr>
          <w:p>
            <w:pPr>
              <w:ind w:left="280"/>
              <w:spacing w:after="0"/>
              <w:rPr>
                <w:sz w:val="20"/>
                <w:szCs w:val="20"/>
                <w:color w:val="auto"/>
              </w:rPr>
            </w:pPr>
            <w:r>
              <w:rPr>
                <w:rFonts w:ascii="Arial" w:cs="Arial" w:eastAsia="Arial" w:hAnsi="Arial"/>
                <w:sz w:val="18"/>
                <w:szCs w:val="18"/>
                <w:color w:val="auto"/>
              </w:rPr>
              <w:t>BioThrax</w:t>
            </w:r>
          </w:p>
        </w:tc>
        <w:tc>
          <w:tcPr>
            <w:tcW w:w="3920" w:type="dxa"/>
            <w:vAlign w:val="bottom"/>
            <w:shd w:val="clear" w:color="auto" w:fill="CCCCCC"/>
          </w:tcPr>
          <w:p>
            <w:pPr>
              <w:jc w:val="right"/>
              <w:ind w:right="31"/>
              <w:spacing w:after="0"/>
              <w:rPr>
                <w:sz w:val="20"/>
                <w:szCs w:val="20"/>
                <w:color w:val="auto"/>
              </w:rPr>
            </w:pPr>
            <w:r>
              <w:rPr>
                <w:rFonts w:ascii="Arial" w:cs="Arial" w:eastAsia="Arial" w:hAnsi="Arial"/>
                <w:sz w:val="18"/>
                <w:szCs w:val="18"/>
                <w:b w:val="1"/>
                <w:bCs w:val="1"/>
                <w:color w:val="auto"/>
              </w:rPr>
              <w:t>$28.0</w:t>
            </w:r>
          </w:p>
        </w:tc>
        <w:tc>
          <w:tcPr>
            <w:tcW w:w="1580" w:type="dxa"/>
            <w:vAlign w:val="bottom"/>
            <w:shd w:val="clear" w:color="auto" w:fill="CCCCCC"/>
          </w:tcPr>
          <w:p>
            <w:pPr>
              <w:jc w:val="right"/>
              <w:ind w:right="110"/>
              <w:spacing w:after="0"/>
              <w:rPr>
                <w:sz w:val="20"/>
                <w:szCs w:val="20"/>
                <w:color w:val="auto"/>
              </w:rPr>
            </w:pPr>
            <w:r>
              <w:rPr>
                <w:rFonts w:ascii="Arial" w:cs="Arial" w:eastAsia="Arial" w:hAnsi="Arial"/>
                <w:sz w:val="18"/>
                <w:szCs w:val="18"/>
                <w:b w:val="1"/>
                <w:bCs w:val="1"/>
                <w:color w:val="auto"/>
              </w:rPr>
              <w:t>$77.6</w:t>
            </w:r>
          </w:p>
        </w:tc>
        <w:tc>
          <w:tcPr>
            <w:tcW w:w="1380" w:type="dxa"/>
            <w:vAlign w:val="bottom"/>
            <w:shd w:val="clear" w:color="auto" w:fill="CCCCCC"/>
          </w:tcPr>
          <w:p>
            <w:pPr>
              <w:jc w:val="center"/>
              <w:ind w:right="10"/>
              <w:spacing w:after="0"/>
              <w:rPr>
                <w:sz w:val="20"/>
                <w:szCs w:val="20"/>
                <w:color w:val="auto"/>
              </w:rPr>
            </w:pPr>
            <w:r>
              <w:rPr>
                <w:rFonts w:ascii="Arial" w:cs="Arial" w:eastAsia="Arial" w:hAnsi="Arial"/>
                <w:sz w:val="18"/>
                <w:szCs w:val="18"/>
                <w:color w:val="auto"/>
                <w:w w:val="99"/>
              </w:rPr>
              <w:t>(64)%</w:t>
            </w:r>
          </w:p>
        </w:tc>
      </w:tr>
      <w:tr>
        <w:trPr>
          <w:trHeight w:val="284"/>
        </w:trPr>
        <w:tc>
          <w:tcPr>
            <w:tcW w:w="3780" w:type="dxa"/>
            <w:vAlign w:val="bottom"/>
            <w:shd w:val="clear" w:color="auto" w:fill="CCCCCC"/>
          </w:tcPr>
          <w:p>
            <w:pPr>
              <w:ind w:left="280"/>
              <w:spacing w:after="0"/>
              <w:rPr>
                <w:sz w:val="20"/>
                <w:szCs w:val="20"/>
                <w:color w:val="auto"/>
              </w:rPr>
            </w:pPr>
            <w:r>
              <w:rPr>
                <w:rFonts w:ascii="Arial" w:cs="Arial" w:eastAsia="Arial" w:hAnsi="Arial"/>
                <w:sz w:val="18"/>
                <w:szCs w:val="18"/>
                <w:color w:val="auto"/>
              </w:rPr>
              <w:t>Other</w:t>
            </w:r>
          </w:p>
        </w:tc>
        <w:tc>
          <w:tcPr>
            <w:tcW w:w="3920" w:type="dxa"/>
            <w:vAlign w:val="bottom"/>
            <w:shd w:val="clear" w:color="auto" w:fill="CCCCCC"/>
          </w:tcPr>
          <w:p>
            <w:pPr>
              <w:jc w:val="right"/>
              <w:ind w:right="31"/>
              <w:spacing w:after="0"/>
              <w:rPr>
                <w:sz w:val="20"/>
                <w:szCs w:val="20"/>
                <w:color w:val="auto"/>
              </w:rPr>
            </w:pPr>
            <w:r>
              <w:rPr>
                <w:rFonts w:ascii="Arial" w:cs="Arial" w:eastAsia="Arial" w:hAnsi="Arial"/>
                <w:sz w:val="18"/>
                <w:szCs w:val="18"/>
                <w:b w:val="1"/>
                <w:bCs w:val="1"/>
                <w:color w:val="auto"/>
              </w:rPr>
              <w:t>$76.0</w:t>
            </w:r>
          </w:p>
        </w:tc>
        <w:tc>
          <w:tcPr>
            <w:tcW w:w="1580" w:type="dxa"/>
            <w:vAlign w:val="bottom"/>
            <w:shd w:val="clear" w:color="auto" w:fill="CCCCCC"/>
          </w:tcPr>
          <w:p>
            <w:pPr>
              <w:jc w:val="right"/>
              <w:ind w:right="110"/>
              <w:spacing w:after="0"/>
              <w:rPr>
                <w:sz w:val="20"/>
                <w:szCs w:val="20"/>
                <w:color w:val="auto"/>
              </w:rPr>
            </w:pPr>
            <w:r>
              <w:rPr>
                <w:rFonts w:ascii="Arial" w:cs="Arial" w:eastAsia="Arial" w:hAnsi="Arial"/>
                <w:sz w:val="18"/>
                <w:szCs w:val="18"/>
                <w:b w:val="1"/>
                <w:bCs w:val="1"/>
                <w:color w:val="auto"/>
              </w:rPr>
              <w:t>$46.0</w:t>
            </w:r>
          </w:p>
        </w:tc>
        <w:tc>
          <w:tcPr>
            <w:tcW w:w="1380" w:type="dxa"/>
            <w:vAlign w:val="bottom"/>
            <w:shd w:val="clear" w:color="auto" w:fill="CCCCCC"/>
          </w:tcPr>
          <w:p>
            <w:pPr>
              <w:jc w:val="center"/>
              <w:ind w:right="10"/>
              <w:spacing w:after="0"/>
              <w:rPr>
                <w:sz w:val="20"/>
                <w:szCs w:val="20"/>
                <w:color w:val="auto"/>
              </w:rPr>
            </w:pPr>
            <w:r>
              <w:rPr>
                <w:rFonts w:ascii="Arial" w:cs="Arial" w:eastAsia="Arial" w:hAnsi="Arial"/>
                <w:sz w:val="18"/>
                <w:szCs w:val="18"/>
                <w:color w:val="auto"/>
                <w:w w:val="99"/>
              </w:rPr>
              <w:t>65%</w:t>
            </w:r>
          </w:p>
        </w:tc>
      </w:tr>
      <w:tr>
        <w:trPr>
          <w:trHeight w:val="291"/>
        </w:trPr>
        <w:tc>
          <w:tcPr>
            <w:tcW w:w="378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Total Product Sales</w:t>
            </w:r>
          </w:p>
        </w:tc>
        <w:tc>
          <w:tcPr>
            <w:tcW w:w="3920" w:type="dxa"/>
            <w:vAlign w:val="bottom"/>
            <w:tcBorders>
              <w:bottom w:val="single" w:sz="8" w:color="CCCCCC"/>
            </w:tcBorders>
            <w:shd w:val="clear" w:color="auto" w:fill="CCCCCC"/>
          </w:tcPr>
          <w:p>
            <w:pPr>
              <w:jc w:val="right"/>
              <w:ind w:right="31"/>
              <w:spacing w:after="0"/>
              <w:rPr>
                <w:sz w:val="20"/>
                <w:szCs w:val="20"/>
                <w:color w:val="auto"/>
              </w:rPr>
            </w:pPr>
            <w:r>
              <w:rPr>
                <w:rFonts w:ascii="Arial" w:cs="Arial" w:eastAsia="Arial" w:hAnsi="Arial"/>
                <w:sz w:val="18"/>
                <w:szCs w:val="18"/>
                <w:b w:val="1"/>
                <w:bCs w:val="1"/>
                <w:color w:val="auto"/>
              </w:rPr>
              <w:t>$183.5</w:t>
            </w:r>
          </w:p>
        </w:tc>
        <w:tc>
          <w:tcPr>
            <w:tcW w:w="1580" w:type="dxa"/>
            <w:vAlign w:val="bottom"/>
            <w:tcBorders>
              <w:bottom w:val="single" w:sz="8" w:color="CCCCCC"/>
            </w:tcBorders>
            <w:shd w:val="clear" w:color="auto" w:fill="CCCCCC"/>
          </w:tcPr>
          <w:p>
            <w:pPr>
              <w:jc w:val="right"/>
              <w:ind w:right="110"/>
              <w:spacing w:after="0"/>
              <w:rPr>
                <w:sz w:val="20"/>
                <w:szCs w:val="20"/>
                <w:color w:val="auto"/>
              </w:rPr>
            </w:pPr>
            <w:r>
              <w:rPr>
                <w:rFonts w:ascii="Arial" w:cs="Arial" w:eastAsia="Arial" w:hAnsi="Arial"/>
                <w:sz w:val="18"/>
                <w:szCs w:val="18"/>
                <w:b w:val="1"/>
                <w:bCs w:val="1"/>
                <w:color w:val="auto"/>
              </w:rPr>
              <w:t>$180.1</w:t>
            </w:r>
          </w:p>
        </w:tc>
        <w:tc>
          <w:tcPr>
            <w:tcW w:w="1380" w:type="dxa"/>
            <w:vAlign w:val="bottom"/>
            <w:tcBorders>
              <w:bottom w:val="single" w:sz="8" w:color="CCCCCC"/>
            </w:tcBorders>
            <w:shd w:val="clear" w:color="auto" w:fill="CCCCCC"/>
          </w:tcPr>
          <w:p>
            <w:pPr>
              <w:jc w:val="center"/>
              <w:ind w:right="30"/>
              <w:spacing w:after="0"/>
              <w:rPr>
                <w:sz w:val="20"/>
                <w:szCs w:val="20"/>
                <w:color w:val="auto"/>
              </w:rPr>
            </w:pPr>
            <w:r>
              <w:rPr>
                <w:rFonts w:ascii="Arial" w:cs="Arial" w:eastAsia="Arial" w:hAnsi="Arial"/>
                <w:sz w:val="18"/>
                <w:szCs w:val="18"/>
                <w:color w:val="auto"/>
                <w:w w:val="99"/>
              </w:rPr>
              <w:t>2%</w:t>
            </w:r>
          </w:p>
        </w:tc>
      </w:tr>
      <w:tr>
        <w:trPr>
          <w:trHeight w:val="669"/>
        </w:trPr>
        <w:tc>
          <w:tcPr>
            <w:tcW w:w="3780" w:type="dxa"/>
            <w:vAlign w:val="bottom"/>
          </w:tcPr>
          <w:p>
            <w:pPr>
              <w:spacing w:after="0"/>
              <w:rPr>
                <w:sz w:val="24"/>
                <w:szCs w:val="24"/>
                <w:color w:val="auto"/>
              </w:rPr>
            </w:pPr>
          </w:p>
        </w:tc>
        <w:tc>
          <w:tcPr>
            <w:tcW w:w="3920" w:type="dxa"/>
            <w:vAlign w:val="bottom"/>
          </w:tcPr>
          <w:p>
            <w:pPr>
              <w:jc w:val="right"/>
              <w:ind w:right="1671"/>
              <w:spacing w:after="0"/>
              <w:rPr>
                <w:sz w:val="20"/>
                <w:szCs w:val="20"/>
                <w:color w:val="auto"/>
              </w:rPr>
            </w:pPr>
            <w:r>
              <w:rPr>
                <w:rFonts w:ascii="Arial" w:cs="Arial" w:eastAsia="Arial" w:hAnsi="Arial"/>
                <w:sz w:val="16"/>
                <w:szCs w:val="16"/>
                <w:color w:val="auto"/>
              </w:rPr>
              <w:t>2 of 16</w:t>
            </w: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4" w:name="page5"/>
    <w:bookmarkEnd w:id="4"/>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226060</wp:posOffset>
            </wp:positionV>
            <wp:extent cx="1517650" cy="6343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343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Contract Manufacturing</w:t>
      </w:r>
    </w:p>
    <w:p>
      <w:pPr>
        <w:spacing w:after="0" w:line="13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For Q2 2019, revenue from the Company’s contract manufacturing operations was $18.7 million, a decrease of $ 4.9 million or 21% as compared to 2018. The decrease primarily reflects contracted service work for a single customer in Q2 2018 that did not recur in Q2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 and Grants</w:t>
      </w:r>
    </w:p>
    <w:p>
      <w:pPr>
        <w:spacing w:after="0" w:line="139"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For Q2 2019, revenue from the Company’s development-based contracts and grants was $41.0 million, an increase of $24.5 million as compared to 2018. The increase primarily reflects increased R&amp;D activities related to certain ongoing funded development programs, most notably AV7909.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 and Contract Manufacturing</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Q2 2019, cost of product sales and contract manufacturing was $100.8 million, an increase of $15.5 million or 18% as compared to 2018. The increase primarily reflects the impact of an increase in product sales due to the contribution of recently acquired products NARCAN® Nasal Spray, Vivotif® (Typhoid Vaccine Live Oral Ty21a), and Vaxchora®, as well as an increase in facilities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(Gross and Net)</w:t>
      </w:r>
    </w:p>
    <w:p>
      <w:pPr>
        <w:spacing w:after="0" w:line="24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Q2 2019, gross R&amp;D expenses were $63.9 million, an increase of $39.2 million or 159% as compared to 2018. The increase primarily reflects costs associated with incremental development programs from the recent acquisitions of PaxVax and Adapt Pharma in October 2018, as well as timing of manufacturing development activities related to the AV7909 program.</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Q2 2019, net R&amp;D expense, which reflects investments made in development programs that are not currently funded in whole or in part by third-party partners and is calculated as gross research and development expenses minus contracts and grants revenue, was $22.9 million, an increase of $14.7 million or 179% as compared to 2018. The increase primarily reflects investments in the development of the CHIKV-VLP vaccine, FLU-IGIV hyperimmune and various programs related to opioid overdose response. The Q2 2019 net R&amp;D expense was 11% of adjusted revenue (total revenue less contracts &amp; grants) compared to 4% of adjusted revenue in Q2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6766560" cy="1526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6560" cy="1526540"/>
                    </a:xfrm>
                    <a:prstGeom prst="rect">
                      <a:avLst/>
                    </a:prstGeom>
                    <a:noFill/>
                  </pic:spPr>
                </pic:pic>
              </a:graphicData>
            </a:graphic>
          </wp:anchor>
        </w:drawing>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160" w:type="dxa"/>
            <w:vAlign w:val="bottom"/>
            <w:shd w:val="clear" w:color="auto" w:fill="0F243E"/>
          </w:tcPr>
          <w:p>
            <w:pPr>
              <w:spacing w:after="0"/>
              <w:rPr>
                <w:sz w:val="22"/>
                <w:szCs w:val="22"/>
                <w:color w:val="auto"/>
              </w:rPr>
            </w:pPr>
          </w:p>
        </w:tc>
        <w:tc>
          <w:tcPr>
            <w:tcW w:w="4500" w:type="dxa"/>
            <w:vAlign w:val="bottom"/>
            <w:gridSpan w:val="4"/>
            <w:shd w:val="clear" w:color="auto" w:fill="0F243E"/>
          </w:tcPr>
          <w:p>
            <w:pPr>
              <w:ind w:left="980"/>
              <w:spacing w:after="0"/>
              <w:rPr>
                <w:sz w:val="20"/>
                <w:szCs w:val="20"/>
                <w:color w:val="auto"/>
              </w:rPr>
            </w:pPr>
            <w:r>
              <w:rPr>
                <w:rFonts w:ascii="Arial" w:cs="Arial" w:eastAsia="Arial" w:hAnsi="Arial"/>
                <w:sz w:val="18"/>
                <w:szCs w:val="18"/>
                <w:b w:val="1"/>
                <w:bCs w:val="1"/>
                <w:color w:val="FFFFFF"/>
              </w:rPr>
              <w:t>Three Months Ended June 30,</w:t>
            </w:r>
          </w:p>
        </w:tc>
        <w:tc>
          <w:tcPr>
            <w:tcW w:w="0" w:type="dxa"/>
            <w:vAlign w:val="bottom"/>
          </w:tcPr>
          <w:p>
            <w:pPr>
              <w:spacing w:after="0"/>
              <w:rPr>
                <w:sz w:val="1"/>
                <w:szCs w:val="1"/>
                <w:color w:val="auto"/>
              </w:rPr>
            </w:pPr>
          </w:p>
        </w:tc>
      </w:tr>
      <w:tr>
        <w:trPr>
          <w:trHeight w:val="281"/>
        </w:trPr>
        <w:tc>
          <w:tcPr>
            <w:tcW w:w="6160" w:type="dxa"/>
            <w:vAlign w:val="bottom"/>
            <w:shd w:val="clear" w:color="auto" w:fill="0F243E"/>
          </w:tcPr>
          <w:p>
            <w:pPr>
              <w:ind w:left="40"/>
              <w:spacing w:after="0"/>
              <w:rPr>
                <w:sz w:val="20"/>
                <w:szCs w:val="20"/>
                <w:color w:val="auto"/>
              </w:rPr>
            </w:pPr>
            <w:r>
              <w:rPr>
                <w:rFonts w:ascii="Arial" w:cs="Arial" w:eastAsia="Arial" w:hAnsi="Arial"/>
                <w:sz w:val="18"/>
                <w:szCs w:val="18"/>
                <w:color w:val="FFFFFF"/>
              </w:rPr>
              <w:t>(in millions)</w:t>
            </w:r>
          </w:p>
        </w:tc>
        <w:tc>
          <w:tcPr>
            <w:tcW w:w="1580" w:type="dxa"/>
            <w:vAlign w:val="bottom"/>
            <w:shd w:val="clear" w:color="auto" w:fill="0F243E"/>
          </w:tcPr>
          <w:p>
            <w:pPr>
              <w:jc w:val="right"/>
              <w:ind w:right="490"/>
              <w:spacing w:after="0"/>
              <w:rPr>
                <w:sz w:val="20"/>
                <w:szCs w:val="20"/>
                <w:color w:val="auto"/>
              </w:rPr>
            </w:pPr>
            <w:r>
              <w:rPr>
                <w:rFonts w:ascii="Arial" w:cs="Arial" w:eastAsia="Arial" w:hAnsi="Arial"/>
                <w:sz w:val="18"/>
                <w:szCs w:val="18"/>
                <w:b w:val="1"/>
                <w:bCs w:val="1"/>
                <w:color w:val="FFFFFF"/>
              </w:rPr>
              <w:t>2019</w:t>
            </w:r>
          </w:p>
        </w:tc>
        <w:tc>
          <w:tcPr>
            <w:tcW w:w="1240" w:type="dxa"/>
            <w:vAlign w:val="bottom"/>
            <w:shd w:val="clear" w:color="auto" w:fill="0F243E"/>
          </w:tcPr>
          <w:p>
            <w:pPr>
              <w:jc w:val="right"/>
              <w:ind w:right="150"/>
              <w:spacing w:after="0"/>
              <w:rPr>
                <w:sz w:val="20"/>
                <w:szCs w:val="20"/>
                <w:color w:val="auto"/>
              </w:rPr>
            </w:pPr>
            <w:r>
              <w:rPr>
                <w:rFonts w:ascii="Arial" w:cs="Arial" w:eastAsia="Arial" w:hAnsi="Arial"/>
                <w:sz w:val="18"/>
                <w:szCs w:val="18"/>
                <w:b w:val="1"/>
                <w:bCs w:val="1"/>
                <w:color w:val="FFFFFF"/>
              </w:rPr>
              <w:t>2018</w:t>
            </w:r>
          </w:p>
        </w:tc>
        <w:tc>
          <w:tcPr>
            <w:tcW w:w="360" w:type="dxa"/>
            <w:vAlign w:val="bottom"/>
            <w:shd w:val="clear" w:color="auto" w:fill="0F243E"/>
          </w:tcPr>
          <w:p>
            <w:pPr>
              <w:spacing w:after="0"/>
              <w:rPr>
                <w:sz w:val="24"/>
                <w:szCs w:val="24"/>
                <w:color w:val="auto"/>
              </w:rPr>
            </w:pPr>
          </w:p>
        </w:tc>
        <w:tc>
          <w:tcPr>
            <w:tcW w:w="1320" w:type="dxa"/>
            <w:vAlign w:val="bottom"/>
            <w:shd w:val="clear" w:color="auto" w:fill="0F243E"/>
          </w:tcPr>
          <w:p>
            <w:pPr>
              <w:jc w:val="center"/>
              <w:spacing w:after="0"/>
              <w:rPr>
                <w:sz w:val="20"/>
                <w:szCs w:val="20"/>
                <w:color w:val="auto"/>
              </w:rPr>
            </w:pPr>
            <w:r>
              <w:rPr>
                <w:rFonts w:ascii="Arial" w:cs="Arial" w:eastAsia="Arial" w:hAnsi="Arial"/>
                <w:sz w:val="18"/>
                <w:szCs w:val="18"/>
                <w:b w:val="1"/>
                <w:bCs w:val="1"/>
                <w:color w:val="FFFFFF"/>
                <w:w w:val="98"/>
              </w:rPr>
              <w:t>% Change</w:t>
            </w:r>
          </w:p>
        </w:tc>
        <w:tc>
          <w:tcPr>
            <w:tcW w:w="0" w:type="dxa"/>
            <w:vAlign w:val="bottom"/>
          </w:tcPr>
          <w:p>
            <w:pPr>
              <w:spacing w:after="0"/>
              <w:rPr>
                <w:sz w:val="1"/>
                <w:szCs w:val="1"/>
                <w:color w:val="auto"/>
              </w:rPr>
            </w:pPr>
          </w:p>
        </w:tc>
      </w:tr>
      <w:tr>
        <w:trPr>
          <w:trHeight w:val="257"/>
        </w:trPr>
        <w:tc>
          <w:tcPr>
            <w:tcW w:w="6160" w:type="dxa"/>
            <w:vAlign w:val="bottom"/>
            <w:shd w:val="clear" w:color="auto" w:fill="CCCCCC"/>
          </w:tcPr>
          <w:p>
            <w:pPr>
              <w:ind w:left="40"/>
              <w:spacing w:after="0"/>
              <w:rPr>
                <w:sz w:val="20"/>
                <w:szCs w:val="20"/>
                <w:color w:val="auto"/>
              </w:rPr>
            </w:pPr>
            <w:r>
              <w:rPr>
                <w:rFonts w:ascii="Arial" w:cs="Arial" w:eastAsia="Arial" w:hAnsi="Arial"/>
                <w:sz w:val="18"/>
                <w:szCs w:val="18"/>
                <w:color w:val="auto"/>
              </w:rPr>
              <w:t>Research and Development Expenses</w:t>
            </w:r>
          </w:p>
        </w:tc>
        <w:tc>
          <w:tcPr>
            <w:tcW w:w="1580" w:type="dxa"/>
            <w:vAlign w:val="bottom"/>
            <w:shd w:val="clear" w:color="auto" w:fill="CCCCCC"/>
          </w:tcPr>
          <w:p>
            <w:pPr>
              <w:jc w:val="right"/>
              <w:ind w:right="230"/>
              <w:spacing w:after="0"/>
              <w:rPr>
                <w:sz w:val="20"/>
                <w:szCs w:val="20"/>
                <w:color w:val="auto"/>
              </w:rPr>
            </w:pPr>
            <w:r>
              <w:rPr>
                <w:rFonts w:ascii="Arial" w:cs="Arial" w:eastAsia="Arial" w:hAnsi="Arial"/>
                <w:sz w:val="18"/>
                <w:szCs w:val="18"/>
                <w:b w:val="1"/>
                <w:bCs w:val="1"/>
                <w:color w:val="auto"/>
              </w:rPr>
              <w:t>$63.9</w:t>
            </w:r>
          </w:p>
        </w:tc>
        <w:tc>
          <w:tcPr>
            <w:tcW w:w="1600" w:type="dxa"/>
            <w:vAlign w:val="bottom"/>
            <w:gridSpan w:val="2"/>
            <w:shd w:val="clear" w:color="auto" w:fill="CCCCCC"/>
          </w:tcPr>
          <w:p>
            <w:pPr>
              <w:jc w:val="right"/>
              <w:ind w:right="360"/>
              <w:spacing w:after="0"/>
              <w:rPr>
                <w:sz w:val="20"/>
                <w:szCs w:val="20"/>
                <w:color w:val="auto"/>
              </w:rPr>
            </w:pPr>
            <w:r>
              <w:rPr>
                <w:rFonts w:ascii="Arial" w:cs="Arial" w:eastAsia="Arial" w:hAnsi="Arial"/>
                <w:sz w:val="18"/>
                <w:szCs w:val="18"/>
                <w:b w:val="1"/>
                <w:bCs w:val="1"/>
                <w:color w:val="auto"/>
              </w:rPr>
              <w:t>24.7</w:t>
            </w:r>
          </w:p>
        </w:tc>
        <w:tc>
          <w:tcPr>
            <w:tcW w:w="132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159%</w:t>
            </w:r>
          </w:p>
        </w:tc>
        <w:tc>
          <w:tcPr>
            <w:tcW w:w="0" w:type="dxa"/>
            <w:vAlign w:val="bottom"/>
          </w:tcPr>
          <w:p>
            <w:pPr>
              <w:spacing w:after="0"/>
              <w:rPr>
                <w:sz w:val="1"/>
                <w:szCs w:val="1"/>
                <w:color w:val="auto"/>
              </w:rPr>
            </w:pPr>
          </w:p>
        </w:tc>
      </w:tr>
      <w:tr>
        <w:trPr>
          <w:trHeight w:val="270"/>
        </w:trPr>
        <w:tc>
          <w:tcPr>
            <w:tcW w:w="6160" w:type="dxa"/>
            <w:vAlign w:val="bottom"/>
            <w:shd w:val="clear" w:color="auto" w:fill="CCCCCC"/>
          </w:tcPr>
          <w:p>
            <w:pPr>
              <w:ind w:left="40"/>
              <w:spacing w:after="0"/>
              <w:rPr>
                <w:sz w:val="20"/>
                <w:szCs w:val="20"/>
                <w:color w:val="auto"/>
              </w:rPr>
            </w:pPr>
            <w:r>
              <w:rPr>
                <w:rFonts w:ascii="Arial" w:cs="Arial" w:eastAsia="Arial" w:hAnsi="Arial"/>
                <w:sz w:val="18"/>
                <w:szCs w:val="18"/>
                <w:color w:val="auto"/>
              </w:rPr>
              <w:t>Adjustments:</w:t>
            </w:r>
          </w:p>
        </w:tc>
        <w:tc>
          <w:tcPr>
            <w:tcW w:w="1580" w:type="dxa"/>
            <w:vAlign w:val="bottom"/>
            <w:shd w:val="clear" w:color="auto" w:fill="CCCCCC"/>
          </w:tcPr>
          <w:p>
            <w:pPr>
              <w:spacing w:after="0"/>
              <w:rPr>
                <w:sz w:val="23"/>
                <w:szCs w:val="23"/>
                <w:color w:val="auto"/>
              </w:rPr>
            </w:pPr>
          </w:p>
        </w:tc>
        <w:tc>
          <w:tcPr>
            <w:tcW w:w="1240" w:type="dxa"/>
            <w:vAlign w:val="bottom"/>
            <w:shd w:val="clear" w:color="auto" w:fill="CCCCCC"/>
          </w:tcPr>
          <w:p>
            <w:pPr>
              <w:spacing w:after="0"/>
              <w:rPr>
                <w:sz w:val="23"/>
                <w:szCs w:val="23"/>
                <w:color w:val="auto"/>
              </w:rPr>
            </w:pPr>
          </w:p>
        </w:tc>
        <w:tc>
          <w:tcPr>
            <w:tcW w:w="360" w:type="dxa"/>
            <w:vAlign w:val="bottom"/>
            <w:shd w:val="clear" w:color="auto" w:fill="CCCCCC"/>
          </w:tcPr>
          <w:p>
            <w:pPr>
              <w:spacing w:after="0"/>
              <w:rPr>
                <w:sz w:val="23"/>
                <w:szCs w:val="23"/>
                <w:color w:val="auto"/>
              </w:rPr>
            </w:pPr>
          </w:p>
        </w:tc>
        <w:tc>
          <w:tcPr>
            <w:tcW w:w="1320" w:type="dxa"/>
            <w:vAlign w:val="bottom"/>
            <w:shd w:val="clear" w:color="auto" w:fill="CCCCCC"/>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60" w:type="dxa"/>
            <w:vAlign w:val="bottom"/>
            <w:shd w:val="clear" w:color="auto" w:fill="CCCCCC"/>
          </w:tcPr>
          <w:p>
            <w:pPr>
              <w:ind w:left="300"/>
              <w:spacing w:after="0"/>
              <w:rPr>
                <w:sz w:val="20"/>
                <w:szCs w:val="20"/>
                <w:color w:val="auto"/>
              </w:rPr>
            </w:pPr>
            <w:r>
              <w:rPr>
                <w:rFonts w:ascii="Arial" w:cs="Arial" w:eastAsia="Arial" w:hAnsi="Arial"/>
                <w:sz w:val="18"/>
                <w:szCs w:val="18"/>
                <w:color w:val="auto"/>
              </w:rPr>
              <w:t>Less Contracts and Grants Revenue</w:t>
            </w:r>
          </w:p>
        </w:tc>
        <w:tc>
          <w:tcPr>
            <w:tcW w:w="1580" w:type="dxa"/>
            <w:vAlign w:val="bottom"/>
            <w:shd w:val="clear" w:color="auto" w:fill="CCCCCC"/>
          </w:tcPr>
          <w:p>
            <w:pPr>
              <w:jc w:val="right"/>
              <w:ind w:right="230"/>
              <w:spacing w:after="0"/>
              <w:rPr>
                <w:sz w:val="20"/>
                <w:szCs w:val="20"/>
                <w:color w:val="auto"/>
              </w:rPr>
            </w:pPr>
            <w:r>
              <w:rPr>
                <w:rFonts w:ascii="Arial" w:cs="Arial" w:eastAsia="Arial" w:hAnsi="Arial"/>
                <w:sz w:val="18"/>
                <w:szCs w:val="18"/>
                <w:b w:val="1"/>
                <w:bCs w:val="1"/>
                <w:color w:val="auto"/>
              </w:rPr>
              <w:t>$41.0</w:t>
            </w:r>
          </w:p>
        </w:tc>
        <w:tc>
          <w:tcPr>
            <w:tcW w:w="1600" w:type="dxa"/>
            <w:vAlign w:val="bottom"/>
            <w:gridSpan w:val="2"/>
            <w:shd w:val="clear" w:color="auto" w:fill="CCCCCC"/>
          </w:tcPr>
          <w:p>
            <w:pPr>
              <w:jc w:val="right"/>
              <w:ind w:right="360"/>
              <w:spacing w:after="0"/>
              <w:rPr>
                <w:sz w:val="20"/>
                <w:szCs w:val="20"/>
                <w:color w:val="auto"/>
              </w:rPr>
            </w:pPr>
            <w:r>
              <w:rPr>
                <w:rFonts w:ascii="Arial" w:cs="Arial" w:eastAsia="Arial" w:hAnsi="Arial"/>
                <w:sz w:val="18"/>
                <w:szCs w:val="18"/>
                <w:color w:val="auto"/>
              </w:rPr>
              <w:t>$16.5</w:t>
            </w:r>
          </w:p>
        </w:tc>
        <w:tc>
          <w:tcPr>
            <w:tcW w:w="132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148%</w:t>
            </w:r>
          </w:p>
        </w:tc>
        <w:tc>
          <w:tcPr>
            <w:tcW w:w="0" w:type="dxa"/>
            <w:vAlign w:val="bottom"/>
          </w:tcPr>
          <w:p>
            <w:pPr>
              <w:spacing w:after="0"/>
              <w:rPr>
                <w:sz w:val="1"/>
                <w:szCs w:val="1"/>
                <w:color w:val="auto"/>
              </w:rPr>
            </w:pPr>
          </w:p>
        </w:tc>
      </w:tr>
      <w:tr>
        <w:trPr>
          <w:trHeight w:val="284"/>
        </w:trPr>
        <w:tc>
          <w:tcPr>
            <w:tcW w:w="616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Net Research and Development Expenses</w:t>
            </w:r>
          </w:p>
        </w:tc>
        <w:tc>
          <w:tcPr>
            <w:tcW w:w="1580" w:type="dxa"/>
            <w:vAlign w:val="bottom"/>
            <w:shd w:val="clear" w:color="auto" w:fill="CCCCCC"/>
          </w:tcPr>
          <w:p>
            <w:pPr>
              <w:jc w:val="right"/>
              <w:ind w:right="230"/>
              <w:spacing w:after="0"/>
              <w:rPr>
                <w:sz w:val="20"/>
                <w:szCs w:val="20"/>
                <w:color w:val="auto"/>
              </w:rPr>
            </w:pPr>
            <w:r>
              <w:rPr>
                <w:rFonts w:ascii="Arial" w:cs="Arial" w:eastAsia="Arial" w:hAnsi="Arial"/>
                <w:sz w:val="18"/>
                <w:szCs w:val="18"/>
                <w:b w:val="1"/>
                <w:bCs w:val="1"/>
                <w:color w:val="auto"/>
              </w:rPr>
              <w:t>$22.9</w:t>
            </w:r>
          </w:p>
        </w:tc>
        <w:tc>
          <w:tcPr>
            <w:tcW w:w="1600" w:type="dxa"/>
            <w:vAlign w:val="bottom"/>
            <w:gridSpan w:val="2"/>
            <w:shd w:val="clear" w:color="auto" w:fill="CCCCCC"/>
          </w:tcPr>
          <w:p>
            <w:pPr>
              <w:jc w:val="right"/>
              <w:ind w:right="360"/>
              <w:spacing w:after="0"/>
              <w:rPr>
                <w:sz w:val="20"/>
                <w:szCs w:val="20"/>
                <w:color w:val="auto"/>
              </w:rPr>
            </w:pPr>
            <w:r>
              <w:rPr>
                <w:rFonts w:ascii="Arial" w:cs="Arial" w:eastAsia="Arial" w:hAnsi="Arial"/>
                <w:sz w:val="18"/>
                <w:szCs w:val="18"/>
                <w:b w:val="1"/>
                <w:bCs w:val="1"/>
                <w:color w:val="auto"/>
              </w:rPr>
              <w:t>$8.2</w:t>
            </w:r>
          </w:p>
        </w:tc>
        <w:tc>
          <w:tcPr>
            <w:tcW w:w="132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179%</w:t>
            </w:r>
          </w:p>
        </w:tc>
        <w:tc>
          <w:tcPr>
            <w:tcW w:w="0" w:type="dxa"/>
            <w:vAlign w:val="bottom"/>
          </w:tcPr>
          <w:p>
            <w:pPr>
              <w:spacing w:after="0"/>
              <w:rPr>
                <w:sz w:val="1"/>
                <w:szCs w:val="1"/>
                <w:color w:val="auto"/>
              </w:rPr>
            </w:pPr>
          </w:p>
        </w:tc>
      </w:tr>
      <w:tr>
        <w:trPr>
          <w:trHeight w:val="269"/>
        </w:trPr>
        <w:tc>
          <w:tcPr>
            <w:tcW w:w="616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Adjusted Revenue</w:t>
            </w:r>
          </w:p>
        </w:tc>
        <w:tc>
          <w:tcPr>
            <w:tcW w:w="1580" w:type="dxa"/>
            <w:vAlign w:val="bottom"/>
            <w:vMerge w:val="restart"/>
            <w:shd w:val="clear" w:color="auto" w:fill="CCCCCC"/>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240" w:type="dxa"/>
            <w:vAlign w:val="bottom"/>
            <w:vMerge w:val="restart"/>
            <w:shd w:val="clear" w:color="auto" w:fill="CCCCCC"/>
          </w:tcPr>
          <w:p>
            <w:pPr>
              <w:jc w:val="right"/>
              <w:spacing w:after="0"/>
              <w:rPr>
                <w:sz w:val="20"/>
                <w:szCs w:val="20"/>
                <w:color w:val="auto"/>
              </w:rPr>
            </w:pPr>
            <w:r>
              <w:rPr>
                <w:rFonts w:ascii="Arial" w:cs="Arial" w:eastAsia="Arial" w:hAnsi="Arial"/>
                <w:sz w:val="18"/>
                <w:szCs w:val="18"/>
                <w:color w:val="auto"/>
              </w:rPr>
              <w:t>$203.7</w:t>
            </w:r>
          </w:p>
        </w:tc>
        <w:tc>
          <w:tcPr>
            <w:tcW w:w="360" w:type="dxa"/>
            <w:vAlign w:val="bottom"/>
            <w:shd w:val="clear" w:color="auto" w:fill="CCCCCC"/>
          </w:tcPr>
          <w:p>
            <w:pPr>
              <w:spacing w:after="0"/>
              <w:rPr>
                <w:sz w:val="23"/>
                <w:szCs w:val="23"/>
                <w:color w:val="auto"/>
              </w:rPr>
            </w:pPr>
          </w:p>
        </w:tc>
        <w:tc>
          <w:tcPr>
            <w:tcW w:w="1320" w:type="dxa"/>
            <w:vAlign w:val="bottom"/>
            <w:vMerge w:val="restart"/>
            <w:shd w:val="clear" w:color="auto" w:fill="CCCCCC"/>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09"/>
        </w:trPr>
        <w:tc>
          <w:tcPr>
            <w:tcW w:w="6160" w:type="dxa"/>
            <w:vAlign w:val="bottom"/>
            <w:vMerge w:val="restart"/>
            <w:shd w:val="clear" w:color="auto" w:fill="CCCCCC"/>
          </w:tcPr>
          <w:p>
            <w:pPr>
              <w:ind w:left="40"/>
              <w:spacing w:after="0"/>
              <w:rPr>
                <w:sz w:val="20"/>
                <w:szCs w:val="20"/>
                <w:color w:val="auto"/>
              </w:rPr>
            </w:pPr>
            <w:r>
              <w:rPr>
                <w:rFonts w:ascii="Arial" w:cs="Arial" w:eastAsia="Arial" w:hAnsi="Arial"/>
                <w:sz w:val="18"/>
                <w:szCs w:val="18"/>
                <w:color w:val="auto"/>
              </w:rPr>
              <w:t>(Total Revenue less Contracts and Grants Revenue)</w:t>
            </w:r>
          </w:p>
        </w:tc>
        <w:tc>
          <w:tcPr>
            <w:tcW w:w="1580" w:type="dxa"/>
            <w:vAlign w:val="bottom"/>
            <w:vMerge w:val="continue"/>
            <w:shd w:val="clear" w:color="auto" w:fill="CCCCCC"/>
          </w:tcPr>
          <w:p>
            <w:pPr>
              <w:spacing w:after="0"/>
              <w:rPr>
                <w:sz w:val="9"/>
                <w:szCs w:val="9"/>
                <w:color w:val="auto"/>
              </w:rPr>
            </w:pPr>
          </w:p>
        </w:tc>
        <w:tc>
          <w:tcPr>
            <w:tcW w:w="1240" w:type="dxa"/>
            <w:vAlign w:val="bottom"/>
            <w:vMerge w:val="continue"/>
            <w:shd w:val="clear" w:color="auto" w:fill="CCCCCC"/>
          </w:tcPr>
          <w:p>
            <w:pPr>
              <w:spacing w:after="0"/>
              <w:rPr>
                <w:sz w:val="9"/>
                <w:szCs w:val="9"/>
                <w:color w:val="auto"/>
              </w:rPr>
            </w:pPr>
          </w:p>
        </w:tc>
        <w:tc>
          <w:tcPr>
            <w:tcW w:w="360" w:type="dxa"/>
            <w:vAlign w:val="bottom"/>
            <w:shd w:val="clear" w:color="auto" w:fill="CCCCCC"/>
          </w:tcPr>
          <w:p>
            <w:pPr>
              <w:spacing w:after="0"/>
              <w:rPr>
                <w:sz w:val="9"/>
                <w:szCs w:val="9"/>
                <w:color w:val="auto"/>
              </w:rPr>
            </w:pPr>
          </w:p>
        </w:tc>
        <w:tc>
          <w:tcPr>
            <w:tcW w:w="1320" w:type="dxa"/>
            <w:vAlign w:val="bottom"/>
            <w:vMerge w:val="continue"/>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160" w:type="dxa"/>
            <w:vAlign w:val="bottom"/>
            <w:vMerge w:val="continue"/>
            <w:shd w:val="clear" w:color="auto" w:fill="CCCCCC"/>
          </w:tcPr>
          <w:p>
            <w:pPr>
              <w:spacing w:after="0"/>
              <w:rPr>
                <w:sz w:val="10"/>
                <w:szCs w:val="10"/>
                <w:color w:val="auto"/>
              </w:rPr>
            </w:pPr>
          </w:p>
        </w:tc>
        <w:tc>
          <w:tcPr>
            <w:tcW w:w="1580" w:type="dxa"/>
            <w:vAlign w:val="bottom"/>
            <w:shd w:val="clear" w:color="auto" w:fill="CCCCCC"/>
          </w:tcPr>
          <w:p>
            <w:pPr>
              <w:spacing w:after="0"/>
              <w:rPr>
                <w:sz w:val="10"/>
                <w:szCs w:val="10"/>
                <w:color w:val="auto"/>
              </w:rPr>
            </w:pPr>
          </w:p>
        </w:tc>
        <w:tc>
          <w:tcPr>
            <w:tcW w:w="1240" w:type="dxa"/>
            <w:vAlign w:val="bottom"/>
            <w:shd w:val="clear" w:color="auto" w:fill="CCCCCC"/>
          </w:tcPr>
          <w:p>
            <w:pPr>
              <w:spacing w:after="0"/>
              <w:rPr>
                <w:sz w:val="10"/>
                <w:szCs w:val="10"/>
                <w:color w:val="auto"/>
              </w:rPr>
            </w:pPr>
          </w:p>
        </w:tc>
        <w:tc>
          <w:tcPr>
            <w:tcW w:w="360" w:type="dxa"/>
            <w:vAlign w:val="bottom"/>
            <w:shd w:val="clear" w:color="auto" w:fill="CCCCCC"/>
          </w:tcPr>
          <w:p>
            <w:pPr>
              <w:spacing w:after="0"/>
              <w:rPr>
                <w:sz w:val="10"/>
                <w:szCs w:val="10"/>
                <w:color w:val="auto"/>
              </w:rPr>
            </w:pPr>
          </w:p>
        </w:tc>
        <w:tc>
          <w:tcPr>
            <w:tcW w:w="1320" w:type="dxa"/>
            <w:vAlign w:val="bottom"/>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616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Net R&amp;D as % of Adjusted Revenue (Net R&amp;D Margin)</w:t>
            </w:r>
          </w:p>
        </w:tc>
        <w:tc>
          <w:tcPr>
            <w:tcW w:w="1580" w:type="dxa"/>
            <w:vAlign w:val="bottom"/>
            <w:shd w:val="clear" w:color="auto" w:fill="CCCCCC"/>
          </w:tcPr>
          <w:p>
            <w:pPr>
              <w:jc w:val="right"/>
              <w:ind w:right="70"/>
              <w:spacing w:after="0"/>
              <w:rPr>
                <w:sz w:val="20"/>
                <w:szCs w:val="20"/>
                <w:color w:val="auto"/>
              </w:rPr>
            </w:pPr>
            <w:r>
              <w:rPr>
                <w:rFonts w:ascii="Arial" w:cs="Arial" w:eastAsia="Arial" w:hAnsi="Arial"/>
                <w:sz w:val="18"/>
                <w:szCs w:val="18"/>
                <w:b w:val="1"/>
                <w:bCs w:val="1"/>
                <w:color w:val="auto"/>
              </w:rPr>
              <w:t>11%</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4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For Q2 2019, selling, general and administrative expenses were $70.8 million, an increase of $31.3 million or 79% as compared to 2018. The increase primarily reflects the addition of the operations and integration costs associated with the PaxVax and Adapt Pharma acquisitions.</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 of 16</w:t>
      </w:r>
    </w:p>
    <w:p>
      <w:pPr>
        <w:sectPr>
          <w:pgSz w:w="11900" w:h="16838" w:orient="portrait"/>
          <w:cols w:equalWidth="0" w:num="1">
            <w:col w:w="11340"/>
          </w:cols>
          <w:pgMar w:left="240" w:top="1440" w:right="319" w:bottom="1440" w:gutter="0" w:footer="0" w:header="0"/>
        </w:sectPr>
      </w:pPr>
    </w:p>
    <w:bookmarkStart w:id="5" w:name="page6"/>
    <w:bookmarkEnd w:id="5"/>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226060</wp:posOffset>
            </wp:positionV>
            <wp:extent cx="1517650" cy="634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343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4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For Q2 2019, amortization of intangible assets was $14.7 million versus $3.9 million as compared to 2018. The increase entirely reflects higher non-cash intangible asset amortization costs associated with the PaxVax and Adapt Pharma acquisitions.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For Q2 2019, the benefit from income taxes in the amount of $ 5.6 million includes the impact of non-deductible acquisition transaction costs and other permanent items. The effective tax rate for Q2 2019 is not meaningful given the lack of any pre-tax income for the quarter.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 &amp; Adjusted Net (Loss) Income</w:t>
      </w:r>
    </w:p>
    <w:p>
      <w:pPr>
        <w:spacing w:after="0" w:line="24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For Q2 2019, the Company recorded a net loss of $9.5 million, or $0.18 per diluted share, versus a net income of $50.1 million, or $0.98 per diluted share, in 2018.</w:t>
      </w:r>
    </w:p>
    <w:p>
      <w:pPr>
        <w:spacing w:after="0" w:line="19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 xml:space="preserve">For Q2 2019, the Company recorded an adjusted net loss of $6.3 million, or $0.12 per diluted share, versus an adjusted net income of $54.7 million, or $1.07 per diluted share, in 2018. </w:t>
      </w:r>
      <w:r>
        <w:rPr>
          <w:rFonts w:ascii="Arial" w:cs="Arial" w:eastAsia="Arial" w:hAnsi="Arial"/>
          <w:sz w:val="18"/>
          <w:szCs w:val="18"/>
          <w:i w:val="1"/>
          <w:iCs w:val="1"/>
          <w:color w:val="auto"/>
        </w:rPr>
        <w:t>(1)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&amp; Adjusted EBITDA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Q2 2019, the Company recorded EBITDA of $21.6 million versus $79.0 million in 2018. </w:t>
      </w:r>
      <w:r>
        <w:rPr>
          <w:rFonts w:ascii="Arial" w:cs="Arial" w:eastAsia="Arial" w:hAnsi="Arial"/>
          <w:sz w:val="18"/>
          <w:szCs w:val="18"/>
          <w:i w:val="1"/>
          <w:iCs w:val="1"/>
          <w:color w:val="auto"/>
        </w:rPr>
        <w:t>(1)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Q2 2019, the Company recorded adjusted EBITDA of $26.2 million versus $80.4 million in 2018. </w:t>
      </w:r>
      <w:r>
        <w:rPr>
          <w:rFonts w:ascii="Arial" w:cs="Arial" w:eastAsia="Arial" w:hAnsi="Arial"/>
          <w:sz w:val="18"/>
          <w:szCs w:val="18"/>
          <w:i w:val="1"/>
          <w:iCs w:val="1"/>
          <w:color w:val="auto"/>
        </w:rPr>
        <w:t>(1)</w:t>
      </w:r>
    </w:p>
    <w:p>
      <w:pPr>
        <w:spacing w:after="0" w:line="221" w:lineRule="exact"/>
        <w:rPr>
          <w:sz w:val="20"/>
          <w:szCs w:val="20"/>
          <w:color w:val="auto"/>
        </w:rPr>
      </w:pPr>
    </w:p>
    <w:p>
      <w:pPr>
        <w:ind w:right="7340" w:firstLine="8"/>
        <w:spacing w:after="0" w:line="501" w:lineRule="auto"/>
        <w:tabs>
          <w:tab w:leader="none" w:pos="27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Six months ended June 30, 2019 (unaudited) </w:t>
      </w:r>
      <w:r>
        <w:rPr>
          <w:rFonts w:ascii="Arial" w:cs="Arial" w:eastAsia="Arial" w:hAnsi="Arial"/>
          <w:sz w:val="18"/>
          <w:szCs w:val="18"/>
          <w:b w:val="1"/>
          <w:bCs w:val="1"/>
          <w:u w:val="single" w:color="auto"/>
          <w:color w:val="auto"/>
        </w:rPr>
        <w:t>Revenues</w:t>
      </w: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13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For the six months ended June 30, 2019, total revenues were $433.9 million, an increase of 28% over 2018. Total revenues reflect a significant increase in product sales due to the contribution of recently acquired products.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the six months ended June 30, 2019, product sales were $336.5 million, an increase of $80.7 million or 32% as compared to 2018. The increase primarily reflects sales of NARCAN® Nasal Spray, which was acquired in October 2018, and other products, offset by decreased sales of ACAM2000® and BioThrax®.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6766560" cy="14147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66560" cy="1414780"/>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780" w:type="dxa"/>
            <w:vAlign w:val="bottom"/>
            <w:shd w:val="clear" w:color="auto" w:fill="0F243E"/>
          </w:tcPr>
          <w:p>
            <w:pPr>
              <w:spacing w:after="0"/>
              <w:rPr>
                <w:sz w:val="22"/>
                <w:szCs w:val="22"/>
                <w:color w:val="auto"/>
              </w:rPr>
            </w:pPr>
          </w:p>
        </w:tc>
        <w:tc>
          <w:tcPr>
            <w:tcW w:w="6880" w:type="dxa"/>
            <w:vAlign w:val="bottom"/>
            <w:gridSpan w:val="3"/>
            <w:shd w:val="clear" w:color="auto" w:fill="0F243E"/>
          </w:tcPr>
          <w:p>
            <w:pPr>
              <w:jc w:val="right"/>
              <w:ind w:right="990"/>
              <w:spacing w:after="0"/>
              <w:rPr>
                <w:sz w:val="20"/>
                <w:szCs w:val="20"/>
                <w:color w:val="auto"/>
              </w:rPr>
            </w:pPr>
            <w:r>
              <w:rPr>
                <w:rFonts w:ascii="Arial" w:cs="Arial" w:eastAsia="Arial" w:hAnsi="Arial"/>
                <w:sz w:val="18"/>
                <w:szCs w:val="18"/>
                <w:b w:val="1"/>
                <w:bCs w:val="1"/>
                <w:color w:val="FFFFFF"/>
              </w:rPr>
              <w:t>Six Months Ended June 30,</w:t>
            </w:r>
          </w:p>
        </w:tc>
      </w:tr>
      <w:tr>
        <w:trPr>
          <w:trHeight w:val="281"/>
        </w:trPr>
        <w:tc>
          <w:tcPr>
            <w:tcW w:w="3780" w:type="dxa"/>
            <w:vAlign w:val="bottom"/>
            <w:shd w:val="clear" w:color="auto" w:fill="0F243E"/>
          </w:tcPr>
          <w:p>
            <w:pPr>
              <w:ind w:left="40"/>
              <w:spacing w:after="0"/>
              <w:rPr>
                <w:sz w:val="20"/>
                <w:szCs w:val="20"/>
                <w:color w:val="auto"/>
              </w:rPr>
            </w:pPr>
            <w:r>
              <w:rPr>
                <w:rFonts w:ascii="Arial" w:cs="Arial" w:eastAsia="Arial" w:hAnsi="Arial"/>
                <w:sz w:val="18"/>
                <w:szCs w:val="18"/>
                <w:color w:val="FFFFFF"/>
              </w:rPr>
              <w:t>(in millions)</w:t>
            </w:r>
          </w:p>
        </w:tc>
        <w:tc>
          <w:tcPr>
            <w:tcW w:w="3920" w:type="dxa"/>
            <w:vAlign w:val="bottom"/>
            <w:shd w:val="clear" w:color="auto" w:fill="0F243E"/>
          </w:tcPr>
          <w:p>
            <w:pPr>
              <w:jc w:val="right"/>
              <w:ind w:right="471"/>
              <w:spacing w:after="0"/>
              <w:rPr>
                <w:sz w:val="20"/>
                <w:szCs w:val="20"/>
                <w:color w:val="auto"/>
              </w:rPr>
            </w:pPr>
            <w:r>
              <w:rPr>
                <w:rFonts w:ascii="Arial" w:cs="Arial" w:eastAsia="Arial" w:hAnsi="Arial"/>
                <w:sz w:val="18"/>
                <w:szCs w:val="18"/>
                <w:b w:val="1"/>
                <w:bCs w:val="1"/>
                <w:color w:val="FFFFFF"/>
              </w:rPr>
              <w:t>2019</w:t>
            </w:r>
          </w:p>
        </w:tc>
        <w:tc>
          <w:tcPr>
            <w:tcW w:w="1580" w:type="dxa"/>
            <w:vAlign w:val="bottom"/>
            <w:shd w:val="clear" w:color="auto" w:fill="0F243E"/>
          </w:tcPr>
          <w:p>
            <w:pPr>
              <w:jc w:val="right"/>
              <w:ind w:right="550"/>
              <w:spacing w:after="0"/>
              <w:rPr>
                <w:sz w:val="20"/>
                <w:szCs w:val="20"/>
                <w:color w:val="auto"/>
              </w:rPr>
            </w:pPr>
            <w:r>
              <w:rPr>
                <w:rFonts w:ascii="Arial" w:cs="Arial" w:eastAsia="Arial" w:hAnsi="Arial"/>
                <w:sz w:val="18"/>
                <w:szCs w:val="18"/>
                <w:b w:val="1"/>
                <w:bCs w:val="1"/>
                <w:color w:val="FFFFFF"/>
              </w:rPr>
              <w:t>2018</w:t>
            </w:r>
          </w:p>
        </w:tc>
        <w:tc>
          <w:tcPr>
            <w:tcW w:w="1380" w:type="dxa"/>
            <w:vAlign w:val="bottom"/>
            <w:shd w:val="clear" w:color="auto" w:fill="0F243E"/>
          </w:tcPr>
          <w:p>
            <w:pPr>
              <w:jc w:val="right"/>
              <w:ind w:right="230"/>
              <w:spacing w:after="0"/>
              <w:rPr>
                <w:sz w:val="20"/>
                <w:szCs w:val="20"/>
                <w:color w:val="auto"/>
              </w:rPr>
            </w:pPr>
            <w:r>
              <w:rPr>
                <w:rFonts w:ascii="Arial" w:cs="Arial" w:eastAsia="Arial" w:hAnsi="Arial"/>
                <w:sz w:val="18"/>
                <w:szCs w:val="18"/>
                <w:b w:val="1"/>
                <w:bCs w:val="1"/>
                <w:color w:val="FFFFFF"/>
              </w:rPr>
              <w:t>% Change</w:t>
            </w:r>
          </w:p>
        </w:tc>
      </w:tr>
      <w:tr>
        <w:trPr>
          <w:trHeight w:val="257"/>
        </w:trPr>
        <w:tc>
          <w:tcPr>
            <w:tcW w:w="378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Product Sales</w:t>
            </w:r>
          </w:p>
        </w:tc>
        <w:tc>
          <w:tcPr>
            <w:tcW w:w="3920" w:type="dxa"/>
            <w:vAlign w:val="bottom"/>
            <w:shd w:val="clear" w:color="auto" w:fill="CCCCCC"/>
          </w:tcPr>
          <w:p>
            <w:pPr>
              <w:spacing w:after="0"/>
              <w:rPr>
                <w:sz w:val="22"/>
                <w:szCs w:val="22"/>
                <w:color w:val="auto"/>
              </w:rPr>
            </w:pPr>
          </w:p>
        </w:tc>
        <w:tc>
          <w:tcPr>
            <w:tcW w:w="1580" w:type="dxa"/>
            <w:vAlign w:val="bottom"/>
            <w:shd w:val="clear" w:color="auto" w:fill="CCCCCC"/>
          </w:tcPr>
          <w:p>
            <w:pPr>
              <w:spacing w:after="0"/>
              <w:rPr>
                <w:sz w:val="22"/>
                <w:szCs w:val="22"/>
                <w:color w:val="auto"/>
              </w:rPr>
            </w:pPr>
          </w:p>
        </w:tc>
        <w:tc>
          <w:tcPr>
            <w:tcW w:w="1380" w:type="dxa"/>
            <w:vAlign w:val="bottom"/>
            <w:shd w:val="clear" w:color="auto" w:fill="CCCCCC"/>
          </w:tcPr>
          <w:p>
            <w:pPr>
              <w:spacing w:after="0"/>
              <w:rPr>
                <w:sz w:val="22"/>
                <w:szCs w:val="22"/>
                <w:color w:val="auto"/>
              </w:rPr>
            </w:pPr>
          </w:p>
        </w:tc>
      </w:tr>
      <w:tr>
        <w:trPr>
          <w:trHeight w:val="270"/>
        </w:trPr>
        <w:tc>
          <w:tcPr>
            <w:tcW w:w="3780" w:type="dxa"/>
            <w:vAlign w:val="bottom"/>
            <w:shd w:val="clear" w:color="auto" w:fill="CCCCCC"/>
          </w:tcPr>
          <w:p>
            <w:pPr>
              <w:ind w:left="300"/>
              <w:spacing w:after="0"/>
              <w:rPr>
                <w:sz w:val="20"/>
                <w:szCs w:val="20"/>
                <w:color w:val="auto"/>
              </w:rPr>
            </w:pPr>
            <w:r>
              <w:rPr>
                <w:rFonts w:ascii="Arial" w:cs="Arial" w:eastAsia="Arial" w:hAnsi="Arial"/>
                <w:sz w:val="18"/>
                <w:szCs w:val="18"/>
                <w:color w:val="auto"/>
              </w:rPr>
              <w:t>NARCAN Nasal Spray</w:t>
            </w:r>
          </w:p>
        </w:tc>
        <w:tc>
          <w:tcPr>
            <w:tcW w:w="3920" w:type="dxa"/>
            <w:vAlign w:val="bottom"/>
            <w:shd w:val="clear" w:color="auto" w:fill="CCCCCC"/>
          </w:tcPr>
          <w:p>
            <w:pPr>
              <w:jc w:val="center"/>
              <w:ind w:left="2791"/>
              <w:spacing w:after="0"/>
              <w:rPr>
                <w:sz w:val="20"/>
                <w:szCs w:val="20"/>
                <w:color w:val="auto"/>
              </w:rPr>
            </w:pPr>
            <w:r>
              <w:rPr>
                <w:rFonts w:ascii="Arial" w:cs="Arial" w:eastAsia="Arial" w:hAnsi="Arial"/>
                <w:sz w:val="18"/>
                <w:szCs w:val="18"/>
                <w:b w:val="1"/>
                <w:bCs w:val="1"/>
                <w:color w:val="auto"/>
              </w:rPr>
              <w:t>$138.5</w:t>
            </w:r>
          </w:p>
        </w:tc>
        <w:tc>
          <w:tcPr>
            <w:tcW w:w="1580" w:type="dxa"/>
            <w:vAlign w:val="bottom"/>
            <w:shd w:val="clear" w:color="auto" w:fill="CCCCCC"/>
          </w:tcPr>
          <w:p>
            <w:pPr>
              <w:jc w:val="right"/>
              <w:ind w:right="11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CCCC"/>
          </w:tcPr>
          <w:p>
            <w:pPr>
              <w:jc w:val="right"/>
              <w:ind w:right="510"/>
              <w:spacing w:after="0"/>
              <w:rPr>
                <w:sz w:val="20"/>
                <w:szCs w:val="20"/>
                <w:color w:val="auto"/>
              </w:rPr>
            </w:pPr>
            <w:r>
              <w:rPr>
                <w:rFonts w:ascii="Arial" w:cs="Arial" w:eastAsia="Arial" w:hAnsi="Arial"/>
                <w:sz w:val="18"/>
                <w:szCs w:val="18"/>
                <w:color w:val="auto"/>
              </w:rPr>
              <w:t>NM</w:t>
            </w:r>
          </w:p>
        </w:tc>
      </w:tr>
      <w:tr>
        <w:trPr>
          <w:trHeight w:val="270"/>
        </w:trPr>
        <w:tc>
          <w:tcPr>
            <w:tcW w:w="3780" w:type="dxa"/>
            <w:vAlign w:val="bottom"/>
            <w:shd w:val="clear" w:color="auto" w:fill="CCCCCC"/>
          </w:tcPr>
          <w:p>
            <w:pPr>
              <w:ind w:left="300"/>
              <w:spacing w:after="0"/>
              <w:rPr>
                <w:sz w:val="20"/>
                <w:szCs w:val="20"/>
                <w:color w:val="auto"/>
              </w:rPr>
            </w:pPr>
            <w:r>
              <w:rPr>
                <w:rFonts w:ascii="Arial" w:cs="Arial" w:eastAsia="Arial" w:hAnsi="Arial"/>
                <w:sz w:val="18"/>
                <w:szCs w:val="18"/>
                <w:color w:val="auto"/>
              </w:rPr>
              <w:t>ACAM2000</w:t>
            </w:r>
          </w:p>
        </w:tc>
        <w:tc>
          <w:tcPr>
            <w:tcW w:w="3920" w:type="dxa"/>
            <w:vAlign w:val="bottom"/>
            <w:shd w:val="clear" w:color="auto" w:fill="CCCCCC"/>
          </w:tcPr>
          <w:p>
            <w:pPr>
              <w:jc w:val="center"/>
              <w:ind w:left="2791"/>
              <w:spacing w:after="0"/>
              <w:rPr>
                <w:sz w:val="20"/>
                <w:szCs w:val="20"/>
                <w:color w:val="auto"/>
              </w:rPr>
            </w:pPr>
            <w:r>
              <w:rPr>
                <w:rFonts w:ascii="Arial" w:cs="Arial" w:eastAsia="Arial" w:hAnsi="Arial"/>
                <w:sz w:val="18"/>
                <w:szCs w:val="18"/>
                <w:b w:val="1"/>
                <w:bCs w:val="1"/>
                <w:color w:val="auto"/>
                <w:w w:val="97"/>
              </w:rPr>
              <w:t>$52.0</w:t>
            </w:r>
          </w:p>
        </w:tc>
        <w:tc>
          <w:tcPr>
            <w:tcW w:w="1580" w:type="dxa"/>
            <w:vAlign w:val="bottom"/>
            <w:shd w:val="clear" w:color="auto" w:fill="CCCCCC"/>
          </w:tcPr>
          <w:p>
            <w:pPr>
              <w:jc w:val="right"/>
              <w:ind w:right="110"/>
              <w:spacing w:after="0"/>
              <w:rPr>
                <w:sz w:val="20"/>
                <w:szCs w:val="20"/>
                <w:color w:val="auto"/>
              </w:rPr>
            </w:pPr>
            <w:r>
              <w:rPr>
                <w:rFonts w:ascii="Arial" w:cs="Arial" w:eastAsia="Arial" w:hAnsi="Arial"/>
                <w:sz w:val="18"/>
                <w:szCs w:val="18"/>
                <w:b w:val="1"/>
                <w:bCs w:val="1"/>
                <w:color w:val="auto"/>
              </w:rPr>
              <w:t>$78.3</w:t>
            </w:r>
          </w:p>
        </w:tc>
        <w:tc>
          <w:tcPr>
            <w:tcW w:w="1380" w:type="dxa"/>
            <w:vAlign w:val="bottom"/>
            <w:shd w:val="clear" w:color="auto" w:fill="CCCCCC"/>
          </w:tcPr>
          <w:p>
            <w:pPr>
              <w:jc w:val="right"/>
              <w:ind w:right="410"/>
              <w:spacing w:after="0"/>
              <w:rPr>
                <w:sz w:val="20"/>
                <w:szCs w:val="20"/>
                <w:color w:val="auto"/>
              </w:rPr>
            </w:pPr>
            <w:r>
              <w:rPr>
                <w:rFonts w:ascii="Arial" w:cs="Arial" w:eastAsia="Arial" w:hAnsi="Arial"/>
                <w:sz w:val="18"/>
                <w:szCs w:val="18"/>
                <w:color w:val="auto"/>
              </w:rPr>
              <w:t>(34)%</w:t>
            </w:r>
          </w:p>
        </w:tc>
      </w:tr>
      <w:tr>
        <w:trPr>
          <w:trHeight w:val="284"/>
        </w:trPr>
        <w:tc>
          <w:tcPr>
            <w:tcW w:w="3780" w:type="dxa"/>
            <w:vAlign w:val="bottom"/>
            <w:shd w:val="clear" w:color="auto" w:fill="CCCCCC"/>
          </w:tcPr>
          <w:p>
            <w:pPr>
              <w:ind w:left="300"/>
              <w:spacing w:after="0"/>
              <w:rPr>
                <w:sz w:val="20"/>
                <w:szCs w:val="20"/>
                <w:color w:val="auto"/>
              </w:rPr>
            </w:pPr>
            <w:r>
              <w:rPr>
                <w:rFonts w:ascii="Arial" w:cs="Arial" w:eastAsia="Arial" w:hAnsi="Arial"/>
                <w:sz w:val="18"/>
                <w:szCs w:val="18"/>
                <w:color w:val="auto"/>
              </w:rPr>
              <w:t>BioThrax</w:t>
            </w:r>
          </w:p>
        </w:tc>
        <w:tc>
          <w:tcPr>
            <w:tcW w:w="3920" w:type="dxa"/>
            <w:vAlign w:val="bottom"/>
            <w:shd w:val="clear" w:color="auto" w:fill="CCCCCC"/>
          </w:tcPr>
          <w:p>
            <w:pPr>
              <w:jc w:val="center"/>
              <w:ind w:left="2791"/>
              <w:spacing w:after="0"/>
              <w:rPr>
                <w:sz w:val="20"/>
                <w:szCs w:val="20"/>
                <w:color w:val="auto"/>
              </w:rPr>
            </w:pPr>
            <w:r>
              <w:rPr>
                <w:rFonts w:ascii="Arial" w:cs="Arial" w:eastAsia="Arial" w:hAnsi="Arial"/>
                <w:sz w:val="18"/>
                <w:szCs w:val="18"/>
                <w:b w:val="1"/>
                <w:bCs w:val="1"/>
                <w:color w:val="auto"/>
                <w:w w:val="97"/>
              </w:rPr>
              <w:t>$39.6</w:t>
            </w:r>
          </w:p>
        </w:tc>
        <w:tc>
          <w:tcPr>
            <w:tcW w:w="1580" w:type="dxa"/>
            <w:vAlign w:val="bottom"/>
            <w:shd w:val="clear" w:color="auto" w:fill="CCCCCC"/>
          </w:tcPr>
          <w:p>
            <w:pPr>
              <w:jc w:val="right"/>
              <w:ind w:right="110"/>
              <w:spacing w:after="0"/>
              <w:rPr>
                <w:sz w:val="20"/>
                <w:szCs w:val="20"/>
                <w:color w:val="auto"/>
              </w:rPr>
            </w:pPr>
            <w:r>
              <w:rPr>
                <w:rFonts w:ascii="Arial" w:cs="Arial" w:eastAsia="Arial" w:hAnsi="Arial"/>
                <w:sz w:val="18"/>
                <w:szCs w:val="18"/>
                <w:b w:val="1"/>
                <w:bCs w:val="1"/>
                <w:color w:val="auto"/>
              </w:rPr>
              <w:t>$97.8</w:t>
            </w:r>
          </w:p>
        </w:tc>
        <w:tc>
          <w:tcPr>
            <w:tcW w:w="1380" w:type="dxa"/>
            <w:vAlign w:val="bottom"/>
            <w:shd w:val="clear" w:color="auto" w:fill="CCCCCC"/>
          </w:tcPr>
          <w:p>
            <w:pPr>
              <w:jc w:val="right"/>
              <w:ind w:right="410"/>
              <w:spacing w:after="0"/>
              <w:rPr>
                <w:sz w:val="20"/>
                <w:szCs w:val="20"/>
                <w:color w:val="auto"/>
              </w:rPr>
            </w:pPr>
            <w:r>
              <w:rPr>
                <w:rFonts w:ascii="Arial" w:cs="Arial" w:eastAsia="Arial" w:hAnsi="Arial"/>
                <w:sz w:val="18"/>
                <w:szCs w:val="18"/>
                <w:color w:val="auto"/>
              </w:rPr>
              <w:t>(60)%</w:t>
            </w:r>
          </w:p>
        </w:tc>
      </w:tr>
      <w:tr>
        <w:trPr>
          <w:trHeight w:val="284"/>
        </w:trPr>
        <w:tc>
          <w:tcPr>
            <w:tcW w:w="3780" w:type="dxa"/>
            <w:vAlign w:val="bottom"/>
            <w:shd w:val="clear" w:color="auto" w:fill="CCCCCC"/>
          </w:tcPr>
          <w:p>
            <w:pPr>
              <w:ind w:left="300"/>
              <w:spacing w:after="0"/>
              <w:rPr>
                <w:sz w:val="20"/>
                <w:szCs w:val="20"/>
                <w:color w:val="auto"/>
              </w:rPr>
            </w:pPr>
            <w:r>
              <w:rPr>
                <w:rFonts w:ascii="Arial" w:cs="Arial" w:eastAsia="Arial" w:hAnsi="Arial"/>
                <w:sz w:val="18"/>
                <w:szCs w:val="18"/>
                <w:color w:val="auto"/>
              </w:rPr>
              <w:t>Other</w:t>
            </w:r>
          </w:p>
        </w:tc>
        <w:tc>
          <w:tcPr>
            <w:tcW w:w="3920" w:type="dxa"/>
            <w:vAlign w:val="bottom"/>
            <w:shd w:val="clear" w:color="auto" w:fill="CCCCCC"/>
          </w:tcPr>
          <w:p>
            <w:pPr>
              <w:jc w:val="center"/>
              <w:ind w:left="2791"/>
              <w:spacing w:after="0"/>
              <w:rPr>
                <w:sz w:val="20"/>
                <w:szCs w:val="20"/>
                <w:color w:val="auto"/>
              </w:rPr>
            </w:pPr>
            <w:r>
              <w:rPr>
                <w:rFonts w:ascii="Arial" w:cs="Arial" w:eastAsia="Arial" w:hAnsi="Arial"/>
                <w:sz w:val="18"/>
                <w:szCs w:val="18"/>
                <w:b w:val="1"/>
                <w:bCs w:val="1"/>
                <w:color w:val="auto"/>
              </w:rPr>
              <w:t>$106.4</w:t>
            </w:r>
          </w:p>
        </w:tc>
        <w:tc>
          <w:tcPr>
            <w:tcW w:w="1580" w:type="dxa"/>
            <w:vAlign w:val="bottom"/>
            <w:shd w:val="clear" w:color="auto" w:fill="CCCCCC"/>
          </w:tcPr>
          <w:p>
            <w:pPr>
              <w:jc w:val="right"/>
              <w:ind w:right="110"/>
              <w:spacing w:after="0"/>
              <w:rPr>
                <w:sz w:val="20"/>
                <w:szCs w:val="20"/>
                <w:color w:val="auto"/>
              </w:rPr>
            </w:pPr>
            <w:r>
              <w:rPr>
                <w:rFonts w:ascii="Arial" w:cs="Arial" w:eastAsia="Arial" w:hAnsi="Arial"/>
                <w:sz w:val="18"/>
                <w:szCs w:val="18"/>
                <w:b w:val="1"/>
                <w:bCs w:val="1"/>
                <w:color w:val="auto"/>
              </w:rPr>
              <w:t>$79.7</w:t>
            </w:r>
          </w:p>
        </w:tc>
        <w:tc>
          <w:tcPr>
            <w:tcW w:w="1380" w:type="dxa"/>
            <w:vAlign w:val="bottom"/>
            <w:shd w:val="clear" w:color="auto" w:fill="CCCCCC"/>
          </w:tcPr>
          <w:p>
            <w:pPr>
              <w:jc w:val="right"/>
              <w:ind w:right="470"/>
              <w:spacing w:after="0"/>
              <w:rPr>
                <w:sz w:val="20"/>
                <w:szCs w:val="20"/>
                <w:color w:val="auto"/>
              </w:rPr>
            </w:pPr>
            <w:r>
              <w:rPr>
                <w:rFonts w:ascii="Arial" w:cs="Arial" w:eastAsia="Arial" w:hAnsi="Arial"/>
                <w:sz w:val="18"/>
                <w:szCs w:val="18"/>
                <w:color w:val="auto"/>
              </w:rPr>
              <w:t>33%</w:t>
            </w:r>
          </w:p>
        </w:tc>
      </w:tr>
      <w:tr>
        <w:trPr>
          <w:trHeight w:val="291"/>
        </w:trPr>
        <w:tc>
          <w:tcPr>
            <w:tcW w:w="378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Total Product Sales</w:t>
            </w:r>
          </w:p>
        </w:tc>
        <w:tc>
          <w:tcPr>
            <w:tcW w:w="3920" w:type="dxa"/>
            <w:vAlign w:val="bottom"/>
            <w:tcBorders>
              <w:bottom w:val="single" w:sz="8" w:color="CCCCCC"/>
            </w:tcBorders>
            <w:shd w:val="clear" w:color="auto" w:fill="CCCCCC"/>
          </w:tcPr>
          <w:p>
            <w:pPr>
              <w:jc w:val="center"/>
              <w:ind w:left="2791"/>
              <w:spacing w:after="0"/>
              <w:rPr>
                <w:sz w:val="20"/>
                <w:szCs w:val="20"/>
                <w:color w:val="auto"/>
              </w:rPr>
            </w:pPr>
            <w:r>
              <w:rPr>
                <w:rFonts w:ascii="Arial" w:cs="Arial" w:eastAsia="Arial" w:hAnsi="Arial"/>
                <w:sz w:val="18"/>
                <w:szCs w:val="18"/>
                <w:b w:val="1"/>
                <w:bCs w:val="1"/>
                <w:color w:val="auto"/>
              </w:rPr>
              <w:t>$336.5</w:t>
            </w:r>
          </w:p>
        </w:tc>
        <w:tc>
          <w:tcPr>
            <w:tcW w:w="1580" w:type="dxa"/>
            <w:vAlign w:val="bottom"/>
            <w:tcBorders>
              <w:bottom w:val="single" w:sz="8" w:color="CCCCCC"/>
            </w:tcBorders>
            <w:shd w:val="clear" w:color="auto" w:fill="CCCCCC"/>
          </w:tcPr>
          <w:p>
            <w:pPr>
              <w:jc w:val="right"/>
              <w:ind w:right="110"/>
              <w:spacing w:after="0"/>
              <w:rPr>
                <w:sz w:val="20"/>
                <w:szCs w:val="20"/>
                <w:color w:val="auto"/>
              </w:rPr>
            </w:pPr>
            <w:r>
              <w:rPr>
                <w:rFonts w:ascii="Arial" w:cs="Arial" w:eastAsia="Arial" w:hAnsi="Arial"/>
                <w:sz w:val="18"/>
                <w:szCs w:val="18"/>
                <w:b w:val="1"/>
                <w:bCs w:val="1"/>
                <w:color w:val="auto"/>
              </w:rPr>
              <w:t>$255.8</w:t>
            </w:r>
          </w:p>
        </w:tc>
        <w:tc>
          <w:tcPr>
            <w:tcW w:w="1380" w:type="dxa"/>
            <w:vAlign w:val="bottom"/>
            <w:tcBorders>
              <w:bottom w:val="single" w:sz="8" w:color="CCCCCC"/>
            </w:tcBorders>
            <w:shd w:val="clear" w:color="auto" w:fill="CCCCCC"/>
          </w:tcPr>
          <w:p>
            <w:pPr>
              <w:jc w:val="right"/>
              <w:ind w:right="470"/>
              <w:spacing w:after="0"/>
              <w:rPr>
                <w:sz w:val="20"/>
                <w:szCs w:val="20"/>
                <w:color w:val="auto"/>
              </w:rPr>
            </w:pPr>
            <w:r>
              <w:rPr>
                <w:rFonts w:ascii="Arial" w:cs="Arial" w:eastAsia="Arial" w:hAnsi="Arial"/>
                <w:sz w:val="18"/>
                <w:szCs w:val="18"/>
                <w:color w:val="auto"/>
              </w:rPr>
              <w:t>32%</w:t>
            </w:r>
          </w:p>
        </w:tc>
      </w:tr>
      <w:tr>
        <w:trPr>
          <w:trHeight w:val="669"/>
        </w:trPr>
        <w:tc>
          <w:tcPr>
            <w:tcW w:w="3780" w:type="dxa"/>
            <w:vAlign w:val="bottom"/>
          </w:tcPr>
          <w:p>
            <w:pPr>
              <w:spacing w:after="0"/>
              <w:rPr>
                <w:sz w:val="24"/>
                <w:szCs w:val="24"/>
                <w:color w:val="auto"/>
              </w:rPr>
            </w:pPr>
          </w:p>
        </w:tc>
        <w:tc>
          <w:tcPr>
            <w:tcW w:w="3920" w:type="dxa"/>
            <w:vAlign w:val="bottom"/>
          </w:tcPr>
          <w:p>
            <w:pPr>
              <w:jc w:val="right"/>
              <w:ind w:right="1671"/>
              <w:spacing w:after="0"/>
              <w:rPr>
                <w:sz w:val="20"/>
                <w:szCs w:val="20"/>
                <w:color w:val="auto"/>
              </w:rPr>
            </w:pPr>
            <w:r>
              <w:rPr>
                <w:rFonts w:ascii="Arial" w:cs="Arial" w:eastAsia="Arial" w:hAnsi="Arial"/>
                <w:sz w:val="16"/>
                <w:szCs w:val="16"/>
                <w:color w:val="auto"/>
              </w:rPr>
              <w:t>4 of 16</w:t>
            </w: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6" w:name="page7"/>
    <w:bookmarkEnd w:id="6"/>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226060</wp:posOffset>
            </wp:positionV>
            <wp:extent cx="1517650" cy="634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343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Contract Manufacturing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2019, revenue from the Company’s contract manufacturing operations was $34.6 million, a decrease of</w:t>
      </w:r>
    </w:p>
    <w:p>
      <w:pPr>
        <w:spacing w:after="0" w:line="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$15.2 million or 31% as compared to 2018. The decrease primarily reflects contracted service work in the six months of 2018 that did not recur in the six months of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 and Grants</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the six months ended June 30, 2019, revenue from the Company’s development-based contracts and grants was $62.8 million, an increase of $30.4 million or 94% as compared to 2018. The increase primarily reflects increased R&amp;D activities related to certain ongoing funded development programs, most notably AV7909.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 and Contract Manufacturing</w:t>
      </w:r>
    </w:p>
    <w:p>
      <w:pPr>
        <w:spacing w:after="0" w:line="13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For the six months ended June 30, 2019, cost of product sales and contract manufacturing was $192.7 million, an increase of $53.3 million or 38% as compared to 2018. The increase primarily reflects the impact of an increase in product sales due to the contribution of recently acquired products NARCAN® Nasal Spray, Vivotif®, and Vaxchora®, which were all acquired in October 2018, as well as an increase in facilities related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(Gross and Net)</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the six months ended June 30, 2019, gross R&amp;D expenses were $110.0 million, an increase of $56.2 million compared to 2018. The increase primarily reflects costs associated with incremental development programs from the recent acquisitions of PaxVax and Adapt Pharma in October 2018, as well as timing of manufacturing development activities related to the AV7909 program.</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the six months ended June 30, 2019, net R&amp;D expense, which reflects investments made in development programs that are not currently funded in whole or in part by third-party partners and is calculated as gross research and development expenses minus contracts and grants revenue, was $47.2 million, an increase of $25.8 million or 121% as compared to 2018. The increase primarily reflects investments in the development of the CHIKV-VLP vaccine, FLU-IGIV hyperimmune and various programs related to opioid overdose response. The six months of 2019 net R&amp;D expense was 13% of adjusted revenue (total revenue less contracts &amp; grants) compared to 7% of adjusted revenue in the six months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218440</wp:posOffset>
            </wp:positionV>
            <wp:extent cx="6715125" cy="15347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15125" cy="1534795"/>
                    </a:xfrm>
                    <a:prstGeom prst="rect">
                      <a:avLst/>
                    </a:prstGeom>
                    <a:noFill/>
                  </pic:spPr>
                </pic:pic>
              </a:graphicData>
            </a:graphic>
          </wp:anchor>
        </w:drawing>
      </w:r>
    </w:p>
    <w:p>
      <w:pPr>
        <w:spacing w:after="0" w:line="324" w:lineRule="exact"/>
        <w:rPr>
          <w:sz w:val="20"/>
          <w:szCs w:val="20"/>
          <w:color w:val="auto"/>
        </w:rPr>
      </w:pPr>
    </w:p>
    <w:tbl>
      <w:tblPr>
        <w:tblLayout w:type="fixed"/>
        <w:tblInd w:w="80" w:type="dxa"/>
        <w:tblCellMar>
          <w:top w:w="0" w:type="dxa"/>
          <w:left w:w="0" w:type="dxa"/>
          <w:bottom w:w="0" w:type="dxa"/>
          <w:right w:w="0" w:type="dxa"/>
        </w:tblCellMar>
      </w:tblPr>
      <w:tr>
        <w:trPr>
          <w:trHeight w:val="259"/>
        </w:trPr>
        <w:tc>
          <w:tcPr>
            <w:tcW w:w="6120" w:type="dxa"/>
            <w:vAlign w:val="bottom"/>
            <w:shd w:val="clear" w:color="auto" w:fill="0F243E"/>
          </w:tcPr>
          <w:p>
            <w:pPr>
              <w:spacing w:after="0"/>
              <w:rPr>
                <w:sz w:val="22"/>
                <w:szCs w:val="22"/>
                <w:color w:val="auto"/>
              </w:rPr>
            </w:pPr>
          </w:p>
        </w:tc>
        <w:tc>
          <w:tcPr>
            <w:tcW w:w="4460" w:type="dxa"/>
            <w:vAlign w:val="bottom"/>
            <w:gridSpan w:val="4"/>
            <w:shd w:val="clear" w:color="auto" w:fill="0F243E"/>
          </w:tcPr>
          <w:p>
            <w:pPr>
              <w:ind w:left="1080"/>
              <w:spacing w:after="0"/>
              <w:rPr>
                <w:sz w:val="20"/>
                <w:szCs w:val="20"/>
                <w:color w:val="auto"/>
              </w:rPr>
            </w:pPr>
            <w:r>
              <w:rPr>
                <w:rFonts w:ascii="Arial" w:cs="Arial" w:eastAsia="Arial" w:hAnsi="Arial"/>
                <w:sz w:val="18"/>
                <w:szCs w:val="18"/>
                <w:b w:val="1"/>
                <w:bCs w:val="1"/>
                <w:color w:val="FFFFFF"/>
              </w:rPr>
              <w:t>Six Months Ended June 30,</w:t>
            </w:r>
          </w:p>
        </w:tc>
        <w:tc>
          <w:tcPr>
            <w:tcW w:w="0" w:type="dxa"/>
            <w:vAlign w:val="bottom"/>
          </w:tcPr>
          <w:p>
            <w:pPr>
              <w:spacing w:after="0"/>
              <w:rPr>
                <w:sz w:val="1"/>
                <w:szCs w:val="1"/>
                <w:color w:val="auto"/>
              </w:rPr>
            </w:pPr>
          </w:p>
        </w:tc>
      </w:tr>
      <w:tr>
        <w:trPr>
          <w:trHeight w:val="281"/>
        </w:trPr>
        <w:tc>
          <w:tcPr>
            <w:tcW w:w="6120" w:type="dxa"/>
            <w:vAlign w:val="bottom"/>
            <w:shd w:val="clear" w:color="auto" w:fill="0F243E"/>
          </w:tcPr>
          <w:p>
            <w:pPr>
              <w:ind w:left="40"/>
              <w:spacing w:after="0"/>
              <w:rPr>
                <w:sz w:val="20"/>
                <w:szCs w:val="20"/>
                <w:color w:val="auto"/>
              </w:rPr>
            </w:pPr>
            <w:r>
              <w:rPr>
                <w:rFonts w:ascii="Arial" w:cs="Arial" w:eastAsia="Arial" w:hAnsi="Arial"/>
                <w:sz w:val="18"/>
                <w:szCs w:val="18"/>
                <w:color w:val="FFFFFF"/>
              </w:rPr>
              <w:t>(in millions)</w:t>
            </w:r>
          </w:p>
        </w:tc>
        <w:tc>
          <w:tcPr>
            <w:tcW w:w="1560" w:type="dxa"/>
            <w:vAlign w:val="bottom"/>
            <w:shd w:val="clear" w:color="auto" w:fill="0F243E"/>
          </w:tcPr>
          <w:p>
            <w:pPr>
              <w:jc w:val="right"/>
              <w:ind w:right="490"/>
              <w:spacing w:after="0"/>
              <w:rPr>
                <w:sz w:val="20"/>
                <w:szCs w:val="20"/>
                <w:color w:val="auto"/>
              </w:rPr>
            </w:pPr>
            <w:r>
              <w:rPr>
                <w:rFonts w:ascii="Arial" w:cs="Arial" w:eastAsia="Arial" w:hAnsi="Arial"/>
                <w:sz w:val="18"/>
                <w:szCs w:val="18"/>
                <w:b w:val="1"/>
                <w:bCs w:val="1"/>
                <w:color w:val="FFFFFF"/>
              </w:rPr>
              <w:t>2019</w:t>
            </w:r>
          </w:p>
        </w:tc>
        <w:tc>
          <w:tcPr>
            <w:tcW w:w="1220" w:type="dxa"/>
            <w:vAlign w:val="bottom"/>
            <w:shd w:val="clear" w:color="auto" w:fill="0F243E"/>
          </w:tcPr>
          <w:p>
            <w:pPr>
              <w:jc w:val="right"/>
              <w:ind w:right="150"/>
              <w:spacing w:after="0"/>
              <w:rPr>
                <w:sz w:val="20"/>
                <w:szCs w:val="20"/>
                <w:color w:val="auto"/>
              </w:rPr>
            </w:pPr>
            <w:r>
              <w:rPr>
                <w:rFonts w:ascii="Arial" w:cs="Arial" w:eastAsia="Arial" w:hAnsi="Arial"/>
                <w:sz w:val="18"/>
                <w:szCs w:val="18"/>
                <w:b w:val="1"/>
                <w:bCs w:val="1"/>
                <w:color w:val="FFFFFF"/>
              </w:rPr>
              <w:t>2018</w:t>
            </w:r>
          </w:p>
        </w:tc>
        <w:tc>
          <w:tcPr>
            <w:tcW w:w="360" w:type="dxa"/>
            <w:vAlign w:val="bottom"/>
            <w:shd w:val="clear" w:color="auto" w:fill="0F243E"/>
          </w:tcPr>
          <w:p>
            <w:pPr>
              <w:spacing w:after="0"/>
              <w:rPr>
                <w:sz w:val="24"/>
                <w:szCs w:val="24"/>
                <w:color w:val="auto"/>
              </w:rPr>
            </w:pPr>
          </w:p>
        </w:tc>
        <w:tc>
          <w:tcPr>
            <w:tcW w:w="1320" w:type="dxa"/>
            <w:vAlign w:val="bottom"/>
            <w:shd w:val="clear" w:color="auto" w:fill="0F243E"/>
          </w:tcPr>
          <w:p>
            <w:pPr>
              <w:jc w:val="center"/>
              <w:spacing w:after="0"/>
              <w:rPr>
                <w:sz w:val="20"/>
                <w:szCs w:val="20"/>
                <w:color w:val="auto"/>
              </w:rPr>
            </w:pPr>
            <w:r>
              <w:rPr>
                <w:rFonts w:ascii="Arial" w:cs="Arial" w:eastAsia="Arial" w:hAnsi="Arial"/>
                <w:sz w:val="18"/>
                <w:szCs w:val="18"/>
                <w:b w:val="1"/>
                <w:bCs w:val="1"/>
                <w:color w:val="FFFFFF"/>
              </w:rPr>
              <w:t>% Change</w:t>
            </w:r>
          </w:p>
        </w:tc>
        <w:tc>
          <w:tcPr>
            <w:tcW w:w="0" w:type="dxa"/>
            <w:vAlign w:val="bottom"/>
          </w:tcPr>
          <w:p>
            <w:pPr>
              <w:spacing w:after="0"/>
              <w:rPr>
                <w:sz w:val="1"/>
                <w:szCs w:val="1"/>
                <w:color w:val="auto"/>
              </w:rPr>
            </w:pPr>
          </w:p>
        </w:tc>
      </w:tr>
      <w:tr>
        <w:trPr>
          <w:trHeight w:val="257"/>
        </w:trPr>
        <w:tc>
          <w:tcPr>
            <w:tcW w:w="612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Research and Development Expenses</w:t>
            </w:r>
          </w:p>
        </w:tc>
        <w:tc>
          <w:tcPr>
            <w:tcW w:w="1560" w:type="dxa"/>
            <w:vAlign w:val="bottom"/>
            <w:shd w:val="clear" w:color="auto" w:fill="CCCCCC"/>
          </w:tcPr>
          <w:p>
            <w:pPr>
              <w:jc w:val="right"/>
              <w:ind w:right="230"/>
              <w:spacing w:after="0"/>
              <w:rPr>
                <w:sz w:val="20"/>
                <w:szCs w:val="20"/>
                <w:color w:val="auto"/>
              </w:rPr>
            </w:pPr>
            <w:r>
              <w:rPr>
                <w:rFonts w:ascii="Arial" w:cs="Arial" w:eastAsia="Arial" w:hAnsi="Arial"/>
                <w:sz w:val="18"/>
                <w:szCs w:val="18"/>
                <w:b w:val="1"/>
                <w:bCs w:val="1"/>
                <w:color w:val="auto"/>
              </w:rPr>
              <w:t>$110.0</w:t>
            </w:r>
          </w:p>
        </w:tc>
        <w:tc>
          <w:tcPr>
            <w:tcW w:w="1580" w:type="dxa"/>
            <w:vAlign w:val="bottom"/>
            <w:gridSpan w:val="2"/>
            <w:shd w:val="clear" w:color="auto" w:fill="CCCCCC"/>
          </w:tcPr>
          <w:p>
            <w:pPr>
              <w:jc w:val="right"/>
              <w:ind w:right="360"/>
              <w:spacing w:after="0"/>
              <w:rPr>
                <w:sz w:val="20"/>
                <w:szCs w:val="20"/>
                <w:color w:val="auto"/>
              </w:rPr>
            </w:pPr>
            <w:r>
              <w:rPr>
                <w:rFonts w:ascii="Arial" w:cs="Arial" w:eastAsia="Arial" w:hAnsi="Arial"/>
                <w:sz w:val="18"/>
                <w:szCs w:val="18"/>
                <w:color w:val="auto"/>
              </w:rPr>
              <w:t>$53.8</w:t>
            </w:r>
          </w:p>
        </w:tc>
        <w:tc>
          <w:tcPr>
            <w:tcW w:w="132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284"/>
        </w:trPr>
        <w:tc>
          <w:tcPr>
            <w:tcW w:w="6120" w:type="dxa"/>
            <w:vAlign w:val="bottom"/>
            <w:shd w:val="clear" w:color="auto" w:fill="CCCCCC"/>
          </w:tcPr>
          <w:p>
            <w:pPr>
              <w:ind w:left="40"/>
              <w:spacing w:after="0"/>
              <w:rPr>
                <w:sz w:val="20"/>
                <w:szCs w:val="20"/>
                <w:color w:val="auto"/>
              </w:rPr>
            </w:pPr>
            <w:r>
              <w:rPr>
                <w:rFonts w:ascii="Arial" w:cs="Arial" w:eastAsia="Arial" w:hAnsi="Arial"/>
                <w:sz w:val="18"/>
                <w:szCs w:val="18"/>
                <w:color w:val="auto"/>
              </w:rPr>
              <w:t>Adjustments:</w:t>
            </w:r>
          </w:p>
        </w:tc>
        <w:tc>
          <w:tcPr>
            <w:tcW w:w="1560" w:type="dxa"/>
            <w:vAlign w:val="bottom"/>
            <w:shd w:val="clear" w:color="auto" w:fill="CCCCCC"/>
          </w:tcPr>
          <w:p>
            <w:pPr>
              <w:spacing w:after="0"/>
              <w:rPr>
                <w:sz w:val="24"/>
                <w:szCs w:val="24"/>
                <w:color w:val="auto"/>
              </w:rPr>
            </w:pPr>
          </w:p>
        </w:tc>
        <w:tc>
          <w:tcPr>
            <w:tcW w:w="1220" w:type="dxa"/>
            <w:vAlign w:val="bottom"/>
            <w:shd w:val="clear" w:color="auto" w:fill="CCCCCC"/>
          </w:tcPr>
          <w:p>
            <w:pPr>
              <w:spacing w:after="0"/>
              <w:rPr>
                <w:sz w:val="24"/>
                <w:szCs w:val="24"/>
                <w:color w:val="auto"/>
              </w:rPr>
            </w:pPr>
          </w:p>
        </w:tc>
        <w:tc>
          <w:tcPr>
            <w:tcW w:w="360" w:type="dxa"/>
            <w:vAlign w:val="bottom"/>
            <w:shd w:val="clear" w:color="auto" w:fill="CCCCCC"/>
          </w:tcPr>
          <w:p>
            <w:pPr>
              <w:spacing w:after="0"/>
              <w:rPr>
                <w:sz w:val="24"/>
                <w:szCs w:val="24"/>
                <w:color w:val="auto"/>
              </w:rPr>
            </w:pPr>
          </w:p>
        </w:tc>
        <w:tc>
          <w:tcPr>
            <w:tcW w:w="1320" w:type="dxa"/>
            <w:vAlign w:val="bottom"/>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20" w:type="dxa"/>
            <w:vAlign w:val="bottom"/>
            <w:shd w:val="clear" w:color="auto" w:fill="CCCCCC"/>
          </w:tcPr>
          <w:p>
            <w:pPr>
              <w:ind w:left="300"/>
              <w:spacing w:after="0"/>
              <w:rPr>
                <w:sz w:val="20"/>
                <w:szCs w:val="20"/>
                <w:color w:val="auto"/>
              </w:rPr>
            </w:pPr>
            <w:r>
              <w:rPr>
                <w:rFonts w:ascii="Arial" w:cs="Arial" w:eastAsia="Arial" w:hAnsi="Arial"/>
                <w:sz w:val="18"/>
                <w:szCs w:val="18"/>
                <w:color w:val="auto"/>
              </w:rPr>
              <w:t>Less Contracts and Grants Revenue</w:t>
            </w:r>
          </w:p>
        </w:tc>
        <w:tc>
          <w:tcPr>
            <w:tcW w:w="1560" w:type="dxa"/>
            <w:vAlign w:val="bottom"/>
            <w:shd w:val="clear" w:color="auto" w:fill="CCCCCC"/>
          </w:tcPr>
          <w:p>
            <w:pPr>
              <w:jc w:val="right"/>
              <w:ind w:right="230"/>
              <w:spacing w:after="0"/>
              <w:rPr>
                <w:sz w:val="20"/>
                <w:szCs w:val="20"/>
                <w:color w:val="auto"/>
              </w:rPr>
            </w:pPr>
            <w:r>
              <w:rPr>
                <w:rFonts w:ascii="Arial" w:cs="Arial" w:eastAsia="Arial" w:hAnsi="Arial"/>
                <w:sz w:val="18"/>
                <w:szCs w:val="18"/>
                <w:b w:val="1"/>
                <w:bCs w:val="1"/>
                <w:color w:val="auto"/>
              </w:rPr>
              <w:t>$62.8</w:t>
            </w:r>
          </w:p>
        </w:tc>
        <w:tc>
          <w:tcPr>
            <w:tcW w:w="1580" w:type="dxa"/>
            <w:vAlign w:val="bottom"/>
            <w:gridSpan w:val="2"/>
            <w:shd w:val="clear" w:color="auto" w:fill="CCCCCC"/>
          </w:tcPr>
          <w:p>
            <w:pPr>
              <w:jc w:val="right"/>
              <w:ind w:right="360"/>
              <w:spacing w:after="0"/>
              <w:rPr>
                <w:sz w:val="20"/>
                <w:szCs w:val="20"/>
                <w:color w:val="auto"/>
              </w:rPr>
            </w:pPr>
            <w:r>
              <w:rPr>
                <w:rFonts w:ascii="Arial" w:cs="Arial" w:eastAsia="Arial" w:hAnsi="Arial"/>
                <w:sz w:val="18"/>
                <w:szCs w:val="18"/>
                <w:color w:val="auto"/>
              </w:rPr>
              <w:t>$32.4</w:t>
            </w:r>
          </w:p>
        </w:tc>
        <w:tc>
          <w:tcPr>
            <w:tcW w:w="132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94%</w:t>
            </w:r>
          </w:p>
        </w:tc>
        <w:tc>
          <w:tcPr>
            <w:tcW w:w="0" w:type="dxa"/>
            <w:vAlign w:val="bottom"/>
          </w:tcPr>
          <w:p>
            <w:pPr>
              <w:spacing w:after="0"/>
              <w:rPr>
                <w:sz w:val="1"/>
                <w:szCs w:val="1"/>
                <w:color w:val="auto"/>
              </w:rPr>
            </w:pPr>
          </w:p>
        </w:tc>
      </w:tr>
      <w:tr>
        <w:trPr>
          <w:trHeight w:val="284"/>
        </w:trPr>
        <w:tc>
          <w:tcPr>
            <w:tcW w:w="612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Net Research and Development Expenses</w:t>
            </w:r>
          </w:p>
        </w:tc>
        <w:tc>
          <w:tcPr>
            <w:tcW w:w="1560" w:type="dxa"/>
            <w:vAlign w:val="bottom"/>
            <w:shd w:val="clear" w:color="auto" w:fill="CCCCCC"/>
          </w:tcPr>
          <w:p>
            <w:pPr>
              <w:jc w:val="right"/>
              <w:ind w:right="230"/>
              <w:spacing w:after="0"/>
              <w:rPr>
                <w:sz w:val="20"/>
                <w:szCs w:val="20"/>
                <w:color w:val="auto"/>
              </w:rPr>
            </w:pPr>
            <w:r>
              <w:rPr>
                <w:rFonts w:ascii="Arial" w:cs="Arial" w:eastAsia="Arial" w:hAnsi="Arial"/>
                <w:sz w:val="18"/>
                <w:szCs w:val="18"/>
                <w:b w:val="1"/>
                <w:bCs w:val="1"/>
                <w:color w:val="auto"/>
              </w:rPr>
              <w:t>$47.2</w:t>
            </w:r>
          </w:p>
        </w:tc>
        <w:tc>
          <w:tcPr>
            <w:tcW w:w="1580" w:type="dxa"/>
            <w:vAlign w:val="bottom"/>
            <w:gridSpan w:val="2"/>
            <w:shd w:val="clear" w:color="auto" w:fill="CCCCCC"/>
          </w:tcPr>
          <w:p>
            <w:pPr>
              <w:jc w:val="right"/>
              <w:ind w:right="360"/>
              <w:spacing w:after="0"/>
              <w:rPr>
                <w:sz w:val="20"/>
                <w:szCs w:val="20"/>
                <w:color w:val="auto"/>
              </w:rPr>
            </w:pPr>
            <w:r>
              <w:rPr>
                <w:rFonts w:ascii="Arial" w:cs="Arial" w:eastAsia="Arial" w:hAnsi="Arial"/>
                <w:sz w:val="18"/>
                <w:szCs w:val="18"/>
                <w:b w:val="1"/>
                <w:bCs w:val="1"/>
                <w:color w:val="auto"/>
              </w:rPr>
              <w:t>$21.4</w:t>
            </w:r>
          </w:p>
        </w:tc>
        <w:tc>
          <w:tcPr>
            <w:tcW w:w="132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269"/>
        </w:trPr>
        <w:tc>
          <w:tcPr>
            <w:tcW w:w="612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Adjusted Revenue</w:t>
            </w:r>
          </w:p>
        </w:tc>
        <w:tc>
          <w:tcPr>
            <w:tcW w:w="1560" w:type="dxa"/>
            <w:vAlign w:val="bottom"/>
            <w:vMerge w:val="restart"/>
            <w:shd w:val="clear" w:color="auto" w:fill="CCCCCC"/>
          </w:tcPr>
          <w:p>
            <w:pPr>
              <w:jc w:val="right"/>
              <w:ind w:right="190"/>
              <w:spacing w:after="0"/>
              <w:rPr>
                <w:sz w:val="20"/>
                <w:szCs w:val="20"/>
                <w:color w:val="auto"/>
              </w:rPr>
            </w:pPr>
            <w:r>
              <w:rPr>
                <w:rFonts w:ascii="Arial" w:cs="Arial" w:eastAsia="Arial" w:hAnsi="Arial"/>
                <w:sz w:val="18"/>
                <w:szCs w:val="18"/>
                <w:b w:val="1"/>
                <w:bCs w:val="1"/>
                <w:color w:val="auto"/>
              </w:rPr>
              <w:t>$371.1</w:t>
            </w:r>
          </w:p>
        </w:tc>
        <w:tc>
          <w:tcPr>
            <w:tcW w:w="1220" w:type="dxa"/>
            <w:vAlign w:val="bottom"/>
            <w:vMerge w:val="restart"/>
            <w:shd w:val="clear" w:color="auto" w:fill="CCCCCC"/>
          </w:tcPr>
          <w:p>
            <w:pPr>
              <w:jc w:val="right"/>
              <w:spacing w:after="0"/>
              <w:rPr>
                <w:sz w:val="20"/>
                <w:szCs w:val="20"/>
                <w:color w:val="auto"/>
              </w:rPr>
            </w:pPr>
            <w:r>
              <w:rPr>
                <w:rFonts w:ascii="Arial" w:cs="Arial" w:eastAsia="Arial" w:hAnsi="Arial"/>
                <w:sz w:val="18"/>
                <w:szCs w:val="18"/>
                <w:color w:val="auto"/>
              </w:rPr>
              <w:t>$305.6</w:t>
            </w:r>
          </w:p>
        </w:tc>
        <w:tc>
          <w:tcPr>
            <w:tcW w:w="360" w:type="dxa"/>
            <w:vAlign w:val="bottom"/>
            <w:shd w:val="clear" w:color="auto" w:fill="CCCCCC"/>
          </w:tcPr>
          <w:p>
            <w:pPr>
              <w:spacing w:after="0"/>
              <w:rPr>
                <w:sz w:val="23"/>
                <w:szCs w:val="23"/>
                <w:color w:val="auto"/>
              </w:rPr>
            </w:pPr>
          </w:p>
        </w:tc>
        <w:tc>
          <w:tcPr>
            <w:tcW w:w="1320" w:type="dxa"/>
            <w:vAlign w:val="bottom"/>
            <w:vMerge w:val="restart"/>
            <w:shd w:val="clear" w:color="auto" w:fill="CCCCCC"/>
          </w:tcPr>
          <w:p>
            <w:pPr>
              <w:jc w:val="center"/>
              <w:spacing w:after="0"/>
              <w:rPr>
                <w:sz w:val="20"/>
                <w:szCs w:val="20"/>
                <w:color w:val="auto"/>
              </w:rPr>
            </w:pPr>
            <w:r>
              <w:rPr>
                <w:rFonts w:ascii="Arial" w:cs="Arial" w:eastAsia="Arial" w:hAnsi="Arial"/>
                <w:sz w:val="18"/>
                <w:szCs w:val="18"/>
                <w:color w:val="auto"/>
                <w:w w:val="99"/>
              </w:rPr>
              <w:t>21%</w:t>
            </w:r>
          </w:p>
        </w:tc>
        <w:tc>
          <w:tcPr>
            <w:tcW w:w="0" w:type="dxa"/>
            <w:vAlign w:val="bottom"/>
          </w:tcPr>
          <w:p>
            <w:pPr>
              <w:spacing w:after="0"/>
              <w:rPr>
                <w:sz w:val="1"/>
                <w:szCs w:val="1"/>
                <w:color w:val="auto"/>
              </w:rPr>
            </w:pPr>
          </w:p>
        </w:tc>
      </w:tr>
      <w:tr>
        <w:trPr>
          <w:trHeight w:val="109"/>
        </w:trPr>
        <w:tc>
          <w:tcPr>
            <w:tcW w:w="6120" w:type="dxa"/>
            <w:vAlign w:val="bottom"/>
            <w:vMerge w:val="restart"/>
            <w:shd w:val="clear" w:color="auto" w:fill="CCCCCC"/>
          </w:tcPr>
          <w:p>
            <w:pPr>
              <w:ind w:left="40"/>
              <w:spacing w:after="0"/>
              <w:rPr>
                <w:sz w:val="20"/>
                <w:szCs w:val="20"/>
                <w:color w:val="auto"/>
              </w:rPr>
            </w:pPr>
            <w:r>
              <w:rPr>
                <w:rFonts w:ascii="Arial" w:cs="Arial" w:eastAsia="Arial" w:hAnsi="Arial"/>
                <w:sz w:val="18"/>
                <w:szCs w:val="18"/>
                <w:color w:val="auto"/>
              </w:rPr>
              <w:t>(Total Revenue less Contracts and Grants Revenue)</w:t>
            </w:r>
          </w:p>
        </w:tc>
        <w:tc>
          <w:tcPr>
            <w:tcW w:w="1560" w:type="dxa"/>
            <w:vAlign w:val="bottom"/>
            <w:vMerge w:val="continue"/>
            <w:shd w:val="clear" w:color="auto" w:fill="CCCCCC"/>
          </w:tcPr>
          <w:p>
            <w:pPr>
              <w:spacing w:after="0"/>
              <w:rPr>
                <w:sz w:val="9"/>
                <w:szCs w:val="9"/>
                <w:color w:val="auto"/>
              </w:rPr>
            </w:pPr>
          </w:p>
        </w:tc>
        <w:tc>
          <w:tcPr>
            <w:tcW w:w="1220" w:type="dxa"/>
            <w:vAlign w:val="bottom"/>
            <w:vMerge w:val="continue"/>
            <w:shd w:val="clear" w:color="auto" w:fill="CCCCCC"/>
          </w:tcPr>
          <w:p>
            <w:pPr>
              <w:spacing w:after="0"/>
              <w:rPr>
                <w:sz w:val="9"/>
                <w:szCs w:val="9"/>
                <w:color w:val="auto"/>
              </w:rPr>
            </w:pPr>
          </w:p>
        </w:tc>
        <w:tc>
          <w:tcPr>
            <w:tcW w:w="360" w:type="dxa"/>
            <w:vAlign w:val="bottom"/>
            <w:shd w:val="clear" w:color="auto" w:fill="CCCCCC"/>
          </w:tcPr>
          <w:p>
            <w:pPr>
              <w:spacing w:after="0"/>
              <w:rPr>
                <w:sz w:val="9"/>
                <w:szCs w:val="9"/>
                <w:color w:val="auto"/>
              </w:rPr>
            </w:pPr>
          </w:p>
        </w:tc>
        <w:tc>
          <w:tcPr>
            <w:tcW w:w="1320" w:type="dxa"/>
            <w:vAlign w:val="bottom"/>
            <w:vMerge w:val="continue"/>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120" w:type="dxa"/>
            <w:vAlign w:val="bottom"/>
            <w:vMerge w:val="continue"/>
            <w:shd w:val="clear" w:color="auto" w:fill="CCCCCC"/>
          </w:tcPr>
          <w:p>
            <w:pPr>
              <w:spacing w:after="0"/>
              <w:rPr>
                <w:sz w:val="10"/>
                <w:szCs w:val="10"/>
                <w:color w:val="auto"/>
              </w:rPr>
            </w:pPr>
          </w:p>
        </w:tc>
        <w:tc>
          <w:tcPr>
            <w:tcW w:w="1560" w:type="dxa"/>
            <w:vAlign w:val="bottom"/>
            <w:shd w:val="clear" w:color="auto" w:fill="CCCCCC"/>
          </w:tcPr>
          <w:p>
            <w:pPr>
              <w:spacing w:after="0"/>
              <w:rPr>
                <w:sz w:val="10"/>
                <w:szCs w:val="10"/>
                <w:color w:val="auto"/>
              </w:rPr>
            </w:pPr>
          </w:p>
        </w:tc>
        <w:tc>
          <w:tcPr>
            <w:tcW w:w="1220" w:type="dxa"/>
            <w:vAlign w:val="bottom"/>
            <w:shd w:val="clear" w:color="auto" w:fill="CCCCCC"/>
          </w:tcPr>
          <w:p>
            <w:pPr>
              <w:spacing w:after="0"/>
              <w:rPr>
                <w:sz w:val="10"/>
                <w:szCs w:val="10"/>
                <w:color w:val="auto"/>
              </w:rPr>
            </w:pPr>
          </w:p>
        </w:tc>
        <w:tc>
          <w:tcPr>
            <w:tcW w:w="360" w:type="dxa"/>
            <w:vAlign w:val="bottom"/>
            <w:shd w:val="clear" w:color="auto" w:fill="CCCCCC"/>
          </w:tcPr>
          <w:p>
            <w:pPr>
              <w:spacing w:after="0"/>
              <w:rPr>
                <w:sz w:val="10"/>
                <w:szCs w:val="10"/>
                <w:color w:val="auto"/>
              </w:rPr>
            </w:pPr>
          </w:p>
        </w:tc>
        <w:tc>
          <w:tcPr>
            <w:tcW w:w="1320" w:type="dxa"/>
            <w:vAlign w:val="bottom"/>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612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Net R&amp;D as % of Adjusted Revenue (Net R&amp;D Margin)</w:t>
            </w:r>
          </w:p>
        </w:tc>
        <w:tc>
          <w:tcPr>
            <w:tcW w:w="1560" w:type="dxa"/>
            <w:vAlign w:val="bottom"/>
            <w:shd w:val="clear" w:color="auto" w:fill="CCCCCC"/>
          </w:tcPr>
          <w:p>
            <w:pPr>
              <w:jc w:val="right"/>
              <w:ind w:right="70"/>
              <w:spacing w:after="0"/>
              <w:rPr>
                <w:sz w:val="20"/>
                <w:szCs w:val="20"/>
                <w:color w:val="auto"/>
              </w:rPr>
            </w:pPr>
            <w:r>
              <w:rPr>
                <w:rFonts w:ascii="Arial" w:cs="Arial" w:eastAsia="Arial" w:hAnsi="Arial"/>
                <w:sz w:val="18"/>
                <w:szCs w:val="18"/>
                <w:b w:val="1"/>
                <w:bCs w:val="1"/>
                <w:color w:val="auto"/>
              </w:rPr>
              <w:t>13%</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3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For the six months ended June 30, 2019, selling, general and administrative expenses were $136.4 million, an increase of $56.7 million or 71% as compared to 2018. The increase primarily reflects the addition of the operations and integration costs associated with the PaxVax and Adapt Pharma acquisitions.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 of 16</w:t>
      </w:r>
    </w:p>
    <w:p>
      <w:pPr>
        <w:sectPr>
          <w:pgSz w:w="11900" w:h="16838" w:orient="portrait"/>
          <w:cols w:equalWidth="0" w:num="1">
            <w:col w:w="11420"/>
          </w:cols>
          <w:pgMar w:left="240" w:top="1440" w:right="239" w:bottom="1440" w:gutter="0" w:footer="0" w:header="0"/>
        </w:sectPr>
      </w:pPr>
    </w:p>
    <w:bookmarkStart w:id="7" w:name="page8"/>
    <w:bookmarkEnd w:id="7"/>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226060</wp:posOffset>
            </wp:positionV>
            <wp:extent cx="1517650" cy="634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343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39"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For the six months ended June 30, 2019, amortization of intangible assets was $29.2 million versus $7.8 million as compared to 2018. The increase entirely reflects higher non-cash intangible asset amortization costs associated with the PaxVax and Adapt Pharma acquisitions.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For the six months ended June 30, 2019, the benefit from income taxes in the amount of $17.4 million includes the impact of non-deductible acquisition transaction costs and other permanent items. The effective tax rate for the six months of 2019 is not meaningful given the lack of any pre-tax income for the six month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 &amp; Adjusted Net (Loss) Income</w:t>
      </w:r>
    </w:p>
    <w:p>
      <w:pPr>
        <w:spacing w:after="0" w:line="13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For the six months ended June 30, 2019, the Company recorded a net loss of $35.6 million, or $0.69 per diluted share, versus a net income of $45.2 million, or $0.89 per diluted share, in 2018.</w:t>
      </w:r>
    </w:p>
    <w:p>
      <w:pPr>
        <w:spacing w:after="0" w:line="19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 xml:space="preserve">For the six months ended June 30, 2019, the Company recorded an adjusted net loss of $0.7 million, or $0.01 per diluted share, versus an adjusted net income of $53.1 million, or $1.04 per diluted share, in 2018. </w:t>
      </w:r>
      <w:r>
        <w:rPr>
          <w:rFonts w:ascii="Arial" w:cs="Arial" w:eastAsia="Arial" w:hAnsi="Arial"/>
          <w:sz w:val="18"/>
          <w:szCs w:val="18"/>
          <w:i w:val="1"/>
          <w:iCs w:val="1"/>
          <w:color w:val="auto"/>
        </w:rPr>
        <w:t>(1)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&amp; Adjusted EBITDA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the six months ended June 30, 2019, the Company recorded EBITDA of $19.8 million versus $82.1 million in 2018. </w:t>
      </w:r>
      <w:r>
        <w:rPr>
          <w:rFonts w:ascii="Arial" w:cs="Arial" w:eastAsia="Arial" w:hAnsi="Arial"/>
          <w:sz w:val="18"/>
          <w:szCs w:val="18"/>
          <w:i w:val="1"/>
          <w:iCs w:val="1"/>
          <w:color w:val="auto"/>
        </w:rPr>
        <w:t>(1)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the six months ended June 30, 2019, the Company recorded adjusted EBITDA of $33.3 million versus $83.7 million in 2018. </w:t>
      </w:r>
      <w:r>
        <w:rPr>
          <w:rFonts w:ascii="Arial" w:cs="Arial" w:eastAsia="Arial" w:hAnsi="Arial"/>
          <w:sz w:val="18"/>
          <w:szCs w:val="18"/>
          <w:i w:val="1"/>
          <w:iCs w:val="1"/>
          <w:color w:val="auto"/>
        </w:rPr>
        <w:t>(1)</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2019 FINANCIAL FORECAST (Reaffirmed)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For full year 2019, the company reaffirms its expectation of the following forecasted financial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12330" cy="1166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1166495"/>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20" w:type="dxa"/>
            <w:vAlign w:val="bottom"/>
            <w:vMerge w:val="restart"/>
            <w:shd w:val="clear" w:color="auto" w:fill="0F243E"/>
          </w:tcPr>
          <w:p>
            <w:pPr>
              <w:ind w:left="40"/>
              <w:spacing w:after="0"/>
              <w:rPr>
                <w:sz w:val="20"/>
                <w:szCs w:val="20"/>
                <w:color w:val="auto"/>
              </w:rPr>
            </w:pPr>
            <w:r>
              <w:rPr>
                <w:rFonts w:ascii="Arial" w:cs="Arial" w:eastAsia="Arial" w:hAnsi="Arial"/>
                <w:sz w:val="18"/>
                <w:szCs w:val="18"/>
                <w:color w:val="FFFFFF"/>
              </w:rPr>
              <w:t>(in millions)</w:t>
            </w:r>
          </w:p>
        </w:tc>
        <w:tc>
          <w:tcPr>
            <w:tcW w:w="7000" w:type="dxa"/>
            <w:vAlign w:val="bottom"/>
            <w:gridSpan w:val="2"/>
            <w:shd w:val="clear" w:color="auto" w:fill="0F243E"/>
          </w:tcPr>
          <w:p>
            <w:pPr>
              <w:jc w:val="center"/>
              <w:spacing w:after="0"/>
              <w:rPr>
                <w:sz w:val="20"/>
                <w:szCs w:val="20"/>
                <w:color w:val="auto"/>
              </w:rPr>
            </w:pPr>
            <w:r>
              <w:rPr>
                <w:rFonts w:ascii="Arial" w:cs="Arial" w:eastAsia="Arial" w:hAnsi="Arial"/>
                <w:sz w:val="18"/>
                <w:szCs w:val="18"/>
                <w:b w:val="1"/>
                <w:bCs w:val="1"/>
                <w:color w:val="FFFFFF"/>
                <w:w w:val="99"/>
              </w:rPr>
              <w:t>FULL YEAR 2019</w:t>
            </w:r>
          </w:p>
        </w:tc>
        <w:tc>
          <w:tcPr>
            <w:tcW w:w="0" w:type="dxa"/>
            <w:vAlign w:val="bottom"/>
          </w:tcPr>
          <w:p>
            <w:pPr>
              <w:spacing w:after="0"/>
              <w:rPr>
                <w:sz w:val="1"/>
                <w:szCs w:val="1"/>
                <w:color w:val="auto"/>
              </w:rPr>
            </w:pPr>
          </w:p>
        </w:tc>
      </w:tr>
      <w:tr>
        <w:trPr>
          <w:trHeight w:val="224"/>
        </w:trPr>
        <w:tc>
          <w:tcPr>
            <w:tcW w:w="4320" w:type="dxa"/>
            <w:vAlign w:val="bottom"/>
            <w:tcBorders>
              <w:bottom w:val="single" w:sz="8" w:color="0F243E"/>
            </w:tcBorders>
            <w:vMerge w:val="continue"/>
            <w:shd w:val="clear" w:color="auto" w:fill="0F243E"/>
          </w:tcPr>
          <w:p>
            <w:pPr>
              <w:spacing w:after="0"/>
              <w:rPr>
                <w:sz w:val="19"/>
                <w:szCs w:val="19"/>
                <w:color w:val="auto"/>
              </w:rPr>
            </w:pPr>
          </w:p>
        </w:tc>
        <w:tc>
          <w:tcPr>
            <w:tcW w:w="7000" w:type="dxa"/>
            <w:vAlign w:val="bottom"/>
            <w:tcBorders>
              <w:bottom w:val="single" w:sz="8" w:color="0F243E"/>
            </w:tcBorders>
            <w:gridSpan w:val="2"/>
            <w:shd w:val="clear" w:color="auto" w:fill="0F243E"/>
          </w:tcPr>
          <w:p>
            <w:pPr>
              <w:jc w:val="center"/>
              <w:spacing w:after="0"/>
              <w:rPr>
                <w:sz w:val="20"/>
                <w:szCs w:val="20"/>
                <w:color w:val="auto"/>
              </w:rPr>
            </w:pPr>
            <w:r>
              <w:rPr>
                <w:rFonts w:ascii="Arial" w:cs="Arial" w:eastAsia="Arial" w:hAnsi="Arial"/>
                <w:sz w:val="16"/>
                <w:szCs w:val="16"/>
                <w:i w:val="1"/>
                <w:iCs w:val="1"/>
                <w:color w:val="FFFFFF"/>
              </w:rPr>
              <w:t>(As of 8/1/2019)</w:t>
            </w:r>
          </w:p>
        </w:tc>
        <w:tc>
          <w:tcPr>
            <w:tcW w:w="0" w:type="dxa"/>
            <w:vAlign w:val="bottom"/>
          </w:tcPr>
          <w:p>
            <w:pPr>
              <w:spacing w:after="0"/>
              <w:rPr>
                <w:sz w:val="1"/>
                <w:szCs w:val="1"/>
                <w:color w:val="auto"/>
              </w:rPr>
            </w:pPr>
          </w:p>
        </w:tc>
      </w:tr>
      <w:tr>
        <w:trPr>
          <w:trHeight w:val="257"/>
        </w:trPr>
        <w:tc>
          <w:tcPr>
            <w:tcW w:w="432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Total Revenues</w:t>
            </w:r>
          </w:p>
        </w:tc>
        <w:tc>
          <w:tcPr>
            <w:tcW w:w="3420" w:type="dxa"/>
            <w:vAlign w:val="bottom"/>
            <w:shd w:val="clear" w:color="auto" w:fill="CCCCCC"/>
          </w:tcPr>
          <w:p>
            <w:pPr>
              <w:jc w:val="right"/>
              <w:spacing w:after="0"/>
              <w:rPr>
                <w:sz w:val="20"/>
                <w:szCs w:val="20"/>
                <w:color w:val="auto"/>
              </w:rPr>
            </w:pPr>
            <w:r>
              <w:rPr>
                <w:rFonts w:ascii="Arial" w:cs="Arial" w:eastAsia="Arial" w:hAnsi="Arial"/>
                <w:sz w:val="18"/>
                <w:szCs w:val="18"/>
                <w:b w:val="1"/>
                <w:bCs w:val="1"/>
                <w:color w:val="auto"/>
              </w:rPr>
              <w:t>$1,060</w:t>
            </w:r>
          </w:p>
        </w:tc>
        <w:tc>
          <w:tcPr>
            <w:tcW w:w="3580" w:type="dxa"/>
            <w:vAlign w:val="bottom"/>
            <w:shd w:val="clear" w:color="auto" w:fill="CCCCCC"/>
          </w:tcPr>
          <w:p>
            <w:pPr>
              <w:ind w:left="20"/>
              <w:spacing w:after="0"/>
              <w:rPr>
                <w:sz w:val="20"/>
                <w:szCs w:val="20"/>
                <w:color w:val="auto"/>
              </w:rPr>
            </w:pPr>
            <w:r>
              <w:rPr>
                <w:rFonts w:ascii="Arial" w:cs="Arial" w:eastAsia="Arial" w:hAnsi="Arial"/>
                <w:sz w:val="18"/>
                <w:szCs w:val="18"/>
                <w:b w:val="1"/>
                <w:bCs w:val="1"/>
                <w:color w:val="auto"/>
              </w:rPr>
              <w:t>-- $1,140</w:t>
            </w:r>
          </w:p>
        </w:tc>
        <w:tc>
          <w:tcPr>
            <w:tcW w:w="0" w:type="dxa"/>
            <w:vAlign w:val="bottom"/>
          </w:tcPr>
          <w:p>
            <w:pPr>
              <w:spacing w:after="0"/>
              <w:rPr>
                <w:sz w:val="1"/>
                <w:szCs w:val="1"/>
                <w:color w:val="auto"/>
              </w:rPr>
            </w:pPr>
          </w:p>
        </w:tc>
      </w:tr>
      <w:tr>
        <w:trPr>
          <w:trHeight w:val="270"/>
        </w:trPr>
        <w:tc>
          <w:tcPr>
            <w:tcW w:w="432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i w:val="1"/>
                <w:iCs w:val="1"/>
                <w:color w:val="auto"/>
              </w:rPr>
              <w:t>(1)</w:t>
            </w:r>
          </w:p>
        </w:tc>
        <w:tc>
          <w:tcPr>
            <w:tcW w:w="7000" w:type="dxa"/>
            <w:vAlign w:val="bottom"/>
            <w:gridSpan w:val="2"/>
            <w:shd w:val="clear" w:color="auto" w:fill="CCCCCC"/>
          </w:tcPr>
          <w:p>
            <w:pPr>
              <w:jc w:val="center"/>
              <w:spacing w:after="0"/>
              <w:rPr>
                <w:sz w:val="20"/>
                <w:szCs w:val="20"/>
                <w:color w:val="auto"/>
              </w:rPr>
            </w:pPr>
            <w:r>
              <w:rPr>
                <w:rFonts w:ascii="Arial" w:cs="Arial" w:eastAsia="Arial" w:hAnsi="Arial"/>
                <w:sz w:val="18"/>
                <w:szCs w:val="18"/>
                <w:b w:val="1"/>
                <w:bCs w:val="1"/>
                <w:color w:val="auto"/>
                <w:w w:val="99"/>
              </w:rPr>
              <w:t>$80 -- $110</w:t>
            </w:r>
          </w:p>
        </w:tc>
        <w:tc>
          <w:tcPr>
            <w:tcW w:w="0" w:type="dxa"/>
            <w:vAlign w:val="bottom"/>
          </w:tcPr>
          <w:p>
            <w:pPr>
              <w:spacing w:after="0"/>
              <w:rPr>
                <w:sz w:val="1"/>
                <w:szCs w:val="1"/>
                <w:color w:val="auto"/>
              </w:rPr>
            </w:pPr>
          </w:p>
        </w:tc>
      </w:tr>
      <w:tr>
        <w:trPr>
          <w:trHeight w:val="270"/>
        </w:trPr>
        <w:tc>
          <w:tcPr>
            <w:tcW w:w="432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i w:val="1"/>
                <w:iCs w:val="1"/>
                <w:color w:val="auto"/>
              </w:rPr>
              <w:t>(1)</w:t>
            </w:r>
          </w:p>
        </w:tc>
        <w:tc>
          <w:tcPr>
            <w:tcW w:w="3420" w:type="dxa"/>
            <w:vAlign w:val="bottom"/>
            <w:shd w:val="clear" w:color="auto" w:fill="CCCCCC"/>
          </w:tcPr>
          <w:p>
            <w:pPr>
              <w:jc w:val="right"/>
              <w:spacing w:after="0"/>
              <w:rPr>
                <w:sz w:val="20"/>
                <w:szCs w:val="20"/>
                <w:color w:val="auto"/>
              </w:rPr>
            </w:pPr>
            <w:r>
              <w:rPr>
                <w:rFonts w:ascii="Arial" w:cs="Arial" w:eastAsia="Arial" w:hAnsi="Arial"/>
                <w:sz w:val="18"/>
                <w:szCs w:val="18"/>
                <w:b w:val="1"/>
                <w:bCs w:val="1"/>
                <w:color w:val="auto"/>
              </w:rPr>
              <w:t>$150</w:t>
            </w:r>
          </w:p>
        </w:tc>
        <w:tc>
          <w:tcPr>
            <w:tcW w:w="3580" w:type="dxa"/>
            <w:vAlign w:val="bottom"/>
            <w:shd w:val="clear" w:color="auto" w:fill="CCCCCC"/>
          </w:tcPr>
          <w:p>
            <w:pPr>
              <w:ind w:left="20"/>
              <w:spacing w:after="0"/>
              <w:rPr>
                <w:sz w:val="20"/>
                <w:szCs w:val="20"/>
                <w:color w:val="auto"/>
              </w:rPr>
            </w:pPr>
            <w:r>
              <w:rPr>
                <w:rFonts w:ascii="Arial" w:cs="Arial" w:eastAsia="Arial" w:hAnsi="Arial"/>
                <w:sz w:val="18"/>
                <w:szCs w:val="18"/>
                <w:b w:val="1"/>
                <w:bCs w:val="1"/>
                <w:color w:val="auto"/>
              </w:rPr>
              <w:t>-- $180</w:t>
            </w:r>
          </w:p>
        </w:tc>
        <w:tc>
          <w:tcPr>
            <w:tcW w:w="0" w:type="dxa"/>
            <w:vAlign w:val="bottom"/>
          </w:tcPr>
          <w:p>
            <w:pPr>
              <w:spacing w:after="0"/>
              <w:rPr>
                <w:sz w:val="1"/>
                <w:szCs w:val="1"/>
                <w:color w:val="auto"/>
              </w:rPr>
            </w:pPr>
          </w:p>
        </w:tc>
      </w:tr>
      <w:tr>
        <w:trPr>
          <w:trHeight w:val="270"/>
        </w:trPr>
        <w:tc>
          <w:tcPr>
            <w:tcW w:w="432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i w:val="1"/>
                <w:iCs w:val="1"/>
                <w:color w:val="auto"/>
              </w:rPr>
              <w:t>(1)</w:t>
            </w:r>
          </w:p>
        </w:tc>
        <w:tc>
          <w:tcPr>
            <w:tcW w:w="3420" w:type="dxa"/>
            <w:vAlign w:val="bottom"/>
            <w:shd w:val="clear" w:color="auto" w:fill="CCCCCC"/>
          </w:tcPr>
          <w:p>
            <w:pPr>
              <w:jc w:val="right"/>
              <w:spacing w:after="0"/>
              <w:rPr>
                <w:sz w:val="20"/>
                <w:szCs w:val="20"/>
                <w:color w:val="auto"/>
              </w:rPr>
            </w:pPr>
            <w:r>
              <w:rPr>
                <w:rFonts w:ascii="Arial" w:cs="Arial" w:eastAsia="Arial" w:hAnsi="Arial"/>
                <w:sz w:val="18"/>
                <w:szCs w:val="18"/>
                <w:b w:val="1"/>
                <w:bCs w:val="1"/>
                <w:color w:val="auto"/>
              </w:rPr>
              <w:t>$255</w:t>
            </w:r>
          </w:p>
        </w:tc>
        <w:tc>
          <w:tcPr>
            <w:tcW w:w="3580" w:type="dxa"/>
            <w:vAlign w:val="bottom"/>
            <w:shd w:val="clear" w:color="auto" w:fill="CCCCCC"/>
          </w:tcPr>
          <w:p>
            <w:pPr>
              <w:ind w:left="20"/>
              <w:spacing w:after="0"/>
              <w:rPr>
                <w:sz w:val="20"/>
                <w:szCs w:val="20"/>
                <w:color w:val="auto"/>
              </w:rPr>
            </w:pPr>
            <w:r>
              <w:rPr>
                <w:rFonts w:ascii="Arial" w:cs="Arial" w:eastAsia="Arial" w:hAnsi="Arial"/>
                <w:sz w:val="18"/>
                <w:szCs w:val="18"/>
                <w:b w:val="1"/>
                <w:bCs w:val="1"/>
                <w:color w:val="auto"/>
              </w:rPr>
              <w:t>-- $285</w:t>
            </w:r>
          </w:p>
        </w:tc>
        <w:tc>
          <w:tcPr>
            <w:tcW w:w="0" w:type="dxa"/>
            <w:vAlign w:val="bottom"/>
          </w:tcPr>
          <w:p>
            <w:pPr>
              <w:spacing w:after="0"/>
              <w:rPr>
                <w:sz w:val="1"/>
                <w:szCs w:val="1"/>
                <w:color w:val="auto"/>
              </w:rPr>
            </w:pPr>
          </w:p>
        </w:tc>
      </w:tr>
      <w:tr>
        <w:trPr>
          <w:trHeight w:val="284"/>
        </w:trPr>
        <w:tc>
          <w:tcPr>
            <w:tcW w:w="432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i w:val="1"/>
                <w:iCs w:val="1"/>
                <w:color w:val="auto"/>
              </w:rPr>
              <w:t>(1)</w:t>
            </w:r>
          </w:p>
        </w:tc>
        <w:tc>
          <w:tcPr>
            <w:tcW w:w="3420" w:type="dxa"/>
            <w:vAlign w:val="bottom"/>
            <w:shd w:val="clear" w:color="auto" w:fill="CCCCCC"/>
          </w:tcPr>
          <w:p>
            <w:pPr>
              <w:jc w:val="right"/>
              <w:spacing w:after="0"/>
              <w:rPr>
                <w:sz w:val="20"/>
                <w:szCs w:val="20"/>
                <w:color w:val="auto"/>
              </w:rPr>
            </w:pPr>
            <w:r>
              <w:rPr>
                <w:rFonts w:ascii="Arial" w:cs="Arial" w:eastAsia="Arial" w:hAnsi="Arial"/>
                <w:sz w:val="18"/>
                <w:szCs w:val="18"/>
                <w:b w:val="1"/>
                <w:bCs w:val="1"/>
                <w:color w:val="auto"/>
              </w:rPr>
              <w:t>$280</w:t>
            </w:r>
          </w:p>
        </w:tc>
        <w:tc>
          <w:tcPr>
            <w:tcW w:w="3580" w:type="dxa"/>
            <w:vAlign w:val="bottom"/>
            <w:shd w:val="clear" w:color="auto" w:fill="CCCCCC"/>
          </w:tcPr>
          <w:p>
            <w:pPr>
              <w:ind w:left="20"/>
              <w:spacing w:after="0"/>
              <w:rPr>
                <w:sz w:val="20"/>
                <w:szCs w:val="20"/>
                <w:color w:val="auto"/>
              </w:rPr>
            </w:pPr>
            <w:r>
              <w:rPr>
                <w:rFonts w:ascii="Arial" w:cs="Arial" w:eastAsia="Arial" w:hAnsi="Arial"/>
                <w:sz w:val="18"/>
                <w:szCs w:val="18"/>
                <w:b w:val="1"/>
                <w:bCs w:val="1"/>
                <w:color w:val="auto"/>
              </w:rPr>
              <w:t>-- $310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Company’s financial forecast for 2019 includes the anticipated impact of full year product sales, continued contract manufacturing and contracts &amp; grants revenue as well as continued investment in internally funded development projects. The outlook for 2019 does not include estimates for potential new corporate development or other M&amp;A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2019 REVENUE FORECAST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For Q3 2019, the Company forecast for total revenues is $245 million to $275 million.</w:t>
      </w: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 of 16</w:t>
      </w:r>
    </w:p>
    <w:p>
      <w:pPr>
        <w:sectPr>
          <w:pgSz w:w="11900" w:h="16838" w:orient="portrait"/>
          <w:cols w:equalWidth="0" w:num="1">
            <w:col w:w="11320"/>
          </w:cols>
          <w:pgMar w:left="240" w:top="1440" w:right="339" w:bottom="1440" w:gutter="0" w:footer="0" w:header="0"/>
        </w:sectPr>
      </w:pPr>
    </w:p>
    <w:bookmarkStart w:id="8" w:name="page9"/>
    <w:bookmarkEnd w:id="8"/>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226060</wp:posOffset>
            </wp:positionV>
            <wp:extent cx="1517650" cy="6343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343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FOOTNOTES</w:t>
      </w:r>
    </w:p>
    <w:p>
      <w:pPr>
        <w:spacing w:after="0" w:line="229" w:lineRule="exact"/>
        <w:rPr>
          <w:sz w:val="20"/>
          <w:szCs w:val="20"/>
          <w:color w:val="auto"/>
        </w:rPr>
      </w:pPr>
    </w:p>
    <w:p>
      <w:pPr>
        <w:ind w:right="360" w:firstLine="8"/>
        <w:spacing w:after="0" w:line="282" w:lineRule="auto"/>
        <w:tabs>
          <w:tab w:leader="none" w:pos="27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See "Reconciliation of Net (Loss) Income to Adjusted Net (Loss) Income, EBITDA and Adjusted EBITDA" for a definition of terms and a reconciliation table.</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134"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Company management will host a conference call at 5:00 pm (Eastern Time) today, August 1, 2019, to discuss these financial results. This conference call can be accessed live by telephone or through Emergent’s website:</w:t>
      </w:r>
    </w:p>
    <w:p>
      <w:pPr>
        <w:spacing w:after="0" w:line="354"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Live Teleconference Information:</w:t>
      </w:r>
    </w:p>
    <w:p>
      <w:pPr>
        <w:ind w:left="520"/>
        <w:spacing w:after="0" w:line="234" w:lineRule="auto"/>
        <w:rPr>
          <w:sz w:val="20"/>
          <w:szCs w:val="20"/>
          <w:color w:val="auto"/>
        </w:rPr>
      </w:pPr>
      <w:r>
        <w:rPr>
          <w:rFonts w:ascii="Arial" w:cs="Arial" w:eastAsia="Arial" w:hAnsi="Arial"/>
          <w:sz w:val="18"/>
          <w:szCs w:val="18"/>
          <w:color w:val="auto"/>
        </w:rPr>
        <w:t>Dial in: [US] (855) 766-6521; [International] (262) 912-6157</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Conference ID: 8166567</w:t>
      </w:r>
    </w:p>
    <w:p>
      <w:pPr>
        <w:spacing w:after="0" w:line="45"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Live Webcast Information:</w:t>
      </w:r>
    </w:p>
    <w:p>
      <w:pPr>
        <w:ind w:left="520"/>
        <w:spacing w:after="0"/>
        <w:rPr>
          <w:sz w:val="20"/>
          <w:szCs w:val="20"/>
          <w:color w:val="auto"/>
        </w:rPr>
      </w:pPr>
      <w:r>
        <w:rPr>
          <w:rFonts w:ascii="Arial" w:cs="Arial" w:eastAsia="Arial" w:hAnsi="Arial"/>
          <w:sz w:val="18"/>
          <w:szCs w:val="18"/>
          <w:color w:val="auto"/>
        </w:rPr>
        <w:t>Visit https://edge.media-server.com/m6/p/4agi9rte for the live webcast feed.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call can be accessed at www.emergentbiosolutions.com under “Investors.”</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EMERGENT BIOSOLUTIONS INC.</w:t>
      </w:r>
    </w:p>
    <w:p>
      <w:pPr>
        <w:spacing w:after="0" w:line="13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Emergent BioSolutions Inc. is a global life sciences company seeking to protect and enhance life by focusing on providing specialty products for civilian and military populations that address accidental, deliberate, and naturally occurring public health threats. We aspire to be a Fortune 500 company recognized for protecting and enhancing life, driving innovation, and living our values. Additional information about the company may be found at www.emergentbiosolutions.com. Find us on LinkedIn and follow us on Twitter @emergentbiosolu and Instagram @life_at_emergent.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STATEMENT</w:t>
      </w:r>
    </w:p>
    <w:p>
      <w:pPr>
        <w:spacing w:after="0" w:line="13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This press release includes forward-looking statements within the meaning of the Private Securities Litigation Reform Act of 1995. Any statements, other than statements of historical fact, including, without limitation, our financial guidance, statements regarding product sales, continued contract manufacturing and contracts &amp; grants revenue as well as continued investment in discretionary funding development projects and any other statements containing the words “will,” “believes,” “expects,” “anticipates,” “intends” “plans,” “targets,” “forecasts,” “estimates” and similar expressions in conjunction with, among other things, discussions of the Company's outlook, financial performance or financial condition, financial and operation goals, strategic goals, growth strategy, product sales, government development or procurement contracts or awards, government appropriations, manufacturing capabilities, and Emergency Use Authorization (EUA) and the timing of other regulatory approvals or expenditures and the initiation of the first delivery of doses of AV7909 into the SNS are forward-looking statements. These forward-looking statements are based on our current intentions, beliefs and expectations regarding future events. We cannot guarantee that any forward-looking statement will be accurate. Investors should realize that if underlying assumptions prove inaccurate or unknown risks or uncertainties materialize, actual results could differ materially from our expectations. Investors are, therefore, cautioned not to place undue reliance on any forward-looking statement. Any forward-looking statement speaks only as of the date of this press release, and, except as required by law, we do not undertake to update any forward-looking statement to reflect new information, events or circumstances.</w:t>
      </w:r>
    </w:p>
    <w:p>
      <w:pPr>
        <w:spacing w:after="0" w:line="21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There are a number of important factors that could cause the Company’s actual results to differ materially from those indicated by such forward-looking statements, including the availability of funding and the exercise of options under our BioThrax and AV7909 contracts; appropriations for the procurement of our products; our ability to commence deliveries of AV7909 based on BARDA's procurement for the SNS; our ability to secure EUA designation and eventual licensure of AV7909 from the FDA within the anticipated timeframe, if at all; availability of funding for our U.S. government grants and contracts; our ability to successfully integrate and develop the operations, products or product candidates, programs, and personnel of any entities, businesses or products that we acquire, including our acquisitions of PaxVax and Adapt; our ability to complete expected deliveries of BioThrax, and raxibacumab; our ability to establish a multi-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 of 16</w:t>
      </w:r>
    </w:p>
    <w:p>
      <w:pPr>
        <w:sectPr>
          <w:pgSz w:w="11900" w:h="16838" w:orient="portrait"/>
          <w:cols w:equalWidth="0" w:num="1">
            <w:col w:w="11380"/>
          </w:cols>
          <w:pgMar w:left="240" w:top="1440" w:right="279" w:bottom="1440" w:gutter="0" w:footer="0" w:header="0"/>
        </w:sectPr>
      </w:pPr>
    </w:p>
    <w:bookmarkStart w:id="9" w:name="page10"/>
    <w:bookmarkEnd w:id="9"/>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226060</wp:posOffset>
            </wp:positionV>
            <wp:extent cx="1517650" cy="6343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34365"/>
                    </a:xfrm>
                    <a:prstGeom prst="rect">
                      <a:avLst/>
                    </a:prstGeom>
                    <a:noFill/>
                  </pic:spPr>
                </pic:pic>
              </a:graphicData>
            </a:graphic>
          </wp:anchor>
        </w:drawing>
      </w:r>
    </w:p>
    <w:p>
      <w:pPr>
        <w:spacing w:after="0" w:line="251" w:lineRule="auto"/>
        <w:rPr>
          <w:sz w:val="20"/>
          <w:szCs w:val="20"/>
          <w:color w:val="auto"/>
        </w:rPr>
      </w:pPr>
      <w:r>
        <w:rPr>
          <w:rFonts w:ascii="Arial" w:cs="Arial" w:eastAsia="Arial" w:hAnsi="Arial"/>
          <w:sz w:val="18"/>
          <w:szCs w:val="18"/>
          <w:color w:val="auto"/>
        </w:rPr>
        <w:t>year follow-on contract for ACAM2000; our ability to advance the technology transfer of raxibacumab to the Company’s Bayview facility; our ability to identify and acquire or in-license products or product candidates that satisfy our selection criteria; our ability and the ability of our collaborators to defend underlying patents from infringement by generic naloxone entrants; whether anticipated synergies and benefits from an acquisition or in-license will be realized within expected time periods, if at all; our ability to utilize our manufacturing facilities and expand our capabilities; our ability and the ability of our contractors and suppliers to maintain compliance with Current Good Manufacturing Practices and other regulatory obligations; the results of regulatory inspections; the success of our ongoing and planned development programs; the timing and results of clinical trials; the timing of and our ability to obtain and maintain regulatory approvals for our product candidates; and our commercialization, marketing and manufacturing capabilities and strategy. The foregoing sets forth many, but not all, of the factors that could cause actual results to differ from our expectations in any forward-looking statement. Investors should consider this cautionary statement as well as the risk factors identified in our periodic reports filed with the Securities and Exchange Commission when evaluating our forward-looking statements.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440" w:right="239" w:bottom="1440" w:gutter="0" w:footer="0" w:header="0"/>
        </w:sect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Investor Contact</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Burrows</w:t>
      </w:r>
    </w:p>
    <w:p>
      <w:pPr>
        <w:ind w:left="40"/>
        <w:spacing w:after="0" w:line="234" w:lineRule="auto"/>
        <w:rPr>
          <w:sz w:val="20"/>
          <w:szCs w:val="20"/>
          <w:color w:val="auto"/>
        </w:rPr>
      </w:pPr>
      <w:r>
        <w:rPr>
          <w:rFonts w:ascii="Arial" w:cs="Arial" w:eastAsia="Arial" w:hAnsi="Arial"/>
          <w:sz w:val="18"/>
          <w:szCs w:val="18"/>
          <w:color w:val="auto"/>
        </w:rPr>
        <w:t>Vice President, Investor Relations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color w:val="auto"/>
        </w:rPr>
        <w:t>(o) 240/631-3280; (m) 240/413-1917</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burrowsr@ebsi.com</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Lynn Kieffer</w:t>
      </w:r>
    </w:p>
    <w:p>
      <w:pPr>
        <w:spacing w:after="0" w:line="234" w:lineRule="auto"/>
        <w:rPr>
          <w:sz w:val="20"/>
          <w:szCs w:val="20"/>
          <w:color w:val="auto"/>
        </w:rPr>
      </w:pPr>
      <w:r>
        <w:rPr>
          <w:rFonts w:ascii="Arial" w:cs="Arial" w:eastAsia="Arial" w:hAnsi="Arial"/>
          <w:sz w:val="18"/>
          <w:szCs w:val="18"/>
          <w:color w:val="auto"/>
        </w:rPr>
        <w:t>Vice President, Corporate Communications</w:t>
      </w:r>
    </w:p>
    <w:p>
      <w:pPr>
        <w:spacing w:after="0" w:line="235" w:lineRule="auto"/>
        <w:rPr>
          <w:sz w:val="20"/>
          <w:szCs w:val="20"/>
          <w:color w:val="auto"/>
        </w:rPr>
      </w:pPr>
      <w:r>
        <w:rPr>
          <w:rFonts w:ascii="Arial" w:cs="Arial" w:eastAsia="Arial" w:hAnsi="Arial"/>
          <w:sz w:val="18"/>
          <w:szCs w:val="18"/>
          <w:color w:val="auto"/>
        </w:rPr>
        <w:t>(o) 240/631-3391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kiefferl@ebsi.com</w:t>
      </w:r>
    </w:p>
    <w:p>
      <w:pPr>
        <w:spacing w:after="0" w:line="200" w:lineRule="exact"/>
        <w:rPr>
          <w:sz w:val="20"/>
          <w:szCs w:val="20"/>
          <w:color w:val="auto"/>
        </w:rPr>
      </w:pPr>
    </w:p>
    <w:p>
      <w:pPr>
        <w:sectPr>
          <w:pgSz w:w="11900" w:h="16838" w:orient="portrait"/>
          <w:cols w:equalWidth="0" w:num="2">
            <w:col w:w="5020" w:space="720"/>
            <w:col w:w="5680"/>
          </w:cols>
          <w:pgMar w:left="240" w:top="1440" w:right="239" w:bottom="1440" w:gutter="0" w:footer="0" w:header="0"/>
          <w:type w:val="continuous"/>
        </w:sect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 of 16</w:t>
      </w:r>
    </w:p>
    <w:p>
      <w:pPr>
        <w:sectPr>
          <w:pgSz w:w="11900" w:h="16838" w:orient="portrait"/>
          <w:cols w:equalWidth="0" w:num="1">
            <w:col w:w="11420"/>
          </w:cols>
          <w:pgMar w:left="240" w:top="1440" w:right="239" w:bottom="1440" w:gutter="0" w:footer="0" w:header="0"/>
          <w:type w:val="continuous"/>
        </w:sectPr>
      </w:pPr>
    </w:p>
    <w:bookmarkStart w:id="10" w:name="page11"/>
    <w:bookmarkEnd w:id="10"/>
    <w:p>
      <w:pPr>
        <w:spacing w:after="0" w:line="3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226060</wp:posOffset>
            </wp:positionV>
            <wp:extent cx="1517650" cy="6343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34365"/>
                    </a:xfrm>
                    <a:prstGeom prst="rect">
                      <a:avLst/>
                    </a:prstGeom>
                    <a:noFill/>
                  </pic:spPr>
                </pic:pic>
              </a:graphicData>
            </a:graphic>
          </wp:anchor>
        </w:drawing>
      </w:r>
    </w:p>
    <w:p>
      <w:pPr>
        <w:jc w:val="center"/>
        <w:ind w:right="539"/>
        <w:spacing w:after="0"/>
        <w:rPr>
          <w:sz w:val="20"/>
          <w:szCs w:val="20"/>
          <w:color w:val="auto"/>
        </w:rPr>
      </w:pPr>
      <w:r>
        <w:rPr>
          <w:rFonts w:ascii="Arial" w:cs="Arial" w:eastAsia="Arial" w:hAnsi="Arial"/>
          <w:sz w:val="14"/>
          <w:szCs w:val="14"/>
          <w:b w:val="1"/>
          <w:bCs w:val="1"/>
          <w:color w:val="auto"/>
        </w:rPr>
        <w:t>Emergent BioSolutions Inc.</w:t>
      </w:r>
    </w:p>
    <w:p>
      <w:pPr>
        <w:spacing w:after="0" w:line="55" w:lineRule="exact"/>
        <w:rPr>
          <w:sz w:val="20"/>
          <w:szCs w:val="20"/>
          <w:color w:val="auto"/>
        </w:rPr>
      </w:pPr>
    </w:p>
    <w:p>
      <w:pPr>
        <w:jc w:val="center"/>
        <w:ind w:right="539"/>
        <w:spacing w:after="0"/>
        <w:rPr>
          <w:sz w:val="20"/>
          <w:szCs w:val="20"/>
          <w:color w:val="auto"/>
        </w:rPr>
      </w:pPr>
      <w:r>
        <w:rPr>
          <w:rFonts w:ascii="Arial" w:cs="Arial" w:eastAsia="Arial" w:hAnsi="Arial"/>
          <w:sz w:val="14"/>
          <w:szCs w:val="14"/>
          <w:b w:val="1"/>
          <w:bCs w:val="1"/>
          <w:color w:val="auto"/>
        </w:rPr>
        <w:t>Consolidated Balance Sheets</w:t>
      </w:r>
    </w:p>
    <w:p>
      <w:pPr>
        <w:spacing w:after="0" w:line="55" w:lineRule="exact"/>
        <w:rPr>
          <w:sz w:val="20"/>
          <w:szCs w:val="20"/>
          <w:color w:val="auto"/>
        </w:rPr>
      </w:pPr>
    </w:p>
    <w:p>
      <w:pPr>
        <w:jc w:val="center"/>
        <w:ind w:right="539"/>
        <w:spacing w:after="0"/>
        <w:rPr>
          <w:sz w:val="20"/>
          <w:szCs w:val="20"/>
          <w:color w:val="auto"/>
        </w:rPr>
      </w:pPr>
      <w:r>
        <w:rPr>
          <w:rFonts w:ascii="Arial" w:cs="Arial" w:eastAsia="Arial" w:hAnsi="Arial"/>
          <w:sz w:val="14"/>
          <w:szCs w:val="14"/>
          <w:b w:val="1"/>
          <w:bCs w:val="1"/>
          <w:color w:val="auto"/>
        </w:rPr>
        <w:t>(unaudited,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jc w:val="right"/>
              <w:ind w:right="428"/>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6"/>
                <w:szCs w:val="16"/>
                <w:color w:val="auto"/>
              </w:rPr>
            </w:pP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39"/>
        </w:trPr>
        <w:tc>
          <w:tcPr>
            <w:tcW w:w="600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60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6000" w:type="dxa"/>
            <w:vAlign w:val="bottom"/>
          </w:tcPr>
          <w:p>
            <w:pPr>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177.4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112.2</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3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0.2</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Accounts receivable, net</w:t>
            </w:r>
          </w:p>
        </w:tc>
        <w:tc>
          <w:tcPr>
            <w:tcW w:w="3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218.1</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262.5</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232.0</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205.8</w:t>
            </w:r>
          </w:p>
        </w:tc>
        <w:tc>
          <w:tcPr>
            <w:tcW w:w="0" w:type="dxa"/>
            <w:vAlign w:val="bottom"/>
          </w:tcPr>
          <w:p>
            <w:pPr>
              <w:spacing w:after="0"/>
              <w:rPr>
                <w:sz w:val="1"/>
                <w:szCs w:val="1"/>
                <w:color w:val="auto"/>
              </w:rPr>
            </w:pPr>
          </w:p>
        </w:tc>
      </w:tr>
      <w:tr>
        <w:trPr>
          <w:trHeight w:val="276"/>
        </w:trPr>
        <w:tc>
          <w:tcPr>
            <w:tcW w:w="6000" w:type="dxa"/>
            <w:vAlign w:val="bottom"/>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65.0</w:t>
            </w: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258"/>
        </w:trPr>
        <w:tc>
          <w:tcPr>
            <w:tcW w:w="6000" w:type="dxa"/>
            <w:vAlign w:val="bottom"/>
          </w:tcPr>
          <w:p>
            <w:pPr>
              <w:ind w:left="280"/>
              <w:spacing w:after="0"/>
              <w:rPr>
                <w:sz w:val="20"/>
                <w:szCs w:val="20"/>
                <w:color w:val="auto"/>
              </w:rPr>
            </w:pPr>
            <w:r>
              <w:rPr>
                <w:rFonts w:ascii="Arial" w:cs="Arial" w:eastAsia="Arial" w:hAnsi="Arial"/>
                <w:sz w:val="14"/>
                <w:szCs w:val="14"/>
                <w:color w:val="auto"/>
              </w:rPr>
              <w:t>Total current assets</w:t>
            </w:r>
          </w:p>
        </w:tc>
        <w:tc>
          <w:tcPr>
            <w:tcW w:w="3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692.7</w:t>
            </w: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620.8</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Property, plant and equipment, net</w:t>
            </w:r>
          </w:p>
        </w:tc>
        <w:tc>
          <w:tcPr>
            <w:tcW w:w="3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520.5</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510.2</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Intangible assets, net</w:t>
            </w:r>
          </w:p>
        </w:tc>
        <w:tc>
          <w:tcPr>
            <w:tcW w:w="3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742.4</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761.6</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In-process research and development</w:t>
            </w:r>
          </w:p>
        </w:tc>
        <w:tc>
          <w:tcPr>
            <w:tcW w:w="3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41.0</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268.3</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259.7</w:t>
            </w:r>
          </w:p>
        </w:tc>
        <w:tc>
          <w:tcPr>
            <w:tcW w:w="0" w:type="dxa"/>
            <w:vAlign w:val="bottom"/>
          </w:tcPr>
          <w:p>
            <w:pPr>
              <w:spacing w:after="0"/>
              <w:rPr>
                <w:sz w:val="1"/>
                <w:szCs w:val="1"/>
                <w:color w:val="auto"/>
              </w:rPr>
            </w:pPr>
          </w:p>
        </w:tc>
      </w:tr>
      <w:tr>
        <w:trPr>
          <w:trHeight w:val="276"/>
        </w:trPr>
        <w:tc>
          <w:tcPr>
            <w:tcW w:w="6000" w:type="dxa"/>
            <w:vAlign w:val="bottom"/>
          </w:tcPr>
          <w:p>
            <w:pPr>
              <w:ind w:left="140"/>
              <w:spacing w:after="0"/>
              <w:rPr>
                <w:sz w:val="20"/>
                <w:szCs w:val="20"/>
                <w:color w:val="auto"/>
              </w:rPr>
            </w:pPr>
            <w:r>
              <w:rPr>
                <w:rFonts w:ascii="Arial" w:cs="Arial" w:eastAsia="Arial" w:hAnsi="Arial"/>
                <w:sz w:val="14"/>
                <w:szCs w:val="14"/>
                <w:color w:val="auto"/>
              </w:rPr>
              <w:t>Other assets</w:t>
            </w: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w:t>
            </w: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209"/>
        </w:trPr>
        <w:tc>
          <w:tcPr>
            <w:tcW w:w="6000" w:type="dxa"/>
            <w:vAlign w:val="bottom"/>
          </w:tcPr>
          <w:p>
            <w:pPr>
              <w:spacing w:after="0"/>
              <w:rPr>
                <w:sz w:val="20"/>
                <w:szCs w:val="20"/>
                <w:color w:val="auto"/>
              </w:rPr>
            </w:pPr>
            <w:r>
              <w:rPr>
                <w:rFonts w:ascii="Arial" w:cs="Arial" w:eastAsia="Arial" w:hAnsi="Arial"/>
                <w:sz w:val="14"/>
                <w:szCs w:val="14"/>
                <w:color w:val="auto"/>
              </w:rPr>
              <w:t>Total assets</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2,321.3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2,229.4</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00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124.5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Accrued expenses</w:t>
            </w:r>
          </w:p>
        </w:tc>
        <w:tc>
          <w:tcPr>
            <w:tcW w:w="3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54.8</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Contingent consideration, current portion</w:t>
            </w:r>
          </w:p>
        </w:tc>
        <w:tc>
          <w:tcPr>
            <w:tcW w:w="3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54.6</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Accrued compensation</w:t>
            </w:r>
          </w:p>
        </w:tc>
        <w:tc>
          <w:tcPr>
            <w:tcW w:w="3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44.7</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Debt, current portion</w:t>
            </w:r>
          </w:p>
        </w:tc>
        <w:tc>
          <w:tcPr>
            <w:tcW w:w="3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10.1</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76"/>
        </w:trPr>
        <w:tc>
          <w:tcPr>
            <w:tcW w:w="6000" w:type="dxa"/>
            <w:vAlign w:val="bottom"/>
          </w:tcPr>
          <w:p>
            <w:pPr>
              <w:ind w:left="140"/>
              <w:spacing w:after="0"/>
              <w:rPr>
                <w:sz w:val="20"/>
                <w:szCs w:val="20"/>
                <w:color w:val="auto"/>
              </w:rPr>
            </w:pPr>
            <w:r>
              <w:rPr>
                <w:rFonts w:ascii="Arial" w:cs="Arial" w:eastAsia="Arial" w:hAnsi="Arial"/>
                <w:sz w:val="14"/>
                <w:szCs w:val="14"/>
                <w:color w:val="auto"/>
              </w:rPr>
              <w:t>Other current liabilities</w:t>
            </w: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58"/>
        </w:trPr>
        <w:tc>
          <w:tcPr>
            <w:tcW w:w="6000" w:type="dxa"/>
            <w:vAlign w:val="bottom"/>
          </w:tcPr>
          <w:p>
            <w:pPr>
              <w:ind w:left="280"/>
              <w:spacing w:after="0"/>
              <w:rPr>
                <w:sz w:val="20"/>
                <w:szCs w:val="20"/>
                <w:color w:val="auto"/>
              </w:rPr>
            </w:pPr>
            <w:r>
              <w:rPr>
                <w:rFonts w:ascii="Arial" w:cs="Arial" w:eastAsia="Arial" w:hAnsi="Arial"/>
                <w:sz w:val="14"/>
                <w:szCs w:val="14"/>
                <w:color w:val="auto"/>
              </w:rPr>
              <w:t>Total current liabilities</w:t>
            </w:r>
          </w:p>
        </w:tc>
        <w:tc>
          <w:tcPr>
            <w:tcW w:w="3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301.2</w:t>
            </w: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Contingent consideration</w:t>
            </w:r>
          </w:p>
        </w:tc>
        <w:tc>
          <w:tcPr>
            <w:tcW w:w="3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10.4</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Debt</w:t>
            </w:r>
          </w:p>
        </w:tc>
        <w:tc>
          <w:tcPr>
            <w:tcW w:w="3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830.4</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784.5</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Deferred tax liability</w:t>
            </w:r>
          </w:p>
        </w:tc>
        <w:tc>
          <w:tcPr>
            <w:tcW w:w="3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65.6</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Deferred revenue</w:t>
            </w:r>
          </w:p>
        </w:tc>
        <w:tc>
          <w:tcPr>
            <w:tcW w:w="3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77.0</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276"/>
        </w:trPr>
        <w:tc>
          <w:tcPr>
            <w:tcW w:w="6000" w:type="dxa"/>
            <w:vAlign w:val="bottom"/>
          </w:tcPr>
          <w:p>
            <w:pPr>
              <w:ind w:left="140"/>
              <w:spacing w:after="0"/>
              <w:rPr>
                <w:sz w:val="20"/>
                <w:szCs w:val="20"/>
                <w:color w:val="auto"/>
              </w:rPr>
            </w:pPr>
            <w:r>
              <w:rPr>
                <w:rFonts w:ascii="Arial" w:cs="Arial" w:eastAsia="Arial" w:hAnsi="Arial"/>
                <w:sz w:val="14"/>
                <w:szCs w:val="14"/>
                <w:color w:val="auto"/>
              </w:rPr>
              <w:t>Other liabilities</w:t>
            </w: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w:t>
            </w: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258"/>
        </w:trPr>
        <w:tc>
          <w:tcPr>
            <w:tcW w:w="6000" w:type="dxa"/>
            <w:vAlign w:val="bottom"/>
          </w:tcPr>
          <w:p>
            <w:pPr>
              <w:ind w:left="280"/>
              <w:spacing w:after="0"/>
              <w:rPr>
                <w:sz w:val="20"/>
                <w:szCs w:val="20"/>
                <w:color w:val="auto"/>
              </w:rPr>
            </w:pPr>
            <w:r>
              <w:rPr>
                <w:rFonts w:ascii="Arial" w:cs="Arial" w:eastAsia="Arial" w:hAnsi="Arial"/>
                <w:sz w:val="14"/>
                <w:szCs w:val="14"/>
                <w:color w:val="auto"/>
              </w:rPr>
              <w:t>Total liabilities</w:t>
            </w:r>
          </w:p>
        </w:tc>
        <w:tc>
          <w:tcPr>
            <w:tcW w:w="3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1,332.4</w:t>
            </w: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1,218.5</w:t>
            </w:r>
          </w:p>
        </w:tc>
        <w:tc>
          <w:tcPr>
            <w:tcW w:w="0" w:type="dxa"/>
            <w:vAlign w:val="bottom"/>
          </w:tcPr>
          <w:p>
            <w:pPr>
              <w:spacing w:after="0"/>
              <w:rPr>
                <w:sz w:val="1"/>
                <w:szCs w:val="1"/>
                <w:color w:val="auto"/>
              </w:rPr>
            </w:pPr>
          </w:p>
        </w:tc>
      </w:tr>
      <w:tr>
        <w:trPr>
          <w:trHeight w:val="378"/>
        </w:trPr>
        <w:tc>
          <w:tcPr>
            <w:tcW w:w="600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14"/>
                <w:szCs w:val="14"/>
                <w:color w:val="auto"/>
              </w:rPr>
              <w:t>Stockholders’ equity:</w:t>
            </w:r>
          </w:p>
        </w:tc>
        <w:tc>
          <w:tcPr>
            <w:tcW w:w="3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6000" w:type="dxa"/>
            <w:vAlign w:val="bottom"/>
          </w:tcPr>
          <w:p>
            <w:pPr>
              <w:ind w:left="140"/>
              <w:spacing w:after="0"/>
              <w:rPr>
                <w:sz w:val="20"/>
                <w:szCs w:val="20"/>
                <w:color w:val="auto"/>
              </w:rPr>
            </w:pPr>
            <w:r>
              <w:rPr>
                <w:rFonts w:ascii="Arial" w:cs="Arial" w:eastAsia="Arial" w:hAnsi="Arial"/>
                <w:sz w:val="14"/>
                <w:szCs w:val="14"/>
                <w:color w:val="auto"/>
              </w:rPr>
              <w:t>Preferred stock, $0.001 par value; 15.0 shares authorized, no shares issued or outstanding</w:t>
            </w: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000" w:type="dxa"/>
            <w:vAlign w:val="bottom"/>
          </w:tcPr>
          <w:p>
            <w:pPr>
              <w:spacing w:after="0"/>
              <w:rPr>
                <w:sz w:val="20"/>
                <w:szCs w:val="20"/>
                <w:color w:val="auto"/>
              </w:rPr>
            </w:pPr>
            <w:r>
              <w:rPr>
                <w:rFonts w:ascii="Arial" w:cs="Arial" w:eastAsia="Arial" w:hAnsi="Arial"/>
                <w:sz w:val="14"/>
                <w:szCs w:val="14"/>
                <w:color w:val="auto"/>
              </w:rPr>
              <w:t>at both 2019 and 2018</w:t>
            </w:r>
          </w:p>
        </w:tc>
        <w:tc>
          <w:tcPr>
            <w:tcW w:w="3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6000" w:type="dxa"/>
            <w:vAlign w:val="bottom"/>
          </w:tcPr>
          <w:p>
            <w:pPr>
              <w:ind w:left="140"/>
              <w:spacing w:after="0"/>
              <w:rPr>
                <w:sz w:val="20"/>
                <w:szCs w:val="20"/>
                <w:color w:val="auto"/>
              </w:rPr>
            </w:pPr>
            <w:r>
              <w:rPr>
                <w:rFonts w:ascii="Arial" w:cs="Arial" w:eastAsia="Arial" w:hAnsi="Arial"/>
                <w:sz w:val="14"/>
                <w:szCs w:val="14"/>
                <w:color w:val="auto"/>
              </w:rPr>
              <w:t>Common stock, $0.001 par value; 200.0 shares authorized, 52.7 shares issued and 51.6</w:t>
            </w: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000" w:type="dxa"/>
            <w:vAlign w:val="bottom"/>
          </w:tcPr>
          <w:p>
            <w:pPr>
              <w:spacing w:after="0"/>
              <w:rPr>
                <w:sz w:val="20"/>
                <w:szCs w:val="20"/>
                <w:color w:val="auto"/>
              </w:rPr>
            </w:pPr>
            <w:r>
              <w:rPr>
                <w:rFonts w:ascii="Arial" w:cs="Arial" w:eastAsia="Arial" w:hAnsi="Arial"/>
                <w:sz w:val="14"/>
                <w:szCs w:val="14"/>
                <w:color w:val="auto"/>
              </w:rPr>
              <w:t>shares outstanding at 2019; 52.4 shares issued and 51.2 shares outstanding at 2018</w:t>
            </w:r>
          </w:p>
        </w:tc>
        <w:tc>
          <w:tcPr>
            <w:tcW w:w="3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0.1</w:t>
            </w:r>
          </w:p>
        </w:tc>
        <w:tc>
          <w:tcPr>
            <w:tcW w:w="1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Treasury stock, at cost, 1.2 common shares at both 2019 and 2018</w:t>
            </w:r>
          </w:p>
        </w:tc>
        <w:tc>
          <w:tcPr>
            <w:tcW w:w="3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(39.7)</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3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701.8</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688.6</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3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(5.0)</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76"/>
        </w:trPr>
        <w:tc>
          <w:tcPr>
            <w:tcW w:w="6000" w:type="dxa"/>
            <w:vAlign w:val="bottom"/>
          </w:tcPr>
          <w:p>
            <w:pPr>
              <w:ind w:left="140"/>
              <w:spacing w:after="0"/>
              <w:rPr>
                <w:sz w:val="20"/>
                <w:szCs w:val="20"/>
                <w:color w:val="auto"/>
              </w:rPr>
            </w:pPr>
            <w:r>
              <w:rPr>
                <w:rFonts w:ascii="Arial" w:cs="Arial" w:eastAsia="Arial" w:hAnsi="Arial"/>
                <w:sz w:val="14"/>
                <w:szCs w:val="14"/>
                <w:color w:val="auto"/>
              </w:rPr>
              <w:t>Retained earnings</w:t>
            </w: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331.7</w:t>
            </w: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367.3</w:t>
            </w:r>
          </w:p>
        </w:tc>
        <w:tc>
          <w:tcPr>
            <w:tcW w:w="0" w:type="dxa"/>
            <w:vAlign w:val="bottom"/>
          </w:tcPr>
          <w:p>
            <w:pPr>
              <w:spacing w:after="0"/>
              <w:rPr>
                <w:sz w:val="1"/>
                <w:szCs w:val="1"/>
                <w:color w:val="auto"/>
              </w:rPr>
            </w:pPr>
          </w:p>
        </w:tc>
      </w:tr>
      <w:tr>
        <w:trPr>
          <w:trHeight w:val="264"/>
        </w:trPr>
        <w:tc>
          <w:tcPr>
            <w:tcW w:w="6000" w:type="dxa"/>
            <w:vAlign w:val="bottom"/>
          </w:tcPr>
          <w:p>
            <w:pPr>
              <w:ind w:left="280"/>
              <w:spacing w:after="0"/>
              <w:rPr>
                <w:sz w:val="20"/>
                <w:szCs w:val="20"/>
                <w:color w:val="auto"/>
              </w:rPr>
            </w:pPr>
            <w:r>
              <w:rPr>
                <w:rFonts w:ascii="Arial" w:cs="Arial" w:eastAsia="Arial" w:hAnsi="Arial"/>
                <w:sz w:val="14"/>
                <w:szCs w:val="14"/>
                <w:color w:val="auto"/>
              </w:rPr>
              <w:t>Total stockholders’ equity</w:t>
            </w:r>
          </w:p>
        </w:tc>
        <w:tc>
          <w:tcPr>
            <w:tcW w:w="3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988.9</w:t>
            </w: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1,010.9</w:t>
            </w:r>
          </w:p>
        </w:tc>
        <w:tc>
          <w:tcPr>
            <w:tcW w:w="0" w:type="dxa"/>
            <w:vAlign w:val="bottom"/>
          </w:tcPr>
          <w:p>
            <w:pPr>
              <w:spacing w:after="0"/>
              <w:rPr>
                <w:sz w:val="1"/>
                <w:szCs w:val="1"/>
                <w:color w:val="auto"/>
              </w:rPr>
            </w:pPr>
          </w:p>
        </w:tc>
      </w:tr>
      <w:tr>
        <w:trPr>
          <w:trHeight w:val="216"/>
        </w:trPr>
        <w:tc>
          <w:tcPr>
            <w:tcW w:w="6000" w:type="dxa"/>
            <w:vAlign w:val="bottom"/>
          </w:tcPr>
          <w:p>
            <w:pPr>
              <w:ind w:left="280"/>
              <w:spacing w:after="0"/>
              <w:rPr>
                <w:sz w:val="20"/>
                <w:szCs w:val="20"/>
                <w:color w:val="auto"/>
              </w:rPr>
            </w:pPr>
            <w:r>
              <w:rPr>
                <w:rFonts w:ascii="Arial" w:cs="Arial" w:eastAsia="Arial" w:hAnsi="Arial"/>
                <w:sz w:val="14"/>
                <w:szCs w:val="14"/>
                <w:color w:val="auto"/>
              </w:rPr>
              <w:t>Total liabilities and stockholders’ equity</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2,321.3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2,229.4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79"/>
          </w:cols>
          <w:pgMar w:left="280" w:top="1440" w:right="1440" w:bottom="1440" w:gutter="0" w:footer="0" w:header="0"/>
        </w:sectPr>
      </w:pPr>
    </w:p>
    <w:p>
      <w:pPr>
        <w:spacing w:after="0" w:line="195" w:lineRule="exact"/>
        <w:rPr>
          <w:sz w:val="20"/>
          <w:szCs w:val="20"/>
          <w:color w:val="auto"/>
        </w:rPr>
      </w:pPr>
    </w:p>
    <w:p>
      <w:pPr>
        <w:ind w:left="5440"/>
        <w:spacing w:after="0"/>
        <w:rPr>
          <w:sz w:val="20"/>
          <w:szCs w:val="20"/>
          <w:color w:val="auto"/>
        </w:rPr>
      </w:pPr>
      <w:r>
        <w:rPr>
          <w:rFonts w:ascii="Arial" w:cs="Arial" w:eastAsia="Arial" w:hAnsi="Arial"/>
          <w:sz w:val="15"/>
          <w:szCs w:val="15"/>
          <w:color w:val="auto"/>
        </w:rPr>
        <w:t>9 of 16</w:t>
      </w:r>
    </w:p>
    <w:p>
      <w:pPr>
        <w:sectPr>
          <w:pgSz w:w="11900" w:h="16838" w:orient="portrait"/>
          <w:cols w:equalWidth="0" w:num="1">
            <w:col w:w="10179"/>
          </w:cols>
          <w:pgMar w:left="280" w:top="1440" w:right="1440" w:bottom="1440" w:gutter="0" w:footer="0" w:header="0"/>
          <w:type w:val="continuous"/>
        </w:sectPr>
      </w:pPr>
    </w:p>
    <w:bookmarkStart w:id="11" w:name="page12"/>
    <w:bookmarkEnd w:id="11"/>
    <w:p>
      <w:pPr>
        <w:spacing w:after="0" w:line="3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226060</wp:posOffset>
            </wp:positionV>
            <wp:extent cx="1517650" cy="634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3436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4"/>
          <w:szCs w:val="14"/>
          <w:b w:val="1"/>
          <w:bCs w:val="1"/>
          <w:color w:val="auto"/>
        </w:rPr>
        <w:t>Emergent BioSolutions Inc.</w:t>
      </w:r>
    </w:p>
    <w:p>
      <w:pPr>
        <w:spacing w:after="0" w:line="5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5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 in millions, except per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0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3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20" w:type="dxa"/>
            <w:vAlign w:val="bottom"/>
          </w:tcPr>
          <w:p>
            <w:pPr>
              <w:jc w:val="right"/>
              <w:ind w:right="98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39"/>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Revenues:</w:t>
            </w:r>
          </w:p>
        </w:tc>
        <w:tc>
          <w:tcPr>
            <w:tcW w:w="14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22"/>
        </w:trPr>
        <w:tc>
          <w:tcPr>
            <w:tcW w:w="536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40"/>
              <w:spacing w:after="0"/>
              <w:rPr>
                <w:sz w:val="20"/>
                <w:szCs w:val="20"/>
                <w:color w:val="auto"/>
              </w:rPr>
            </w:pPr>
            <w:r>
              <w:rPr>
                <w:rFonts w:ascii="Arial" w:cs="Arial" w:eastAsia="Arial" w:hAnsi="Arial"/>
                <w:sz w:val="14"/>
                <w:szCs w:val="14"/>
                <w:color w:val="auto"/>
              </w:rPr>
              <w:t>Product sales, net</w:t>
            </w:r>
          </w:p>
        </w:tc>
        <w:tc>
          <w:tcPr>
            <w:tcW w:w="1440" w:type="dxa"/>
            <w:vAlign w:val="bottom"/>
          </w:tcPr>
          <w:p>
            <w:pPr>
              <w:jc w:val="right"/>
              <w:ind w:right="1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183.5</w:t>
            </w:r>
          </w:p>
        </w:tc>
        <w:tc>
          <w:tcPr>
            <w:tcW w:w="10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180.1</w:t>
            </w:r>
          </w:p>
        </w:tc>
        <w:tc>
          <w:tcPr>
            <w:tcW w:w="0" w:type="dxa"/>
            <w:vAlign w:val="bottom"/>
          </w:tcPr>
          <w:p>
            <w:pPr>
              <w:spacing w:after="0"/>
              <w:rPr>
                <w:sz w:val="1"/>
                <w:szCs w:val="1"/>
                <w:color w:val="auto"/>
              </w:rPr>
            </w:pPr>
          </w:p>
        </w:tc>
      </w:tr>
      <w:tr>
        <w:trPr>
          <w:trHeight w:val="270"/>
        </w:trPr>
        <w:tc>
          <w:tcPr>
            <w:tcW w:w="5360" w:type="dxa"/>
            <w:vAlign w:val="bottom"/>
          </w:tcPr>
          <w:p>
            <w:pPr>
              <w:ind w:left="140"/>
              <w:spacing w:after="0"/>
              <w:rPr>
                <w:sz w:val="20"/>
                <w:szCs w:val="20"/>
                <w:color w:val="auto"/>
              </w:rPr>
            </w:pPr>
            <w:r>
              <w:rPr>
                <w:rFonts w:ascii="Arial" w:cs="Arial" w:eastAsia="Arial" w:hAnsi="Arial"/>
                <w:sz w:val="14"/>
                <w:szCs w:val="14"/>
                <w:color w:val="auto"/>
              </w:rPr>
              <w:t>Contract manufacturing</w:t>
            </w:r>
          </w:p>
        </w:tc>
        <w:tc>
          <w:tcPr>
            <w:tcW w:w="144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18.7</w:t>
            </w:r>
          </w:p>
        </w:tc>
        <w:tc>
          <w:tcPr>
            <w:tcW w:w="1040" w:type="dxa"/>
            <w:vAlign w:val="bottom"/>
          </w:tcPr>
          <w:p>
            <w:pPr>
              <w:spacing w:after="0"/>
              <w:rPr>
                <w:sz w:val="23"/>
                <w:szCs w:val="23"/>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276"/>
        </w:trPr>
        <w:tc>
          <w:tcPr>
            <w:tcW w:w="5360" w:type="dxa"/>
            <w:vAlign w:val="bottom"/>
          </w:tcPr>
          <w:p>
            <w:pPr>
              <w:ind w:left="140"/>
              <w:spacing w:after="0"/>
              <w:rPr>
                <w:sz w:val="20"/>
                <w:szCs w:val="20"/>
                <w:color w:val="auto"/>
              </w:rPr>
            </w:pPr>
            <w:r>
              <w:rPr>
                <w:rFonts w:ascii="Arial" w:cs="Arial" w:eastAsia="Arial" w:hAnsi="Arial"/>
                <w:sz w:val="14"/>
                <w:szCs w:val="14"/>
                <w:color w:val="auto"/>
              </w:rPr>
              <w:t>Contracts and grants</w:t>
            </w:r>
          </w:p>
        </w:tc>
        <w:tc>
          <w:tcPr>
            <w:tcW w:w="1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41.0</w:t>
            </w:r>
          </w:p>
        </w:tc>
        <w:tc>
          <w:tcPr>
            <w:tcW w:w="10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58"/>
        </w:trPr>
        <w:tc>
          <w:tcPr>
            <w:tcW w:w="5360" w:type="dxa"/>
            <w:vAlign w:val="bottom"/>
          </w:tcPr>
          <w:p>
            <w:pPr>
              <w:spacing w:after="0"/>
              <w:rPr>
                <w:sz w:val="20"/>
                <w:szCs w:val="20"/>
                <w:color w:val="auto"/>
              </w:rPr>
            </w:pPr>
            <w:r>
              <w:rPr>
                <w:rFonts w:ascii="Arial" w:cs="Arial" w:eastAsia="Arial" w:hAnsi="Arial"/>
                <w:sz w:val="14"/>
                <w:szCs w:val="14"/>
                <w:b w:val="1"/>
                <w:bCs w:val="1"/>
                <w:color w:val="auto"/>
              </w:rPr>
              <w:t>Total revenues</w:t>
            </w:r>
          </w:p>
        </w:tc>
        <w:tc>
          <w:tcPr>
            <w:tcW w:w="144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243.2</w:t>
            </w:r>
          </w:p>
        </w:tc>
        <w:tc>
          <w:tcPr>
            <w:tcW w:w="1040" w:type="dxa"/>
            <w:vAlign w:val="bottom"/>
          </w:tcPr>
          <w:p>
            <w:pPr>
              <w:spacing w:after="0"/>
              <w:rPr>
                <w:sz w:val="22"/>
                <w:szCs w:val="22"/>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220.2</w:t>
            </w:r>
          </w:p>
        </w:tc>
        <w:tc>
          <w:tcPr>
            <w:tcW w:w="0" w:type="dxa"/>
            <w:vAlign w:val="bottom"/>
          </w:tcPr>
          <w:p>
            <w:pPr>
              <w:spacing w:after="0"/>
              <w:rPr>
                <w:sz w:val="1"/>
                <w:szCs w:val="1"/>
                <w:color w:val="auto"/>
              </w:rPr>
            </w:pPr>
          </w:p>
        </w:tc>
      </w:tr>
      <w:tr>
        <w:trPr>
          <w:trHeight w:val="513"/>
        </w:trPr>
        <w:tc>
          <w:tcPr>
            <w:tcW w:w="5360" w:type="dxa"/>
            <w:vAlign w:val="bottom"/>
          </w:tcPr>
          <w:p>
            <w:pPr>
              <w:spacing w:after="0"/>
              <w:rPr>
                <w:sz w:val="20"/>
                <w:szCs w:val="20"/>
                <w:color w:val="auto"/>
              </w:rPr>
            </w:pPr>
            <w:r>
              <w:rPr>
                <w:rFonts w:ascii="Arial" w:cs="Arial" w:eastAsia="Arial" w:hAnsi="Arial"/>
                <w:sz w:val="14"/>
                <w:szCs w:val="14"/>
                <w:b w:val="1"/>
                <w:bCs w:val="1"/>
                <w:color w:val="auto"/>
              </w:rPr>
              <w:t>Operating expenses:</w:t>
            </w: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60" w:type="dxa"/>
            <w:vAlign w:val="bottom"/>
          </w:tcPr>
          <w:p>
            <w:pPr>
              <w:ind w:left="140"/>
              <w:spacing w:after="0"/>
              <w:rPr>
                <w:sz w:val="20"/>
                <w:szCs w:val="20"/>
                <w:color w:val="auto"/>
              </w:rPr>
            </w:pPr>
            <w:r>
              <w:rPr>
                <w:rFonts w:ascii="Arial" w:cs="Arial" w:eastAsia="Arial" w:hAnsi="Arial"/>
                <w:sz w:val="14"/>
                <w:szCs w:val="14"/>
                <w:color w:val="auto"/>
              </w:rPr>
              <w:t>Cost of product sales and contract manufacturing</w:t>
            </w:r>
          </w:p>
        </w:tc>
        <w:tc>
          <w:tcPr>
            <w:tcW w:w="144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100.8</w:t>
            </w:r>
          </w:p>
        </w:tc>
        <w:tc>
          <w:tcPr>
            <w:tcW w:w="1040" w:type="dxa"/>
            <w:vAlign w:val="bottom"/>
          </w:tcPr>
          <w:p>
            <w:pPr>
              <w:spacing w:after="0"/>
              <w:rPr>
                <w:sz w:val="23"/>
                <w:szCs w:val="23"/>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270"/>
        </w:trPr>
        <w:tc>
          <w:tcPr>
            <w:tcW w:w="536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144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63.9</w:t>
            </w:r>
          </w:p>
        </w:tc>
        <w:tc>
          <w:tcPr>
            <w:tcW w:w="1040" w:type="dxa"/>
            <w:vAlign w:val="bottom"/>
          </w:tcPr>
          <w:p>
            <w:pPr>
              <w:spacing w:after="0"/>
              <w:rPr>
                <w:sz w:val="23"/>
                <w:szCs w:val="23"/>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270"/>
        </w:trPr>
        <w:tc>
          <w:tcPr>
            <w:tcW w:w="5360" w:type="dxa"/>
            <w:vAlign w:val="bottom"/>
          </w:tcPr>
          <w:p>
            <w:pPr>
              <w:ind w:left="140"/>
              <w:spacing w:after="0"/>
              <w:rPr>
                <w:sz w:val="20"/>
                <w:szCs w:val="20"/>
                <w:color w:val="auto"/>
              </w:rPr>
            </w:pPr>
            <w:r>
              <w:rPr>
                <w:rFonts w:ascii="Arial" w:cs="Arial" w:eastAsia="Arial" w:hAnsi="Arial"/>
                <w:sz w:val="14"/>
                <w:szCs w:val="14"/>
                <w:color w:val="auto"/>
              </w:rPr>
              <w:t>Selling, general and administrative</w:t>
            </w:r>
          </w:p>
        </w:tc>
        <w:tc>
          <w:tcPr>
            <w:tcW w:w="144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70.8</w:t>
            </w:r>
          </w:p>
        </w:tc>
        <w:tc>
          <w:tcPr>
            <w:tcW w:w="1040" w:type="dxa"/>
            <w:vAlign w:val="bottom"/>
          </w:tcPr>
          <w:p>
            <w:pPr>
              <w:spacing w:after="0"/>
              <w:rPr>
                <w:sz w:val="23"/>
                <w:szCs w:val="23"/>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276"/>
        </w:trPr>
        <w:tc>
          <w:tcPr>
            <w:tcW w:w="5360" w:type="dxa"/>
            <w:vAlign w:val="bottom"/>
          </w:tcPr>
          <w:p>
            <w:pPr>
              <w:ind w:left="140"/>
              <w:spacing w:after="0"/>
              <w:rPr>
                <w:sz w:val="20"/>
                <w:szCs w:val="20"/>
                <w:color w:val="auto"/>
              </w:rPr>
            </w:pPr>
            <w:r>
              <w:rPr>
                <w:rFonts w:ascii="Arial" w:cs="Arial" w:eastAsia="Arial" w:hAnsi="Arial"/>
                <w:sz w:val="14"/>
                <w:szCs w:val="14"/>
                <w:color w:val="auto"/>
              </w:rPr>
              <w:t>Amortization of acquisition-related intangible assets</w:t>
            </w:r>
          </w:p>
        </w:tc>
        <w:tc>
          <w:tcPr>
            <w:tcW w:w="1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14.7</w:t>
            </w:r>
          </w:p>
        </w:tc>
        <w:tc>
          <w:tcPr>
            <w:tcW w:w="10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58"/>
        </w:trPr>
        <w:tc>
          <w:tcPr>
            <w:tcW w:w="5360" w:type="dxa"/>
            <w:vAlign w:val="bottom"/>
          </w:tcPr>
          <w:p>
            <w:pPr>
              <w:spacing w:after="0"/>
              <w:rPr>
                <w:sz w:val="20"/>
                <w:szCs w:val="20"/>
                <w:color w:val="auto"/>
              </w:rPr>
            </w:pPr>
            <w:r>
              <w:rPr>
                <w:rFonts w:ascii="Arial" w:cs="Arial" w:eastAsia="Arial" w:hAnsi="Arial"/>
                <w:sz w:val="14"/>
                <w:szCs w:val="14"/>
                <w:b w:val="1"/>
                <w:bCs w:val="1"/>
                <w:color w:val="auto"/>
              </w:rPr>
              <w:t>Total operating expenses</w:t>
            </w:r>
          </w:p>
        </w:tc>
        <w:tc>
          <w:tcPr>
            <w:tcW w:w="144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250.2</w:t>
            </w:r>
          </w:p>
        </w:tc>
        <w:tc>
          <w:tcPr>
            <w:tcW w:w="1040" w:type="dxa"/>
            <w:vAlign w:val="bottom"/>
          </w:tcPr>
          <w:p>
            <w:pPr>
              <w:spacing w:after="0"/>
              <w:rPr>
                <w:sz w:val="22"/>
                <w:szCs w:val="22"/>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153.4</w:t>
            </w:r>
          </w:p>
        </w:tc>
        <w:tc>
          <w:tcPr>
            <w:tcW w:w="0" w:type="dxa"/>
            <w:vAlign w:val="bottom"/>
          </w:tcPr>
          <w:p>
            <w:pPr>
              <w:spacing w:after="0"/>
              <w:rPr>
                <w:sz w:val="1"/>
                <w:szCs w:val="1"/>
                <w:color w:val="auto"/>
              </w:rPr>
            </w:pPr>
          </w:p>
        </w:tc>
      </w:tr>
      <w:tr>
        <w:trPr>
          <w:trHeight w:val="513"/>
        </w:trPr>
        <w:tc>
          <w:tcPr>
            <w:tcW w:w="5360" w:type="dxa"/>
            <w:vAlign w:val="bottom"/>
          </w:tcPr>
          <w:p>
            <w:pPr>
              <w:spacing w:after="0"/>
              <w:rPr>
                <w:sz w:val="20"/>
                <w:szCs w:val="20"/>
                <w:color w:val="auto"/>
              </w:rPr>
            </w:pPr>
            <w:r>
              <w:rPr>
                <w:rFonts w:ascii="Arial" w:cs="Arial" w:eastAsia="Arial" w:hAnsi="Arial"/>
                <w:sz w:val="14"/>
                <w:szCs w:val="14"/>
                <w:color w:val="auto"/>
              </w:rPr>
              <w:t>(Loss) income from operations</w:t>
            </w:r>
          </w:p>
        </w:tc>
        <w:tc>
          <w:tcPr>
            <w:tcW w:w="144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040" w:type="dxa"/>
            <w:vAlign w:val="bottom"/>
          </w:tcPr>
          <w:p>
            <w:pPr>
              <w:spacing w:after="0"/>
              <w:rPr>
                <w:sz w:val="24"/>
                <w:szCs w:val="24"/>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513"/>
        </w:trPr>
        <w:tc>
          <w:tcPr>
            <w:tcW w:w="5360" w:type="dxa"/>
            <w:vAlign w:val="bottom"/>
          </w:tcPr>
          <w:p>
            <w:pPr>
              <w:spacing w:after="0"/>
              <w:rPr>
                <w:sz w:val="20"/>
                <w:szCs w:val="20"/>
                <w:color w:val="auto"/>
              </w:rPr>
            </w:pPr>
            <w:r>
              <w:rPr>
                <w:rFonts w:ascii="Arial" w:cs="Arial" w:eastAsia="Arial" w:hAnsi="Arial"/>
                <w:sz w:val="14"/>
                <w:szCs w:val="14"/>
                <w:b w:val="1"/>
                <w:bCs w:val="1"/>
                <w:color w:val="auto"/>
              </w:rPr>
              <w:t>Other income (expense):</w:t>
            </w: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6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144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040" w:type="dxa"/>
            <w:vAlign w:val="bottom"/>
          </w:tcPr>
          <w:p>
            <w:pPr>
              <w:spacing w:after="0"/>
              <w:rPr>
                <w:sz w:val="23"/>
                <w:szCs w:val="23"/>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5360" w:type="dxa"/>
            <w:vAlign w:val="bottom"/>
          </w:tcPr>
          <w:p>
            <w:pPr>
              <w:ind w:left="140"/>
              <w:spacing w:after="0"/>
              <w:rPr>
                <w:sz w:val="20"/>
                <w:szCs w:val="20"/>
                <w:color w:val="auto"/>
              </w:rPr>
            </w:pPr>
            <w:r>
              <w:rPr>
                <w:rFonts w:ascii="Arial" w:cs="Arial" w:eastAsia="Arial" w:hAnsi="Arial"/>
                <w:sz w:val="14"/>
                <w:szCs w:val="14"/>
                <w:color w:val="auto"/>
              </w:rPr>
              <w:t>Other income, net</w:t>
            </w:r>
          </w:p>
        </w:tc>
        <w:tc>
          <w:tcPr>
            <w:tcW w:w="1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10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5360" w:type="dxa"/>
            <w:vAlign w:val="bottom"/>
          </w:tcPr>
          <w:p>
            <w:pPr>
              <w:spacing w:after="0"/>
              <w:rPr>
                <w:sz w:val="20"/>
                <w:szCs w:val="20"/>
                <w:color w:val="auto"/>
              </w:rPr>
            </w:pPr>
            <w:r>
              <w:rPr>
                <w:rFonts w:ascii="Arial" w:cs="Arial" w:eastAsia="Arial" w:hAnsi="Arial"/>
                <w:sz w:val="14"/>
                <w:szCs w:val="14"/>
                <w:b w:val="1"/>
                <w:bCs w:val="1"/>
                <w:color w:val="auto"/>
              </w:rPr>
              <w:t>Total other expense, net</w:t>
            </w:r>
          </w:p>
        </w:tc>
        <w:tc>
          <w:tcPr>
            <w:tcW w:w="144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1040" w:type="dxa"/>
            <w:vAlign w:val="bottom"/>
          </w:tcPr>
          <w:p>
            <w:pPr>
              <w:spacing w:after="0"/>
              <w:rPr>
                <w:sz w:val="22"/>
                <w:szCs w:val="22"/>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513"/>
        </w:trPr>
        <w:tc>
          <w:tcPr>
            <w:tcW w:w="5360" w:type="dxa"/>
            <w:vAlign w:val="bottom"/>
          </w:tcPr>
          <w:p>
            <w:pPr>
              <w:spacing w:after="0"/>
              <w:rPr>
                <w:sz w:val="20"/>
                <w:szCs w:val="20"/>
                <w:color w:val="auto"/>
              </w:rPr>
            </w:pPr>
            <w:r>
              <w:rPr>
                <w:rFonts w:ascii="Arial" w:cs="Arial" w:eastAsia="Arial" w:hAnsi="Arial"/>
                <w:sz w:val="14"/>
                <w:szCs w:val="14"/>
                <w:b w:val="1"/>
                <w:bCs w:val="1"/>
                <w:color w:val="auto"/>
              </w:rPr>
              <w:t>(Loss) income before income taxes</w:t>
            </w:r>
          </w:p>
        </w:tc>
        <w:tc>
          <w:tcPr>
            <w:tcW w:w="144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(15.1)</w:t>
            </w:r>
          </w:p>
        </w:tc>
        <w:tc>
          <w:tcPr>
            <w:tcW w:w="1040" w:type="dxa"/>
            <w:vAlign w:val="bottom"/>
          </w:tcPr>
          <w:p>
            <w:pPr>
              <w:spacing w:after="0"/>
              <w:rPr>
                <w:sz w:val="24"/>
                <w:szCs w:val="24"/>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65.8</w:t>
            </w:r>
          </w:p>
        </w:tc>
        <w:tc>
          <w:tcPr>
            <w:tcW w:w="0" w:type="dxa"/>
            <w:vAlign w:val="bottom"/>
          </w:tcPr>
          <w:p>
            <w:pPr>
              <w:spacing w:after="0"/>
              <w:rPr>
                <w:sz w:val="1"/>
                <w:szCs w:val="1"/>
                <w:color w:val="auto"/>
              </w:rPr>
            </w:pPr>
          </w:p>
        </w:tc>
      </w:tr>
      <w:tr>
        <w:trPr>
          <w:trHeight w:val="276"/>
        </w:trPr>
        <w:tc>
          <w:tcPr>
            <w:tcW w:w="5360" w:type="dxa"/>
            <w:vAlign w:val="bottom"/>
          </w:tcPr>
          <w:p>
            <w:pPr>
              <w:spacing w:after="0"/>
              <w:rPr>
                <w:sz w:val="20"/>
                <w:szCs w:val="20"/>
                <w:color w:val="auto"/>
              </w:rPr>
            </w:pPr>
            <w:r>
              <w:rPr>
                <w:rFonts w:ascii="Arial" w:cs="Arial" w:eastAsia="Arial" w:hAnsi="Arial"/>
                <w:sz w:val="14"/>
                <w:szCs w:val="14"/>
                <w:color w:val="auto"/>
              </w:rPr>
              <w:t>Income tax (benefit) expense</w:t>
            </w:r>
          </w:p>
        </w:tc>
        <w:tc>
          <w:tcPr>
            <w:tcW w:w="1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w:t>
            </w:r>
          </w:p>
        </w:tc>
        <w:tc>
          <w:tcPr>
            <w:tcW w:w="10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4"/>
                <w:szCs w:val="14"/>
                <w:b w:val="1"/>
                <w:bCs w:val="1"/>
                <w:color w:val="auto"/>
              </w:rPr>
              <w:t>Net (loss) income</w:t>
            </w:r>
          </w:p>
        </w:tc>
        <w:tc>
          <w:tcPr>
            <w:tcW w:w="1440" w:type="dxa"/>
            <w:vAlign w:val="bottom"/>
            <w:tcBorders>
              <w:bottom w:val="single" w:sz="8" w:color="auto"/>
            </w:tcBorders>
          </w:tcPr>
          <w:p>
            <w:pPr>
              <w:jc w:val="right"/>
              <w:ind w:right="1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w:t>
            </w:r>
          </w:p>
        </w:tc>
        <w:tc>
          <w:tcPr>
            <w:tcW w:w="10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Net (loss) income per share - basic</w:t>
            </w:r>
          </w:p>
        </w:tc>
        <w:tc>
          <w:tcPr>
            <w:tcW w:w="1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5360" w:type="dxa"/>
            <w:vAlign w:val="bottom"/>
            <w:vMerge w:val="continue"/>
          </w:tcPr>
          <w:p>
            <w:pPr>
              <w:spacing w:after="0"/>
              <w:rPr>
                <w:sz w:val="24"/>
                <w:szCs w:val="24"/>
                <w:color w:val="auto"/>
              </w:rPr>
            </w:pPr>
          </w:p>
        </w:tc>
        <w:tc>
          <w:tcPr>
            <w:tcW w:w="1440" w:type="dxa"/>
            <w:vAlign w:val="bottom"/>
          </w:tcPr>
          <w:p>
            <w:pPr>
              <w:jc w:val="right"/>
              <w:ind w:right="1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(0.18)</w:t>
            </w:r>
          </w:p>
        </w:tc>
        <w:tc>
          <w:tcPr>
            <w:tcW w:w="10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4"/>
                <w:szCs w:val="14"/>
                <w:b w:val="1"/>
                <w:bCs w:val="1"/>
                <w:color w:val="auto"/>
              </w:rPr>
              <w:t>Net (loss) income per share - diluted</w:t>
            </w:r>
          </w:p>
        </w:tc>
        <w:tc>
          <w:tcPr>
            <w:tcW w:w="1440" w:type="dxa"/>
            <w:vAlign w:val="bottom"/>
          </w:tcPr>
          <w:p>
            <w:pPr>
              <w:jc w:val="right"/>
              <w:ind w:right="1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(0.18)</w:t>
            </w:r>
          </w:p>
        </w:tc>
        <w:tc>
          <w:tcPr>
            <w:tcW w:w="10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0.98</w:t>
            </w:r>
          </w:p>
        </w:tc>
        <w:tc>
          <w:tcPr>
            <w:tcW w:w="0" w:type="dxa"/>
            <w:vAlign w:val="bottom"/>
          </w:tcPr>
          <w:p>
            <w:pPr>
              <w:spacing w:after="0"/>
              <w:rPr>
                <w:sz w:val="1"/>
                <w:szCs w:val="1"/>
                <w:color w:val="auto"/>
              </w:rPr>
            </w:pPr>
          </w:p>
        </w:tc>
      </w:tr>
      <w:tr>
        <w:trPr>
          <w:trHeight w:val="513"/>
        </w:trPr>
        <w:tc>
          <w:tcPr>
            <w:tcW w:w="5360" w:type="dxa"/>
            <w:vAlign w:val="bottom"/>
          </w:tcPr>
          <w:p>
            <w:pPr>
              <w:spacing w:after="0"/>
              <w:rPr>
                <w:sz w:val="20"/>
                <w:szCs w:val="20"/>
                <w:color w:val="auto"/>
              </w:rPr>
            </w:pPr>
            <w:r>
              <w:rPr>
                <w:rFonts w:ascii="Arial" w:cs="Arial" w:eastAsia="Arial" w:hAnsi="Arial"/>
                <w:sz w:val="14"/>
                <w:szCs w:val="14"/>
                <w:b w:val="1"/>
                <w:bCs w:val="1"/>
                <w:color w:val="auto"/>
              </w:rPr>
              <w:t>Weighted-average number of shares - basic</w:t>
            </w:r>
          </w:p>
        </w:tc>
        <w:tc>
          <w:tcPr>
            <w:tcW w:w="144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51.5</w:t>
            </w:r>
          </w:p>
        </w:tc>
        <w:tc>
          <w:tcPr>
            <w:tcW w:w="1040" w:type="dxa"/>
            <w:vAlign w:val="bottom"/>
          </w:tcPr>
          <w:p>
            <w:pPr>
              <w:spacing w:after="0"/>
              <w:rPr>
                <w:sz w:val="24"/>
                <w:szCs w:val="24"/>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270"/>
        </w:trPr>
        <w:tc>
          <w:tcPr>
            <w:tcW w:w="5360" w:type="dxa"/>
            <w:vAlign w:val="bottom"/>
          </w:tcPr>
          <w:p>
            <w:pPr>
              <w:spacing w:after="0"/>
              <w:rPr>
                <w:sz w:val="20"/>
                <w:szCs w:val="20"/>
                <w:color w:val="auto"/>
              </w:rPr>
            </w:pPr>
            <w:r>
              <w:rPr>
                <w:rFonts w:ascii="Arial" w:cs="Arial" w:eastAsia="Arial" w:hAnsi="Arial"/>
                <w:sz w:val="14"/>
                <w:szCs w:val="14"/>
                <w:b w:val="1"/>
                <w:bCs w:val="1"/>
                <w:color w:val="auto"/>
              </w:rPr>
              <w:t>Weighted-average number of shares - diluted</w:t>
            </w:r>
          </w:p>
        </w:tc>
        <w:tc>
          <w:tcPr>
            <w:tcW w:w="144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51.5</w:t>
            </w:r>
          </w:p>
        </w:tc>
        <w:tc>
          <w:tcPr>
            <w:tcW w:w="1040" w:type="dxa"/>
            <w:vAlign w:val="bottom"/>
          </w:tcPr>
          <w:p>
            <w:pPr>
              <w:spacing w:after="0"/>
              <w:rPr>
                <w:sz w:val="23"/>
                <w:szCs w:val="23"/>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10 of 16</w:t>
      </w:r>
    </w:p>
    <w:p>
      <w:pPr>
        <w:sectPr>
          <w:pgSz w:w="11900" w:h="16838" w:orient="portrait"/>
          <w:cols w:equalWidth="0" w:num="1">
            <w:col w:w="10320"/>
          </w:cols>
          <w:pgMar w:left="280" w:top="1440" w:right="1299" w:bottom="1440" w:gutter="0" w:footer="0" w:header="0"/>
        </w:sectPr>
      </w:pPr>
    </w:p>
    <w:bookmarkStart w:id="12" w:name="page13"/>
    <w:bookmarkEnd w:id="12"/>
    <w:p>
      <w:pPr>
        <w:spacing w:after="0" w:line="3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226060</wp:posOffset>
            </wp:positionV>
            <wp:extent cx="1517650" cy="6343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3436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4"/>
          <w:szCs w:val="14"/>
          <w:b w:val="1"/>
          <w:bCs w:val="1"/>
          <w:color w:val="auto"/>
        </w:rPr>
        <w:t>Emergent BioSolutions Inc.</w:t>
      </w:r>
    </w:p>
    <w:p>
      <w:pPr>
        <w:spacing w:after="0" w:line="5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5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(unaudited, in millions, except per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Six Months Ended June 30,</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80" w:type="dxa"/>
            <w:vAlign w:val="bottom"/>
          </w:tcPr>
          <w:p>
            <w:pPr>
              <w:jc w:val="right"/>
              <w:ind w:right="10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39"/>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Revenues:</w:t>
            </w:r>
          </w:p>
        </w:tc>
        <w:tc>
          <w:tcPr>
            <w:tcW w:w="14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22"/>
        </w:trPr>
        <w:tc>
          <w:tcPr>
            <w:tcW w:w="536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40"/>
              <w:spacing w:after="0"/>
              <w:rPr>
                <w:sz w:val="20"/>
                <w:szCs w:val="20"/>
                <w:color w:val="auto"/>
              </w:rPr>
            </w:pPr>
            <w:r>
              <w:rPr>
                <w:rFonts w:ascii="Arial" w:cs="Arial" w:eastAsia="Arial" w:hAnsi="Arial"/>
                <w:sz w:val="14"/>
                <w:szCs w:val="14"/>
                <w:color w:val="auto"/>
              </w:rPr>
              <w:t>Product sales, net</w:t>
            </w:r>
          </w:p>
        </w:tc>
        <w:tc>
          <w:tcPr>
            <w:tcW w:w="1480" w:type="dxa"/>
            <w:vAlign w:val="bottom"/>
          </w:tcPr>
          <w:p>
            <w:pPr>
              <w:jc w:val="right"/>
              <w:ind w:right="12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336.5</w:t>
            </w:r>
          </w:p>
        </w:tc>
        <w:tc>
          <w:tcPr>
            <w:tcW w:w="9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255.8</w:t>
            </w:r>
          </w:p>
        </w:tc>
        <w:tc>
          <w:tcPr>
            <w:tcW w:w="0" w:type="dxa"/>
            <w:vAlign w:val="bottom"/>
          </w:tcPr>
          <w:p>
            <w:pPr>
              <w:spacing w:after="0"/>
              <w:rPr>
                <w:sz w:val="1"/>
                <w:szCs w:val="1"/>
                <w:color w:val="auto"/>
              </w:rPr>
            </w:pPr>
          </w:p>
        </w:tc>
      </w:tr>
      <w:tr>
        <w:trPr>
          <w:trHeight w:val="270"/>
        </w:trPr>
        <w:tc>
          <w:tcPr>
            <w:tcW w:w="5360" w:type="dxa"/>
            <w:vAlign w:val="bottom"/>
          </w:tcPr>
          <w:p>
            <w:pPr>
              <w:ind w:left="140"/>
              <w:spacing w:after="0"/>
              <w:rPr>
                <w:sz w:val="20"/>
                <w:szCs w:val="20"/>
                <w:color w:val="auto"/>
              </w:rPr>
            </w:pPr>
            <w:r>
              <w:rPr>
                <w:rFonts w:ascii="Arial" w:cs="Arial" w:eastAsia="Arial" w:hAnsi="Arial"/>
                <w:sz w:val="14"/>
                <w:szCs w:val="14"/>
                <w:color w:val="auto"/>
              </w:rPr>
              <w:t>Contract manufacturing</w:t>
            </w:r>
          </w:p>
        </w:tc>
        <w:tc>
          <w:tcPr>
            <w:tcW w:w="14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34.6</w:t>
            </w:r>
          </w:p>
        </w:tc>
        <w:tc>
          <w:tcPr>
            <w:tcW w:w="98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276"/>
        </w:trPr>
        <w:tc>
          <w:tcPr>
            <w:tcW w:w="5360" w:type="dxa"/>
            <w:vAlign w:val="bottom"/>
          </w:tcPr>
          <w:p>
            <w:pPr>
              <w:ind w:left="140"/>
              <w:spacing w:after="0"/>
              <w:rPr>
                <w:sz w:val="20"/>
                <w:szCs w:val="20"/>
                <w:color w:val="auto"/>
              </w:rPr>
            </w:pPr>
            <w:r>
              <w:rPr>
                <w:rFonts w:ascii="Arial" w:cs="Arial" w:eastAsia="Arial" w:hAnsi="Arial"/>
                <w:sz w:val="14"/>
                <w:szCs w:val="14"/>
                <w:color w:val="auto"/>
              </w:rPr>
              <w:t>Contracts and grants</w:t>
            </w:r>
          </w:p>
        </w:tc>
        <w:tc>
          <w:tcPr>
            <w:tcW w:w="14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62.8</w:t>
            </w:r>
          </w:p>
        </w:tc>
        <w:tc>
          <w:tcPr>
            <w:tcW w:w="9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258"/>
        </w:trPr>
        <w:tc>
          <w:tcPr>
            <w:tcW w:w="5360" w:type="dxa"/>
            <w:vAlign w:val="bottom"/>
          </w:tcPr>
          <w:p>
            <w:pPr>
              <w:spacing w:after="0"/>
              <w:rPr>
                <w:sz w:val="20"/>
                <w:szCs w:val="20"/>
                <w:color w:val="auto"/>
              </w:rPr>
            </w:pPr>
            <w:r>
              <w:rPr>
                <w:rFonts w:ascii="Arial" w:cs="Arial" w:eastAsia="Arial" w:hAnsi="Arial"/>
                <w:sz w:val="14"/>
                <w:szCs w:val="14"/>
                <w:b w:val="1"/>
                <w:bCs w:val="1"/>
                <w:color w:val="auto"/>
              </w:rPr>
              <w:t>Total revenues</w:t>
            </w:r>
          </w:p>
        </w:tc>
        <w:tc>
          <w:tcPr>
            <w:tcW w:w="14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433.9</w:t>
            </w:r>
          </w:p>
        </w:tc>
        <w:tc>
          <w:tcPr>
            <w:tcW w:w="98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338.0</w:t>
            </w:r>
          </w:p>
        </w:tc>
        <w:tc>
          <w:tcPr>
            <w:tcW w:w="0" w:type="dxa"/>
            <w:vAlign w:val="bottom"/>
          </w:tcPr>
          <w:p>
            <w:pPr>
              <w:spacing w:after="0"/>
              <w:rPr>
                <w:sz w:val="1"/>
                <w:szCs w:val="1"/>
                <w:color w:val="auto"/>
              </w:rPr>
            </w:pPr>
          </w:p>
        </w:tc>
      </w:tr>
      <w:tr>
        <w:trPr>
          <w:trHeight w:val="513"/>
        </w:trPr>
        <w:tc>
          <w:tcPr>
            <w:tcW w:w="5360" w:type="dxa"/>
            <w:vAlign w:val="bottom"/>
          </w:tcPr>
          <w:p>
            <w:pPr>
              <w:spacing w:after="0"/>
              <w:rPr>
                <w:sz w:val="20"/>
                <w:szCs w:val="20"/>
                <w:color w:val="auto"/>
              </w:rPr>
            </w:pPr>
            <w:r>
              <w:rPr>
                <w:rFonts w:ascii="Arial" w:cs="Arial" w:eastAsia="Arial" w:hAnsi="Arial"/>
                <w:sz w:val="14"/>
                <w:szCs w:val="14"/>
                <w:b w:val="1"/>
                <w:bCs w:val="1"/>
                <w:color w:val="auto"/>
              </w:rPr>
              <w:t>Operating expenses:</w:t>
            </w: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60" w:type="dxa"/>
            <w:vAlign w:val="bottom"/>
          </w:tcPr>
          <w:p>
            <w:pPr>
              <w:ind w:left="140"/>
              <w:spacing w:after="0"/>
              <w:rPr>
                <w:sz w:val="20"/>
                <w:szCs w:val="20"/>
                <w:color w:val="auto"/>
              </w:rPr>
            </w:pPr>
            <w:r>
              <w:rPr>
                <w:rFonts w:ascii="Arial" w:cs="Arial" w:eastAsia="Arial" w:hAnsi="Arial"/>
                <w:sz w:val="14"/>
                <w:szCs w:val="14"/>
                <w:color w:val="auto"/>
              </w:rPr>
              <w:t>Cost of product sales and contract manufacturing</w:t>
            </w:r>
          </w:p>
        </w:tc>
        <w:tc>
          <w:tcPr>
            <w:tcW w:w="14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192.7</w:t>
            </w:r>
          </w:p>
        </w:tc>
        <w:tc>
          <w:tcPr>
            <w:tcW w:w="98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139.4</w:t>
            </w:r>
          </w:p>
        </w:tc>
        <w:tc>
          <w:tcPr>
            <w:tcW w:w="0" w:type="dxa"/>
            <w:vAlign w:val="bottom"/>
          </w:tcPr>
          <w:p>
            <w:pPr>
              <w:spacing w:after="0"/>
              <w:rPr>
                <w:sz w:val="1"/>
                <w:szCs w:val="1"/>
                <w:color w:val="auto"/>
              </w:rPr>
            </w:pPr>
          </w:p>
        </w:tc>
      </w:tr>
      <w:tr>
        <w:trPr>
          <w:trHeight w:val="270"/>
        </w:trPr>
        <w:tc>
          <w:tcPr>
            <w:tcW w:w="536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14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110.0</w:t>
            </w:r>
          </w:p>
        </w:tc>
        <w:tc>
          <w:tcPr>
            <w:tcW w:w="98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270"/>
        </w:trPr>
        <w:tc>
          <w:tcPr>
            <w:tcW w:w="5360" w:type="dxa"/>
            <w:vAlign w:val="bottom"/>
          </w:tcPr>
          <w:p>
            <w:pPr>
              <w:ind w:left="140"/>
              <w:spacing w:after="0"/>
              <w:rPr>
                <w:sz w:val="20"/>
                <w:szCs w:val="20"/>
                <w:color w:val="auto"/>
              </w:rPr>
            </w:pPr>
            <w:r>
              <w:rPr>
                <w:rFonts w:ascii="Arial" w:cs="Arial" w:eastAsia="Arial" w:hAnsi="Arial"/>
                <w:sz w:val="14"/>
                <w:szCs w:val="14"/>
                <w:color w:val="auto"/>
              </w:rPr>
              <w:t>Selling, general and administrative</w:t>
            </w:r>
          </w:p>
        </w:tc>
        <w:tc>
          <w:tcPr>
            <w:tcW w:w="14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136.4</w:t>
            </w:r>
          </w:p>
        </w:tc>
        <w:tc>
          <w:tcPr>
            <w:tcW w:w="98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276"/>
        </w:trPr>
        <w:tc>
          <w:tcPr>
            <w:tcW w:w="5360" w:type="dxa"/>
            <w:vAlign w:val="bottom"/>
          </w:tcPr>
          <w:p>
            <w:pPr>
              <w:ind w:left="140"/>
              <w:spacing w:after="0"/>
              <w:rPr>
                <w:sz w:val="20"/>
                <w:szCs w:val="20"/>
                <w:color w:val="auto"/>
              </w:rPr>
            </w:pPr>
            <w:r>
              <w:rPr>
                <w:rFonts w:ascii="Arial" w:cs="Arial" w:eastAsia="Arial" w:hAnsi="Arial"/>
                <w:sz w:val="14"/>
                <w:szCs w:val="14"/>
                <w:color w:val="auto"/>
              </w:rPr>
              <w:t>Amortization of acquisition-related intangible assets</w:t>
            </w:r>
          </w:p>
        </w:tc>
        <w:tc>
          <w:tcPr>
            <w:tcW w:w="14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29.2</w:t>
            </w:r>
          </w:p>
        </w:tc>
        <w:tc>
          <w:tcPr>
            <w:tcW w:w="9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58"/>
        </w:trPr>
        <w:tc>
          <w:tcPr>
            <w:tcW w:w="5360" w:type="dxa"/>
            <w:vAlign w:val="bottom"/>
          </w:tcPr>
          <w:p>
            <w:pPr>
              <w:spacing w:after="0"/>
              <w:rPr>
                <w:sz w:val="20"/>
                <w:szCs w:val="20"/>
                <w:color w:val="auto"/>
              </w:rPr>
            </w:pPr>
            <w:r>
              <w:rPr>
                <w:rFonts w:ascii="Arial" w:cs="Arial" w:eastAsia="Arial" w:hAnsi="Arial"/>
                <w:sz w:val="14"/>
                <w:szCs w:val="14"/>
                <w:b w:val="1"/>
                <w:bCs w:val="1"/>
                <w:color w:val="auto"/>
              </w:rPr>
              <w:t>Total operating expenses</w:t>
            </w:r>
          </w:p>
        </w:tc>
        <w:tc>
          <w:tcPr>
            <w:tcW w:w="14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468.3</w:t>
            </w:r>
          </w:p>
        </w:tc>
        <w:tc>
          <w:tcPr>
            <w:tcW w:w="98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280.7</w:t>
            </w:r>
          </w:p>
        </w:tc>
        <w:tc>
          <w:tcPr>
            <w:tcW w:w="0" w:type="dxa"/>
            <w:vAlign w:val="bottom"/>
          </w:tcPr>
          <w:p>
            <w:pPr>
              <w:spacing w:after="0"/>
              <w:rPr>
                <w:sz w:val="1"/>
                <w:szCs w:val="1"/>
                <w:color w:val="auto"/>
              </w:rPr>
            </w:pPr>
          </w:p>
        </w:tc>
      </w:tr>
      <w:tr>
        <w:trPr>
          <w:trHeight w:val="513"/>
        </w:trPr>
        <w:tc>
          <w:tcPr>
            <w:tcW w:w="5360" w:type="dxa"/>
            <w:vAlign w:val="bottom"/>
          </w:tcPr>
          <w:p>
            <w:pPr>
              <w:spacing w:after="0"/>
              <w:rPr>
                <w:sz w:val="20"/>
                <w:szCs w:val="20"/>
                <w:color w:val="auto"/>
              </w:rPr>
            </w:pPr>
            <w:r>
              <w:rPr>
                <w:rFonts w:ascii="Arial" w:cs="Arial" w:eastAsia="Arial" w:hAnsi="Arial"/>
                <w:sz w:val="14"/>
                <w:szCs w:val="14"/>
                <w:color w:val="auto"/>
              </w:rPr>
              <w:t>(Loss) income from operations</w:t>
            </w:r>
          </w:p>
        </w:tc>
        <w:tc>
          <w:tcPr>
            <w:tcW w:w="148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(34.4)</w:t>
            </w:r>
          </w:p>
        </w:tc>
        <w:tc>
          <w:tcPr>
            <w:tcW w:w="980" w:type="dxa"/>
            <w:vAlign w:val="bottom"/>
          </w:tcPr>
          <w:p>
            <w:pPr>
              <w:spacing w:after="0"/>
              <w:rPr>
                <w:sz w:val="24"/>
                <w:szCs w:val="24"/>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513"/>
        </w:trPr>
        <w:tc>
          <w:tcPr>
            <w:tcW w:w="5360" w:type="dxa"/>
            <w:vAlign w:val="bottom"/>
          </w:tcPr>
          <w:p>
            <w:pPr>
              <w:spacing w:after="0"/>
              <w:rPr>
                <w:sz w:val="20"/>
                <w:szCs w:val="20"/>
                <w:color w:val="auto"/>
              </w:rPr>
            </w:pPr>
            <w:r>
              <w:rPr>
                <w:rFonts w:ascii="Arial" w:cs="Arial" w:eastAsia="Arial" w:hAnsi="Arial"/>
                <w:sz w:val="14"/>
                <w:szCs w:val="14"/>
                <w:b w:val="1"/>
                <w:bCs w:val="1"/>
                <w:color w:val="auto"/>
              </w:rPr>
              <w:t>Other income (expense):</w:t>
            </w: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6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14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(19.0)</w:t>
            </w:r>
          </w:p>
        </w:tc>
        <w:tc>
          <w:tcPr>
            <w:tcW w:w="98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6"/>
        </w:trPr>
        <w:tc>
          <w:tcPr>
            <w:tcW w:w="5360" w:type="dxa"/>
            <w:vAlign w:val="bottom"/>
          </w:tcPr>
          <w:p>
            <w:pPr>
              <w:ind w:left="140"/>
              <w:spacing w:after="0"/>
              <w:rPr>
                <w:sz w:val="20"/>
                <w:szCs w:val="20"/>
                <w:color w:val="auto"/>
              </w:rPr>
            </w:pPr>
            <w:r>
              <w:rPr>
                <w:rFonts w:ascii="Arial" w:cs="Arial" w:eastAsia="Arial" w:hAnsi="Arial"/>
                <w:sz w:val="14"/>
                <w:szCs w:val="14"/>
                <w:color w:val="auto"/>
              </w:rPr>
              <w:t>Other income, net</w:t>
            </w:r>
          </w:p>
        </w:tc>
        <w:tc>
          <w:tcPr>
            <w:tcW w:w="14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w:t>
            </w:r>
          </w:p>
        </w:tc>
        <w:tc>
          <w:tcPr>
            <w:tcW w:w="9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58"/>
        </w:trPr>
        <w:tc>
          <w:tcPr>
            <w:tcW w:w="5360" w:type="dxa"/>
            <w:vAlign w:val="bottom"/>
          </w:tcPr>
          <w:p>
            <w:pPr>
              <w:spacing w:after="0"/>
              <w:rPr>
                <w:sz w:val="20"/>
                <w:szCs w:val="20"/>
                <w:color w:val="auto"/>
              </w:rPr>
            </w:pPr>
            <w:r>
              <w:rPr>
                <w:rFonts w:ascii="Arial" w:cs="Arial" w:eastAsia="Arial" w:hAnsi="Arial"/>
                <w:sz w:val="14"/>
                <w:szCs w:val="14"/>
                <w:b w:val="1"/>
                <w:bCs w:val="1"/>
                <w:color w:val="auto"/>
              </w:rPr>
              <w:t>Total other expense, net</w:t>
            </w:r>
          </w:p>
        </w:tc>
        <w:tc>
          <w:tcPr>
            <w:tcW w:w="14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(18.6)</w:t>
            </w:r>
          </w:p>
        </w:tc>
        <w:tc>
          <w:tcPr>
            <w:tcW w:w="98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513"/>
        </w:trPr>
        <w:tc>
          <w:tcPr>
            <w:tcW w:w="5360" w:type="dxa"/>
            <w:vAlign w:val="bottom"/>
          </w:tcPr>
          <w:p>
            <w:pPr>
              <w:spacing w:after="0"/>
              <w:rPr>
                <w:sz w:val="20"/>
                <w:szCs w:val="20"/>
                <w:color w:val="auto"/>
              </w:rPr>
            </w:pPr>
            <w:r>
              <w:rPr>
                <w:rFonts w:ascii="Arial" w:cs="Arial" w:eastAsia="Arial" w:hAnsi="Arial"/>
                <w:sz w:val="14"/>
                <w:szCs w:val="14"/>
                <w:b w:val="1"/>
                <w:bCs w:val="1"/>
                <w:color w:val="auto"/>
              </w:rPr>
              <w:t>(Loss) income before income taxes</w:t>
            </w:r>
          </w:p>
        </w:tc>
        <w:tc>
          <w:tcPr>
            <w:tcW w:w="148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(53.0)</w:t>
            </w:r>
          </w:p>
        </w:tc>
        <w:tc>
          <w:tcPr>
            <w:tcW w:w="980" w:type="dxa"/>
            <w:vAlign w:val="bottom"/>
          </w:tcPr>
          <w:p>
            <w:pPr>
              <w:spacing w:after="0"/>
              <w:rPr>
                <w:sz w:val="24"/>
                <w:szCs w:val="24"/>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276"/>
        </w:trPr>
        <w:tc>
          <w:tcPr>
            <w:tcW w:w="5360" w:type="dxa"/>
            <w:vAlign w:val="bottom"/>
          </w:tcPr>
          <w:p>
            <w:pPr>
              <w:spacing w:after="0"/>
              <w:rPr>
                <w:sz w:val="20"/>
                <w:szCs w:val="20"/>
                <w:color w:val="auto"/>
              </w:rPr>
            </w:pPr>
            <w:r>
              <w:rPr>
                <w:rFonts w:ascii="Arial" w:cs="Arial" w:eastAsia="Arial" w:hAnsi="Arial"/>
                <w:sz w:val="14"/>
                <w:szCs w:val="14"/>
                <w:color w:val="auto"/>
              </w:rPr>
              <w:t>Income tax (benefit) expense</w:t>
            </w:r>
          </w:p>
        </w:tc>
        <w:tc>
          <w:tcPr>
            <w:tcW w:w="14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(17.4)</w:t>
            </w:r>
          </w:p>
        </w:tc>
        <w:tc>
          <w:tcPr>
            <w:tcW w:w="9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4"/>
                <w:szCs w:val="14"/>
                <w:b w:val="1"/>
                <w:bCs w:val="1"/>
                <w:color w:val="auto"/>
              </w:rPr>
              <w:t>Net (loss) income</w:t>
            </w:r>
          </w:p>
        </w:tc>
        <w:tc>
          <w:tcPr>
            <w:tcW w:w="1480" w:type="dxa"/>
            <w:vAlign w:val="bottom"/>
            <w:tcBorders>
              <w:bottom w:val="single" w:sz="8" w:color="auto"/>
            </w:tcBorders>
          </w:tcPr>
          <w:p>
            <w:pPr>
              <w:jc w:val="right"/>
              <w:ind w:right="12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(35.6)</w:t>
            </w:r>
          </w:p>
        </w:tc>
        <w:tc>
          <w:tcPr>
            <w:tcW w:w="9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Net (loss) income per share - basic</w:t>
            </w:r>
          </w:p>
        </w:tc>
        <w:tc>
          <w:tcPr>
            <w:tcW w:w="1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5360" w:type="dxa"/>
            <w:vAlign w:val="bottom"/>
            <w:vMerge w:val="continue"/>
          </w:tcPr>
          <w:p>
            <w:pPr>
              <w:spacing w:after="0"/>
              <w:rPr>
                <w:sz w:val="24"/>
                <w:szCs w:val="24"/>
                <w:color w:val="auto"/>
              </w:rPr>
            </w:pPr>
          </w:p>
        </w:tc>
        <w:tc>
          <w:tcPr>
            <w:tcW w:w="1480" w:type="dxa"/>
            <w:vAlign w:val="bottom"/>
          </w:tcPr>
          <w:p>
            <w:pPr>
              <w:jc w:val="right"/>
              <w:ind w:right="12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(0.69)</w:t>
            </w:r>
          </w:p>
        </w:tc>
        <w:tc>
          <w:tcPr>
            <w:tcW w:w="9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0.91</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4"/>
                <w:szCs w:val="14"/>
                <w:b w:val="1"/>
                <w:bCs w:val="1"/>
                <w:color w:val="auto"/>
              </w:rPr>
              <w:t>Net (loss) income per share - diluted</w:t>
            </w:r>
          </w:p>
        </w:tc>
        <w:tc>
          <w:tcPr>
            <w:tcW w:w="1480" w:type="dxa"/>
            <w:vAlign w:val="bottom"/>
          </w:tcPr>
          <w:p>
            <w:pPr>
              <w:jc w:val="right"/>
              <w:ind w:right="12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(0.69)</w:t>
            </w:r>
          </w:p>
        </w:tc>
        <w:tc>
          <w:tcPr>
            <w:tcW w:w="9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0.89</w:t>
            </w:r>
          </w:p>
        </w:tc>
        <w:tc>
          <w:tcPr>
            <w:tcW w:w="0" w:type="dxa"/>
            <w:vAlign w:val="bottom"/>
          </w:tcPr>
          <w:p>
            <w:pPr>
              <w:spacing w:after="0"/>
              <w:rPr>
                <w:sz w:val="1"/>
                <w:szCs w:val="1"/>
                <w:color w:val="auto"/>
              </w:rPr>
            </w:pPr>
          </w:p>
        </w:tc>
      </w:tr>
      <w:tr>
        <w:trPr>
          <w:trHeight w:val="513"/>
        </w:trPr>
        <w:tc>
          <w:tcPr>
            <w:tcW w:w="5360" w:type="dxa"/>
            <w:vAlign w:val="bottom"/>
          </w:tcPr>
          <w:p>
            <w:pPr>
              <w:spacing w:after="0"/>
              <w:rPr>
                <w:sz w:val="20"/>
                <w:szCs w:val="20"/>
                <w:color w:val="auto"/>
              </w:rPr>
            </w:pPr>
            <w:r>
              <w:rPr>
                <w:rFonts w:ascii="Arial" w:cs="Arial" w:eastAsia="Arial" w:hAnsi="Arial"/>
                <w:sz w:val="14"/>
                <w:szCs w:val="14"/>
                <w:b w:val="1"/>
                <w:bCs w:val="1"/>
                <w:color w:val="auto"/>
              </w:rPr>
              <w:t>Weighted-average number of shares - basic</w:t>
            </w:r>
          </w:p>
        </w:tc>
        <w:tc>
          <w:tcPr>
            <w:tcW w:w="148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51.3</w:t>
            </w:r>
          </w:p>
        </w:tc>
        <w:tc>
          <w:tcPr>
            <w:tcW w:w="980" w:type="dxa"/>
            <w:vAlign w:val="bottom"/>
          </w:tcPr>
          <w:p>
            <w:pPr>
              <w:spacing w:after="0"/>
              <w:rPr>
                <w:sz w:val="24"/>
                <w:szCs w:val="24"/>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270"/>
        </w:trPr>
        <w:tc>
          <w:tcPr>
            <w:tcW w:w="5360" w:type="dxa"/>
            <w:vAlign w:val="bottom"/>
          </w:tcPr>
          <w:p>
            <w:pPr>
              <w:spacing w:after="0"/>
              <w:rPr>
                <w:sz w:val="20"/>
                <w:szCs w:val="20"/>
                <w:color w:val="auto"/>
              </w:rPr>
            </w:pPr>
            <w:r>
              <w:rPr>
                <w:rFonts w:ascii="Arial" w:cs="Arial" w:eastAsia="Arial" w:hAnsi="Arial"/>
                <w:sz w:val="14"/>
                <w:szCs w:val="14"/>
                <w:b w:val="1"/>
                <w:bCs w:val="1"/>
                <w:color w:val="auto"/>
              </w:rPr>
              <w:t>Weighted-average number of shares - diluted</w:t>
            </w:r>
          </w:p>
        </w:tc>
        <w:tc>
          <w:tcPr>
            <w:tcW w:w="14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51.3</w:t>
            </w:r>
          </w:p>
        </w:tc>
        <w:tc>
          <w:tcPr>
            <w:tcW w:w="98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11 of 16</w:t>
      </w:r>
    </w:p>
    <w:p>
      <w:pPr>
        <w:sectPr>
          <w:pgSz w:w="11900" w:h="16838" w:orient="portrait"/>
          <w:cols w:equalWidth="0" w:num="1">
            <w:col w:w="10340"/>
          </w:cols>
          <w:pgMar w:left="800" w:top="1440" w:right="759" w:bottom="1440" w:gutter="0" w:footer="0" w:header="0"/>
        </w:sectPr>
      </w:pPr>
    </w:p>
    <w:bookmarkStart w:id="13" w:name="page14"/>
    <w:bookmarkEnd w:id="13"/>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226060</wp:posOffset>
            </wp:positionV>
            <wp:extent cx="1517650" cy="6343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3436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20"/>
          <w:szCs w:val="20"/>
          <w:b w:val="1"/>
          <w:bCs w:val="1"/>
          <w:color w:val="00497F"/>
        </w:rPr>
        <w:t>Emergent BioSolutions Inc.</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Condensed Consolidated Statements of Cash Flows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(unaudited, in millions)</w:t>
      </w:r>
    </w:p>
    <w:p>
      <w:pPr>
        <w:sectPr>
          <w:pgSz w:w="11900" w:h="16838" w:orient="portrait"/>
          <w:cols w:equalWidth="0" w:num="1">
            <w:col w:w="10940"/>
          </w:cols>
          <w:pgMar w:left="50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provided by (used in) operating activities:</w:t>
      </w:r>
    </w:p>
    <w:p>
      <w:pPr>
        <w:spacing w:after="0" w:line="12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Net (loss) income</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Adjustments to reconcile to net (loss) income to net cash provided by operating activities: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Share-based compensation expense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Amortization of deferred financing costs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Change in fair value of contingent consideration, net</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Changes in operating assets and liabilities: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Accounts receivable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Inventories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Prepaid expenses and other assets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Accrued expenses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Accrued compensation</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Deferred revenue</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Net cash provided by operating activities: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used in investing activities:</w:t>
      </w:r>
    </w:p>
    <w:p>
      <w:pPr>
        <w:spacing w:after="0" w:line="12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Purchases of property, plant and equipment and other</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Milestone payment from prior asset acquisition</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Proceeds from sale of assets</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Net cash used in investing activities: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provided by (used in) financing activities:</w:t>
      </w:r>
    </w:p>
    <w:p>
      <w:pPr>
        <w:spacing w:after="0" w:line="12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Proceeds from revolving credit facility</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Principal payments on revolving credit facility</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Principal payments on term loan facility</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Issuance of stock under share-based benefit plans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Taxes paid on behalf of employees for equity activity</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Contingent consideration payments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Purchase of treasury stock</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Net cash provided by financing activities:</w:t>
      </w:r>
    </w:p>
    <w:p>
      <w:pPr>
        <w:spacing w:after="0" w:line="109" w:lineRule="exact"/>
        <w:rPr>
          <w:sz w:val="20"/>
          <w:szCs w:val="20"/>
          <w:color w:val="auto"/>
        </w:rPr>
      </w:pPr>
    </w:p>
    <w:p>
      <w:pPr>
        <w:ind w:left="140" w:right="2320"/>
        <w:spacing w:after="0" w:line="402" w:lineRule="auto"/>
        <w:rPr>
          <w:sz w:val="20"/>
          <w:szCs w:val="20"/>
          <w:color w:val="auto"/>
        </w:rPr>
      </w:pPr>
      <w:r>
        <w:rPr>
          <w:rFonts w:ascii="Arial" w:cs="Arial" w:eastAsia="Arial" w:hAnsi="Arial"/>
          <w:sz w:val="14"/>
          <w:szCs w:val="14"/>
          <w:color w:val="auto"/>
        </w:rPr>
        <w:t>Effect of exchange rate changes on cash, cash equivalents and restricted cash Net increase in cash, cash equivalents and restricted cash</w:t>
      </w:r>
    </w:p>
    <w:p>
      <w:pPr>
        <w:spacing w:after="0" w:line="1" w:lineRule="exact"/>
        <w:rPr>
          <w:sz w:val="20"/>
          <w:szCs w:val="20"/>
          <w:color w:val="auto"/>
        </w:rPr>
      </w:pPr>
    </w:p>
    <w:p>
      <w:pPr>
        <w:ind w:left="140" w:right="3180"/>
        <w:spacing w:after="0" w:line="419" w:lineRule="auto"/>
        <w:rPr>
          <w:sz w:val="20"/>
          <w:szCs w:val="20"/>
          <w:color w:val="auto"/>
        </w:rPr>
      </w:pPr>
      <w:r>
        <w:rPr>
          <w:rFonts w:ascii="Arial" w:cs="Arial" w:eastAsia="Arial" w:hAnsi="Arial"/>
          <w:sz w:val="14"/>
          <w:szCs w:val="14"/>
          <w:color w:val="auto"/>
        </w:rPr>
        <w:t>Cash, cash equivalents and restricted cash at beginning of period Cash, cash equivalents and restricted cash at end of period</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246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Six Months Ended June 30,</w:t>
            </w:r>
          </w:p>
        </w:tc>
      </w:tr>
      <w:tr>
        <w:trPr>
          <w:trHeight w:val="276"/>
        </w:trPr>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2018</w:t>
            </w:r>
          </w:p>
        </w:tc>
      </w:tr>
      <w:tr>
        <w:trPr>
          <w:trHeight w:val="528"/>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45.2</w:t>
            </w:r>
          </w:p>
        </w:tc>
      </w:tr>
      <w:tr>
        <w:trPr>
          <w:trHeight w:val="540"/>
        </w:trPr>
        <w:tc>
          <w:tcPr>
            <w:tcW w:w="28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11.7</w:t>
            </w:r>
          </w:p>
        </w:tc>
      </w:tr>
      <w:tr>
        <w:trPr>
          <w:trHeight w:val="270"/>
        </w:trPr>
        <w:tc>
          <w:tcPr>
            <w:tcW w:w="2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24.7</w:t>
            </w:r>
          </w:p>
        </w:tc>
      </w:tr>
      <w:tr>
        <w:trPr>
          <w:trHeight w:val="270"/>
        </w:trPr>
        <w:tc>
          <w:tcPr>
            <w:tcW w:w="2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8.5</w:t>
            </w:r>
          </w:p>
        </w:tc>
      </w:tr>
      <w:tr>
        <w:trPr>
          <w:trHeight w:val="270"/>
        </w:trPr>
        <w:tc>
          <w:tcPr>
            <w:tcW w:w="2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1.7</w:t>
            </w:r>
          </w:p>
        </w:tc>
      </w:tr>
      <w:tr>
        <w:trPr>
          <w:trHeight w:val="270"/>
        </w:trPr>
        <w:tc>
          <w:tcPr>
            <w:tcW w:w="2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w:t>
            </w:r>
          </w:p>
        </w:tc>
      </w:tr>
      <w:tr>
        <w:trPr>
          <w:trHeight w:val="540"/>
        </w:trPr>
        <w:tc>
          <w:tcPr>
            <w:tcW w:w="28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(46.2)</w:t>
            </w:r>
          </w:p>
        </w:tc>
      </w:tr>
      <w:tr>
        <w:trPr>
          <w:trHeight w:val="270"/>
        </w:trPr>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3.4</w:t>
            </w:r>
          </w:p>
        </w:tc>
      </w:tr>
      <w:tr>
        <w:trPr>
          <w:trHeight w:val="270"/>
        </w:trPr>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70"/>
        </w:trPr>
        <w:tc>
          <w:tcPr>
            <w:tcW w:w="2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70"/>
        </w:trPr>
        <w:tc>
          <w:tcPr>
            <w:tcW w:w="2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5.6</w:t>
            </w:r>
          </w:p>
        </w:tc>
      </w:tr>
      <w:tr>
        <w:trPr>
          <w:trHeight w:val="270"/>
        </w:trPr>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276"/>
        </w:trPr>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r>
      <w:tr>
        <w:trPr>
          <w:trHeight w:val="244"/>
        </w:trPr>
        <w:tc>
          <w:tcPr>
            <w:tcW w:w="28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33.6</w:t>
            </w:r>
          </w:p>
        </w:tc>
      </w:tr>
      <w:tr>
        <w:trPr>
          <w:trHeight w:val="540"/>
        </w:trPr>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(25.2)</w:t>
            </w:r>
          </w:p>
        </w:tc>
      </w:tr>
      <w:tr>
        <w:trPr>
          <w:trHeight w:val="270"/>
        </w:trPr>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2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2.6</w:t>
            </w:r>
          </w:p>
        </w:tc>
      </w:tr>
      <w:tr>
        <w:trPr>
          <w:trHeight w:val="244"/>
        </w:trPr>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(22.6)</w:t>
            </w:r>
          </w:p>
        </w:tc>
      </w:tr>
      <w:tr>
        <w:trPr>
          <w:trHeight w:val="540"/>
        </w:trPr>
        <w:tc>
          <w:tcPr>
            <w:tcW w:w="28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130.0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2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8.5</w:t>
            </w:r>
          </w:p>
        </w:tc>
      </w:tr>
      <w:tr>
        <w:trPr>
          <w:trHeight w:val="270"/>
        </w:trPr>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70"/>
        </w:trPr>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76"/>
        </w:trPr>
        <w:tc>
          <w:tcPr>
            <w:tcW w:w="2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44"/>
        </w:trPr>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41.7</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r>
      <w:tr>
        <w:trPr>
          <w:trHeight w:val="276"/>
        </w:trPr>
        <w:tc>
          <w:tcPr>
            <w:tcW w:w="2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44"/>
        </w:trPr>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65.2</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12.0</w:t>
            </w:r>
          </w:p>
        </w:tc>
      </w:tr>
      <w:tr>
        <w:trPr>
          <w:trHeight w:val="276"/>
        </w:trPr>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112.4</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179.3</w:t>
            </w:r>
          </w:p>
        </w:tc>
      </w:tr>
      <w:tr>
        <w:trPr>
          <w:trHeight w:val="237"/>
        </w:trPr>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177.6</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191.3</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ectPr>
          <w:pgSz w:w="11900" w:h="16838" w:orient="portrait"/>
          <w:cols w:equalWidth="0" w:num="2">
            <w:col w:w="7480" w:space="720"/>
            <w:col w:w="2740"/>
          </w:cols>
          <w:pgMar w:left="500" w:top="1440"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12 of 16</w:t>
      </w:r>
    </w:p>
    <w:p>
      <w:pPr>
        <w:sectPr>
          <w:pgSz w:w="11900" w:h="16838" w:orient="portrait"/>
          <w:cols w:equalWidth="0" w:num="1">
            <w:col w:w="10940"/>
          </w:cols>
          <w:pgMar w:left="500" w:top="1440" w:right="45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226060</wp:posOffset>
            </wp:positionV>
            <wp:extent cx="1517650" cy="6343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3436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(LOSS) TO ADJUSTED NET INCOME (LOSS), EBITDA AND ADJUSTED EBITDA (unaudited)</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This press release contains three financial measures </w:t>
      </w:r>
      <w:r>
        <w:rPr>
          <w:rFonts w:ascii="Arial" w:cs="Arial" w:eastAsia="Arial" w:hAnsi="Arial"/>
          <w:sz w:val="18"/>
          <w:szCs w:val="18"/>
          <w:b w:val="1"/>
          <w:bCs w:val="1"/>
          <w:color w:val="auto"/>
        </w:rPr>
        <w:t>(Adjusted Net Income (Loss), EBITDA (Earnings Before Interest, Taxes,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Depreciation and Amortization), and Adjusted EBITDA) </w:t>
      </w:r>
      <w:r>
        <w:rPr>
          <w:rFonts w:ascii="Arial" w:cs="Arial" w:eastAsia="Arial" w:hAnsi="Arial"/>
          <w:sz w:val="18"/>
          <w:szCs w:val="18"/>
          <w:color w:val="auto"/>
        </w:rPr>
        <w:t>that are considered “non-GAAP” financial measures under applicable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Exchange Commission rules and regulations. These non-GAAP financial measures should be considered supplemental to and not a substitute for financial information prepared in accordance with generally accepted accounting principles. The Company’s definition of these non-GAAP measures may differ from similarly titled measures used by others. Adjusted Net Income (Loss) adjusts for specified items that can be highly variable or difficult to predict, or reflect the non-cash impact of charges resulting from purchase accounting (which are all tax effected utilizing the statutory tax rate for the US). EBITDA reflects net income excluding the impact of depreciation, amortization, interest expense and provision for income taxes. Adjusted EBITDA also excludes specified items that can be highly variable and the non-cash impact of certain purchase accounting adjustments (which are all tax effected utilizing the statutory tax rate for the US). The Company views these non-GAAP financial measures as a means to facilitate management’s financial and operational decision-making, including evaluation of the Company’s historical operating results and comparison to competitors’ operating results. These non-GAAP financial measures reflect an additional way of viewing aspects of the Company’s operations that, when viewed with GAAP results and the reconciliations to the corresponding GAAP financial measure, may provide a more complete understanding of factors and trends affecting the Company’s business.</w:t>
      </w:r>
    </w:p>
    <w:p>
      <w:pPr>
        <w:spacing w:after="0" w:line="21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determination of the amounts that are excluded from these non-GAAP financial measures are a matter of management judgment and depend upon, among other factors, the nature of the underlying expense or income amounts. Because non-GAAP financial measures exclude the effect of items that will increase or decrease the Company’s reported results of operations, management strongly encourages investors to review the Company’s consolidated financial statements and publicly filed reports in their entirety.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(Loss) Income to Adjusted Net (Loss)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106045</wp:posOffset>
            </wp:positionV>
            <wp:extent cx="7126605" cy="20497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6605" cy="2049780"/>
                    </a:xfrm>
                    <a:prstGeom prst="rect">
                      <a:avLst/>
                    </a:prstGeom>
                    <a:noFill/>
                  </pic:spPr>
                </pic:pic>
              </a:graphicData>
            </a:graphic>
          </wp:anchor>
        </w:drawing>
      </w:r>
    </w:p>
    <w:p>
      <w:pPr>
        <w:spacing w:after="0" w:line="147" w:lineRule="exact"/>
        <w:rPr>
          <w:sz w:val="20"/>
          <w:szCs w:val="20"/>
          <w:color w:val="auto"/>
        </w:rPr>
      </w:pPr>
    </w:p>
    <w:tbl>
      <w:tblPr>
        <w:tblLayout w:type="fixed"/>
        <w:tblInd w:w="80" w:type="dxa"/>
        <w:tblCellMar>
          <w:top w:w="0" w:type="dxa"/>
          <w:left w:w="0" w:type="dxa"/>
          <w:bottom w:w="0" w:type="dxa"/>
          <w:right w:w="0" w:type="dxa"/>
        </w:tblCellMar>
      </w:tblPr>
      <w:tr>
        <w:trPr>
          <w:trHeight w:val="237"/>
        </w:trPr>
        <w:tc>
          <w:tcPr>
            <w:tcW w:w="4760" w:type="dxa"/>
            <w:vAlign w:val="bottom"/>
            <w:shd w:val="clear" w:color="auto" w:fill="0F243E"/>
          </w:tcPr>
          <w:p>
            <w:pPr>
              <w:spacing w:after="0"/>
              <w:rPr>
                <w:sz w:val="20"/>
                <w:szCs w:val="20"/>
                <w:color w:val="auto"/>
              </w:rPr>
            </w:pPr>
          </w:p>
        </w:tc>
        <w:tc>
          <w:tcPr>
            <w:tcW w:w="6460" w:type="dxa"/>
            <w:vAlign w:val="bottom"/>
            <w:gridSpan w:val="3"/>
            <w:shd w:val="clear" w:color="auto" w:fill="0F243E"/>
          </w:tcPr>
          <w:p>
            <w:pPr>
              <w:ind w:left="2800"/>
              <w:spacing w:after="0"/>
              <w:rPr>
                <w:sz w:val="20"/>
                <w:szCs w:val="20"/>
                <w:color w:val="auto"/>
              </w:rPr>
            </w:pPr>
            <w:r>
              <w:rPr>
                <w:rFonts w:ascii="Arial" w:cs="Arial" w:eastAsia="Arial" w:hAnsi="Arial"/>
                <w:sz w:val="16"/>
                <w:szCs w:val="16"/>
                <w:b w:val="1"/>
                <w:bCs w:val="1"/>
                <w:color w:val="FFFFFF"/>
              </w:rPr>
              <w:t>Three Months Ended June 30,</w:t>
            </w:r>
          </w:p>
        </w:tc>
      </w:tr>
      <w:tr>
        <w:trPr>
          <w:trHeight w:val="276"/>
        </w:trPr>
        <w:tc>
          <w:tcPr>
            <w:tcW w:w="4760" w:type="dxa"/>
            <w:vAlign w:val="bottom"/>
            <w:shd w:val="clear" w:color="auto" w:fill="0F243E"/>
          </w:tcPr>
          <w:p>
            <w:pPr>
              <w:ind w:left="40"/>
              <w:spacing w:after="0"/>
              <w:rPr>
                <w:sz w:val="20"/>
                <w:szCs w:val="20"/>
                <w:color w:val="auto"/>
              </w:rPr>
            </w:pPr>
            <w:r>
              <w:rPr>
                <w:rFonts w:ascii="Arial" w:cs="Arial" w:eastAsia="Arial" w:hAnsi="Arial"/>
                <w:sz w:val="16"/>
                <w:szCs w:val="16"/>
                <w:i w:val="1"/>
                <w:iCs w:val="1"/>
                <w:color w:val="FFFFFF"/>
              </w:rPr>
              <w:t>(in millions, except per share value)</w:t>
            </w:r>
          </w:p>
        </w:tc>
        <w:tc>
          <w:tcPr>
            <w:tcW w:w="3120" w:type="dxa"/>
            <w:vAlign w:val="bottom"/>
            <w:shd w:val="clear" w:color="auto" w:fill="0F243E"/>
          </w:tcPr>
          <w:p>
            <w:pPr>
              <w:jc w:val="right"/>
              <w:ind w:right="579"/>
              <w:spacing w:after="0"/>
              <w:rPr>
                <w:sz w:val="20"/>
                <w:szCs w:val="20"/>
                <w:color w:val="auto"/>
              </w:rPr>
            </w:pPr>
            <w:r>
              <w:rPr>
                <w:rFonts w:ascii="Arial" w:cs="Arial" w:eastAsia="Arial" w:hAnsi="Arial"/>
                <w:sz w:val="16"/>
                <w:szCs w:val="16"/>
                <w:b w:val="1"/>
                <w:bCs w:val="1"/>
                <w:color w:val="FFFFFF"/>
              </w:rPr>
              <w:t>2019</w:t>
            </w:r>
          </w:p>
        </w:tc>
        <w:tc>
          <w:tcPr>
            <w:tcW w:w="1560" w:type="dxa"/>
            <w:vAlign w:val="bottom"/>
            <w:shd w:val="clear" w:color="auto" w:fill="0F243E"/>
          </w:tcPr>
          <w:p>
            <w:pPr>
              <w:jc w:val="right"/>
              <w:ind w:right="519"/>
              <w:spacing w:after="0"/>
              <w:rPr>
                <w:sz w:val="20"/>
                <w:szCs w:val="20"/>
                <w:color w:val="auto"/>
              </w:rPr>
            </w:pPr>
            <w:r>
              <w:rPr>
                <w:rFonts w:ascii="Arial" w:cs="Arial" w:eastAsia="Arial" w:hAnsi="Arial"/>
                <w:sz w:val="16"/>
                <w:szCs w:val="16"/>
                <w:b w:val="1"/>
                <w:bCs w:val="1"/>
                <w:color w:val="FFFFFF"/>
              </w:rPr>
              <w:t>2018</w:t>
            </w:r>
          </w:p>
        </w:tc>
        <w:tc>
          <w:tcPr>
            <w:tcW w:w="1780" w:type="dxa"/>
            <w:vAlign w:val="bottom"/>
            <w:shd w:val="clear" w:color="auto" w:fill="0F243E"/>
          </w:tcPr>
          <w:p>
            <w:pPr>
              <w:jc w:val="center"/>
              <w:spacing w:after="0"/>
              <w:rPr>
                <w:sz w:val="20"/>
                <w:szCs w:val="20"/>
                <w:color w:val="auto"/>
              </w:rPr>
            </w:pPr>
            <w:r>
              <w:rPr>
                <w:rFonts w:ascii="Arial" w:cs="Arial" w:eastAsia="Arial" w:hAnsi="Arial"/>
                <w:sz w:val="16"/>
                <w:szCs w:val="16"/>
                <w:b w:val="1"/>
                <w:bCs w:val="1"/>
                <w:color w:val="FFFFFF"/>
                <w:w w:val="99"/>
              </w:rPr>
              <w:t>Source</w:t>
            </w:r>
          </w:p>
        </w:tc>
      </w:tr>
      <w:tr>
        <w:trPr>
          <w:trHeight w:val="251"/>
        </w:trPr>
        <w:tc>
          <w:tcPr>
            <w:tcW w:w="476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Net (Loss) Income</w:t>
            </w:r>
          </w:p>
        </w:tc>
        <w:tc>
          <w:tcPr>
            <w:tcW w:w="3120" w:type="dxa"/>
            <w:vAlign w:val="bottom"/>
            <w:shd w:val="clear" w:color="auto" w:fill="CCCCCC"/>
          </w:tcPr>
          <w:p>
            <w:pPr>
              <w:jc w:val="right"/>
              <w:spacing w:after="0"/>
              <w:rPr>
                <w:sz w:val="20"/>
                <w:szCs w:val="20"/>
                <w:color w:val="auto"/>
              </w:rPr>
            </w:pPr>
            <w:r>
              <w:rPr>
                <w:rFonts w:ascii="Arial" w:cs="Arial" w:eastAsia="Arial" w:hAnsi="Arial"/>
                <w:sz w:val="16"/>
                <w:szCs w:val="16"/>
                <w:color w:val="auto"/>
              </w:rPr>
              <w:t>($9.5)</w:t>
            </w:r>
          </w:p>
        </w:tc>
        <w:tc>
          <w:tcPr>
            <w:tcW w:w="156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$50.1</w:t>
            </w:r>
          </w:p>
        </w:tc>
        <w:tc>
          <w:tcPr>
            <w:tcW w:w="1780" w:type="dxa"/>
            <w:vAlign w:val="bottom"/>
            <w:shd w:val="clear" w:color="auto" w:fill="CCCCCC"/>
          </w:tcPr>
          <w:p>
            <w:pPr>
              <w:spacing w:after="0"/>
              <w:rPr>
                <w:sz w:val="21"/>
                <w:szCs w:val="21"/>
                <w:color w:val="auto"/>
              </w:rPr>
            </w:pPr>
          </w:p>
        </w:tc>
      </w:tr>
      <w:tr>
        <w:trPr>
          <w:trHeight w:val="270"/>
        </w:trPr>
        <w:tc>
          <w:tcPr>
            <w:tcW w:w="4760" w:type="dxa"/>
            <w:vAlign w:val="bottom"/>
            <w:shd w:val="clear" w:color="auto" w:fill="CCCCCC"/>
          </w:tcPr>
          <w:p>
            <w:pPr>
              <w:ind w:left="40"/>
              <w:spacing w:after="0"/>
              <w:rPr>
                <w:sz w:val="20"/>
                <w:szCs w:val="20"/>
                <w:color w:val="auto"/>
              </w:rPr>
            </w:pPr>
            <w:r>
              <w:rPr>
                <w:rFonts w:ascii="Arial" w:cs="Arial" w:eastAsia="Arial" w:hAnsi="Arial"/>
                <w:sz w:val="16"/>
                <w:szCs w:val="16"/>
                <w:color w:val="auto"/>
              </w:rPr>
              <w:t>Adjustments:</w:t>
            </w:r>
          </w:p>
        </w:tc>
        <w:tc>
          <w:tcPr>
            <w:tcW w:w="3120" w:type="dxa"/>
            <w:vAlign w:val="bottom"/>
            <w:shd w:val="clear" w:color="auto" w:fill="CCCCCC"/>
          </w:tcPr>
          <w:p>
            <w:pPr>
              <w:spacing w:after="0"/>
              <w:rPr>
                <w:sz w:val="23"/>
                <w:szCs w:val="23"/>
                <w:color w:val="auto"/>
              </w:rPr>
            </w:pPr>
          </w:p>
        </w:tc>
        <w:tc>
          <w:tcPr>
            <w:tcW w:w="1560" w:type="dxa"/>
            <w:vAlign w:val="bottom"/>
            <w:shd w:val="clear" w:color="auto" w:fill="CCCCCC"/>
          </w:tcPr>
          <w:p>
            <w:pPr>
              <w:spacing w:after="0"/>
              <w:rPr>
                <w:sz w:val="23"/>
                <w:szCs w:val="23"/>
                <w:color w:val="auto"/>
              </w:rPr>
            </w:pPr>
          </w:p>
        </w:tc>
        <w:tc>
          <w:tcPr>
            <w:tcW w:w="1780" w:type="dxa"/>
            <w:vAlign w:val="bottom"/>
            <w:shd w:val="clear" w:color="auto" w:fill="CCCCCC"/>
          </w:tcPr>
          <w:p>
            <w:pPr>
              <w:spacing w:after="0"/>
              <w:rPr>
                <w:sz w:val="23"/>
                <w:szCs w:val="23"/>
                <w:color w:val="auto"/>
              </w:rPr>
            </w:pPr>
          </w:p>
        </w:tc>
      </w:tr>
      <w:tr>
        <w:trPr>
          <w:trHeight w:val="257"/>
        </w:trPr>
        <w:tc>
          <w:tcPr>
            <w:tcW w:w="476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Acquisition-related costs (transaction &amp; integration)</w:t>
            </w:r>
          </w:p>
        </w:tc>
        <w:tc>
          <w:tcPr>
            <w:tcW w:w="312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3.5</w:t>
            </w:r>
          </w:p>
        </w:tc>
        <w:tc>
          <w:tcPr>
            <w:tcW w:w="156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1.4</w:t>
            </w:r>
          </w:p>
        </w:tc>
        <w:tc>
          <w:tcPr>
            <w:tcW w:w="178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SG&amp;A</w:t>
            </w:r>
          </w:p>
        </w:tc>
      </w:tr>
      <w:tr>
        <w:trPr>
          <w:trHeight w:val="257"/>
        </w:trPr>
        <w:tc>
          <w:tcPr>
            <w:tcW w:w="476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Non-cash amortization charges</w:t>
            </w:r>
          </w:p>
        </w:tc>
        <w:tc>
          <w:tcPr>
            <w:tcW w:w="312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15.4</w:t>
            </w:r>
          </w:p>
        </w:tc>
        <w:tc>
          <w:tcPr>
            <w:tcW w:w="156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4.0</w:t>
            </w:r>
          </w:p>
        </w:tc>
        <w:tc>
          <w:tcPr>
            <w:tcW w:w="178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SG&amp;A, Other Income</w:t>
            </w:r>
          </w:p>
        </w:tc>
      </w:tr>
      <w:tr>
        <w:trPr>
          <w:trHeight w:val="257"/>
        </w:trPr>
        <w:tc>
          <w:tcPr>
            <w:tcW w:w="476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Exit and disposal costs</w:t>
            </w:r>
          </w:p>
        </w:tc>
        <w:tc>
          <w:tcPr>
            <w:tcW w:w="312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0.4</w:t>
            </w:r>
          </w:p>
        </w:tc>
        <w:tc>
          <w:tcPr>
            <w:tcW w:w="178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SG&amp;A</w:t>
            </w:r>
          </w:p>
        </w:tc>
      </w:tr>
      <w:tr>
        <w:trPr>
          <w:trHeight w:val="257"/>
        </w:trPr>
        <w:tc>
          <w:tcPr>
            <w:tcW w:w="476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Impact of purchase accounting on inventory step-up</w:t>
            </w:r>
          </w:p>
        </w:tc>
        <w:tc>
          <w:tcPr>
            <w:tcW w:w="312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1.1</w:t>
            </w:r>
          </w:p>
        </w:tc>
        <w:tc>
          <w:tcPr>
            <w:tcW w:w="156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COGS</w:t>
            </w:r>
          </w:p>
        </w:tc>
      </w:tr>
      <w:tr>
        <w:trPr>
          <w:trHeight w:val="270"/>
        </w:trPr>
        <w:tc>
          <w:tcPr>
            <w:tcW w:w="4760" w:type="dxa"/>
            <w:vAlign w:val="bottom"/>
            <w:shd w:val="clear" w:color="auto" w:fill="CCCCCC"/>
          </w:tcPr>
          <w:p>
            <w:pPr>
              <w:ind w:left="40"/>
              <w:spacing w:after="0"/>
              <w:rPr>
                <w:sz w:val="20"/>
                <w:szCs w:val="20"/>
                <w:color w:val="auto"/>
              </w:rPr>
            </w:pPr>
            <w:r>
              <w:rPr>
                <w:rFonts w:ascii="Arial" w:cs="Arial" w:eastAsia="Arial" w:hAnsi="Arial"/>
                <w:sz w:val="16"/>
                <w:szCs w:val="16"/>
                <w:color w:val="auto"/>
              </w:rPr>
              <w:t>Tax effect</w:t>
            </w:r>
          </w:p>
        </w:tc>
        <w:tc>
          <w:tcPr>
            <w:tcW w:w="312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(4.2)</w:t>
            </w:r>
          </w:p>
        </w:tc>
        <w:tc>
          <w:tcPr>
            <w:tcW w:w="156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(1.2)</w:t>
            </w:r>
          </w:p>
        </w:tc>
        <w:tc>
          <w:tcPr>
            <w:tcW w:w="1780" w:type="dxa"/>
            <w:vAlign w:val="bottom"/>
            <w:shd w:val="clear" w:color="auto" w:fill="CCCCCC"/>
          </w:tcPr>
          <w:p>
            <w:pPr>
              <w:spacing w:after="0"/>
              <w:rPr>
                <w:sz w:val="23"/>
                <w:szCs w:val="23"/>
                <w:color w:val="auto"/>
              </w:rPr>
            </w:pPr>
          </w:p>
        </w:tc>
      </w:tr>
      <w:tr>
        <w:trPr>
          <w:trHeight w:val="284"/>
        </w:trPr>
        <w:tc>
          <w:tcPr>
            <w:tcW w:w="476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Total Adjustments:</w:t>
            </w:r>
          </w:p>
        </w:tc>
        <w:tc>
          <w:tcPr>
            <w:tcW w:w="312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15.8</w:t>
            </w:r>
          </w:p>
        </w:tc>
        <w:tc>
          <w:tcPr>
            <w:tcW w:w="156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4.6</w:t>
            </w:r>
          </w:p>
        </w:tc>
        <w:tc>
          <w:tcPr>
            <w:tcW w:w="1780" w:type="dxa"/>
            <w:vAlign w:val="bottom"/>
            <w:shd w:val="clear" w:color="auto" w:fill="CCCCCC"/>
          </w:tcPr>
          <w:p>
            <w:pPr>
              <w:spacing w:after="0"/>
              <w:rPr>
                <w:sz w:val="24"/>
                <w:szCs w:val="24"/>
                <w:color w:val="auto"/>
              </w:rPr>
            </w:pPr>
          </w:p>
        </w:tc>
      </w:tr>
      <w:tr>
        <w:trPr>
          <w:trHeight w:val="284"/>
        </w:trPr>
        <w:tc>
          <w:tcPr>
            <w:tcW w:w="476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312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$6.3</w:t>
            </w:r>
          </w:p>
        </w:tc>
        <w:tc>
          <w:tcPr>
            <w:tcW w:w="156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$54.7</w:t>
            </w:r>
          </w:p>
        </w:tc>
        <w:tc>
          <w:tcPr>
            <w:tcW w:w="1780" w:type="dxa"/>
            <w:vAlign w:val="bottom"/>
            <w:shd w:val="clear" w:color="auto" w:fill="CCCCCC"/>
          </w:tcPr>
          <w:p>
            <w:pPr>
              <w:spacing w:after="0"/>
              <w:rPr>
                <w:sz w:val="24"/>
                <w:szCs w:val="24"/>
                <w:color w:val="auto"/>
              </w:rPr>
            </w:pPr>
          </w:p>
        </w:tc>
      </w:tr>
      <w:tr>
        <w:trPr>
          <w:trHeight w:val="297"/>
        </w:trPr>
        <w:tc>
          <w:tcPr>
            <w:tcW w:w="476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6"/>
                <w:szCs w:val="16"/>
                <w:b w:val="1"/>
                <w:bCs w:val="1"/>
                <w:color w:val="auto"/>
              </w:rPr>
              <w:t>Adjusted Net Income Per Diluted Share</w:t>
            </w:r>
          </w:p>
        </w:tc>
        <w:tc>
          <w:tcPr>
            <w:tcW w:w="3120" w:type="dxa"/>
            <w:vAlign w:val="bottom"/>
            <w:tcBorders>
              <w:bottom w:val="single" w:sz="8" w:color="CCCCCC"/>
            </w:tcBorders>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$0.12</w:t>
            </w:r>
          </w:p>
        </w:tc>
        <w:tc>
          <w:tcPr>
            <w:tcW w:w="1560" w:type="dxa"/>
            <w:vAlign w:val="bottom"/>
            <w:tcBorders>
              <w:bottom w:val="single" w:sz="8" w:color="CCCCCC"/>
            </w:tcBorders>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$1.07</w:t>
            </w:r>
          </w:p>
        </w:tc>
        <w:tc>
          <w:tcPr>
            <w:tcW w:w="1780" w:type="dxa"/>
            <w:vAlign w:val="bottom"/>
            <w:tcBorders>
              <w:bottom w:val="single" w:sz="8" w:color="CCCCCC"/>
            </w:tcBorders>
            <w:shd w:val="clear" w:color="auto" w:fill="CCCCCC"/>
          </w:tcPr>
          <w:p>
            <w:pPr>
              <w:spacing w:after="0"/>
              <w:rPr>
                <w:sz w:val="24"/>
                <w:szCs w:val="24"/>
                <w:color w:val="auto"/>
              </w:rPr>
            </w:pPr>
          </w:p>
        </w:tc>
      </w:tr>
      <w:tr>
        <w:trPr>
          <w:trHeight w:val="669"/>
        </w:trPr>
        <w:tc>
          <w:tcPr>
            <w:tcW w:w="4760" w:type="dxa"/>
            <w:vAlign w:val="bottom"/>
          </w:tcPr>
          <w:p>
            <w:pPr>
              <w:spacing w:after="0"/>
              <w:rPr>
                <w:sz w:val="24"/>
                <w:szCs w:val="24"/>
                <w:color w:val="auto"/>
              </w:rPr>
            </w:pPr>
          </w:p>
        </w:tc>
        <w:tc>
          <w:tcPr>
            <w:tcW w:w="3120" w:type="dxa"/>
            <w:vAlign w:val="bottom"/>
          </w:tcPr>
          <w:p>
            <w:pPr>
              <w:jc w:val="right"/>
              <w:ind w:right="1899"/>
              <w:spacing w:after="0"/>
              <w:rPr>
                <w:sz w:val="20"/>
                <w:szCs w:val="20"/>
                <w:color w:val="auto"/>
              </w:rPr>
            </w:pPr>
            <w:r>
              <w:rPr>
                <w:rFonts w:ascii="Arial" w:cs="Arial" w:eastAsia="Arial" w:hAnsi="Arial"/>
                <w:sz w:val="16"/>
                <w:szCs w:val="16"/>
                <w:color w:val="auto"/>
              </w:rPr>
              <w:t>13 of 16</w:t>
            </w:r>
          </w:p>
        </w:tc>
        <w:tc>
          <w:tcPr>
            <w:tcW w:w="156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1400"/>
          </w:cols>
          <w:pgMar w:left="240" w:top="1440" w:right="259" w:bottom="1440" w:gutter="0" w:footer="0" w:header="0"/>
        </w:sectPr>
      </w:pPr>
    </w:p>
    <w:bookmarkStart w:id="15" w:name="page16"/>
    <w:bookmarkEnd w:id="15"/>
    <w:p>
      <w:pPr>
        <w:spacing w:after="0" w:line="2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54875" cy="2924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29241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7"/>
        </w:trPr>
        <w:tc>
          <w:tcPr>
            <w:tcW w:w="80" w:type="dxa"/>
            <w:vAlign w:val="bottom"/>
            <w:shd w:val="clear" w:color="auto" w:fill="0F243E"/>
          </w:tcPr>
          <w:p>
            <w:pPr>
              <w:spacing w:after="0"/>
              <w:rPr>
                <w:sz w:val="20"/>
                <w:szCs w:val="20"/>
                <w:color w:val="auto"/>
              </w:rPr>
            </w:pPr>
          </w:p>
        </w:tc>
        <w:tc>
          <w:tcPr>
            <w:tcW w:w="4760" w:type="dxa"/>
            <w:vAlign w:val="bottom"/>
            <w:shd w:val="clear" w:color="auto" w:fill="0F243E"/>
          </w:tcPr>
          <w:p>
            <w:pPr>
              <w:spacing w:after="0"/>
              <w:rPr>
                <w:sz w:val="20"/>
                <w:szCs w:val="20"/>
                <w:color w:val="auto"/>
              </w:rPr>
            </w:pPr>
          </w:p>
        </w:tc>
        <w:tc>
          <w:tcPr>
            <w:tcW w:w="6580" w:type="dxa"/>
            <w:vAlign w:val="bottom"/>
            <w:gridSpan w:val="4"/>
            <w:shd w:val="clear" w:color="auto" w:fill="0F243E"/>
          </w:tcPr>
          <w:p>
            <w:pPr>
              <w:ind w:left="3040"/>
              <w:spacing w:after="0"/>
              <w:rPr>
                <w:sz w:val="20"/>
                <w:szCs w:val="20"/>
                <w:color w:val="auto"/>
              </w:rPr>
            </w:pPr>
            <w:r>
              <w:rPr>
                <w:rFonts w:ascii="Arial" w:cs="Arial" w:eastAsia="Arial" w:hAnsi="Arial"/>
                <w:sz w:val="16"/>
                <w:szCs w:val="16"/>
                <w:b w:val="1"/>
                <w:bCs w:val="1"/>
                <w:color w:val="FFFFFF"/>
              </w:rPr>
              <w:t>Six Months Ended June 30,</w:t>
            </w:r>
          </w:p>
        </w:tc>
      </w:tr>
      <w:tr>
        <w:trPr>
          <w:trHeight w:val="276"/>
        </w:trPr>
        <w:tc>
          <w:tcPr>
            <w:tcW w:w="4840" w:type="dxa"/>
            <w:vAlign w:val="bottom"/>
            <w:gridSpan w:val="2"/>
            <w:shd w:val="clear" w:color="auto" w:fill="0F243E"/>
          </w:tcPr>
          <w:p>
            <w:pPr>
              <w:ind w:left="40"/>
              <w:spacing w:after="0"/>
              <w:rPr>
                <w:sz w:val="20"/>
                <w:szCs w:val="20"/>
                <w:color w:val="auto"/>
              </w:rPr>
            </w:pPr>
            <w:r>
              <w:rPr>
                <w:rFonts w:ascii="Arial" w:cs="Arial" w:eastAsia="Arial" w:hAnsi="Arial"/>
                <w:sz w:val="16"/>
                <w:szCs w:val="16"/>
                <w:i w:val="1"/>
                <w:iCs w:val="1"/>
                <w:color w:val="FFFFFF"/>
              </w:rPr>
              <w:t>(in millions, except per share value)</w:t>
            </w:r>
          </w:p>
        </w:tc>
        <w:tc>
          <w:tcPr>
            <w:tcW w:w="3300" w:type="dxa"/>
            <w:vAlign w:val="bottom"/>
            <w:shd w:val="clear" w:color="auto" w:fill="0F243E"/>
          </w:tcPr>
          <w:p>
            <w:pPr>
              <w:jc w:val="right"/>
              <w:ind w:right="599"/>
              <w:spacing w:after="0"/>
              <w:rPr>
                <w:sz w:val="20"/>
                <w:szCs w:val="20"/>
                <w:color w:val="auto"/>
              </w:rPr>
            </w:pPr>
            <w:r>
              <w:rPr>
                <w:rFonts w:ascii="Arial" w:cs="Arial" w:eastAsia="Arial" w:hAnsi="Arial"/>
                <w:sz w:val="16"/>
                <w:szCs w:val="16"/>
                <w:b w:val="1"/>
                <w:bCs w:val="1"/>
                <w:color w:val="FFFFFF"/>
              </w:rPr>
              <w:t>2019</w:t>
            </w:r>
          </w:p>
        </w:tc>
        <w:tc>
          <w:tcPr>
            <w:tcW w:w="1460" w:type="dxa"/>
            <w:vAlign w:val="bottom"/>
            <w:shd w:val="clear" w:color="auto" w:fill="0F243E"/>
          </w:tcPr>
          <w:p>
            <w:pPr>
              <w:jc w:val="right"/>
              <w:ind w:right="459"/>
              <w:spacing w:after="0"/>
              <w:rPr>
                <w:sz w:val="20"/>
                <w:szCs w:val="20"/>
                <w:color w:val="auto"/>
              </w:rPr>
            </w:pPr>
            <w:r>
              <w:rPr>
                <w:rFonts w:ascii="Arial" w:cs="Arial" w:eastAsia="Arial" w:hAnsi="Arial"/>
                <w:sz w:val="16"/>
                <w:szCs w:val="16"/>
                <w:b w:val="1"/>
                <w:bCs w:val="1"/>
                <w:color w:val="FFFFFF"/>
              </w:rPr>
              <w:t>2018</w:t>
            </w:r>
          </w:p>
        </w:tc>
        <w:tc>
          <w:tcPr>
            <w:tcW w:w="1820" w:type="dxa"/>
            <w:vAlign w:val="bottom"/>
            <w:gridSpan w:val="2"/>
            <w:shd w:val="clear" w:color="auto" w:fill="0F243E"/>
          </w:tcPr>
          <w:p>
            <w:pPr>
              <w:jc w:val="center"/>
              <w:spacing w:after="0"/>
              <w:rPr>
                <w:sz w:val="20"/>
                <w:szCs w:val="20"/>
                <w:color w:val="auto"/>
              </w:rPr>
            </w:pPr>
            <w:r>
              <w:rPr>
                <w:rFonts w:ascii="Arial" w:cs="Arial" w:eastAsia="Arial" w:hAnsi="Arial"/>
                <w:sz w:val="16"/>
                <w:szCs w:val="16"/>
                <w:b w:val="1"/>
                <w:bCs w:val="1"/>
                <w:color w:val="FFFFFF"/>
                <w:w w:val="99"/>
              </w:rPr>
              <w:t>Source</w:t>
            </w:r>
          </w:p>
        </w:tc>
      </w:tr>
      <w:tr>
        <w:trPr>
          <w:trHeight w:val="251"/>
        </w:trPr>
        <w:tc>
          <w:tcPr>
            <w:tcW w:w="4840" w:type="dxa"/>
            <w:vAlign w:val="bottom"/>
            <w:gridSpan w:val="2"/>
            <w:shd w:val="clear" w:color="auto" w:fill="CCCCCC"/>
          </w:tcPr>
          <w:p>
            <w:pPr>
              <w:ind w:left="40"/>
              <w:spacing w:after="0"/>
              <w:rPr>
                <w:sz w:val="20"/>
                <w:szCs w:val="20"/>
                <w:color w:val="auto"/>
              </w:rPr>
            </w:pPr>
            <w:r>
              <w:rPr>
                <w:rFonts w:ascii="Arial" w:cs="Arial" w:eastAsia="Arial" w:hAnsi="Arial"/>
                <w:sz w:val="16"/>
                <w:szCs w:val="16"/>
                <w:b w:val="1"/>
                <w:bCs w:val="1"/>
                <w:color w:val="auto"/>
              </w:rPr>
              <w:t>Net (Loss) Income</w:t>
            </w:r>
          </w:p>
        </w:tc>
        <w:tc>
          <w:tcPr>
            <w:tcW w:w="330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($35.6)</w:t>
            </w:r>
          </w:p>
        </w:tc>
        <w:tc>
          <w:tcPr>
            <w:tcW w:w="146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$45.2</w:t>
            </w:r>
          </w:p>
        </w:tc>
        <w:tc>
          <w:tcPr>
            <w:tcW w:w="1700" w:type="dxa"/>
            <w:vAlign w:val="bottom"/>
            <w:shd w:val="clear" w:color="auto" w:fill="CCCCCC"/>
          </w:tcPr>
          <w:p>
            <w:pPr>
              <w:spacing w:after="0"/>
              <w:rPr>
                <w:sz w:val="21"/>
                <w:szCs w:val="21"/>
                <w:color w:val="auto"/>
              </w:rPr>
            </w:pPr>
          </w:p>
        </w:tc>
        <w:tc>
          <w:tcPr>
            <w:tcW w:w="120" w:type="dxa"/>
            <w:vAlign w:val="bottom"/>
            <w:shd w:val="clear" w:color="auto" w:fill="CCCCCC"/>
          </w:tcPr>
          <w:p>
            <w:pPr>
              <w:spacing w:after="0"/>
              <w:rPr>
                <w:sz w:val="21"/>
                <w:szCs w:val="21"/>
                <w:color w:val="auto"/>
              </w:rPr>
            </w:pPr>
          </w:p>
        </w:tc>
      </w:tr>
      <w:tr>
        <w:trPr>
          <w:trHeight w:val="270"/>
        </w:trPr>
        <w:tc>
          <w:tcPr>
            <w:tcW w:w="4840" w:type="dxa"/>
            <w:vAlign w:val="bottom"/>
            <w:gridSpan w:val="2"/>
            <w:shd w:val="clear" w:color="auto" w:fill="CCCCCC"/>
          </w:tcPr>
          <w:p>
            <w:pPr>
              <w:ind w:left="40"/>
              <w:spacing w:after="0"/>
              <w:rPr>
                <w:sz w:val="20"/>
                <w:szCs w:val="20"/>
                <w:color w:val="auto"/>
              </w:rPr>
            </w:pPr>
            <w:r>
              <w:rPr>
                <w:rFonts w:ascii="Arial" w:cs="Arial" w:eastAsia="Arial" w:hAnsi="Arial"/>
                <w:sz w:val="16"/>
                <w:szCs w:val="16"/>
                <w:color w:val="auto"/>
              </w:rPr>
              <w:t>Adjustments:</w:t>
            </w:r>
          </w:p>
        </w:tc>
        <w:tc>
          <w:tcPr>
            <w:tcW w:w="3300" w:type="dxa"/>
            <w:vAlign w:val="bottom"/>
            <w:shd w:val="clear" w:color="auto" w:fill="CCCCCC"/>
          </w:tcPr>
          <w:p>
            <w:pPr>
              <w:spacing w:after="0"/>
              <w:rPr>
                <w:sz w:val="23"/>
                <w:szCs w:val="23"/>
                <w:color w:val="auto"/>
              </w:rPr>
            </w:pPr>
          </w:p>
        </w:tc>
        <w:tc>
          <w:tcPr>
            <w:tcW w:w="1460" w:type="dxa"/>
            <w:vAlign w:val="bottom"/>
            <w:shd w:val="clear" w:color="auto" w:fill="CCCCCC"/>
          </w:tcPr>
          <w:p>
            <w:pPr>
              <w:spacing w:after="0"/>
              <w:rPr>
                <w:sz w:val="23"/>
                <w:szCs w:val="23"/>
                <w:color w:val="auto"/>
              </w:rPr>
            </w:pPr>
          </w:p>
        </w:tc>
        <w:tc>
          <w:tcPr>
            <w:tcW w:w="17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r>
      <w:tr>
        <w:trPr>
          <w:trHeight w:val="257"/>
        </w:trPr>
        <w:tc>
          <w:tcPr>
            <w:tcW w:w="80" w:type="dxa"/>
            <w:vAlign w:val="bottom"/>
            <w:shd w:val="clear" w:color="auto" w:fill="CCCCCC"/>
          </w:tcPr>
          <w:p>
            <w:pPr>
              <w:spacing w:after="0"/>
              <w:rPr>
                <w:sz w:val="22"/>
                <w:szCs w:val="22"/>
                <w:color w:val="auto"/>
              </w:rPr>
            </w:pPr>
          </w:p>
        </w:tc>
        <w:tc>
          <w:tcPr>
            <w:tcW w:w="4760" w:type="dxa"/>
            <w:vAlign w:val="bottom"/>
            <w:shd w:val="clear" w:color="auto" w:fill="CCCCCC"/>
          </w:tcPr>
          <w:p>
            <w:pPr>
              <w:ind w:left="220"/>
              <w:spacing w:after="0"/>
              <w:rPr>
                <w:sz w:val="20"/>
                <w:szCs w:val="20"/>
                <w:color w:val="auto"/>
              </w:rPr>
            </w:pPr>
            <w:r>
              <w:rPr>
                <w:rFonts w:ascii="Arial" w:cs="Arial" w:eastAsia="Arial" w:hAnsi="Arial"/>
                <w:sz w:val="16"/>
                <w:szCs w:val="16"/>
                <w:color w:val="auto"/>
              </w:rPr>
              <w:t>+ Acquisition-related costs (transaction &amp; integration)</w:t>
            </w:r>
          </w:p>
        </w:tc>
        <w:tc>
          <w:tcPr>
            <w:tcW w:w="330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7.4</w:t>
            </w:r>
          </w:p>
        </w:tc>
        <w:tc>
          <w:tcPr>
            <w:tcW w:w="146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1.6</w:t>
            </w:r>
          </w:p>
        </w:tc>
        <w:tc>
          <w:tcPr>
            <w:tcW w:w="1820" w:type="dxa"/>
            <w:vAlign w:val="bottom"/>
            <w:gridSpan w:val="2"/>
            <w:shd w:val="clear" w:color="auto" w:fill="CCCCCC"/>
          </w:tcPr>
          <w:p>
            <w:pPr>
              <w:jc w:val="center"/>
              <w:spacing w:after="0"/>
              <w:rPr>
                <w:sz w:val="20"/>
                <w:szCs w:val="20"/>
                <w:color w:val="auto"/>
              </w:rPr>
            </w:pPr>
            <w:r>
              <w:rPr>
                <w:rFonts w:ascii="Arial" w:cs="Arial" w:eastAsia="Arial" w:hAnsi="Arial"/>
                <w:sz w:val="16"/>
                <w:szCs w:val="16"/>
                <w:color w:val="auto"/>
              </w:rPr>
              <w:t>SG&amp;A</w:t>
            </w:r>
          </w:p>
        </w:tc>
      </w:tr>
      <w:tr>
        <w:trPr>
          <w:trHeight w:val="257"/>
        </w:trPr>
        <w:tc>
          <w:tcPr>
            <w:tcW w:w="80" w:type="dxa"/>
            <w:vAlign w:val="bottom"/>
            <w:shd w:val="clear" w:color="auto" w:fill="CCCCCC"/>
          </w:tcPr>
          <w:p>
            <w:pPr>
              <w:spacing w:after="0"/>
              <w:rPr>
                <w:sz w:val="22"/>
                <w:szCs w:val="22"/>
                <w:color w:val="auto"/>
              </w:rPr>
            </w:pPr>
          </w:p>
        </w:tc>
        <w:tc>
          <w:tcPr>
            <w:tcW w:w="4760" w:type="dxa"/>
            <w:vAlign w:val="bottom"/>
            <w:shd w:val="clear" w:color="auto" w:fill="CCCCCC"/>
          </w:tcPr>
          <w:p>
            <w:pPr>
              <w:ind w:left="220"/>
              <w:spacing w:after="0"/>
              <w:rPr>
                <w:sz w:val="20"/>
                <w:szCs w:val="20"/>
                <w:color w:val="auto"/>
              </w:rPr>
            </w:pPr>
            <w:r>
              <w:rPr>
                <w:rFonts w:ascii="Arial" w:cs="Arial" w:eastAsia="Arial" w:hAnsi="Arial"/>
                <w:sz w:val="16"/>
                <w:szCs w:val="16"/>
                <w:color w:val="auto"/>
              </w:rPr>
              <w:t>+ Non-cash amortization charges</w:t>
            </w:r>
          </w:p>
        </w:tc>
        <w:tc>
          <w:tcPr>
            <w:tcW w:w="330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30.7</w:t>
            </w:r>
          </w:p>
        </w:tc>
        <w:tc>
          <w:tcPr>
            <w:tcW w:w="146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8.0</w:t>
            </w:r>
          </w:p>
        </w:tc>
        <w:tc>
          <w:tcPr>
            <w:tcW w:w="1820" w:type="dxa"/>
            <w:vAlign w:val="bottom"/>
            <w:gridSpan w:val="2"/>
            <w:shd w:val="clear" w:color="auto" w:fill="CCCCCC"/>
          </w:tcPr>
          <w:p>
            <w:pPr>
              <w:jc w:val="center"/>
              <w:ind w:right="20"/>
              <w:spacing w:after="0"/>
              <w:rPr>
                <w:sz w:val="20"/>
                <w:szCs w:val="20"/>
                <w:color w:val="auto"/>
              </w:rPr>
            </w:pPr>
            <w:r>
              <w:rPr>
                <w:rFonts w:ascii="Arial" w:cs="Arial" w:eastAsia="Arial" w:hAnsi="Arial"/>
                <w:sz w:val="16"/>
                <w:szCs w:val="16"/>
                <w:color w:val="auto"/>
              </w:rPr>
              <w:t>SG&amp;A, Other Income</w:t>
            </w:r>
          </w:p>
        </w:tc>
      </w:tr>
      <w:tr>
        <w:trPr>
          <w:trHeight w:val="257"/>
        </w:trPr>
        <w:tc>
          <w:tcPr>
            <w:tcW w:w="80" w:type="dxa"/>
            <w:vAlign w:val="bottom"/>
            <w:shd w:val="clear" w:color="auto" w:fill="CCCCCC"/>
          </w:tcPr>
          <w:p>
            <w:pPr>
              <w:spacing w:after="0"/>
              <w:rPr>
                <w:sz w:val="22"/>
                <w:szCs w:val="22"/>
                <w:color w:val="auto"/>
              </w:rPr>
            </w:pPr>
          </w:p>
        </w:tc>
        <w:tc>
          <w:tcPr>
            <w:tcW w:w="4760" w:type="dxa"/>
            <w:vAlign w:val="bottom"/>
            <w:shd w:val="clear" w:color="auto" w:fill="CCCCCC"/>
          </w:tcPr>
          <w:p>
            <w:pPr>
              <w:ind w:left="220"/>
              <w:spacing w:after="0"/>
              <w:rPr>
                <w:sz w:val="20"/>
                <w:szCs w:val="20"/>
                <w:color w:val="auto"/>
              </w:rPr>
            </w:pPr>
            <w:r>
              <w:rPr>
                <w:rFonts w:ascii="Arial" w:cs="Arial" w:eastAsia="Arial" w:hAnsi="Arial"/>
                <w:sz w:val="16"/>
                <w:szCs w:val="16"/>
                <w:color w:val="auto"/>
              </w:rPr>
              <w:t>+ Exit and disposal costs</w:t>
            </w:r>
          </w:p>
        </w:tc>
        <w:tc>
          <w:tcPr>
            <w:tcW w:w="330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0.4</w:t>
            </w:r>
          </w:p>
        </w:tc>
        <w:tc>
          <w:tcPr>
            <w:tcW w:w="1820" w:type="dxa"/>
            <w:vAlign w:val="bottom"/>
            <w:gridSpan w:val="2"/>
            <w:shd w:val="clear" w:color="auto" w:fill="CCCCCC"/>
          </w:tcPr>
          <w:p>
            <w:pPr>
              <w:jc w:val="center"/>
              <w:spacing w:after="0"/>
              <w:rPr>
                <w:sz w:val="20"/>
                <w:szCs w:val="20"/>
                <w:color w:val="auto"/>
              </w:rPr>
            </w:pPr>
            <w:r>
              <w:rPr>
                <w:rFonts w:ascii="Arial" w:cs="Arial" w:eastAsia="Arial" w:hAnsi="Arial"/>
                <w:sz w:val="16"/>
                <w:szCs w:val="16"/>
                <w:color w:val="auto"/>
              </w:rPr>
              <w:t>SG&amp;A</w:t>
            </w:r>
          </w:p>
        </w:tc>
      </w:tr>
      <w:tr>
        <w:trPr>
          <w:trHeight w:val="257"/>
        </w:trPr>
        <w:tc>
          <w:tcPr>
            <w:tcW w:w="80" w:type="dxa"/>
            <w:vAlign w:val="bottom"/>
            <w:shd w:val="clear" w:color="auto" w:fill="CCCCCC"/>
          </w:tcPr>
          <w:p>
            <w:pPr>
              <w:spacing w:after="0"/>
              <w:rPr>
                <w:sz w:val="22"/>
                <w:szCs w:val="22"/>
                <w:color w:val="auto"/>
              </w:rPr>
            </w:pPr>
          </w:p>
        </w:tc>
        <w:tc>
          <w:tcPr>
            <w:tcW w:w="4760" w:type="dxa"/>
            <w:vAlign w:val="bottom"/>
            <w:shd w:val="clear" w:color="auto" w:fill="CCCCCC"/>
          </w:tcPr>
          <w:p>
            <w:pPr>
              <w:ind w:left="220"/>
              <w:spacing w:after="0"/>
              <w:rPr>
                <w:sz w:val="20"/>
                <w:szCs w:val="20"/>
                <w:color w:val="auto"/>
              </w:rPr>
            </w:pPr>
            <w:r>
              <w:rPr>
                <w:rFonts w:ascii="Arial" w:cs="Arial" w:eastAsia="Arial" w:hAnsi="Arial"/>
                <w:sz w:val="16"/>
                <w:szCs w:val="16"/>
                <w:color w:val="auto"/>
              </w:rPr>
              <w:t>+ Impact of purchase accounting on inventory step-up</w:t>
            </w:r>
          </w:p>
        </w:tc>
        <w:tc>
          <w:tcPr>
            <w:tcW w:w="330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6.1</w:t>
            </w:r>
          </w:p>
        </w:tc>
        <w:tc>
          <w:tcPr>
            <w:tcW w:w="146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CCCCCC"/>
          </w:tcPr>
          <w:p>
            <w:pPr>
              <w:jc w:val="center"/>
              <w:ind w:right="20"/>
              <w:spacing w:after="0"/>
              <w:rPr>
                <w:sz w:val="20"/>
                <w:szCs w:val="20"/>
                <w:color w:val="auto"/>
              </w:rPr>
            </w:pPr>
            <w:r>
              <w:rPr>
                <w:rFonts w:ascii="Arial" w:cs="Arial" w:eastAsia="Arial" w:hAnsi="Arial"/>
                <w:sz w:val="16"/>
                <w:szCs w:val="16"/>
                <w:color w:val="auto"/>
              </w:rPr>
              <w:t>COGS</w:t>
            </w:r>
          </w:p>
        </w:tc>
      </w:tr>
      <w:tr>
        <w:trPr>
          <w:trHeight w:val="270"/>
        </w:trPr>
        <w:tc>
          <w:tcPr>
            <w:tcW w:w="4840" w:type="dxa"/>
            <w:vAlign w:val="bottom"/>
            <w:gridSpan w:val="2"/>
            <w:shd w:val="clear" w:color="auto" w:fill="CCCCCC"/>
          </w:tcPr>
          <w:p>
            <w:pPr>
              <w:ind w:left="40"/>
              <w:spacing w:after="0"/>
              <w:rPr>
                <w:sz w:val="20"/>
                <w:szCs w:val="20"/>
                <w:color w:val="auto"/>
              </w:rPr>
            </w:pPr>
            <w:r>
              <w:rPr>
                <w:rFonts w:ascii="Arial" w:cs="Arial" w:eastAsia="Arial" w:hAnsi="Arial"/>
                <w:sz w:val="16"/>
                <w:szCs w:val="16"/>
                <w:color w:val="auto"/>
              </w:rPr>
              <w:t>Tax effect</w:t>
            </w:r>
          </w:p>
        </w:tc>
        <w:tc>
          <w:tcPr>
            <w:tcW w:w="330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(9.3)</w:t>
            </w:r>
          </w:p>
        </w:tc>
        <w:tc>
          <w:tcPr>
            <w:tcW w:w="146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(2.1)</w:t>
            </w:r>
          </w:p>
        </w:tc>
        <w:tc>
          <w:tcPr>
            <w:tcW w:w="17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r>
      <w:tr>
        <w:trPr>
          <w:trHeight w:val="284"/>
        </w:trPr>
        <w:tc>
          <w:tcPr>
            <w:tcW w:w="4840" w:type="dxa"/>
            <w:vAlign w:val="bottom"/>
            <w:gridSpan w:val="2"/>
            <w:shd w:val="clear" w:color="auto" w:fill="CCCCCC"/>
          </w:tcPr>
          <w:p>
            <w:pPr>
              <w:ind w:left="40"/>
              <w:spacing w:after="0"/>
              <w:rPr>
                <w:sz w:val="20"/>
                <w:szCs w:val="20"/>
                <w:color w:val="auto"/>
              </w:rPr>
            </w:pPr>
            <w:r>
              <w:rPr>
                <w:rFonts w:ascii="Arial" w:cs="Arial" w:eastAsia="Arial" w:hAnsi="Arial"/>
                <w:sz w:val="16"/>
                <w:szCs w:val="16"/>
                <w:b w:val="1"/>
                <w:bCs w:val="1"/>
                <w:color w:val="auto"/>
              </w:rPr>
              <w:t>Total Adjustments:</w:t>
            </w:r>
          </w:p>
        </w:tc>
        <w:tc>
          <w:tcPr>
            <w:tcW w:w="330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34.9</w:t>
            </w:r>
          </w:p>
        </w:tc>
        <w:tc>
          <w:tcPr>
            <w:tcW w:w="146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7.9</w:t>
            </w:r>
          </w:p>
        </w:tc>
        <w:tc>
          <w:tcPr>
            <w:tcW w:w="170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r>
      <w:tr>
        <w:trPr>
          <w:trHeight w:val="284"/>
        </w:trPr>
        <w:tc>
          <w:tcPr>
            <w:tcW w:w="4840" w:type="dxa"/>
            <w:vAlign w:val="bottom"/>
            <w:gridSpan w:val="2"/>
            <w:shd w:val="clear" w:color="auto" w:fill="CCCCCC"/>
          </w:tcPr>
          <w:p>
            <w:pPr>
              <w:ind w:left="40"/>
              <w:spacing w:after="0"/>
              <w:rPr>
                <w:sz w:val="20"/>
                <w:szCs w:val="20"/>
                <w:color w:val="auto"/>
              </w:rPr>
            </w:pPr>
            <w:r>
              <w:rPr>
                <w:rFonts w:ascii="Arial" w:cs="Arial" w:eastAsia="Arial" w:hAnsi="Arial"/>
                <w:sz w:val="16"/>
                <w:szCs w:val="16"/>
                <w:b w:val="1"/>
                <w:bCs w:val="1"/>
                <w:color w:val="auto"/>
              </w:rPr>
              <w:t>Adjusted Net (Loss) Income</w:t>
            </w:r>
          </w:p>
        </w:tc>
        <w:tc>
          <w:tcPr>
            <w:tcW w:w="330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($0.7)</w:t>
            </w:r>
          </w:p>
        </w:tc>
        <w:tc>
          <w:tcPr>
            <w:tcW w:w="146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$53.1</w:t>
            </w:r>
          </w:p>
        </w:tc>
        <w:tc>
          <w:tcPr>
            <w:tcW w:w="170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r>
      <w:tr>
        <w:trPr>
          <w:trHeight w:val="297"/>
        </w:trPr>
        <w:tc>
          <w:tcPr>
            <w:tcW w:w="4840" w:type="dxa"/>
            <w:vAlign w:val="bottom"/>
            <w:tcBorders>
              <w:bottom w:val="single" w:sz="8" w:color="CCCCCC"/>
            </w:tcBorders>
            <w:gridSpan w:val="2"/>
            <w:shd w:val="clear" w:color="auto" w:fill="CCCCCC"/>
          </w:tcPr>
          <w:p>
            <w:pPr>
              <w:ind w:left="40"/>
              <w:spacing w:after="0"/>
              <w:rPr>
                <w:sz w:val="20"/>
                <w:szCs w:val="20"/>
                <w:color w:val="auto"/>
              </w:rPr>
            </w:pPr>
            <w:r>
              <w:rPr>
                <w:rFonts w:ascii="Arial" w:cs="Arial" w:eastAsia="Arial" w:hAnsi="Arial"/>
                <w:sz w:val="16"/>
                <w:szCs w:val="16"/>
                <w:b w:val="1"/>
                <w:bCs w:val="1"/>
                <w:color w:val="auto"/>
              </w:rPr>
              <w:t>Adjusted Net (Loss) Income Per Diluted Share</w:t>
            </w:r>
          </w:p>
        </w:tc>
        <w:tc>
          <w:tcPr>
            <w:tcW w:w="3300" w:type="dxa"/>
            <w:vAlign w:val="bottom"/>
            <w:tcBorders>
              <w:bottom w:val="single" w:sz="8" w:color="CCCCCC"/>
            </w:tcBorders>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($0.01)</w:t>
            </w:r>
          </w:p>
        </w:tc>
        <w:tc>
          <w:tcPr>
            <w:tcW w:w="1460" w:type="dxa"/>
            <w:vAlign w:val="bottom"/>
            <w:tcBorders>
              <w:bottom w:val="single" w:sz="8" w:color="CCCCCC"/>
            </w:tcBorders>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$1.04</w:t>
            </w:r>
          </w:p>
        </w:tc>
        <w:tc>
          <w:tcPr>
            <w:tcW w:w="1700" w:type="dxa"/>
            <w:vAlign w:val="bottom"/>
            <w:tcBorders>
              <w:bottom w:val="single" w:sz="8" w:color="CCCCCC"/>
            </w:tcBorders>
            <w:shd w:val="clear" w:color="auto" w:fill="CCCCCC"/>
          </w:tcPr>
          <w:p>
            <w:pPr>
              <w:spacing w:after="0"/>
              <w:rPr>
                <w:sz w:val="24"/>
                <w:szCs w:val="24"/>
                <w:color w:val="auto"/>
              </w:rPr>
            </w:pPr>
          </w:p>
        </w:tc>
        <w:tc>
          <w:tcPr>
            <w:tcW w:w="120" w:type="dxa"/>
            <w:vAlign w:val="bottom"/>
            <w:tcBorders>
              <w:bottom w:val="single" w:sz="8" w:color="CCCCCC"/>
            </w:tcBorders>
            <w:shd w:val="clear" w:color="auto" w:fill="CCCCCC"/>
          </w:tcPr>
          <w:p>
            <w:pPr>
              <w:spacing w:after="0"/>
              <w:rPr>
                <w:sz w:val="24"/>
                <w:szCs w:val="24"/>
                <w:color w:val="auto"/>
              </w:rPr>
            </w:pPr>
          </w:p>
        </w:tc>
      </w:tr>
      <w:tr>
        <w:trPr>
          <w:trHeight w:val="365"/>
        </w:trPr>
        <w:tc>
          <w:tcPr>
            <w:tcW w:w="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1"/>
        </w:trPr>
        <w:tc>
          <w:tcPr>
            <w:tcW w:w="80" w:type="dxa"/>
            <w:vAlign w:val="bottom"/>
          </w:tcPr>
          <w:p>
            <w:pPr>
              <w:spacing w:after="0"/>
              <w:rPr>
                <w:sz w:val="18"/>
                <w:szCs w:val="18"/>
                <w:color w:val="auto"/>
              </w:rPr>
            </w:pPr>
          </w:p>
        </w:tc>
        <w:tc>
          <w:tcPr>
            <w:tcW w:w="4760" w:type="dxa"/>
            <w:vAlign w:val="bottom"/>
            <w:shd w:val="clear" w:color="auto" w:fill="0F243E"/>
          </w:tcPr>
          <w:p>
            <w:pPr>
              <w:spacing w:after="0"/>
              <w:rPr>
                <w:sz w:val="18"/>
                <w:szCs w:val="18"/>
                <w:color w:val="auto"/>
              </w:rPr>
            </w:pPr>
          </w:p>
        </w:tc>
        <w:tc>
          <w:tcPr>
            <w:tcW w:w="3300" w:type="dxa"/>
            <w:vAlign w:val="bottom"/>
            <w:shd w:val="clear" w:color="auto" w:fill="0F243E"/>
          </w:tcPr>
          <w:p>
            <w:pPr>
              <w:spacing w:after="0"/>
              <w:rPr>
                <w:sz w:val="18"/>
                <w:szCs w:val="18"/>
                <w:color w:val="auto"/>
              </w:rPr>
            </w:pPr>
          </w:p>
        </w:tc>
        <w:tc>
          <w:tcPr>
            <w:tcW w:w="1460" w:type="dxa"/>
            <w:vAlign w:val="bottom"/>
            <w:shd w:val="clear" w:color="auto" w:fill="0F243E"/>
          </w:tcPr>
          <w:p>
            <w:pPr>
              <w:jc w:val="right"/>
              <w:ind w:right="399"/>
              <w:spacing w:after="0"/>
              <w:rPr>
                <w:sz w:val="20"/>
                <w:szCs w:val="20"/>
                <w:color w:val="auto"/>
              </w:rPr>
            </w:pPr>
            <w:r>
              <w:rPr>
                <w:rFonts w:ascii="Arial" w:cs="Arial" w:eastAsia="Arial" w:hAnsi="Arial"/>
                <w:sz w:val="16"/>
                <w:szCs w:val="16"/>
                <w:b w:val="1"/>
                <w:bCs w:val="1"/>
                <w:color w:val="FFFFFF"/>
              </w:rPr>
              <w:t>Full Year</w:t>
            </w:r>
          </w:p>
        </w:tc>
        <w:tc>
          <w:tcPr>
            <w:tcW w:w="1700" w:type="dxa"/>
            <w:vAlign w:val="bottom"/>
            <w:shd w:val="clear" w:color="auto" w:fill="0F243E"/>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80" w:type="dxa"/>
            <w:vAlign w:val="bottom"/>
          </w:tcPr>
          <w:p>
            <w:pPr>
              <w:spacing w:after="0"/>
              <w:rPr>
                <w:sz w:val="18"/>
                <w:szCs w:val="18"/>
                <w:color w:val="auto"/>
              </w:rPr>
            </w:pPr>
          </w:p>
        </w:tc>
        <w:tc>
          <w:tcPr>
            <w:tcW w:w="4760" w:type="dxa"/>
            <w:vAlign w:val="bottom"/>
            <w:shd w:val="clear" w:color="auto" w:fill="0F243E"/>
          </w:tcPr>
          <w:p>
            <w:pPr>
              <w:spacing w:after="0"/>
              <w:rPr>
                <w:sz w:val="18"/>
                <w:szCs w:val="18"/>
                <w:color w:val="auto"/>
              </w:rPr>
            </w:pPr>
          </w:p>
        </w:tc>
        <w:tc>
          <w:tcPr>
            <w:tcW w:w="3300" w:type="dxa"/>
            <w:vAlign w:val="bottom"/>
            <w:shd w:val="clear" w:color="auto" w:fill="0F243E"/>
          </w:tcPr>
          <w:p>
            <w:pPr>
              <w:spacing w:after="0"/>
              <w:rPr>
                <w:sz w:val="18"/>
                <w:szCs w:val="18"/>
                <w:color w:val="auto"/>
              </w:rPr>
            </w:pPr>
          </w:p>
        </w:tc>
        <w:tc>
          <w:tcPr>
            <w:tcW w:w="1460" w:type="dxa"/>
            <w:vAlign w:val="bottom"/>
            <w:shd w:val="clear" w:color="auto" w:fill="0F243E"/>
          </w:tcPr>
          <w:p>
            <w:pPr>
              <w:jc w:val="right"/>
              <w:ind w:right="399"/>
              <w:spacing w:after="0"/>
              <w:rPr>
                <w:sz w:val="20"/>
                <w:szCs w:val="20"/>
                <w:color w:val="auto"/>
              </w:rPr>
            </w:pPr>
            <w:r>
              <w:rPr>
                <w:rFonts w:ascii="Arial" w:cs="Arial" w:eastAsia="Arial" w:hAnsi="Arial"/>
                <w:sz w:val="16"/>
                <w:szCs w:val="16"/>
                <w:b w:val="1"/>
                <w:bCs w:val="1"/>
                <w:color w:val="FFFFFF"/>
              </w:rPr>
              <w:t>Forecast</w:t>
            </w:r>
          </w:p>
        </w:tc>
        <w:tc>
          <w:tcPr>
            <w:tcW w:w="1700" w:type="dxa"/>
            <w:vAlign w:val="bottom"/>
            <w:shd w:val="clear" w:color="auto" w:fill="0F243E"/>
          </w:tcPr>
          <w:p>
            <w:pPr>
              <w:spacing w:after="0"/>
              <w:rPr>
                <w:sz w:val="18"/>
                <w:szCs w:val="18"/>
                <w:color w:val="auto"/>
              </w:rPr>
            </w:pPr>
          </w:p>
        </w:tc>
        <w:tc>
          <w:tcPr>
            <w:tcW w:w="120" w:type="dxa"/>
            <w:vAlign w:val="bottom"/>
          </w:tcPr>
          <w:p>
            <w:pPr>
              <w:spacing w:after="0"/>
              <w:rPr>
                <w:sz w:val="18"/>
                <w:szCs w:val="18"/>
                <w:color w:val="auto"/>
              </w:rPr>
            </w:pPr>
          </w:p>
        </w:tc>
      </w:tr>
      <w:tr>
        <w:trPr>
          <w:trHeight w:val="276"/>
        </w:trPr>
        <w:tc>
          <w:tcPr>
            <w:tcW w:w="80" w:type="dxa"/>
            <w:vAlign w:val="bottom"/>
          </w:tcPr>
          <w:p>
            <w:pPr>
              <w:spacing w:after="0"/>
              <w:rPr>
                <w:sz w:val="24"/>
                <w:szCs w:val="24"/>
                <w:color w:val="auto"/>
              </w:rPr>
            </w:pPr>
          </w:p>
        </w:tc>
        <w:tc>
          <w:tcPr>
            <w:tcW w:w="4760" w:type="dxa"/>
            <w:vAlign w:val="bottom"/>
            <w:shd w:val="clear" w:color="auto" w:fill="0F243E"/>
          </w:tcPr>
          <w:p>
            <w:pPr>
              <w:ind w:left="40"/>
              <w:spacing w:after="0"/>
              <w:rPr>
                <w:sz w:val="20"/>
                <w:szCs w:val="20"/>
                <w:color w:val="auto"/>
              </w:rPr>
            </w:pPr>
            <w:r>
              <w:rPr>
                <w:rFonts w:ascii="Arial" w:cs="Arial" w:eastAsia="Arial" w:hAnsi="Arial"/>
                <w:sz w:val="16"/>
                <w:szCs w:val="16"/>
                <w:i w:val="1"/>
                <w:iCs w:val="1"/>
                <w:color w:val="FFFFFF"/>
              </w:rPr>
              <w:t>(in millions)</w:t>
            </w:r>
          </w:p>
        </w:tc>
        <w:tc>
          <w:tcPr>
            <w:tcW w:w="3300" w:type="dxa"/>
            <w:vAlign w:val="bottom"/>
            <w:shd w:val="clear" w:color="auto" w:fill="0F243E"/>
          </w:tcPr>
          <w:p>
            <w:pPr>
              <w:jc w:val="right"/>
              <w:spacing w:after="0"/>
              <w:rPr>
                <w:sz w:val="20"/>
                <w:szCs w:val="20"/>
                <w:color w:val="auto"/>
              </w:rPr>
            </w:pPr>
            <w:r>
              <w:rPr>
                <w:rFonts w:ascii="Arial" w:cs="Arial" w:eastAsia="Arial" w:hAnsi="Arial"/>
                <w:sz w:val="16"/>
                <w:szCs w:val="16"/>
                <w:b w:val="1"/>
                <w:bCs w:val="1"/>
                <w:color w:val="FFFFFF"/>
              </w:rPr>
              <w:t>2019F</w:t>
            </w:r>
          </w:p>
        </w:tc>
        <w:tc>
          <w:tcPr>
            <w:tcW w:w="1460" w:type="dxa"/>
            <w:vAlign w:val="bottom"/>
            <w:shd w:val="clear" w:color="auto" w:fill="0F243E"/>
          </w:tcPr>
          <w:p>
            <w:pPr>
              <w:spacing w:after="0"/>
              <w:rPr>
                <w:sz w:val="24"/>
                <w:szCs w:val="24"/>
                <w:color w:val="auto"/>
              </w:rPr>
            </w:pPr>
          </w:p>
        </w:tc>
        <w:tc>
          <w:tcPr>
            <w:tcW w:w="1700" w:type="dxa"/>
            <w:vAlign w:val="bottom"/>
            <w:shd w:val="clear" w:color="auto" w:fill="0F243E"/>
          </w:tcPr>
          <w:p>
            <w:pPr>
              <w:jc w:val="center"/>
              <w:spacing w:after="0"/>
              <w:rPr>
                <w:sz w:val="20"/>
                <w:szCs w:val="20"/>
                <w:color w:val="auto"/>
              </w:rPr>
            </w:pPr>
            <w:r>
              <w:rPr>
                <w:rFonts w:ascii="Arial" w:cs="Arial" w:eastAsia="Arial" w:hAnsi="Arial"/>
                <w:sz w:val="16"/>
                <w:szCs w:val="16"/>
                <w:b w:val="1"/>
                <w:bCs w:val="1"/>
                <w:color w:val="FFFFFF"/>
                <w:w w:val="99"/>
              </w:rPr>
              <w:t>Source</w:t>
            </w:r>
          </w:p>
        </w:tc>
        <w:tc>
          <w:tcPr>
            <w:tcW w:w="120" w:type="dxa"/>
            <w:vAlign w:val="bottom"/>
          </w:tcPr>
          <w:p>
            <w:pPr>
              <w:spacing w:after="0"/>
              <w:rPr>
                <w:sz w:val="24"/>
                <w:szCs w:val="24"/>
                <w:color w:val="auto"/>
              </w:rPr>
            </w:pPr>
          </w:p>
        </w:tc>
      </w:tr>
      <w:tr>
        <w:trPr>
          <w:trHeight w:val="251"/>
        </w:trPr>
        <w:tc>
          <w:tcPr>
            <w:tcW w:w="80" w:type="dxa"/>
            <w:vAlign w:val="bottom"/>
          </w:tcPr>
          <w:p>
            <w:pPr>
              <w:spacing w:after="0"/>
              <w:rPr>
                <w:sz w:val="21"/>
                <w:szCs w:val="21"/>
                <w:color w:val="auto"/>
              </w:rPr>
            </w:pPr>
          </w:p>
        </w:tc>
        <w:tc>
          <w:tcPr>
            <w:tcW w:w="476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Net Income</w:t>
            </w:r>
          </w:p>
        </w:tc>
        <w:tc>
          <w:tcPr>
            <w:tcW w:w="3300" w:type="dxa"/>
            <w:vAlign w:val="bottom"/>
            <w:shd w:val="clear" w:color="auto" w:fill="CCCCCC"/>
          </w:tcPr>
          <w:p>
            <w:pPr>
              <w:spacing w:after="0"/>
              <w:rPr>
                <w:sz w:val="21"/>
                <w:szCs w:val="21"/>
                <w:color w:val="auto"/>
              </w:rPr>
            </w:pPr>
          </w:p>
        </w:tc>
        <w:tc>
          <w:tcPr>
            <w:tcW w:w="146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$80 - $110</w:t>
            </w:r>
          </w:p>
        </w:tc>
        <w:tc>
          <w:tcPr>
            <w:tcW w:w="1700" w:type="dxa"/>
            <w:vAlign w:val="bottom"/>
            <w:shd w:val="clear" w:color="auto" w:fill="CCCCCC"/>
          </w:tcPr>
          <w:p>
            <w:pPr>
              <w:spacing w:after="0"/>
              <w:rPr>
                <w:sz w:val="21"/>
                <w:szCs w:val="21"/>
                <w:color w:val="auto"/>
              </w:rPr>
            </w:pPr>
          </w:p>
        </w:tc>
        <w:tc>
          <w:tcPr>
            <w:tcW w:w="120" w:type="dxa"/>
            <w:vAlign w:val="bottom"/>
          </w:tcPr>
          <w:p>
            <w:pPr>
              <w:spacing w:after="0"/>
              <w:rPr>
                <w:sz w:val="21"/>
                <w:szCs w:val="21"/>
                <w:color w:val="auto"/>
              </w:rPr>
            </w:pPr>
          </w:p>
        </w:tc>
      </w:tr>
      <w:tr>
        <w:trPr>
          <w:trHeight w:val="270"/>
        </w:trPr>
        <w:tc>
          <w:tcPr>
            <w:tcW w:w="80" w:type="dxa"/>
            <w:vAlign w:val="bottom"/>
          </w:tcPr>
          <w:p>
            <w:pPr>
              <w:spacing w:after="0"/>
              <w:rPr>
                <w:sz w:val="23"/>
                <w:szCs w:val="23"/>
                <w:color w:val="auto"/>
              </w:rPr>
            </w:pPr>
          </w:p>
        </w:tc>
        <w:tc>
          <w:tcPr>
            <w:tcW w:w="4760" w:type="dxa"/>
            <w:vAlign w:val="bottom"/>
            <w:shd w:val="clear" w:color="auto" w:fill="CCCCCC"/>
          </w:tcPr>
          <w:p>
            <w:pPr>
              <w:ind w:left="40"/>
              <w:spacing w:after="0"/>
              <w:rPr>
                <w:sz w:val="20"/>
                <w:szCs w:val="20"/>
                <w:color w:val="auto"/>
              </w:rPr>
            </w:pPr>
            <w:r>
              <w:rPr>
                <w:rFonts w:ascii="Arial" w:cs="Arial" w:eastAsia="Arial" w:hAnsi="Arial"/>
                <w:sz w:val="16"/>
                <w:szCs w:val="16"/>
                <w:color w:val="auto"/>
              </w:rPr>
              <w:t>Adjustments:</w:t>
            </w:r>
          </w:p>
        </w:tc>
        <w:tc>
          <w:tcPr>
            <w:tcW w:w="3300" w:type="dxa"/>
            <w:vAlign w:val="bottom"/>
            <w:shd w:val="clear" w:color="auto" w:fill="CCCCCC"/>
          </w:tcPr>
          <w:p>
            <w:pPr>
              <w:spacing w:after="0"/>
              <w:rPr>
                <w:sz w:val="23"/>
                <w:szCs w:val="23"/>
                <w:color w:val="auto"/>
              </w:rPr>
            </w:pPr>
          </w:p>
        </w:tc>
        <w:tc>
          <w:tcPr>
            <w:tcW w:w="1460" w:type="dxa"/>
            <w:vAlign w:val="bottom"/>
            <w:shd w:val="clear" w:color="auto" w:fill="CCCCCC"/>
          </w:tcPr>
          <w:p>
            <w:pPr>
              <w:spacing w:after="0"/>
              <w:rPr>
                <w:sz w:val="23"/>
                <w:szCs w:val="23"/>
                <w:color w:val="auto"/>
              </w:rPr>
            </w:pPr>
          </w:p>
        </w:tc>
        <w:tc>
          <w:tcPr>
            <w:tcW w:w="1700" w:type="dxa"/>
            <w:vAlign w:val="bottom"/>
            <w:shd w:val="clear" w:color="auto" w:fill="CCCCCC"/>
          </w:tcPr>
          <w:p>
            <w:pPr>
              <w:spacing w:after="0"/>
              <w:rPr>
                <w:sz w:val="23"/>
                <w:szCs w:val="23"/>
                <w:color w:val="auto"/>
              </w:rPr>
            </w:pPr>
          </w:p>
        </w:tc>
        <w:tc>
          <w:tcPr>
            <w:tcW w:w="120" w:type="dxa"/>
            <w:vAlign w:val="bottom"/>
          </w:tcPr>
          <w:p>
            <w:pPr>
              <w:spacing w:after="0"/>
              <w:rPr>
                <w:sz w:val="23"/>
                <w:szCs w:val="23"/>
                <w:color w:val="auto"/>
              </w:rPr>
            </w:pPr>
          </w:p>
        </w:tc>
      </w:tr>
      <w:tr>
        <w:trPr>
          <w:trHeight w:val="257"/>
        </w:trPr>
        <w:tc>
          <w:tcPr>
            <w:tcW w:w="80" w:type="dxa"/>
            <w:vAlign w:val="bottom"/>
          </w:tcPr>
          <w:p>
            <w:pPr>
              <w:spacing w:after="0"/>
              <w:rPr>
                <w:sz w:val="22"/>
                <w:szCs w:val="22"/>
                <w:color w:val="auto"/>
              </w:rPr>
            </w:pPr>
          </w:p>
        </w:tc>
        <w:tc>
          <w:tcPr>
            <w:tcW w:w="476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Acquisition-related costs (transaction &amp; integration)</w:t>
            </w:r>
          </w:p>
        </w:tc>
        <w:tc>
          <w:tcPr>
            <w:tcW w:w="3300" w:type="dxa"/>
            <w:vAlign w:val="bottom"/>
            <w:shd w:val="clear" w:color="auto" w:fill="CCCCCC"/>
          </w:tcPr>
          <w:p>
            <w:pPr>
              <w:spacing w:after="0"/>
              <w:rPr>
                <w:sz w:val="22"/>
                <w:szCs w:val="22"/>
                <w:color w:val="auto"/>
              </w:rPr>
            </w:pPr>
          </w:p>
        </w:tc>
        <w:tc>
          <w:tcPr>
            <w:tcW w:w="146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15</w:t>
            </w:r>
          </w:p>
        </w:tc>
        <w:tc>
          <w:tcPr>
            <w:tcW w:w="170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SG&amp;A</w:t>
            </w:r>
          </w:p>
        </w:tc>
        <w:tc>
          <w:tcPr>
            <w:tcW w:w="120" w:type="dxa"/>
            <w:vAlign w:val="bottom"/>
          </w:tcPr>
          <w:p>
            <w:pPr>
              <w:spacing w:after="0"/>
              <w:rPr>
                <w:sz w:val="22"/>
                <w:szCs w:val="22"/>
                <w:color w:val="auto"/>
              </w:rPr>
            </w:pPr>
          </w:p>
        </w:tc>
      </w:tr>
      <w:tr>
        <w:trPr>
          <w:trHeight w:val="257"/>
        </w:trPr>
        <w:tc>
          <w:tcPr>
            <w:tcW w:w="80" w:type="dxa"/>
            <w:vAlign w:val="bottom"/>
          </w:tcPr>
          <w:p>
            <w:pPr>
              <w:spacing w:after="0"/>
              <w:rPr>
                <w:sz w:val="22"/>
                <w:szCs w:val="22"/>
                <w:color w:val="auto"/>
              </w:rPr>
            </w:pPr>
          </w:p>
        </w:tc>
        <w:tc>
          <w:tcPr>
            <w:tcW w:w="476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Non-cash amortization charges</w:t>
            </w:r>
          </w:p>
        </w:tc>
        <w:tc>
          <w:tcPr>
            <w:tcW w:w="3300" w:type="dxa"/>
            <w:vAlign w:val="bottom"/>
            <w:shd w:val="clear" w:color="auto" w:fill="CCCCCC"/>
          </w:tcPr>
          <w:p>
            <w:pPr>
              <w:spacing w:after="0"/>
              <w:rPr>
                <w:sz w:val="22"/>
                <w:szCs w:val="22"/>
                <w:color w:val="auto"/>
              </w:rPr>
            </w:pPr>
          </w:p>
        </w:tc>
        <w:tc>
          <w:tcPr>
            <w:tcW w:w="146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64</w:t>
            </w:r>
          </w:p>
        </w:tc>
        <w:tc>
          <w:tcPr>
            <w:tcW w:w="1700" w:type="dxa"/>
            <w:vAlign w:val="bottom"/>
            <w:shd w:val="clear" w:color="auto" w:fill="CCCCCC"/>
          </w:tcPr>
          <w:p>
            <w:pPr>
              <w:jc w:val="center"/>
              <w:ind w:right="19"/>
              <w:spacing w:after="0"/>
              <w:rPr>
                <w:sz w:val="20"/>
                <w:szCs w:val="20"/>
                <w:color w:val="auto"/>
              </w:rPr>
            </w:pPr>
            <w:r>
              <w:rPr>
                <w:rFonts w:ascii="Arial" w:cs="Arial" w:eastAsia="Arial" w:hAnsi="Arial"/>
                <w:sz w:val="16"/>
                <w:szCs w:val="16"/>
                <w:color w:val="auto"/>
              </w:rPr>
              <w:t>SG&amp;A, Other Income</w:t>
            </w:r>
          </w:p>
        </w:tc>
        <w:tc>
          <w:tcPr>
            <w:tcW w:w="120" w:type="dxa"/>
            <w:vAlign w:val="bottom"/>
          </w:tcPr>
          <w:p>
            <w:pPr>
              <w:spacing w:after="0"/>
              <w:rPr>
                <w:sz w:val="22"/>
                <w:szCs w:val="22"/>
                <w:color w:val="auto"/>
              </w:rPr>
            </w:pPr>
          </w:p>
        </w:tc>
      </w:tr>
      <w:tr>
        <w:trPr>
          <w:trHeight w:val="257"/>
        </w:trPr>
        <w:tc>
          <w:tcPr>
            <w:tcW w:w="80" w:type="dxa"/>
            <w:vAlign w:val="bottom"/>
          </w:tcPr>
          <w:p>
            <w:pPr>
              <w:spacing w:after="0"/>
              <w:rPr>
                <w:sz w:val="22"/>
                <w:szCs w:val="22"/>
                <w:color w:val="auto"/>
              </w:rPr>
            </w:pPr>
          </w:p>
        </w:tc>
        <w:tc>
          <w:tcPr>
            <w:tcW w:w="476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Exit and disposal costs</w:t>
            </w:r>
          </w:p>
        </w:tc>
        <w:tc>
          <w:tcPr>
            <w:tcW w:w="3300" w:type="dxa"/>
            <w:vAlign w:val="bottom"/>
            <w:shd w:val="clear" w:color="auto" w:fill="CCCCCC"/>
          </w:tcPr>
          <w:p>
            <w:pPr>
              <w:spacing w:after="0"/>
              <w:rPr>
                <w:sz w:val="22"/>
                <w:szCs w:val="22"/>
                <w:color w:val="auto"/>
              </w:rPr>
            </w:pPr>
          </w:p>
        </w:tc>
        <w:tc>
          <w:tcPr>
            <w:tcW w:w="146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4</w:t>
            </w:r>
          </w:p>
        </w:tc>
        <w:tc>
          <w:tcPr>
            <w:tcW w:w="170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SG&amp;A</w:t>
            </w:r>
          </w:p>
        </w:tc>
        <w:tc>
          <w:tcPr>
            <w:tcW w:w="120" w:type="dxa"/>
            <w:vAlign w:val="bottom"/>
          </w:tcPr>
          <w:p>
            <w:pPr>
              <w:spacing w:after="0"/>
              <w:rPr>
                <w:sz w:val="22"/>
                <w:szCs w:val="22"/>
                <w:color w:val="auto"/>
              </w:rPr>
            </w:pPr>
          </w:p>
        </w:tc>
      </w:tr>
      <w:tr>
        <w:trPr>
          <w:trHeight w:val="257"/>
        </w:trPr>
        <w:tc>
          <w:tcPr>
            <w:tcW w:w="80" w:type="dxa"/>
            <w:vAlign w:val="bottom"/>
          </w:tcPr>
          <w:p>
            <w:pPr>
              <w:spacing w:after="0"/>
              <w:rPr>
                <w:sz w:val="22"/>
                <w:szCs w:val="22"/>
                <w:color w:val="auto"/>
              </w:rPr>
            </w:pPr>
          </w:p>
        </w:tc>
        <w:tc>
          <w:tcPr>
            <w:tcW w:w="476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Impact of purchase accounting on inventory step-up</w:t>
            </w:r>
          </w:p>
        </w:tc>
        <w:tc>
          <w:tcPr>
            <w:tcW w:w="3300" w:type="dxa"/>
            <w:vAlign w:val="bottom"/>
            <w:shd w:val="clear" w:color="auto" w:fill="CCCCCC"/>
          </w:tcPr>
          <w:p>
            <w:pPr>
              <w:spacing w:after="0"/>
              <w:rPr>
                <w:sz w:val="22"/>
                <w:szCs w:val="22"/>
                <w:color w:val="auto"/>
              </w:rPr>
            </w:pPr>
          </w:p>
        </w:tc>
        <w:tc>
          <w:tcPr>
            <w:tcW w:w="146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6</w:t>
            </w:r>
          </w:p>
        </w:tc>
        <w:tc>
          <w:tcPr>
            <w:tcW w:w="1700" w:type="dxa"/>
            <w:vAlign w:val="bottom"/>
            <w:shd w:val="clear" w:color="auto" w:fill="CCCCCC"/>
          </w:tcPr>
          <w:p>
            <w:pPr>
              <w:jc w:val="center"/>
              <w:ind w:right="19"/>
              <w:spacing w:after="0"/>
              <w:rPr>
                <w:sz w:val="20"/>
                <w:szCs w:val="20"/>
                <w:color w:val="auto"/>
              </w:rPr>
            </w:pPr>
            <w:r>
              <w:rPr>
                <w:rFonts w:ascii="Arial" w:cs="Arial" w:eastAsia="Arial" w:hAnsi="Arial"/>
                <w:sz w:val="16"/>
                <w:szCs w:val="16"/>
                <w:color w:val="auto"/>
              </w:rPr>
              <w:t>COGS</w:t>
            </w:r>
          </w:p>
        </w:tc>
        <w:tc>
          <w:tcPr>
            <w:tcW w:w="120" w:type="dxa"/>
            <w:vAlign w:val="bottom"/>
          </w:tcPr>
          <w:p>
            <w:pPr>
              <w:spacing w:after="0"/>
              <w:rPr>
                <w:sz w:val="22"/>
                <w:szCs w:val="22"/>
                <w:color w:val="auto"/>
              </w:rPr>
            </w:pPr>
          </w:p>
        </w:tc>
      </w:tr>
      <w:tr>
        <w:trPr>
          <w:trHeight w:val="270"/>
        </w:trPr>
        <w:tc>
          <w:tcPr>
            <w:tcW w:w="80" w:type="dxa"/>
            <w:vAlign w:val="bottom"/>
          </w:tcPr>
          <w:p>
            <w:pPr>
              <w:spacing w:after="0"/>
              <w:rPr>
                <w:sz w:val="23"/>
                <w:szCs w:val="23"/>
                <w:color w:val="auto"/>
              </w:rPr>
            </w:pPr>
          </w:p>
        </w:tc>
        <w:tc>
          <w:tcPr>
            <w:tcW w:w="4760" w:type="dxa"/>
            <w:vAlign w:val="bottom"/>
            <w:shd w:val="clear" w:color="auto" w:fill="CCCCCC"/>
          </w:tcPr>
          <w:p>
            <w:pPr>
              <w:ind w:left="40"/>
              <w:spacing w:after="0"/>
              <w:rPr>
                <w:sz w:val="20"/>
                <w:szCs w:val="20"/>
                <w:color w:val="auto"/>
              </w:rPr>
            </w:pPr>
            <w:r>
              <w:rPr>
                <w:rFonts w:ascii="Arial" w:cs="Arial" w:eastAsia="Arial" w:hAnsi="Arial"/>
                <w:sz w:val="16"/>
                <w:szCs w:val="16"/>
                <w:color w:val="auto"/>
              </w:rPr>
              <w:t>Tax effect</w:t>
            </w:r>
          </w:p>
        </w:tc>
        <w:tc>
          <w:tcPr>
            <w:tcW w:w="3300" w:type="dxa"/>
            <w:vAlign w:val="bottom"/>
            <w:shd w:val="clear" w:color="auto" w:fill="CCCCCC"/>
          </w:tcPr>
          <w:p>
            <w:pPr>
              <w:spacing w:after="0"/>
              <w:rPr>
                <w:sz w:val="23"/>
                <w:szCs w:val="23"/>
                <w:color w:val="auto"/>
              </w:rPr>
            </w:pPr>
          </w:p>
        </w:tc>
        <w:tc>
          <w:tcPr>
            <w:tcW w:w="146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(19)</w:t>
            </w:r>
          </w:p>
        </w:tc>
        <w:tc>
          <w:tcPr>
            <w:tcW w:w="1700" w:type="dxa"/>
            <w:vAlign w:val="bottom"/>
            <w:shd w:val="clear" w:color="auto" w:fill="CCCCCC"/>
          </w:tcPr>
          <w:p>
            <w:pPr>
              <w:spacing w:after="0"/>
              <w:rPr>
                <w:sz w:val="23"/>
                <w:szCs w:val="23"/>
                <w:color w:val="auto"/>
              </w:rPr>
            </w:pPr>
          </w:p>
        </w:tc>
        <w:tc>
          <w:tcPr>
            <w:tcW w:w="120" w:type="dxa"/>
            <w:vAlign w:val="bottom"/>
          </w:tcPr>
          <w:p>
            <w:pPr>
              <w:spacing w:after="0"/>
              <w:rPr>
                <w:sz w:val="23"/>
                <w:szCs w:val="23"/>
                <w:color w:val="auto"/>
              </w:rPr>
            </w:pPr>
          </w:p>
        </w:tc>
      </w:tr>
      <w:tr>
        <w:trPr>
          <w:trHeight w:val="284"/>
        </w:trPr>
        <w:tc>
          <w:tcPr>
            <w:tcW w:w="80" w:type="dxa"/>
            <w:vAlign w:val="bottom"/>
          </w:tcPr>
          <w:p>
            <w:pPr>
              <w:spacing w:after="0"/>
              <w:rPr>
                <w:sz w:val="24"/>
                <w:szCs w:val="24"/>
                <w:color w:val="auto"/>
              </w:rPr>
            </w:pPr>
          </w:p>
        </w:tc>
        <w:tc>
          <w:tcPr>
            <w:tcW w:w="476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Total Adjustments:</w:t>
            </w:r>
          </w:p>
        </w:tc>
        <w:tc>
          <w:tcPr>
            <w:tcW w:w="3300" w:type="dxa"/>
            <w:vAlign w:val="bottom"/>
            <w:shd w:val="clear" w:color="auto" w:fill="CCCCCC"/>
          </w:tcPr>
          <w:p>
            <w:pPr>
              <w:spacing w:after="0"/>
              <w:rPr>
                <w:sz w:val="24"/>
                <w:szCs w:val="24"/>
                <w:color w:val="auto"/>
              </w:rPr>
            </w:pPr>
          </w:p>
        </w:tc>
        <w:tc>
          <w:tcPr>
            <w:tcW w:w="146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70</w:t>
            </w:r>
          </w:p>
        </w:tc>
        <w:tc>
          <w:tcPr>
            <w:tcW w:w="1700" w:type="dxa"/>
            <w:vAlign w:val="bottom"/>
            <w:shd w:val="clear" w:color="auto" w:fill="CCCCCC"/>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80" w:type="dxa"/>
            <w:vAlign w:val="bottom"/>
          </w:tcPr>
          <w:p>
            <w:pPr>
              <w:spacing w:after="0"/>
              <w:rPr>
                <w:sz w:val="24"/>
                <w:szCs w:val="24"/>
                <w:color w:val="auto"/>
              </w:rPr>
            </w:pPr>
          </w:p>
        </w:tc>
        <w:tc>
          <w:tcPr>
            <w:tcW w:w="476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3300" w:type="dxa"/>
            <w:vAlign w:val="bottom"/>
            <w:tcBorders>
              <w:bottom w:val="single" w:sz="8" w:color="CCCCCC"/>
            </w:tcBorders>
            <w:shd w:val="clear" w:color="auto" w:fill="CCCCCC"/>
          </w:tcPr>
          <w:p>
            <w:pPr>
              <w:spacing w:after="0"/>
              <w:rPr>
                <w:sz w:val="24"/>
                <w:szCs w:val="24"/>
                <w:color w:val="auto"/>
              </w:rPr>
            </w:pPr>
          </w:p>
        </w:tc>
        <w:tc>
          <w:tcPr>
            <w:tcW w:w="1460" w:type="dxa"/>
            <w:vAlign w:val="bottom"/>
            <w:tcBorders>
              <w:bottom w:val="single" w:sz="8" w:color="CCCCCC"/>
            </w:tcBorders>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$150 - $180</w:t>
            </w:r>
          </w:p>
        </w:tc>
        <w:tc>
          <w:tcPr>
            <w:tcW w:w="1700" w:type="dxa"/>
            <w:vAlign w:val="bottom"/>
            <w:tcBorders>
              <w:bottom w:val="single" w:sz="8" w:color="CCCCCC"/>
            </w:tcBorders>
            <w:shd w:val="clear" w:color="auto" w:fill="CCCCCC"/>
          </w:tcPr>
          <w:p>
            <w:pPr>
              <w:spacing w:after="0"/>
              <w:rPr>
                <w:sz w:val="24"/>
                <w:szCs w:val="24"/>
                <w:color w:val="auto"/>
              </w:rPr>
            </w:pPr>
          </w:p>
        </w:tc>
        <w:tc>
          <w:tcPr>
            <w:tcW w:w="120" w:type="dxa"/>
            <w:vAlign w:val="bottom"/>
          </w:tcPr>
          <w:p>
            <w:pPr>
              <w:spacing w:after="0"/>
              <w:rPr>
                <w:sz w:val="24"/>
                <w:szCs w:val="24"/>
                <w:color w:val="auto"/>
              </w:rPr>
            </w:pPr>
          </w:p>
        </w:tc>
      </w:tr>
      <w:tr>
        <w:trPr>
          <w:trHeight w:val="669"/>
        </w:trPr>
        <w:tc>
          <w:tcPr>
            <w:tcW w:w="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300" w:type="dxa"/>
            <w:vAlign w:val="bottom"/>
          </w:tcPr>
          <w:p>
            <w:pPr>
              <w:jc w:val="right"/>
              <w:ind w:right="2079"/>
              <w:spacing w:after="0"/>
              <w:rPr>
                <w:sz w:val="20"/>
                <w:szCs w:val="20"/>
                <w:color w:val="auto"/>
              </w:rPr>
            </w:pPr>
            <w:r>
              <w:rPr>
                <w:rFonts w:ascii="Arial" w:cs="Arial" w:eastAsia="Arial" w:hAnsi="Arial"/>
                <w:sz w:val="16"/>
                <w:szCs w:val="16"/>
                <w:color w:val="auto"/>
              </w:rPr>
              <w:t>14 of 16</w:t>
            </w:r>
          </w:p>
        </w:tc>
        <w:tc>
          <w:tcPr>
            <w:tcW w:w="1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-2405380</wp:posOffset>
            </wp:positionV>
            <wp:extent cx="7126605" cy="19894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6605" cy="19894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 w:name="page17"/>
    <w:bookmarkEnd w:id="16"/>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226060</wp:posOffset>
            </wp:positionV>
            <wp:extent cx="1517650" cy="6343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343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Reconciliation of Net (Loss) Income to EBITDA and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106045</wp:posOffset>
            </wp:positionV>
            <wp:extent cx="7126605" cy="2341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6605" cy="2341245"/>
                    </a:xfrm>
                    <a:prstGeom prst="rect">
                      <a:avLst/>
                    </a:prstGeom>
                    <a:noFill/>
                  </pic:spPr>
                </pic:pic>
              </a:graphicData>
            </a:graphic>
          </wp:anchor>
        </w:drawing>
      </w:r>
    </w:p>
    <w:p>
      <w:pPr>
        <w:spacing w:after="0" w:line="147" w:lineRule="exact"/>
        <w:rPr>
          <w:sz w:val="20"/>
          <w:szCs w:val="20"/>
          <w:color w:val="auto"/>
        </w:rPr>
      </w:pPr>
    </w:p>
    <w:tbl>
      <w:tblPr>
        <w:tblLayout w:type="fixed"/>
        <w:tblInd w:w="80" w:type="dxa"/>
        <w:tblCellMar>
          <w:top w:w="0" w:type="dxa"/>
          <w:left w:w="0" w:type="dxa"/>
          <w:bottom w:w="0" w:type="dxa"/>
          <w:right w:w="0" w:type="dxa"/>
        </w:tblCellMar>
      </w:tblPr>
      <w:tr>
        <w:trPr>
          <w:trHeight w:val="237"/>
        </w:trPr>
        <w:tc>
          <w:tcPr>
            <w:tcW w:w="140" w:type="dxa"/>
            <w:vAlign w:val="bottom"/>
            <w:shd w:val="clear" w:color="auto" w:fill="0F243E"/>
          </w:tcPr>
          <w:p>
            <w:pPr>
              <w:spacing w:after="0"/>
              <w:rPr>
                <w:sz w:val="20"/>
                <w:szCs w:val="20"/>
                <w:color w:val="auto"/>
              </w:rPr>
            </w:pPr>
          </w:p>
        </w:tc>
        <w:tc>
          <w:tcPr>
            <w:tcW w:w="4680" w:type="dxa"/>
            <w:vAlign w:val="bottom"/>
            <w:shd w:val="clear" w:color="auto" w:fill="0F243E"/>
          </w:tcPr>
          <w:p>
            <w:pPr>
              <w:spacing w:after="0"/>
              <w:rPr>
                <w:sz w:val="20"/>
                <w:szCs w:val="20"/>
                <w:color w:val="auto"/>
              </w:rPr>
            </w:pPr>
          </w:p>
        </w:tc>
        <w:tc>
          <w:tcPr>
            <w:tcW w:w="6400" w:type="dxa"/>
            <w:vAlign w:val="bottom"/>
            <w:gridSpan w:val="3"/>
            <w:shd w:val="clear" w:color="auto" w:fill="0F243E"/>
          </w:tcPr>
          <w:p>
            <w:pPr>
              <w:ind w:left="2960"/>
              <w:spacing w:after="0"/>
              <w:rPr>
                <w:sz w:val="20"/>
                <w:szCs w:val="20"/>
                <w:color w:val="auto"/>
              </w:rPr>
            </w:pPr>
            <w:r>
              <w:rPr>
                <w:rFonts w:ascii="Arial" w:cs="Arial" w:eastAsia="Arial" w:hAnsi="Arial"/>
                <w:sz w:val="16"/>
                <w:szCs w:val="16"/>
                <w:b w:val="1"/>
                <w:bCs w:val="1"/>
                <w:color w:val="FFFFFF"/>
              </w:rPr>
              <w:t>Three Months Ended June 30,</w:t>
            </w:r>
          </w:p>
        </w:tc>
      </w:tr>
      <w:tr>
        <w:trPr>
          <w:trHeight w:val="276"/>
        </w:trPr>
        <w:tc>
          <w:tcPr>
            <w:tcW w:w="4820" w:type="dxa"/>
            <w:vAlign w:val="bottom"/>
            <w:gridSpan w:val="2"/>
            <w:shd w:val="clear" w:color="auto" w:fill="0F243E"/>
          </w:tcPr>
          <w:p>
            <w:pPr>
              <w:ind w:left="40"/>
              <w:spacing w:after="0"/>
              <w:rPr>
                <w:sz w:val="20"/>
                <w:szCs w:val="20"/>
                <w:color w:val="auto"/>
              </w:rPr>
            </w:pPr>
            <w:r>
              <w:rPr>
                <w:rFonts w:ascii="Arial" w:cs="Arial" w:eastAsia="Arial" w:hAnsi="Arial"/>
                <w:sz w:val="16"/>
                <w:szCs w:val="16"/>
                <w:i w:val="1"/>
                <w:iCs w:val="1"/>
                <w:color w:val="FFFFFF"/>
              </w:rPr>
              <w:t>(in millions, except per share value)</w:t>
            </w:r>
          </w:p>
        </w:tc>
        <w:tc>
          <w:tcPr>
            <w:tcW w:w="4180" w:type="dxa"/>
            <w:vAlign w:val="bottom"/>
            <w:shd w:val="clear" w:color="auto" w:fill="0F243E"/>
          </w:tcPr>
          <w:p>
            <w:pPr>
              <w:jc w:val="right"/>
              <w:ind w:right="919"/>
              <w:spacing w:after="0"/>
              <w:rPr>
                <w:sz w:val="20"/>
                <w:szCs w:val="20"/>
                <w:color w:val="auto"/>
              </w:rPr>
            </w:pPr>
            <w:r>
              <w:rPr>
                <w:rFonts w:ascii="Arial" w:cs="Arial" w:eastAsia="Arial" w:hAnsi="Arial"/>
                <w:sz w:val="16"/>
                <w:szCs w:val="16"/>
                <w:b w:val="1"/>
                <w:bCs w:val="1"/>
                <w:color w:val="FFFFFF"/>
              </w:rPr>
              <w:t>2019</w:t>
            </w:r>
          </w:p>
        </w:tc>
        <w:tc>
          <w:tcPr>
            <w:tcW w:w="2200" w:type="dxa"/>
            <w:vAlign w:val="bottom"/>
            <w:shd w:val="clear" w:color="auto" w:fill="0F243E"/>
          </w:tcPr>
          <w:p>
            <w:pPr>
              <w:jc w:val="right"/>
              <w:ind w:right="839"/>
              <w:spacing w:after="0"/>
              <w:rPr>
                <w:sz w:val="20"/>
                <w:szCs w:val="20"/>
                <w:color w:val="auto"/>
              </w:rPr>
            </w:pPr>
            <w:r>
              <w:rPr>
                <w:rFonts w:ascii="Arial" w:cs="Arial" w:eastAsia="Arial" w:hAnsi="Arial"/>
                <w:sz w:val="16"/>
                <w:szCs w:val="16"/>
                <w:b w:val="1"/>
                <w:bCs w:val="1"/>
                <w:color w:val="FFFFFF"/>
              </w:rPr>
              <w:t>2018</w:t>
            </w:r>
          </w:p>
        </w:tc>
        <w:tc>
          <w:tcPr>
            <w:tcW w:w="20" w:type="dxa"/>
            <w:vAlign w:val="bottom"/>
            <w:shd w:val="clear" w:color="auto" w:fill="0F243E"/>
          </w:tcPr>
          <w:p>
            <w:pPr>
              <w:spacing w:after="0"/>
              <w:rPr>
                <w:sz w:val="24"/>
                <w:szCs w:val="24"/>
                <w:color w:val="auto"/>
              </w:rPr>
            </w:pPr>
          </w:p>
        </w:tc>
      </w:tr>
      <w:tr>
        <w:trPr>
          <w:trHeight w:val="251"/>
        </w:trPr>
        <w:tc>
          <w:tcPr>
            <w:tcW w:w="4820" w:type="dxa"/>
            <w:vAlign w:val="bottom"/>
            <w:gridSpan w:val="2"/>
            <w:shd w:val="clear" w:color="auto" w:fill="CCCCCC"/>
          </w:tcPr>
          <w:p>
            <w:pPr>
              <w:ind w:left="40"/>
              <w:spacing w:after="0"/>
              <w:rPr>
                <w:sz w:val="20"/>
                <w:szCs w:val="20"/>
                <w:color w:val="auto"/>
              </w:rPr>
            </w:pPr>
            <w:r>
              <w:rPr>
                <w:rFonts w:ascii="Arial" w:cs="Arial" w:eastAsia="Arial" w:hAnsi="Arial"/>
                <w:sz w:val="16"/>
                <w:szCs w:val="16"/>
                <w:b w:val="1"/>
                <w:bCs w:val="1"/>
                <w:color w:val="auto"/>
              </w:rPr>
              <w:t>Net (Loss) Income</w:t>
            </w:r>
          </w:p>
        </w:tc>
        <w:tc>
          <w:tcPr>
            <w:tcW w:w="418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($9.5)</w:t>
            </w:r>
          </w:p>
        </w:tc>
        <w:tc>
          <w:tcPr>
            <w:tcW w:w="220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$50.1</w:t>
            </w:r>
          </w:p>
        </w:tc>
        <w:tc>
          <w:tcPr>
            <w:tcW w:w="20" w:type="dxa"/>
            <w:vAlign w:val="bottom"/>
            <w:shd w:val="clear" w:color="auto" w:fill="CCCCCC"/>
          </w:tcPr>
          <w:p>
            <w:pPr>
              <w:spacing w:after="0"/>
              <w:rPr>
                <w:sz w:val="21"/>
                <w:szCs w:val="21"/>
                <w:color w:val="auto"/>
              </w:rPr>
            </w:pPr>
          </w:p>
        </w:tc>
      </w:tr>
      <w:tr>
        <w:trPr>
          <w:trHeight w:val="270"/>
        </w:trPr>
        <w:tc>
          <w:tcPr>
            <w:tcW w:w="140" w:type="dxa"/>
            <w:vAlign w:val="bottom"/>
            <w:shd w:val="clear" w:color="auto" w:fill="CCCCCC"/>
          </w:tcPr>
          <w:p>
            <w:pPr>
              <w:spacing w:after="0"/>
              <w:rPr>
                <w:sz w:val="23"/>
                <w:szCs w:val="23"/>
                <w:color w:val="auto"/>
              </w:rPr>
            </w:pPr>
          </w:p>
        </w:tc>
        <w:tc>
          <w:tcPr>
            <w:tcW w:w="4680" w:type="dxa"/>
            <w:vAlign w:val="bottom"/>
            <w:shd w:val="clear" w:color="auto" w:fill="CCCCCC"/>
          </w:tcPr>
          <w:p>
            <w:pPr>
              <w:ind w:left="40"/>
              <w:spacing w:after="0"/>
              <w:rPr>
                <w:sz w:val="20"/>
                <w:szCs w:val="20"/>
                <w:color w:val="auto"/>
              </w:rPr>
            </w:pPr>
            <w:r>
              <w:rPr>
                <w:rFonts w:ascii="Arial" w:cs="Arial" w:eastAsia="Arial" w:hAnsi="Arial"/>
                <w:sz w:val="16"/>
                <w:szCs w:val="16"/>
                <w:color w:val="auto"/>
              </w:rPr>
              <w:t>Adjustments:</w:t>
            </w:r>
          </w:p>
        </w:tc>
        <w:tc>
          <w:tcPr>
            <w:tcW w:w="4180" w:type="dxa"/>
            <w:vAlign w:val="bottom"/>
            <w:shd w:val="clear" w:color="auto" w:fill="CCCCCC"/>
          </w:tcPr>
          <w:p>
            <w:pPr>
              <w:spacing w:after="0"/>
              <w:rPr>
                <w:sz w:val="23"/>
                <w:szCs w:val="23"/>
                <w:color w:val="auto"/>
              </w:rPr>
            </w:pPr>
          </w:p>
        </w:tc>
        <w:tc>
          <w:tcPr>
            <w:tcW w:w="2200" w:type="dxa"/>
            <w:vAlign w:val="bottom"/>
            <w:shd w:val="clear" w:color="auto" w:fill="CCCCCC"/>
          </w:tcPr>
          <w:p>
            <w:pPr>
              <w:spacing w:after="0"/>
              <w:rPr>
                <w:sz w:val="23"/>
                <w:szCs w:val="23"/>
                <w:color w:val="auto"/>
              </w:rPr>
            </w:pPr>
          </w:p>
        </w:tc>
        <w:tc>
          <w:tcPr>
            <w:tcW w:w="20" w:type="dxa"/>
            <w:vAlign w:val="bottom"/>
            <w:shd w:val="clear" w:color="auto" w:fill="CCCCCC"/>
          </w:tcPr>
          <w:p>
            <w:pPr>
              <w:spacing w:after="0"/>
              <w:rPr>
                <w:sz w:val="23"/>
                <w:szCs w:val="23"/>
                <w:color w:val="auto"/>
              </w:rPr>
            </w:pPr>
          </w:p>
        </w:tc>
      </w:tr>
      <w:tr>
        <w:trPr>
          <w:trHeight w:val="257"/>
        </w:trPr>
        <w:tc>
          <w:tcPr>
            <w:tcW w:w="140" w:type="dxa"/>
            <w:vAlign w:val="bottom"/>
            <w:shd w:val="clear" w:color="auto" w:fill="CCCCCC"/>
          </w:tcPr>
          <w:p>
            <w:pPr>
              <w:spacing w:after="0"/>
              <w:rPr>
                <w:sz w:val="22"/>
                <w:szCs w:val="22"/>
                <w:color w:val="auto"/>
              </w:rPr>
            </w:pPr>
          </w:p>
        </w:tc>
        <w:tc>
          <w:tcPr>
            <w:tcW w:w="4680" w:type="dxa"/>
            <w:vAlign w:val="bottom"/>
            <w:shd w:val="clear" w:color="auto" w:fill="CCCCCC"/>
          </w:tcPr>
          <w:p>
            <w:pPr>
              <w:ind w:left="160"/>
              <w:spacing w:after="0"/>
              <w:rPr>
                <w:sz w:val="20"/>
                <w:szCs w:val="20"/>
                <w:color w:val="auto"/>
              </w:rPr>
            </w:pPr>
            <w:r>
              <w:rPr>
                <w:rFonts w:ascii="Arial" w:cs="Arial" w:eastAsia="Arial" w:hAnsi="Arial"/>
                <w:sz w:val="16"/>
                <w:szCs w:val="16"/>
                <w:color w:val="auto"/>
              </w:rPr>
              <w:t>+ Depreciation &amp; amortization</w:t>
            </w:r>
          </w:p>
        </w:tc>
        <w:tc>
          <w:tcPr>
            <w:tcW w:w="418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27.2</w:t>
            </w:r>
          </w:p>
        </w:tc>
        <w:tc>
          <w:tcPr>
            <w:tcW w:w="220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12.2</w:t>
            </w:r>
          </w:p>
        </w:tc>
        <w:tc>
          <w:tcPr>
            <w:tcW w:w="20" w:type="dxa"/>
            <w:vAlign w:val="bottom"/>
            <w:shd w:val="clear" w:color="auto" w:fill="CCCCCC"/>
          </w:tcPr>
          <w:p>
            <w:pPr>
              <w:spacing w:after="0"/>
              <w:rPr>
                <w:sz w:val="22"/>
                <w:szCs w:val="22"/>
                <w:color w:val="auto"/>
              </w:rPr>
            </w:pPr>
          </w:p>
        </w:tc>
      </w:tr>
      <w:tr>
        <w:trPr>
          <w:trHeight w:val="257"/>
        </w:trPr>
        <w:tc>
          <w:tcPr>
            <w:tcW w:w="140" w:type="dxa"/>
            <w:vAlign w:val="bottom"/>
            <w:shd w:val="clear" w:color="auto" w:fill="CCCCCC"/>
          </w:tcPr>
          <w:p>
            <w:pPr>
              <w:spacing w:after="0"/>
              <w:rPr>
                <w:sz w:val="22"/>
                <w:szCs w:val="22"/>
                <w:color w:val="auto"/>
              </w:rPr>
            </w:pPr>
          </w:p>
        </w:tc>
        <w:tc>
          <w:tcPr>
            <w:tcW w:w="4680" w:type="dxa"/>
            <w:vAlign w:val="bottom"/>
            <w:shd w:val="clear" w:color="auto" w:fill="CCCCCC"/>
          </w:tcPr>
          <w:p>
            <w:pPr>
              <w:ind w:left="160"/>
              <w:spacing w:after="0"/>
              <w:rPr>
                <w:sz w:val="20"/>
                <w:szCs w:val="20"/>
                <w:color w:val="auto"/>
              </w:rPr>
            </w:pPr>
            <w:r>
              <w:rPr>
                <w:rFonts w:ascii="Arial" w:cs="Arial" w:eastAsia="Arial" w:hAnsi="Arial"/>
                <w:sz w:val="16"/>
                <w:szCs w:val="16"/>
                <w:color w:val="auto"/>
              </w:rPr>
              <w:t>+ Benefit from income taxes</w:t>
            </w:r>
          </w:p>
        </w:tc>
        <w:tc>
          <w:tcPr>
            <w:tcW w:w="418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(5.6)</w:t>
            </w:r>
          </w:p>
        </w:tc>
        <w:tc>
          <w:tcPr>
            <w:tcW w:w="220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15.7</w:t>
            </w:r>
          </w:p>
        </w:tc>
        <w:tc>
          <w:tcPr>
            <w:tcW w:w="20" w:type="dxa"/>
            <w:vAlign w:val="bottom"/>
            <w:shd w:val="clear" w:color="auto" w:fill="CCCCCC"/>
          </w:tcPr>
          <w:p>
            <w:pPr>
              <w:spacing w:after="0"/>
              <w:rPr>
                <w:sz w:val="22"/>
                <w:szCs w:val="22"/>
                <w:color w:val="auto"/>
              </w:rPr>
            </w:pPr>
          </w:p>
        </w:tc>
      </w:tr>
      <w:tr>
        <w:trPr>
          <w:trHeight w:val="257"/>
        </w:trPr>
        <w:tc>
          <w:tcPr>
            <w:tcW w:w="140" w:type="dxa"/>
            <w:vAlign w:val="bottom"/>
            <w:shd w:val="clear" w:color="auto" w:fill="CCCCCC"/>
          </w:tcPr>
          <w:p>
            <w:pPr>
              <w:spacing w:after="0"/>
              <w:rPr>
                <w:sz w:val="22"/>
                <w:szCs w:val="22"/>
                <w:color w:val="auto"/>
              </w:rPr>
            </w:pPr>
          </w:p>
        </w:tc>
        <w:tc>
          <w:tcPr>
            <w:tcW w:w="4680" w:type="dxa"/>
            <w:vAlign w:val="bottom"/>
            <w:shd w:val="clear" w:color="auto" w:fill="CCCCCC"/>
          </w:tcPr>
          <w:p>
            <w:pPr>
              <w:ind w:left="160"/>
              <w:spacing w:after="0"/>
              <w:rPr>
                <w:sz w:val="20"/>
                <w:szCs w:val="20"/>
                <w:color w:val="auto"/>
              </w:rPr>
            </w:pPr>
            <w:r>
              <w:rPr>
                <w:rFonts w:ascii="Arial" w:cs="Arial" w:eastAsia="Arial" w:hAnsi="Arial"/>
                <w:sz w:val="16"/>
                <w:szCs w:val="16"/>
                <w:color w:val="auto"/>
              </w:rPr>
              <w:t>+ Total interest expense</w:t>
            </w:r>
          </w:p>
        </w:tc>
        <w:tc>
          <w:tcPr>
            <w:tcW w:w="418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9.5</w:t>
            </w:r>
          </w:p>
        </w:tc>
        <w:tc>
          <w:tcPr>
            <w:tcW w:w="220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1.0</w:t>
            </w:r>
          </w:p>
        </w:tc>
        <w:tc>
          <w:tcPr>
            <w:tcW w:w="20" w:type="dxa"/>
            <w:vAlign w:val="bottom"/>
            <w:shd w:val="clear" w:color="auto" w:fill="CCCCCC"/>
          </w:tcPr>
          <w:p>
            <w:pPr>
              <w:spacing w:after="0"/>
              <w:rPr>
                <w:sz w:val="22"/>
                <w:szCs w:val="22"/>
                <w:color w:val="auto"/>
              </w:rPr>
            </w:pPr>
          </w:p>
        </w:tc>
      </w:tr>
      <w:tr>
        <w:trPr>
          <w:trHeight w:val="257"/>
        </w:trPr>
        <w:tc>
          <w:tcPr>
            <w:tcW w:w="4820" w:type="dxa"/>
            <w:vAlign w:val="bottom"/>
            <w:gridSpan w:val="2"/>
            <w:shd w:val="clear" w:color="auto" w:fill="CCCCCC"/>
          </w:tcPr>
          <w:p>
            <w:pPr>
              <w:ind w:left="40"/>
              <w:spacing w:after="0"/>
              <w:rPr>
                <w:sz w:val="20"/>
                <w:szCs w:val="20"/>
                <w:color w:val="auto"/>
              </w:rPr>
            </w:pPr>
            <w:r>
              <w:rPr>
                <w:rFonts w:ascii="Arial" w:cs="Arial" w:eastAsia="Arial" w:hAnsi="Arial"/>
                <w:sz w:val="16"/>
                <w:szCs w:val="16"/>
                <w:b w:val="1"/>
                <w:bCs w:val="1"/>
                <w:color w:val="auto"/>
              </w:rPr>
              <w:t>Total Adjustments</w:t>
            </w:r>
          </w:p>
        </w:tc>
        <w:tc>
          <w:tcPr>
            <w:tcW w:w="418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31.1</w:t>
            </w:r>
          </w:p>
        </w:tc>
        <w:tc>
          <w:tcPr>
            <w:tcW w:w="220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28.9</w:t>
            </w:r>
          </w:p>
        </w:tc>
        <w:tc>
          <w:tcPr>
            <w:tcW w:w="20" w:type="dxa"/>
            <w:vAlign w:val="bottom"/>
            <w:shd w:val="clear" w:color="auto" w:fill="CCCCCC"/>
          </w:tcPr>
          <w:p>
            <w:pPr>
              <w:spacing w:after="0"/>
              <w:rPr>
                <w:sz w:val="22"/>
                <w:szCs w:val="22"/>
                <w:color w:val="auto"/>
              </w:rPr>
            </w:pPr>
          </w:p>
        </w:tc>
      </w:tr>
      <w:tr>
        <w:trPr>
          <w:trHeight w:val="270"/>
        </w:trPr>
        <w:tc>
          <w:tcPr>
            <w:tcW w:w="4820" w:type="dxa"/>
            <w:vAlign w:val="bottom"/>
            <w:gridSpan w:val="2"/>
            <w:shd w:val="clear" w:color="auto" w:fill="CCCCCC"/>
          </w:tcPr>
          <w:p>
            <w:pPr>
              <w:ind w:left="40"/>
              <w:spacing w:after="0"/>
              <w:rPr>
                <w:sz w:val="20"/>
                <w:szCs w:val="20"/>
                <w:color w:val="auto"/>
              </w:rPr>
            </w:pPr>
            <w:r>
              <w:rPr>
                <w:rFonts w:ascii="Arial" w:cs="Arial" w:eastAsia="Arial" w:hAnsi="Arial"/>
                <w:sz w:val="16"/>
                <w:szCs w:val="16"/>
                <w:b w:val="1"/>
                <w:bCs w:val="1"/>
                <w:color w:val="auto"/>
              </w:rPr>
              <w:t>EBITDA</w:t>
            </w:r>
          </w:p>
        </w:tc>
        <w:tc>
          <w:tcPr>
            <w:tcW w:w="418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$21.6</w:t>
            </w:r>
          </w:p>
        </w:tc>
        <w:tc>
          <w:tcPr>
            <w:tcW w:w="220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$79.0</w:t>
            </w:r>
          </w:p>
        </w:tc>
        <w:tc>
          <w:tcPr>
            <w:tcW w:w="20" w:type="dxa"/>
            <w:vAlign w:val="bottom"/>
            <w:shd w:val="clear" w:color="auto" w:fill="CCCCCC"/>
          </w:tcPr>
          <w:p>
            <w:pPr>
              <w:spacing w:after="0"/>
              <w:rPr>
                <w:sz w:val="23"/>
                <w:szCs w:val="23"/>
                <w:color w:val="auto"/>
              </w:rPr>
            </w:pPr>
          </w:p>
        </w:tc>
      </w:tr>
      <w:tr>
        <w:trPr>
          <w:trHeight w:val="270"/>
        </w:trPr>
        <w:tc>
          <w:tcPr>
            <w:tcW w:w="140" w:type="dxa"/>
            <w:vAlign w:val="bottom"/>
            <w:shd w:val="clear" w:color="auto" w:fill="CCCCCC"/>
          </w:tcPr>
          <w:p>
            <w:pPr>
              <w:spacing w:after="0"/>
              <w:rPr>
                <w:sz w:val="23"/>
                <w:szCs w:val="23"/>
                <w:color w:val="auto"/>
              </w:rPr>
            </w:pPr>
          </w:p>
        </w:tc>
        <w:tc>
          <w:tcPr>
            <w:tcW w:w="4680" w:type="dxa"/>
            <w:vAlign w:val="bottom"/>
            <w:shd w:val="clear" w:color="auto" w:fill="CCCCCC"/>
          </w:tcPr>
          <w:p>
            <w:pPr>
              <w:ind w:left="40"/>
              <w:spacing w:after="0"/>
              <w:rPr>
                <w:sz w:val="20"/>
                <w:szCs w:val="20"/>
                <w:color w:val="auto"/>
              </w:rPr>
            </w:pPr>
            <w:r>
              <w:rPr>
                <w:rFonts w:ascii="Arial" w:cs="Arial" w:eastAsia="Arial" w:hAnsi="Arial"/>
                <w:sz w:val="16"/>
                <w:szCs w:val="16"/>
                <w:color w:val="auto"/>
              </w:rPr>
              <w:t>Additional Adjustments:</w:t>
            </w:r>
          </w:p>
        </w:tc>
        <w:tc>
          <w:tcPr>
            <w:tcW w:w="4180" w:type="dxa"/>
            <w:vAlign w:val="bottom"/>
            <w:shd w:val="clear" w:color="auto" w:fill="CCCCCC"/>
          </w:tcPr>
          <w:p>
            <w:pPr>
              <w:spacing w:after="0"/>
              <w:rPr>
                <w:sz w:val="23"/>
                <w:szCs w:val="23"/>
                <w:color w:val="auto"/>
              </w:rPr>
            </w:pPr>
          </w:p>
        </w:tc>
        <w:tc>
          <w:tcPr>
            <w:tcW w:w="2200" w:type="dxa"/>
            <w:vAlign w:val="bottom"/>
            <w:shd w:val="clear" w:color="auto" w:fill="CCCCCC"/>
          </w:tcPr>
          <w:p>
            <w:pPr>
              <w:spacing w:after="0"/>
              <w:rPr>
                <w:sz w:val="23"/>
                <w:szCs w:val="23"/>
                <w:color w:val="auto"/>
              </w:rPr>
            </w:pPr>
          </w:p>
        </w:tc>
        <w:tc>
          <w:tcPr>
            <w:tcW w:w="20" w:type="dxa"/>
            <w:vAlign w:val="bottom"/>
            <w:shd w:val="clear" w:color="auto" w:fill="CCCCCC"/>
          </w:tcPr>
          <w:p>
            <w:pPr>
              <w:spacing w:after="0"/>
              <w:rPr>
                <w:sz w:val="23"/>
                <w:szCs w:val="23"/>
                <w:color w:val="auto"/>
              </w:rPr>
            </w:pPr>
          </w:p>
        </w:tc>
      </w:tr>
      <w:tr>
        <w:trPr>
          <w:trHeight w:val="257"/>
        </w:trPr>
        <w:tc>
          <w:tcPr>
            <w:tcW w:w="140" w:type="dxa"/>
            <w:vAlign w:val="bottom"/>
            <w:shd w:val="clear" w:color="auto" w:fill="CCCCCC"/>
          </w:tcPr>
          <w:p>
            <w:pPr>
              <w:spacing w:after="0"/>
              <w:rPr>
                <w:sz w:val="22"/>
                <w:szCs w:val="22"/>
                <w:color w:val="auto"/>
              </w:rPr>
            </w:pPr>
          </w:p>
        </w:tc>
        <w:tc>
          <w:tcPr>
            <w:tcW w:w="4680" w:type="dxa"/>
            <w:vAlign w:val="bottom"/>
            <w:shd w:val="clear" w:color="auto" w:fill="CCCCCC"/>
          </w:tcPr>
          <w:p>
            <w:pPr>
              <w:ind w:left="160"/>
              <w:spacing w:after="0"/>
              <w:rPr>
                <w:sz w:val="20"/>
                <w:szCs w:val="20"/>
                <w:color w:val="auto"/>
              </w:rPr>
            </w:pPr>
            <w:r>
              <w:rPr>
                <w:rFonts w:ascii="Arial" w:cs="Arial" w:eastAsia="Arial" w:hAnsi="Arial"/>
                <w:sz w:val="16"/>
                <w:szCs w:val="16"/>
                <w:color w:val="auto"/>
              </w:rPr>
              <w:t>+ Acquisition-related costs (transaction &amp; integration)</w:t>
            </w:r>
          </w:p>
        </w:tc>
        <w:tc>
          <w:tcPr>
            <w:tcW w:w="418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3.5</w:t>
            </w:r>
          </w:p>
        </w:tc>
        <w:tc>
          <w:tcPr>
            <w:tcW w:w="220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1.4</w:t>
            </w:r>
          </w:p>
        </w:tc>
        <w:tc>
          <w:tcPr>
            <w:tcW w:w="20" w:type="dxa"/>
            <w:vAlign w:val="bottom"/>
            <w:shd w:val="clear" w:color="auto" w:fill="CCCCCC"/>
          </w:tcPr>
          <w:p>
            <w:pPr>
              <w:spacing w:after="0"/>
              <w:rPr>
                <w:sz w:val="22"/>
                <w:szCs w:val="22"/>
                <w:color w:val="auto"/>
              </w:rPr>
            </w:pPr>
          </w:p>
        </w:tc>
      </w:tr>
      <w:tr>
        <w:trPr>
          <w:trHeight w:val="257"/>
        </w:trPr>
        <w:tc>
          <w:tcPr>
            <w:tcW w:w="140" w:type="dxa"/>
            <w:vAlign w:val="bottom"/>
            <w:shd w:val="clear" w:color="auto" w:fill="CCCCCC"/>
          </w:tcPr>
          <w:p>
            <w:pPr>
              <w:spacing w:after="0"/>
              <w:rPr>
                <w:sz w:val="22"/>
                <w:szCs w:val="22"/>
                <w:color w:val="auto"/>
              </w:rPr>
            </w:pPr>
          </w:p>
        </w:tc>
        <w:tc>
          <w:tcPr>
            <w:tcW w:w="4680" w:type="dxa"/>
            <w:vAlign w:val="bottom"/>
            <w:shd w:val="clear" w:color="auto" w:fill="CCCCCC"/>
          </w:tcPr>
          <w:p>
            <w:pPr>
              <w:ind w:left="160"/>
              <w:spacing w:after="0"/>
              <w:rPr>
                <w:sz w:val="20"/>
                <w:szCs w:val="20"/>
                <w:color w:val="auto"/>
              </w:rPr>
            </w:pPr>
            <w:r>
              <w:rPr>
                <w:rFonts w:ascii="Arial" w:cs="Arial" w:eastAsia="Arial" w:hAnsi="Arial"/>
                <w:sz w:val="16"/>
                <w:szCs w:val="16"/>
                <w:color w:val="auto"/>
              </w:rPr>
              <w:t>+ Impact of purchase accounting on inventory step-up</w:t>
            </w:r>
          </w:p>
        </w:tc>
        <w:tc>
          <w:tcPr>
            <w:tcW w:w="418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1.1</w:t>
            </w:r>
          </w:p>
        </w:tc>
        <w:tc>
          <w:tcPr>
            <w:tcW w:w="22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w:t>
            </w:r>
          </w:p>
        </w:tc>
      </w:tr>
      <w:tr>
        <w:trPr>
          <w:trHeight w:val="257"/>
        </w:trPr>
        <w:tc>
          <w:tcPr>
            <w:tcW w:w="4820" w:type="dxa"/>
            <w:vAlign w:val="bottom"/>
            <w:gridSpan w:val="2"/>
            <w:shd w:val="clear" w:color="auto" w:fill="CCCCCC"/>
          </w:tcPr>
          <w:p>
            <w:pPr>
              <w:ind w:left="40"/>
              <w:spacing w:after="0"/>
              <w:rPr>
                <w:sz w:val="20"/>
                <w:szCs w:val="20"/>
                <w:color w:val="auto"/>
              </w:rPr>
            </w:pPr>
            <w:r>
              <w:rPr>
                <w:rFonts w:ascii="Arial" w:cs="Arial" w:eastAsia="Arial" w:hAnsi="Arial"/>
                <w:sz w:val="16"/>
                <w:szCs w:val="16"/>
                <w:b w:val="1"/>
                <w:bCs w:val="1"/>
                <w:color w:val="auto"/>
              </w:rPr>
              <w:t>Total Additional Adjustments</w:t>
            </w:r>
          </w:p>
        </w:tc>
        <w:tc>
          <w:tcPr>
            <w:tcW w:w="418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4.6</w:t>
            </w:r>
          </w:p>
        </w:tc>
        <w:tc>
          <w:tcPr>
            <w:tcW w:w="220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1.4</w:t>
            </w:r>
          </w:p>
        </w:tc>
        <w:tc>
          <w:tcPr>
            <w:tcW w:w="20" w:type="dxa"/>
            <w:vAlign w:val="bottom"/>
            <w:shd w:val="clear" w:color="auto" w:fill="CCCCCC"/>
          </w:tcPr>
          <w:p>
            <w:pPr>
              <w:spacing w:after="0"/>
              <w:rPr>
                <w:sz w:val="22"/>
                <w:szCs w:val="22"/>
                <w:color w:val="auto"/>
              </w:rPr>
            </w:pPr>
          </w:p>
        </w:tc>
      </w:tr>
      <w:tr>
        <w:trPr>
          <w:trHeight w:val="283"/>
        </w:trPr>
        <w:tc>
          <w:tcPr>
            <w:tcW w:w="4820" w:type="dxa"/>
            <w:vAlign w:val="bottom"/>
            <w:tcBorders>
              <w:bottom w:val="single" w:sz="8" w:color="CCCCCC"/>
            </w:tcBorders>
            <w:gridSpan w:val="2"/>
            <w:shd w:val="clear" w:color="auto" w:fill="CCCCCC"/>
          </w:tcPr>
          <w:p>
            <w:pPr>
              <w:ind w:left="40"/>
              <w:spacing w:after="0"/>
              <w:rPr>
                <w:sz w:val="20"/>
                <w:szCs w:val="20"/>
                <w:color w:val="auto"/>
              </w:rPr>
            </w:pPr>
            <w:r>
              <w:rPr>
                <w:rFonts w:ascii="Arial" w:cs="Arial" w:eastAsia="Arial" w:hAnsi="Arial"/>
                <w:sz w:val="16"/>
                <w:szCs w:val="16"/>
                <w:b w:val="1"/>
                <w:bCs w:val="1"/>
                <w:color w:val="auto"/>
              </w:rPr>
              <w:t>Adjusted EBITDA</w:t>
            </w:r>
          </w:p>
        </w:tc>
        <w:tc>
          <w:tcPr>
            <w:tcW w:w="4180" w:type="dxa"/>
            <w:vAlign w:val="bottom"/>
            <w:tcBorders>
              <w:bottom w:val="single" w:sz="8" w:color="CCCCCC"/>
            </w:tcBorders>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$26.2</w:t>
            </w:r>
          </w:p>
        </w:tc>
        <w:tc>
          <w:tcPr>
            <w:tcW w:w="22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6"/>
                <w:szCs w:val="16"/>
                <w:b w:val="1"/>
                <w:bCs w:val="1"/>
                <w:color w:val="auto"/>
              </w:rPr>
              <w:t>$80.4</w:t>
            </w:r>
          </w:p>
        </w:tc>
        <w:tc>
          <w:tcPr>
            <w:tcW w:w="20" w:type="dxa"/>
            <w:vAlign w:val="bottom"/>
            <w:tcBorders>
              <w:bottom w:val="single" w:sz="8" w:color="CCCCCC"/>
            </w:tcBorders>
            <w:shd w:val="clear" w:color="auto" w:fill="CCCCCC"/>
          </w:tcPr>
          <w:p>
            <w:pPr>
              <w:spacing w:after="0"/>
              <w:rPr>
                <w:sz w:val="24"/>
                <w:szCs w:val="24"/>
                <w:color w:val="auto"/>
              </w:rPr>
            </w:pPr>
          </w:p>
        </w:tc>
      </w:tr>
      <w:tr>
        <w:trPr>
          <w:trHeight w:val="365"/>
        </w:trPr>
        <w:tc>
          <w:tcPr>
            <w:tcW w:w="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220" w:type="dxa"/>
            <w:vAlign w:val="bottom"/>
            <w:gridSpan w:val="2"/>
          </w:tcPr>
          <w:p>
            <w:pPr>
              <w:spacing w:after="0"/>
              <w:rPr>
                <w:sz w:val="24"/>
                <w:szCs w:val="24"/>
                <w:color w:val="auto"/>
              </w:rPr>
            </w:pPr>
          </w:p>
        </w:tc>
      </w:tr>
      <w:tr>
        <w:trPr>
          <w:trHeight w:val="237"/>
        </w:trPr>
        <w:tc>
          <w:tcPr>
            <w:tcW w:w="140" w:type="dxa"/>
            <w:vAlign w:val="bottom"/>
          </w:tcPr>
          <w:p>
            <w:pPr>
              <w:spacing w:after="0"/>
              <w:rPr>
                <w:sz w:val="20"/>
                <w:szCs w:val="20"/>
                <w:color w:val="auto"/>
              </w:rPr>
            </w:pPr>
          </w:p>
        </w:tc>
        <w:tc>
          <w:tcPr>
            <w:tcW w:w="4680" w:type="dxa"/>
            <w:vAlign w:val="bottom"/>
            <w:shd w:val="clear" w:color="auto" w:fill="0F243E"/>
          </w:tcPr>
          <w:p>
            <w:pPr>
              <w:spacing w:after="0"/>
              <w:rPr>
                <w:sz w:val="20"/>
                <w:szCs w:val="20"/>
                <w:color w:val="auto"/>
              </w:rPr>
            </w:pPr>
          </w:p>
        </w:tc>
        <w:tc>
          <w:tcPr>
            <w:tcW w:w="6380" w:type="dxa"/>
            <w:vAlign w:val="bottom"/>
            <w:gridSpan w:val="2"/>
            <w:shd w:val="clear" w:color="auto" w:fill="0F243E"/>
          </w:tcPr>
          <w:p>
            <w:pPr>
              <w:jc w:val="right"/>
              <w:ind w:right="1119"/>
              <w:spacing w:after="0"/>
              <w:rPr>
                <w:sz w:val="20"/>
                <w:szCs w:val="20"/>
                <w:color w:val="auto"/>
              </w:rPr>
            </w:pPr>
            <w:r>
              <w:rPr>
                <w:rFonts w:ascii="Arial" w:cs="Arial" w:eastAsia="Arial" w:hAnsi="Arial"/>
                <w:sz w:val="16"/>
                <w:szCs w:val="16"/>
                <w:b w:val="1"/>
                <w:bCs w:val="1"/>
                <w:color w:val="FFFFFF"/>
              </w:rPr>
              <w:t>Six Months Ended June 30,</w:t>
            </w:r>
          </w:p>
        </w:tc>
        <w:tc>
          <w:tcPr>
            <w:tcW w:w="20" w:type="dxa"/>
            <w:vAlign w:val="bottom"/>
          </w:tcPr>
          <w:p>
            <w:pPr>
              <w:spacing w:after="0"/>
              <w:rPr>
                <w:sz w:val="20"/>
                <w:szCs w:val="20"/>
                <w:color w:val="auto"/>
              </w:rPr>
            </w:pPr>
          </w:p>
        </w:tc>
      </w:tr>
      <w:tr>
        <w:trPr>
          <w:trHeight w:val="276"/>
        </w:trPr>
        <w:tc>
          <w:tcPr>
            <w:tcW w:w="140" w:type="dxa"/>
            <w:vAlign w:val="bottom"/>
          </w:tcPr>
          <w:p>
            <w:pPr>
              <w:spacing w:after="0"/>
              <w:rPr>
                <w:sz w:val="24"/>
                <w:szCs w:val="24"/>
                <w:color w:val="auto"/>
              </w:rPr>
            </w:pPr>
          </w:p>
        </w:tc>
        <w:tc>
          <w:tcPr>
            <w:tcW w:w="4680" w:type="dxa"/>
            <w:vAlign w:val="bottom"/>
            <w:shd w:val="clear" w:color="auto" w:fill="0F243E"/>
          </w:tcPr>
          <w:p>
            <w:pPr>
              <w:ind w:left="40"/>
              <w:spacing w:after="0"/>
              <w:rPr>
                <w:sz w:val="20"/>
                <w:szCs w:val="20"/>
                <w:color w:val="auto"/>
              </w:rPr>
            </w:pPr>
            <w:r>
              <w:rPr>
                <w:rFonts w:ascii="Arial" w:cs="Arial" w:eastAsia="Arial" w:hAnsi="Arial"/>
                <w:sz w:val="16"/>
                <w:szCs w:val="16"/>
                <w:i w:val="1"/>
                <w:iCs w:val="1"/>
                <w:color w:val="FFFFFF"/>
              </w:rPr>
              <w:t>(in millions, except per share value)</w:t>
            </w:r>
          </w:p>
        </w:tc>
        <w:tc>
          <w:tcPr>
            <w:tcW w:w="4180" w:type="dxa"/>
            <w:vAlign w:val="bottom"/>
            <w:shd w:val="clear" w:color="auto" w:fill="0F243E"/>
          </w:tcPr>
          <w:p>
            <w:pPr>
              <w:jc w:val="right"/>
              <w:ind w:right="899"/>
              <w:spacing w:after="0"/>
              <w:rPr>
                <w:sz w:val="20"/>
                <w:szCs w:val="20"/>
                <w:color w:val="auto"/>
              </w:rPr>
            </w:pPr>
            <w:r>
              <w:rPr>
                <w:rFonts w:ascii="Arial" w:cs="Arial" w:eastAsia="Arial" w:hAnsi="Arial"/>
                <w:sz w:val="16"/>
                <w:szCs w:val="16"/>
                <w:b w:val="1"/>
                <w:bCs w:val="1"/>
                <w:color w:val="FFFFFF"/>
              </w:rPr>
              <w:t>2019</w:t>
            </w:r>
          </w:p>
        </w:tc>
        <w:tc>
          <w:tcPr>
            <w:tcW w:w="2200" w:type="dxa"/>
            <w:vAlign w:val="bottom"/>
            <w:shd w:val="clear" w:color="auto" w:fill="0F243E"/>
          </w:tcPr>
          <w:p>
            <w:pPr>
              <w:jc w:val="right"/>
              <w:ind w:right="839"/>
              <w:spacing w:after="0"/>
              <w:rPr>
                <w:sz w:val="20"/>
                <w:szCs w:val="20"/>
                <w:color w:val="auto"/>
              </w:rPr>
            </w:pPr>
            <w:r>
              <w:rPr>
                <w:rFonts w:ascii="Arial" w:cs="Arial" w:eastAsia="Arial" w:hAnsi="Arial"/>
                <w:sz w:val="16"/>
                <w:szCs w:val="16"/>
                <w:b w:val="1"/>
                <w:bCs w:val="1"/>
                <w:color w:val="FFFFFF"/>
              </w:rPr>
              <w:t>2018</w:t>
            </w:r>
          </w:p>
        </w:tc>
        <w:tc>
          <w:tcPr>
            <w:tcW w:w="20" w:type="dxa"/>
            <w:vAlign w:val="bottom"/>
          </w:tcPr>
          <w:p>
            <w:pPr>
              <w:spacing w:after="0"/>
              <w:rPr>
                <w:sz w:val="24"/>
                <w:szCs w:val="24"/>
                <w:color w:val="auto"/>
              </w:rPr>
            </w:pPr>
          </w:p>
        </w:tc>
      </w:tr>
      <w:tr>
        <w:trPr>
          <w:trHeight w:val="251"/>
        </w:trPr>
        <w:tc>
          <w:tcPr>
            <w:tcW w:w="140" w:type="dxa"/>
            <w:vAlign w:val="bottom"/>
          </w:tcPr>
          <w:p>
            <w:pPr>
              <w:spacing w:after="0"/>
              <w:rPr>
                <w:sz w:val="21"/>
                <w:szCs w:val="21"/>
                <w:color w:val="auto"/>
              </w:rPr>
            </w:pPr>
          </w:p>
        </w:tc>
        <w:tc>
          <w:tcPr>
            <w:tcW w:w="468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Net (Loss) Income</w:t>
            </w:r>
          </w:p>
        </w:tc>
        <w:tc>
          <w:tcPr>
            <w:tcW w:w="418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($35.6)</w:t>
            </w:r>
          </w:p>
        </w:tc>
        <w:tc>
          <w:tcPr>
            <w:tcW w:w="220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$45.2</w:t>
            </w:r>
          </w:p>
        </w:tc>
        <w:tc>
          <w:tcPr>
            <w:tcW w:w="20" w:type="dxa"/>
            <w:vAlign w:val="bottom"/>
          </w:tcPr>
          <w:p>
            <w:pPr>
              <w:spacing w:after="0"/>
              <w:rPr>
                <w:sz w:val="21"/>
                <w:szCs w:val="21"/>
                <w:color w:val="auto"/>
              </w:rPr>
            </w:pPr>
          </w:p>
        </w:tc>
      </w:tr>
      <w:tr>
        <w:trPr>
          <w:trHeight w:val="270"/>
        </w:trPr>
        <w:tc>
          <w:tcPr>
            <w:tcW w:w="140" w:type="dxa"/>
            <w:vAlign w:val="bottom"/>
          </w:tcPr>
          <w:p>
            <w:pPr>
              <w:spacing w:after="0"/>
              <w:rPr>
                <w:sz w:val="23"/>
                <w:szCs w:val="23"/>
                <w:color w:val="auto"/>
              </w:rPr>
            </w:pPr>
          </w:p>
        </w:tc>
        <w:tc>
          <w:tcPr>
            <w:tcW w:w="4680" w:type="dxa"/>
            <w:vAlign w:val="bottom"/>
            <w:shd w:val="clear" w:color="auto" w:fill="CCCCCC"/>
          </w:tcPr>
          <w:p>
            <w:pPr>
              <w:ind w:left="180"/>
              <w:spacing w:after="0"/>
              <w:rPr>
                <w:sz w:val="20"/>
                <w:szCs w:val="20"/>
                <w:color w:val="auto"/>
              </w:rPr>
            </w:pPr>
            <w:r>
              <w:rPr>
                <w:rFonts w:ascii="Arial" w:cs="Arial" w:eastAsia="Arial" w:hAnsi="Arial"/>
                <w:sz w:val="16"/>
                <w:szCs w:val="16"/>
                <w:color w:val="auto"/>
              </w:rPr>
              <w:t>Adjustments:</w:t>
            </w:r>
          </w:p>
        </w:tc>
        <w:tc>
          <w:tcPr>
            <w:tcW w:w="4180" w:type="dxa"/>
            <w:vAlign w:val="bottom"/>
            <w:shd w:val="clear" w:color="auto" w:fill="CCCCCC"/>
          </w:tcPr>
          <w:p>
            <w:pPr>
              <w:spacing w:after="0"/>
              <w:rPr>
                <w:sz w:val="23"/>
                <w:szCs w:val="23"/>
                <w:color w:val="auto"/>
              </w:rPr>
            </w:pPr>
          </w:p>
        </w:tc>
        <w:tc>
          <w:tcPr>
            <w:tcW w:w="2200" w:type="dxa"/>
            <w:vAlign w:val="bottom"/>
            <w:shd w:val="clear" w:color="auto" w:fill="CCCCCC"/>
          </w:tcPr>
          <w:p>
            <w:pPr>
              <w:spacing w:after="0"/>
              <w:rPr>
                <w:sz w:val="23"/>
                <w:szCs w:val="23"/>
                <w:color w:val="auto"/>
              </w:rPr>
            </w:pPr>
          </w:p>
        </w:tc>
        <w:tc>
          <w:tcPr>
            <w:tcW w:w="20" w:type="dxa"/>
            <w:vAlign w:val="bottom"/>
          </w:tcPr>
          <w:p>
            <w:pPr>
              <w:spacing w:after="0"/>
              <w:rPr>
                <w:sz w:val="23"/>
                <w:szCs w:val="23"/>
                <w:color w:val="auto"/>
              </w:rPr>
            </w:pPr>
          </w:p>
        </w:tc>
      </w:tr>
      <w:tr>
        <w:trPr>
          <w:trHeight w:val="257"/>
        </w:trPr>
        <w:tc>
          <w:tcPr>
            <w:tcW w:w="140" w:type="dxa"/>
            <w:vAlign w:val="bottom"/>
          </w:tcPr>
          <w:p>
            <w:pPr>
              <w:spacing w:after="0"/>
              <w:rPr>
                <w:sz w:val="22"/>
                <w:szCs w:val="22"/>
                <w:color w:val="auto"/>
              </w:rPr>
            </w:pPr>
          </w:p>
        </w:tc>
        <w:tc>
          <w:tcPr>
            <w:tcW w:w="4680" w:type="dxa"/>
            <w:vAlign w:val="bottom"/>
            <w:shd w:val="clear" w:color="auto" w:fill="CCCCCC"/>
          </w:tcPr>
          <w:p>
            <w:pPr>
              <w:ind w:left="280"/>
              <w:spacing w:after="0"/>
              <w:rPr>
                <w:sz w:val="20"/>
                <w:szCs w:val="20"/>
                <w:color w:val="auto"/>
              </w:rPr>
            </w:pPr>
            <w:r>
              <w:rPr>
                <w:rFonts w:ascii="Arial" w:cs="Arial" w:eastAsia="Arial" w:hAnsi="Arial"/>
                <w:sz w:val="16"/>
                <w:szCs w:val="16"/>
                <w:color w:val="auto"/>
              </w:rPr>
              <w:t>+ Depreciation &amp; amortization</w:t>
            </w:r>
          </w:p>
        </w:tc>
        <w:tc>
          <w:tcPr>
            <w:tcW w:w="418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53.8</w:t>
            </w:r>
          </w:p>
        </w:tc>
        <w:tc>
          <w:tcPr>
            <w:tcW w:w="220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24.5</w:t>
            </w:r>
          </w:p>
        </w:tc>
        <w:tc>
          <w:tcPr>
            <w:tcW w:w="20" w:type="dxa"/>
            <w:vAlign w:val="bottom"/>
          </w:tcPr>
          <w:p>
            <w:pPr>
              <w:spacing w:after="0"/>
              <w:rPr>
                <w:sz w:val="22"/>
                <w:szCs w:val="22"/>
                <w:color w:val="auto"/>
              </w:rPr>
            </w:pPr>
          </w:p>
        </w:tc>
      </w:tr>
      <w:tr>
        <w:trPr>
          <w:trHeight w:val="257"/>
        </w:trPr>
        <w:tc>
          <w:tcPr>
            <w:tcW w:w="140" w:type="dxa"/>
            <w:vAlign w:val="bottom"/>
          </w:tcPr>
          <w:p>
            <w:pPr>
              <w:spacing w:after="0"/>
              <w:rPr>
                <w:sz w:val="22"/>
                <w:szCs w:val="22"/>
                <w:color w:val="auto"/>
              </w:rPr>
            </w:pPr>
          </w:p>
        </w:tc>
        <w:tc>
          <w:tcPr>
            <w:tcW w:w="4680" w:type="dxa"/>
            <w:vAlign w:val="bottom"/>
            <w:shd w:val="clear" w:color="auto" w:fill="CCCCCC"/>
          </w:tcPr>
          <w:p>
            <w:pPr>
              <w:ind w:left="280"/>
              <w:spacing w:after="0"/>
              <w:rPr>
                <w:sz w:val="20"/>
                <w:szCs w:val="20"/>
                <w:color w:val="auto"/>
              </w:rPr>
            </w:pPr>
            <w:r>
              <w:rPr>
                <w:rFonts w:ascii="Arial" w:cs="Arial" w:eastAsia="Arial" w:hAnsi="Arial"/>
                <w:sz w:val="16"/>
                <w:szCs w:val="16"/>
                <w:color w:val="auto"/>
              </w:rPr>
              <w:t>+ Benefit from income taxes</w:t>
            </w:r>
          </w:p>
        </w:tc>
        <w:tc>
          <w:tcPr>
            <w:tcW w:w="418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(17.4)</w:t>
            </w:r>
          </w:p>
        </w:tc>
        <w:tc>
          <w:tcPr>
            <w:tcW w:w="220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11.2</w:t>
            </w:r>
          </w:p>
        </w:tc>
        <w:tc>
          <w:tcPr>
            <w:tcW w:w="20" w:type="dxa"/>
            <w:vAlign w:val="bottom"/>
          </w:tcPr>
          <w:p>
            <w:pPr>
              <w:spacing w:after="0"/>
              <w:rPr>
                <w:sz w:val="22"/>
                <w:szCs w:val="22"/>
                <w:color w:val="auto"/>
              </w:rPr>
            </w:pPr>
          </w:p>
        </w:tc>
      </w:tr>
      <w:tr>
        <w:trPr>
          <w:trHeight w:val="257"/>
        </w:trPr>
        <w:tc>
          <w:tcPr>
            <w:tcW w:w="140" w:type="dxa"/>
            <w:vAlign w:val="bottom"/>
          </w:tcPr>
          <w:p>
            <w:pPr>
              <w:spacing w:after="0"/>
              <w:rPr>
                <w:sz w:val="22"/>
                <w:szCs w:val="22"/>
                <w:color w:val="auto"/>
              </w:rPr>
            </w:pPr>
          </w:p>
        </w:tc>
        <w:tc>
          <w:tcPr>
            <w:tcW w:w="4680" w:type="dxa"/>
            <w:vAlign w:val="bottom"/>
            <w:shd w:val="clear" w:color="auto" w:fill="CCCCCC"/>
          </w:tcPr>
          <w:p>
            <w:pPr>
              <w:ind w:left="280"/>
              <w:spacing w:after="0"/>
              <w:rPr>
                <w:sz w:val="20"/>
                <w:szCs w:val="20"/>
                <w:color w:val="auto"/>
              </w:rPr>
            </w:pPr>
            <w:r>
              <w:rPr>
                <w:rFonts w:ascii="Arial" w:cs="Arial" w:eastAsia="Arial" w:hAnsi="Arial"/>
                <w:sz w:val="16"/>
                <w:szCs w:val="16"/>
                <w:color w:val="auto"/>
              </w:rPr>
              <w:t>+ Total interest expense</w:t>
            </w:r>
          </w:p>
        </w:tc>
        <w:tc>
          <w:tcPr>
            <w:tcW w:w="418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19.0</w:t>
            </w:r>
          </w:p>
        </w:tc>
        <w:tc>
          <w:tcPr>
            <w:tcW w:w="220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1.2</w:t>
            </w:r>
          </w:p>
        </w:tc>
        <w:tc>
          <w:tcPr>
            <w:tcW w:w="20" w:type="dxa"/>
            <w:vAlign w:val="bottom"/>
          </w:tcPr>
          <w:p>
            <w:pPr>
              <w:spacing w:after="0"/>
              <w:rPr>
                <w:sz w:val="22"/>
                <w:szCs w:val="22"/>
                <w:color w:val="auto"/>
              </w:rPr>
            </w:pPr>
          </w:p>
        </w:tc>
      </w:tr>
      <w:tr>
        <w:trPr>
          <w:trHeight w:val="257"/>
        </w:trPr>
        <w:tc>
          <w:tcPr>
            <w:tcW w:w="140" w:type="dxa"/>
            <w:vAlign w:val="bottom"/>
          </w:tcPr>
          <w:p>
            <w:pPr>
              <w:spacing w:after="0"/>
              <w:rPr>
                <w:sz w:val="22"/>
                <w:szCs w:val="22"/>
                <w:color w:val="auto"/>
              </w:rPr>
            </w:pPr>
          </w:p>
        </w:tc>
        <w:tc>
          <w:tcPr>
            <w:tcW w:w="468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Total Adjustments</w:t>
            </w:r>
          </w:p>
        </w:tc>
        <w:tc>
          <w:tcPr>
            <w:tcW w:w="418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55.4</w:t>
            </w:r>
          </w:p>
        </w:tc>
        <w:tc>
          <w:tcPr>
            <w:tcW w:w="220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36.9</w:t>
            </w:r>
          </w:p>
        </w:tc>
        <w:tc>
          <w:tcPr>
            <w:tcW w:w="20" w:type="dxa"/>
            <w:vAlign w:val="bottom"/>
          </w:tcPr>
          <w:p>
            <w:pPr>
              <w:spacing w:after="0"/>
              <w:rPr>
                <w:sz w:val="22"/>
                <w:szCs w:val="22"/>
                <w:color w:val="auto"/>
              </w:rPr>
            </w:pPr>
          </w:p>
        </w:tc>
      </w:tr>
      <w:tr>
        <w:trPr>
          <w:trHeight w:val="270"/>
        </w:trPr>
        <w:tc>
          <w:tcPr>
            <w:tcW w:w="140" w:type="dxa"/>
            <w:vAlign w:val="bottom"/>
          </w:tcPr>
          <w:p>
            <w:pPr>
              <w:spacing w:after="0"/>
              <w:rPr>
                <w:sz w:val="23"/>
                <w:szCs w:val="23"/>
                <w:color w:val="auto"/>
              </w:rPr>
            </w:pPr>
          </w:p>
        </w:tc>
        <w:tc>
          <w:tcPr>
            <w:tcW w:w="468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EBITDA</w:t>
            </w:r>
          </w:p>
        </w:tc>
        <w:tc>
          <w:tcPr>
            <w:tcW w:w="418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$19.8</w:t>
            </w:r>
          </w:p>
        </w:tc>
        <w:tc>
          <w:tcPr>
            <w:tcW w:w="220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$82.1</w:t>
            </w:r>
          </w:p>
        </w:tc>
        <w:tc>
          <w:tcPr>
            <w:tcW w:w="20" w:type="dxa"/>
            <w:vAlign w:val="bottom"/>
          </w:tcPr>
          <w:p>
            <w:pPr>
              <w:spacing w:after="0"/>
              <w:rPr>
                <w:sz w:val="23"/>
                <w:szCs w:val="23"/>
                <w:color w:val="auto"/>
              </w:rPr>
            </w:pPr>
          </w:p>
        </w:tc>
      </w:tr>
      <w:tr>
        <w:trPr>
          <w:trHeight w:val="270"/>
        </w:trPr>
        <w:tc>
          <w:tcPr>
            <w:tcW w:w="140" w:type="dxa"/>
            <w:vAlign w:val="bottom"/>
          </w:tcPr>
          <w:p>
            <w:pPr>
              <w:spacing w:after="0"/>
              <w:rPr>
                <w:sz w:val="23"/>
                <w:szCs w:val="23"/>
                <w:color w:val="auto"/>
              </w:rPr>
            </w:pPr>
          </w:p>
        </w:tc>
        <w:tc>
          <w:tcPr>
            <w:tcW w:w="4680" w:type="dxa"/>
            <w:vAlign w:val="bottom"/>
            <w:shd w:val="clear" w:color="auto" w:fill="CCCCCC"/>
          </w:tcPr>
          <w:p>
            <w:pPr>
              <w:ind w:left="180"/>
              <w:spacing w:after="0"/>
              <w:rPr>
                <w:sz w:val="20"/>
                <w:szCs w:val="20"/>
                <w:color w:val="auto"/>
              </w:rPr>
            </w:pPr>
            <w:r>
              <w:rPr>
                <w:rFonts w:ascii="Arial" w:cs="Arial" w:eastAsia="Arial" w:hAnsi="Arial"/>
                <w:sz w:val="16"/>
                <w:szCs w:val="16"/>
                <w:color w:val="auto"/>
              </w:rPr>
              <w:t>Additional Adjustments:</w:t>
            </w:r>
          </w:p>
        </w:tc>
        <w:tc>
          <w:tcPr>
            <w:tcW w:w="4180" w:type="dxa"/>
            <w:vAlign w:val="bottom"/>
            <w:shd w:val="clear" w:color="auto" w:fill="CCCCCC"/>
          </w:tcPr>
          <w:p>
            <w:pPr>
              <w:spacing w:after="0"/>
              <w:rPr>
                <w:sz w:val="23"/>
                <w:szCs w:val="23"/>
                <w:color w:val="auto"/>
              </w:rPr>
            </w:pPr>
          </w:p>
        </w:tc>
        <w:tc>
          <w:tcPr>
            <w:tcW w:w="2200" w:type="dxa"/>
            <w:vAlign w:val="bottom"/>
            <w:shd w:val="clear" w:color="auto" w:fill="CCCCCC"/>
          </w:tcPr>
          <w:p>
            <w:pPr>
              <w:spacing w:after="0"/>
              <w:rPr>
                <w:sz w:val="23"/>
                <w:szCs w:val="23"/>
                <w:color w:val="auto"/>
              </w:rPr>
            </w:pPr>
          </w:p>
        </w:tc>
        <w:tc>
          <w:tcPr>
            <w:tcW w:w="20" w:type="dxa"/>
            <w:vAlign w:val="bottom"/>
          </w:tcPr>
          <w:p>
            <w:pPr>
              <w:spacing w:after="0"/>
              <w:rPr>
                <w:sz w:val="23"/>
                <w:szCs w:val="23"/>
                <w:color w:val="auto"/>
              </w:rPr>
            </w:pPr>
          </w:p>
        </w:tc>
      </w:tr>
      <w:tr>
        <w:trPr>
          <w:trHeight w:val="257"/>
        </w:trPr>
        <w:tc>
          <w:tcPr>
            <w:tcW w:w="140" w:type="dxa"/>
            <w:vAlign w:val="bottom"/>
          </w:tcPr>
          <w:p>
            <w:pPr>
              <w:spacing w:after="0"/>
              <w:rPr>
                <w:sz w:val="22"/>
                <w:szCs w:val="22"/>
                <w:color w:val="auto"/>
              </w:rPr>
            </w:pPr>
          </w:p>
        </w:tc>
        <w:tc>
          <w:tcPr>
            <w:tcW w:w="4680" w:type="dxa"/>
            <w:vAlign w:val="bottom"/>
            <w:shd w:val="clear" w:color="auto" w:fill="CCCCCC"/>
          </w:tcPr>
          <w:p>
            <w:pPr>
              <w:ind w:left="280"/>
              <w:spacing w:after="0"/>
              <w:rPr>
                <w:sz w:val="20"/>
                <w:szCs w:val="20"/>
                <w:color w:val="auto"/>
              </w:rPr>
            </w:pPr>
            <w:r>
              <w:rPr>
                <w:rFonts w:ascii="Arial" w:cs="Arial" w:eastAsia="Arial" w:hAnsi="Arial"/>
                <w:sz w:val="16"/>
                <w:szCs w:val="16"/>
                <w:color w:val="auto"/>
              </w:rPr>
              <w:t>+ Acquisition-related costs (transaction &amp; integration)</w:t>
            </w:r>
          </w:p>
        </w:tc>
        <w:tc>
          <w:tcPr>
            <w:tcW w:w="418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7.4</w:t>
            </w:r>
          </w:p>
        </w:tc>
        <w:tc>
          <w:tcPr>
            <w:tcW w:w="220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1.6</w:t>
            </w:r>
          </w:p>
        </w:tc>
        <w:tc>
          <w:tcPr>
            <w:tcW w:w="20" w:type="dxa"/>
            <w:vAlign w:val="bottom"/>
          </w:tcPr>
          <w:p>
            <w:pPr>
              <w:spacing w:after="0"/>
              <w:rPr>
                <w:sz w:val="22"/>
                <w:szCs w:val="22"/>
                <w:color w:val="auto"/>
              </w:rPr>
            </w:pPr>
          </w:p>
        </w:tc>
      </w:tr>
      <w:tr>
        <w:trPr>
          <w:trHeight w:val="257"/>
        </w:trPr>
        <w:tc>
          <w:tcPr>
            <w:tcW w:w="140" w:type="dxa"/>
            <w:vAlign w:val="bottom"/>
          </w:tcPr>
          <w:p>
            <w:pPr>
              <w:spacing w:after="0"/>
              <w:rPr>
                <w:sz w:val="22"/>
                <w:szCs w:val="22"/>
                <w:color w:val="auto"/>
              </w:rPr>
            </w:pPr>
          </w:p>
        </w:tc>
        <w:tc>
          <w:tcPr>
            <w:tcW w:w="4680" w:type="dxa"/>
            <w:vAlign w:val="bottom"/>
            <w:shd w:val="clear" w:color="auto" w:fill="CCCCCC"/>
          </w:tcPr>
          <w:p>
            <w:pPr>
              <w:ind w:left="280"/>
              <w:spacing w:after="0"/>
              <w:rPr>
                <w:sz w:val="20"/>
                <w:szCs w:val="20"/>
                <w:color w:val="auto"/>
              </w:rPr>
            </w:pPr>
            <w:r>
              <w:rPr>
                <w:rFonts w:ascii="Arial" w:cs="Arial" w:eastAsia="Arial" w:hAnsi="Arial"/>
                <w:sz w:val="16"/>
                <w:szCs w:val="16"/>
                <w:color w:val="auto"/>
              </w:rPr>
              <w:t>+ Impact of purchase accounting on inventory step-up</w:t>
            </w:r>
          </w:p>
        </w:tc>
        <w:tc>
          <w:tcPr>
            <w:tcW w:w="418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6.1</w:t>
            </w:r>
          </w:p>
        </w:tc>
        <w:tc>
          <w:tcPr>
            <w:tcW w:w="220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r>
      <w:tr>
        <w:trPr>
          <w:trHeight w:val="257"/>
        </w:trPr>
        <w:tc>
          <w:tcPr>
            <w:tcW w:w="140" w:type="dxa"/>
            <w:vAlign w:val="bottom"/>
          </w:tcPr>
          <w:p>
            <w:pPr>
              <w:spacing w:after="0"/>
              <w:rPr>
                <w:sz w:val="22"/>
                <w:szCs w:val="22"/>
                <w:color w:val="auto"/>
              </w:rPr>
            </w:pPr>
          </w:p>
        </w:tc>
        <w:tc>
          <w:tcPr>
            <w:tcW w:w="468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Total Additional Adjustments</w:t>
            </w:r>
          </w:p>
        </w:tc>
        <w:tc>
          <w:tcPr>
            <w:tcW w:w="418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13.5</w:t>
            </w:r>
          </w:p>
        </w:tc>
        <w:tc>
          <w:tcPr>
            <w:tcW w:w="220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1.6</w:t>
            </w:r>
          </w:p>
        </w:tc>
        <w:tc>
          <w:tcPr>
            <w:tcW w:w="20" w:type="dxa"/>
            <w:vAlign w:val="bottom"/>
          </w:tcPr>
          <w:p>
            <w:pPr>
              <w:spacing w:after="0"/>
              <w:rPr>
                <w:sz w:val="22"/>
                <w:szCs w:val="22"/>
                <w:color w:val="auto"/>
              </w:rPr>
            </w:pPr>
          </w:p>
        </w:tc>
      </w:tr>
      <w:tr>
        <w:trPr>
          <w:trHeight w:val="283"/>
        </w:trPr>
        <w:tc>
          <w:tcPr>
            <w:tcW w:w="140" w:type="dxa"/>
            <w:vAlign w:val="bottom"/>
          </w:tcPr>
          <w:p>
            <w:pPr>
              <w:spacing w:after="0"/>
              <w:rPr>
                <w:sz w:val="24"/>
                <w:szCs w:val="24"/>
                <w:color w:val="auto"/>
              </w:rPr>
            </w:pPr>
          </w:p>
        </w:tc>
        <w:tc>
          <w:tcPr>
            <w:tcW w:w="468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6"/>
                <w:szCs w:val="16"/>
                <w:b w:val="1"/>
                <w:bCs w:val="1"/>
                <w:color w:val="auto"/>
              </w:rPr>
              <w:t>Adjusted EBITDA</w:t>
            </w:r>
          </w:p>
        </w:tc>
        <w:tc>
          <w:tcPr>
            <w:tcW w:w="4180" w:type="dxa"/>
            <w:vAlign w:val="bottom"/>
            <w:tcBorders>
              <w:bottom w:val="single" w:sz="8" w:color="CCCCCC"/>
            </w:tcBorders>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$33.3</w:t>
            </w:r>
          </w:p>
        </w:tc>
        <w:tc>
          <w:tcPr>
            <w:tcW w:w="2200" w:type="dxa"/>
            <w:vAlign w:val="bottom"/>
            <w:tcBorders>
              <w:bottom w:val="single" w:sz="8" w:color="CCCCCC"/>
            </w:tcBorders>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$83.7</w:t>
            </w:r>
          </w:p>
        </w:tc>
        <w:tc>
          <w:tcPr>
            <w:tcW w:w="20" w:type="dxa"/>
            <w:vAlign w:val="bottom"/>
          </w:tcPr>
          <w:p>
            <w:pPr>
              <w:spacing w:after="0"/>
              <w:rPr>
                <w:sz w:val="24"/>
                <w:szCs w:val="24"/>
                <w:color w:val="auto"/>
              </w:rPr>
            </w:pPr>
          </w:p>
        </w:tc>
      </w:tr>
      <w:tr>
        <w:trPr>
          <w:trHeight w:val="669"/>
        </w:trPr>
        <w:tc>
          <w:tcPr>
            <w:tcW w:w="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180" w:type="dxa"/>
            <w:vAlign w:val="bottom"/>
          </w:tcPr>
          <w:p>
            <w:pPr>
              <w:jc w:val="right"/>
              <w:ind w:right="3019"/>
              <w:spacing w:after="0"/>
              <w:rPr>
                <w:sz w:val="20"/>
                <w:szCs w:val="20"/>
                <w:color w:val="auto"/>
              </w:rPr>
            </w:pPr>
            <w:r>
              <w:rPr>
                <w:rFonts w:ascii="Arial" w:cs="Arial" w:eastAsia="Arial" w:hAnsi="Arial"/>
                <w:sz w:val="16"/>
                <w:szCs w:val="16"/>
                <w:color w:val="auto"/>
              </w:rPr>
              <w:t>15 of 16</w:t>
            </w: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-2757170</wp:posOffset>
            </wp:positionV>
            <wp:extent cx="7031990" cy="2341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31990" cy="2341245"/>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7" w:name="page18"/>
    <w:bookmarkEnd w:id="17"/>
    <w:p>
      <w:pPr>
        <w:spacing w:after="0" w:line="2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208915</wp:posOffset>
            </wp:positionH>
            <wp:positionV relativeFrom="page">
              <wp:posOffset>226060</wp:posOffset>
            </wp:positionV>
            <wp:extent cx="7195185" cy="3447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5185" cy="3447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1"/>
        </w:trPr>
        <w:tc>
          <w:tcPr>
            <w:tcW w:w="4760" w:type="dxa"/>
            <w:vAlign w:val="bottom"/>
            <w:shd w:val="clear" w:color="auto" w:fill="0F243E"/>
          </w:tcPr>
          <w:p>
            <w:pPr>
              <w:spacing w:after="0"/>
              <w:rPr>
                <w:sz w:val="18"/>
                <w:szCs w:val="18"/>
                <w:color w:val="auto"/>
              </w:rPr>
            </w:pPr>
          </w:p>
        </w:tc>
        <w:tc>
          <w:tcPr>
            <w:tcW w:w="6460" w:type="dxa"/>
            <w:vAlign w:val="bottom"/>
            <w:shd w:val="clear" w:color="auto" w:fill="0F243E"/>
          </w:tcPr>
          <w:p>
            <w:pPr>
              <w:jc w:val="center"/>
              <w:ind w:left="3339"/>
              <w:spacing w:after="0"/>
              <w:rPr>
                <w:sz w:val="20"/>
                <w:szCs w:val="20"/>
                <w:color w:val="auto"/>
              </w:rPr>
            </w:pPr>
            <w:r>
              <w:rPr>
                <w:rFonts w:ascii="Arial" w:cs="Arial" w:eastAsia="Arial" w:hAnsi="Arial"/>
                <w:sz w:val="16"/>
                <w:szCs w:val="16"/>
                <w:b w:val="1"/>
                <w:bCs w:val="1"/>
                <w:color w:val="FFFFFF"/>
              </w:rPr>
              <w:t>Full Year</w:t>
            </w:r>
          </w:p>
        </w:tc>
      </w:tr>
      <w:tr>
        <w:trPr>
          <w:trHeight w:val="215"/>
        </w:trPr>
        <w:tc>
          <w:tcPr>
            <w:tcW w:w="4760" w:type="dxa"/>
            <w:vAlign w:val="bottom"/>
            <w:shd w:val="clear" w:color="auto" w:fill="0F243E"/>
          </w:tcPr>
          <w:p>
            <w:pPr>
              <w:spacing w:after="0"/>
              <w:rPr>
                <w:sz w:val="18"/>
                <w:szCs w:val="18"/>
                <w:color w:val="auto"/>
              </w:rPr>
            </w:pPr>
          </w:p>
        </w:tc>
        <w:tc>
          <w:tcPr>
            <w:tcW w:w="6460" w:type="dxa"/>
            <w:vAlign w:val="bottom"/>
            <w:shd w:val="clear" w:color="auto" w:fill="0F243E"/>
          </w:tcPr>
          <w:p>
            <w:pPr>
              <w:jc w:val="center"/>
              <w:ind w:left="3339"/>
              <w:spacing w:after="0"/>
              <w:rPr>
                <w:sz w:val="20"/>
                <w:szCs w:val="20"/>
                <w:color w:val="auto"/>
              </w:rPr>
            </w:pPr>
            <w:r>
              <w:rPr>
                <w:rFonts w:ascii="Arial" w:cs="Arial" w:eastAsia="Arial" w:hAnsi="Arial"/>
                <w:sz w:val="16"/>
                <w:szCs w:val="16"/>
                <w:b w:val="1"/>
                <w:bCs w:val="1"/>
                <w:color w:val="FFFFFF"/>
              </w:rPr>
              <w:t>Forecast</w:t>
            </w:r>
          </w:p>
        </w:tc>
      </w:tr>
      <w:tr>
        <w:trPr>
          <w:trHeight w:val="276"/>
        </w:trPr>
        <w:tc>
          <w:tcPr>
            <w:tcW w:w="4760" w:type="dxa"/>
            <w:vAlign w:val="bottom"/>
            <w:shd w:val="clear" w:color="auto" w:fill="0F243E"/>
          </w:tcPr>
          <w:p>
            <w:pPr>
              <w:ind w:left="40"/>
              <w:spacing w:after="0"/>
              <w:rPr>
                <w:sz w:val="20"/>
                <w:szCs w:val="20"/>
                <w:color w:val="auto"/>
              </w:rPr>
            </w:pPr>
            <w:r>
              <w:rPr>
                <w:rFonts w:ascii="Arial" w:cs="Arial" w:eastAsia="Arial" w:hAnsi="Arial"/>
                <w:sz w:val="16"/>
                <w:szCs w:val="16"/>
                <w:i w:val="1"/>
                <w:iCs w:val="1"/>
                <w:color w:val="FFFFFF"/>
              </w:rPr>
              <w:t>(in millions)</w:t>
            </w:r>
          </w:p>
        </w:tc>
        <w:tc>
          <w:tcPr>
            <w:tcW w:w="6460" w:type="dxa"/>
            <w:vAlign w:val="bottom"/>
            <w:shd w:val="clear" w:color="auto" w:fill="0F243E"/>
          </w:tcPr>
          <w:p>
            <w:pPr>
              <w:jc w:val="center"/>
              <w:ind w:left="3359"/>
              <w:spacing w:after="0"/>
              <w:rPr>
                <w:sz w:val="20"/>
                <w:szCs w:val="20"/>
                <w:color w:val="auto"/>
              </w:rPr>
            </w:pPr>
            <w:r>
              <w:rPr>
                <w:rFonts w:ascii="Arial" w:cs="Arial" w:eastAsia="Arial" w:hAnsi="Arial"/>
                <w:sz w:val="16"/>
                <w:szCs w:val="16"/>
                <w:b w:val="1"/>
                <w:bCs w:val="1"/>
                <w:color w:val="FFFFFF"/>
              </w:rPr>
              <w:t>2019F</w:t>
            </w:r>
          </w:p>
        </w:tc>
      </w:tr>
      <w:tr>
        <w:trPr>
          <w:trHeight w:val="237"/>
        </w:trPr>
        <w:tc>
          <w:tcPr>
            <w:tcW w:w="476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Net Income</w:t>
            </w:r>
          </w:p>
        </w:tc>
        <w:tc>
          <w:tcPr>
            <w:tcW w:w="646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$80 - $110</w:t>
            </w:r>
          </w:p>
        </w:tc>
      </w:tr>
      <w:tr>
        <w:trPr>
          <w:trHeight w:val="257"/>
        </w:trPr>
        <w:tc>
          <w:tcPr>
            <w:tcW w:w="4760" w:type="dxa"/>
            <w:vAlign w:val="bottom"/>
            <w:shd w:val="clear" w:color="auto" w:fill="CCCCCC"/>
          </w:tcPr>
          <w:p>
            <w:pPr>
              <w:ind w:left="180"/>
              <w:spacing w:after="0"/>
              <w:rPr>
                <w:sz w:val="20"/>
                <w:szCs w:val="20"/>
                <w:color w:val="auto"/>
              </w:rPr>
            </w:pPr>
            <w:r>
              <w:rPr>
                <w:rFonts w:ascii="Arial" w:cs="Arial" w:eastAsia="Arial" w:hAnsi="Arial"/>
                <w:sz w:val="16"/>
                <w:szCs w:val="16"/>
                <w:color w:val="auto"/>
              </w:rPr>
              <w:t>Adjustments:</w:t>
            </w:r>
          </w:p>
        </w:tc>
        <w:tc>
          <w:tcPr>
            <w:tcW w:w="6460" w:type="dxa"/>
            <w:vAlign w:val="bottom"/>
            <w:shd w:val="clear" w:color="auto" w:fill="CCCCCC"/>
          </w:tcPr>
          <w:p>
            <w:pPr>
              <w:spacing w:after="0"/>
              <w:rPr>
                <w:sz w:val="22"/>
                <w:szCs w:val="22"/>
                <w:color w:val="auto"/>
              </w:rPr>
            </w:pPr>
          </w:p>
        </w:tc>
      </w:tr>
      <w:tr>
        <w:trPr>
          <w:trHeight w:val="257"/>
        </w:trPr>
        <w:tc>
          <w:tcPr>
            <w:tcW w:w="476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Depreciation &amp; amortization</w:t>
            </w:r>
          </w:p>
        </w:tc>
        <w:tc>
          <w:tcPr>
            <w:tcW w:w="646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106</w:t>
            </w:r>
          </w:p>
        </w:tc>
      </w:tr>
      <w:tr>
        <w:trPr>
          <w:trHeight w:val="257"/>
        </w:trPr>
        <w:tc>
          <w:tcPr>
            <w:tcW w:w="476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Provision for income taxes</w:t>
            </w:r>
          </w:p>
        </w:tc>
        <w:tc>
          <w:tcPr>
            <w:tcW w:w="646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30</w:t>
            </w:r>
          </w:p>
        </w:tc>
      </w:tr>
      <w:tr>
        <w:trPr>
          <w:trHeight w:val="257"/>
        </w:trPr>
        <w:tc>
          <w:tcPr>
            <w:tcW w:w="476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Total interest expense</w:t>
            </w:r>
          </w:p>
        </w:tc>
        <w:tc>
          <w:tcPr>
            <w:tcW w:w="646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39</w:t>
            </w:r>
          </w:p>
        </w:tc>
      </w:tr>
      <w:tr>
        <w:trPr>
          <w:trHeight w:val="257"/>
        </w:trPr>
        <w:tc>
          <w:tcPr>
            <w:tcW w:w="476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Total Adjustments</w:t>
            </w:r>
          </w:p>
        </w:tc>
        <w:tc>
          <w:tcPr>
            <w:tcW w:w="646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175</w:t>
            </w:r>
          </w:p>
        </w:tc>
      </w:tr>
      <w:tr>
        <w:trPr>
          <w:trHeight w:val="257"/>
        </w:trPr>
        <w:tc>
          <w:tcPr>
            <w:tcW w:w="476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EBITDA</w:t>
            </w:r>
          </w:p>
        </w:tc>
        <w:tc>
          <w:tcPr>
            <w:tcW w:w="646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$255 - $285</w:t>
            </w:r>
          </w:p>
        </w:tc>
      </w:tr>
      <w:tr>
        <w:trPr>
          <w:trHeight w:val="257"/>
        </w:trPr>
        <w:tc>
          <w:tcPr>
            <w:tcW w:w="4760" w:type="dxa"/>
            <w:vAlign w:val="bottom"/>
            <w:shd w:val="clear" w:color="auto" w:fill="CCCCCC"/>
          </w:tcPr>
          <w:p>
            <w:pPr>
              <w:ind w:left="180"/>
              <w:spacing w:after="0"/>
              <w:rPr>
                <w:sz w:val="20"/>
                <w:szCs w:val="20"/>
                <w:color w:val="auto"/>
              </w:rPr>
            </w:pPr>
            <w:r>
              <w:rPr>
                <w:rFonts w:ascii="Arial" w:cs="Arial" w:eastAsia="Arial" w:hAnsi="Arial"/>
                <w:sz w:val="16"/>
                <w:szCs w:val="16"/>
                <w:color w:val="auto"/>
              </w:rPr>
              <w:t>Additional Adjustments:</w:t>
            </w:r>
          </w:p>
        </w:tc>
        <w:tc>
          <w:tcPr>
            <w:tcW w:w="6460" w:type="dxa"/>
            <w:vAlign w:val="bottom"/>
            <w:shd w:val="clear" w:color="auto" w:fill="CCCCCC"/>
          </w:tcPr>
          <w:p>
            <w:pPr>
              <w:spacing w:after="0"/>
              <w:rPr>
                <w:sz w:val="22"/>
                <w:szCs w:val="22"/>
                <w:color w:val="auto"/>
              </w:rPr>
            </w:pPr>
          </w:p>
        </w:tc>
      </w:tr>
      <w:tr>
        <w:trPr>
          <w:trHeight w:val="257"/>
        </w:trPr>
        <w:tc>
          <w:tcPr>
            <w:tcW w:w="476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Acquisition-related costs (transaction &amp; integration)</w:t>
            </w:r>
          </w:p>
        </w:tc>
        <w:tc>
          <w:tcPr>
            <w:tcW w:w="646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15</w:t>
            </w:r>
          </w:p>
        </w:tc>
      </w:tr>
      <w:tr>
        <w:trPr>
          <w:trHeight w:val="257"/>
        </w:trPr>
        <w:tc>
          <w:tcPr>
            <w:tcW w:w="476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Exit and disposal costs</w:t>
            </w:r>
          </w:p>
        </w:tc>
        <w:tc>
          <w:tcPr>
            <w:tcW w:w="646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4</w:t>
            </w:r>
          </w:p>
        </w:tc>
      </w:tr>
      <w:tr>
        <w:trPr>
          <w:trHeight w:val="257"/>
        </w:trPr>
        <w:tc>
          <w:tcPr>
            <w:tcW w:w="476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Impact of purchase accounting on inventory step-up</w:t>
            </w:r>
          </w:p>
        </w:tc>
        <w:tc>
          <w:tcPr>
            <w:tcW w:w="646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6</w:t>
            </w:r>
          </w:p>
        </w:tc>
      </w:tr>
      <w:tr>
        <w:trPr>
          <w:trHeight w:val="257"/>
        </w:trPr>
        <w:tc>
          <w:tcPr>
            <w:tcW w:w="476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Total Additional Adjustments</w:t>
            </w:r>
          </w:p>
        </w:tc>
        <w:tc>
          <w:tcPr>
            <w:tcW w:w="646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25</w:t>
            </w:r>
          </w:p>
        </w:tc>
      </w:tr>
      <w:tr>
        <w:trPr>
          <w:trHeight w:val="276"/>
        </w:trPr>
        <w:tc>
          <w:tcPr>
            <w:tcW w:w="476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Adjusted EBITDA</w:t>
            </w:r>
          </w:p>
        </w:tc>
        <w:tc>
          <w:tcPr>
            <w:tcW w:w="646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$280 - $310</w:t>
            </w:r>
          </w:p>
        </w:tc>
      </w:tr>
      <w:tr>
        <w:trPr>
          <w:trHeight w:val="669"/>
        </w:trPr>
        <w:tc>
          <w:tcPr>
            <w:tcW w:w="4760" w:type="dxa"/>
            <w:vAlign w:val="bottom"/>
          </w:tcPr>
          <w:p>
            <w:pPr>
              <w:spacing w:after="0"/>
              <w:rPr>
                <w:sz w:val="24"/>
                <w:szCs w:val="24"/>
                <w:color w:val="auto"/>
              </w:rPr>
            </w:pPr>
          </w:p>
        </w:tc>
        <w:tc>
          <w:tcPr>
            <w:tcW w:w="6460" w:type="dxa"/>
            <w:vAlign w:val="bottom"/>
          </w:tcPr>
          <w:p>
            <w:pPr>
              <w:jc w:val="right"/>
              <w:ind w:right="5239"/>
              <w:spacing w:after="0"/>
              <w:rPr>
                <w:sz w:val="20"/>
                <w:szCs w:val="20"/>
                <w:color w:val="auto"/>
              </w:rPr>
            </w:pPr>
            <w:r>
              <w:rPr>
                <w:rFonts w:ascii="Arial" w:cs="Arial" w:eastAsia="Arial" w:hAnsi="Arial"/>
                <w:sz w:val="16"/>
                <w:szCs w:val="16"/>
                <w:color w:val="auto"/>
              </w:rPr>
              <w:t>16 of 16</w:t>
            </w:r>
          </w:p>
        </w:tc>
      </w:tr>
    </w:tbl>
    <w:p>
      <w:pPr>
        <w:spacing w:after="0" w:line="1" w:lineRule="exact"/>
        <w:rPr>
          <w:sz w:val="20"/>
          <w:szCs w:val="20"/>
          <w:color w:val="auto"/>
        </w:rPr>
      </w:pP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1"/>
      <w:numFmt w:val="decimal"/>
      <w:start w:val="99"/>
    </w:lvl>
  </w:abstractNum>
  <w:abstractNum w:abstractNumId="3">
    <w:nsid w:val="2EB141F2"/>
    <w:multiLevelType w:val="hybridMultilevel"/>
    <w:lvl w:ilvl="0">
      <w:lvlJc w:val="left"/>
      <w:lvlText w:val="\endash "/>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upperLetter"/>
      <w:start w:val="9"/>
    </w:lvl>
  </w:abstractNum>
  <w:abstractNum w:abstractNumId="7">
    <w:nsid w:val="515F007C"/>
    <w:multiLevelType w:val="hybridMultilevel"/>
    <w:lvl w:ilvl="0">
      <w:lvlJc w:val="left"/>
      <w:lvlText w:val="(%1)"/>
      <w:numFmt w:val="upperLetter"/>
      <w:start w:val="35"/>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2019-12-28T09:33:47Z</dcterms:created>
  <dcterms:modified xsi:type="dcterms:W3CDTF">2019-12-28T09:33:47Z</dcterms:modified>
</cp:coreProperties>
</file>