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910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9105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Strei Katherine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80"/>
        <w:spacing w:after="0" w:line="317"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EVP, Chief HR Officer</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9"/>
          </w:tcPr>
          <w:p>
            <w:pPr>
              <w:jc w:val="center"/>
              <w:ind w:right="23"/>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GAITHERSBURG MD</w:t>
            </w:r>
          </w:p>
        </w:tc>
        <w:tc>
          <w:tcPr>
            <w:tcW w:w="1180" w:type="dxa"/>
            <w:vAlign w:val="bottom"/>
            <w:vMerge w:val="restart"/>
          </w:tcPr>
          <w:p>
            <w:pPr>
              <w:ind w:left="100"/>
              <w:spacing w:after="0"/>
              <w:rPr>
                <w:sz w:val="20"/>
                <w:szCs w:val="20"/>
                <w:color w:val="auto"/>
              </w:rPr>
            </w:pPr>
            <w:r>
              <w:rPr>
                <w:rFonts w:ascii="Arial" w:cs="Arial" w:eastAsia="Arial" w:hAnsi="Arial"/>
                <w:sz w:val="17"/>
                <w:szCs w:val="17"/>
                <w:color w:val="0000FF"/>
              </w:rPr>
              <w:t>20879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4,029</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13,969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4,029</w:t>
            </w:r>
            <w:r>
              <w:rPr>
                <w:rFonts w:ascii="Arial" w:cs="Arial" w:eastAsia="Arial" w:hAnsi="Arial"/>
                <w:sz w:val="22"/>
                <w:szCs w:val="22"/>
                <w:color w:val="008000"/>
                <w:vertAlign w:val="superscript"/>
              </w:rPr>
              <w:t>(3)</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17,998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02/27/2018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387</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49.64</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17,611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7"/>
              <w:spacing w:after="0"/>
              <w:rPr>
                <w:sz w:val="20"/>
                <w:szCs w:val="20"/>
                <w:color w:val="auto"/>
              </w:rPr>
            </w:pPr>
            <w:r>
              <w:rPr>
                <w:rFonts w:ascii="Arial" w:cs="Arial" w:eastAsia="Arial" w:hAnsi="Arial"/>
                <w:sz w:val="17"/>
                <w:szCs w:val="17"/>
                <w:color w:val="0000FF"/>
                <w:w w:val="93"/>
              </w:rPr>
              <w:t>02/28/2018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540</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49.97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17,071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16,116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49.64</w:t>
            </w: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02/27/2018</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16,116</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02/26/2025</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49.64</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16,116</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Amended and Restated Emergent BioSolutions Inc. 2006 Stock Incentive Plan, as amended.</w:t>
      </w:r>
    </w:p>
    <w:p>
      <w:pPr>
        <w:spacing w:after="0" w:line="51"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1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Amended and Restated 2006 Emergent BioSolutions Inc. Stock Incentive Plan, as amended. Each PSU represents a right to receive one share of common stock. The PSUs vest upon achievement with respect to net income as a percentage of total revenue for the 2020 fiscal year, each as determined in accordance with GAAP, as certified by the Compensation Committee following the performance period.</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on February 26, 2019, February 26, 2020 and February 26, 2021.</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Eric Burt, Attorney-in-fact</w:t>
            </w:r>
          </w:p>
        </w:tc>
        <w:tc>
          <w:tcPr>
            <w:tcW w:w="22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03/01/2018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9639"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2019-12-07T05:26:05Z</dcterms:created>
  <dcterms:modified xsi:type="dcterms:W3CDTF">2019-12-07T05:26:05Z</dcterms:modified>
</cp:coreProperties>
</file>