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White Marvin 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PROFESSIONAL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15"/>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10/01/2020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Arial" w:cs="Arial" w:eastAsia="Arial" w:hAnsi="Arial"/>
                <w:sz w:val="17"/>
                <w:szCs w:val="17"/>
                <w:color w:val="0000FF"/>
              </w:rPr>
              <w:t>GAITHERSBURG MD</w:t>
            </w:r>
          </w:p>
        </w:tc>
        <w:tc>
          <w:tcPr>
            <w:tcW w:w="1580" w:type="dxa"/>
            <w:vAlign w:val="bottom"/>
          </w:tcPr>
          <w:p>
            <w:pPr>
              <w:jc w:val="right"/>
              <w:ind w:right="603"/>
              <w:spacing w:after="0"/>
              <w:rPr>
                <w:sz w:val="20"/>
                <w:szCs w:val="20"/>
                <w:color w:val="auto"/>
              </w:rPr>
            </w:pPr>
            <w:r>
              <w:rPr>
                <w:rFonts w:ascii="Arial" w:cs="Arial" w:eastAsia="Arial" w:hAnsi="Arial"/>
                <w:sz w:val="17"/>
                <w:szCs w:val="17"/>
                <w:color w:val="0000FF"/>
              </w:rPr>
              <w:t>20879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400"/>
              <w:spacing w:after="0"/>
              <w:rPr>
                <w:sz w:val="20"/>
                <w:szCs w:val="20"/>
                <w:color w:val="auto"/>
              </w:rPr>
            </w:pPr>
            <w:r>
              <w:rPr>
                <w:rFonts w:ascii="Arial" w:cs="Arial" w:eastAsia="Arial" w:hAnsi="Arial"/>
                <w:sz w:val="13"/>
                <w:szCs w:val="13"/>
                <w:color w:val="auto"/>
              </w:rPr>
              <w:t>(State)</w:t>
            </w:r>
          </w:p>
        </w:tc>
        <w:tc>
          <w:tcPr>
            <w:tcW w:w="158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10/01/2020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3,629</w:t>
            </w:r>
            <w:r>
              <w:rPr>
                <w:rFonts w:ascii="Arial" w:cs="Arial" w:eastAsia="Arial" w:hAnsi="Arial"/>
                <w:sz w:val="22"/>
                <w:szCs w:val="22"/>
                <w:color w:val="008000"/>
                <w:w w:val="89"/>
                <w:vertAlign w:val="superscript"/>
              </w:rPr>
              <w:t>(2)</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Arial" w:cs="Arial" w:eastAsia="Arial" w:hAnsi="Arial"/>
                <w:sz w:val="17"/>
                <w:szCs w:val="17"/>
                <w:color w:val="0000FF"/>
              </w:rPr>
              <w:t>3,629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restricted stock units granted under the Company's Stock Incentive Plan, as amended and restated.</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restricted stock units vest in three equal annual installments beginning on the day prior to the first anniversary of the date of grant, assuming continued service on the Board of Directors.</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S. Scott Lieberman</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10/05/2020</w:t>
            </w:r>
          </w:p>
        </w:tc>
      </w:tr>
      <w:tr>
        <w:trPr>
          <w:trHeight w:val="20"/>
        </w:trPr>
        <w:tc>
          <w:tcPr>
            <w:tcW w:w="1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93324" TargetMode="External"/><Relationship Id="rId14"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2020-10-05T16:30:50Z</dcterms:created>
  <dcterms:modified xsi:type="dcterms:W3CDTF">2020-10-05T16:30:50Z</dcterms:modified>
</cp:coreProperties>
</file>