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36830</wp:posOffset>
            </wp:positionV>
            <wp:extent cx="6967220" cy="16243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624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SULLIVAN LOUIS W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400 PROFESSIONAL DR,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203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Emergent BioSolutions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EBS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09/02/2020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3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7"/>
        <w:spacing w:after="0"/>
        <w:tabs>
          <w:tab w:leader="none" w:pos="497" w:val="left"/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GAITHERSBURG MD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20879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-2486025</wp:posOffset>
            </wp:positionH>
            <wp:positionV relativeFrom="paragraph">
              <wp:posOffset>202565</wp:posOffset>
            </wp:positionV>
            <wp:extent cx="6967220" cy="15252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525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09/02/2020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20,525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111.2157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42,762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09/02/2020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7,893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20.08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50,655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09/02/2020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7,893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111.2256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42,762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00"/>
              <w:spacing w:after="0" w:line="2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 xml:space="preserve">Common   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7,893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20.08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09/02/2020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7,893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05/19/2021</w:t>
            </w: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15,786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0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Consists of previously exercised options granted under the company's stock incentive plan as amended and restated.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4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The price reported is a weighted average sale price. These shares were sold in multiple transactions at prices between $110.96 and $111.40.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18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9"/>
              </w:rPr>
              <w:t>3. Consists of an option granted under the company's stock incentive plan as amended and restated.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4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4. The price reported is a weighted average sale price. These shares were sold in multiple transactions at prices between $110.96 and $111.32.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5. The option grant is fully vested.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Daniel Woubishet,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09/04/2020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Attorney-in-fact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9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Reminder: Report on a separate line for each class of securities beneficially owned directly or indirectly.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9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 xml:space="preserve"> Instruction 4 (b)(v).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-3917950</wp:posOffset>
            </wp:positionV>
            <wp:extent cx="7033260" cy="230060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300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193522" TargetMode="External"/><Relationship Id="rId14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2020-09-04T19:10:13Z</dcterms:created>
  <dcterms:modified xsi:type="dcterms:W3CDTF">2020-09-04T19:10:13Z</dcterms:modified>
</cp:coreProperties>
</file>