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w:t>
      </w:r>
    </w:p>
    <w:p>
      <w:pPr>
        <w:spacing w:after="0" w:line="198"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21, 2015</w:t>
      </w:r>
    </w:p>
    <w:p>
      <w:pPr>
        <w:spacing w:after="0" w:line="221"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Emergent BioSolutions Inc.</w:t>
      </w:r>
    </w:p>
    <w:p>
      <w:pPr>
        <w:spacing w:after="0" w:line="34"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Charter)</w:t>
      </w:r>
    </w:p>
    <w:p>
      <w:pPr>
        <w:spacing w:after="0" w:line="232" w:lineRule="exact"/>
        <w:rPr>
          <w:sz w:val="24"/>
          <w:szCs w:val="24"/>
          <w:color w:val="auto"/>
        </w:rPr>
      </w:pPr>
    </w:p>
    <w:tbl>
      <w:tblPr>
        <w:tblLayout w:type="fixed"/>
        <w:tblInd w:w="1020" w:type="dxa"/>
        <w:tblCellMar>
          <w:top w:w="0" w:type="dxa"/>
          <w:left w:w="0" w:type="dxa"/>
          <w:bottom w:w="0" w:type="dxa"/>
          <w:right w:w="0" w:type="dxa"/>
        </w:tblCellMar>
      </w:tblPr>
      <w:tr>
        <w:trPr>
          <w:trHeight w:val="220"/>
        </w:trPr>
        <w:tc>
          <w:tcPr>
            <w:tcW w:w="4200" w:type="dxa"/>
            <w:vAlign w:val="bottom"/>
          </w:tcPr>
          <w:p>
            <w:pPr>
              <w:jc w:val="center"/>
              <w:ind w:right="2130"/>
              <w:spacing w:after="0"/>
              <w:rPr>
                <w:sz w:val="20"/>
                <w:szCs w:val="20"/>
                <w:color w:val="auto"/>
              </w:rPr>
            </w:pPr>
            <w:r>
              <w:rPr>
                <w:rFonts w:ascii="Arial" w:cs="Arial" w:eastAsia="Arial" w:hAnsi="Arial"/>
                <w:sz w:val="18"/>
                <w:szCs w:val="18"/>
                <w:b w:val="1"/>
                <w:bCs w:val="1"/>
                <w:color w:val="auto"/>
                <w:w w:val="93"/>
              </w:rPr>
              <w:t>Delaware</w:t>
            </w:r>
          </w:p>
        </w:tc>
        <w:tc>
          <w:tcPr>
            <w:tcW w:w="2260" w:type="dxa"/>
            <w:vAlign w:val="bottom"/>
          </w:tcPr>
          <w:p>
            <w:pPr>
              <w:jc w:val="center"/>
              <w:ind w:right="1150"/>
              <w:spacing w:after="0"/>
              <w:rPr>
                <w:sz w:val="20"/>
                <w:szCs w:val="20"/>
                <w:color w:val="auto"/>
              </w:rPr>
            </w:pPr>
            <w:r>
              <w:rPr>
                <w:rFonts w:ascii="Arial" w:cs="Arial" w:eastAsia="Arial" w:hAnsi="Arial"/>
                <w:sz w:val="18"/>
                <w:szCs w:val="18"/>
                <w:b w:val="1"/>
                <w:bCs w:val="1"/>
                <w:color w:val="auto"/>
                <w:w w:val="90"/>
              </w:rPr>
              <w:t>001-33137</w:t>
            </w:r>
          </w:p>
        </w:tc>
        <w:tc>
          <w:tcPr>
            <w:tcW w:w="2620" w:type="dxa"/>
            <w:vAlign w:val="bottom"/>
          </w:tcPr>
          <w:p>
            <w:pPr>
              <w:jc w:val="right"/>
              <w:ind w:right="150"/>
              <w:spacing w:after="0"/>
              <w:rPr>
                <w:sz w:val="20"/>
                <w:szCs w:val="20"/>
                <w:color w:val="auto"/>
              </w:rPr>
            </w:pPr>
            <w:r>
              <w:rPr>
                <w:rFonts w:ascii="Arial" w:cs="Arial" w:eastAsia="Arial" w:hAnsi="Arial"/>
                <w:sz w:val="18"/>
                <w:szCs w:val="18"/>
                <w:b w:val="1"/>
                <w:bCs w:val="1"/>
                <w:color w:val="auto"/>
              </w:rPr>
              <w:t>14-1902018</w:t>
            </w:r>
          </w:p>
        </w:tc>
      </w:tr>
      <w:tr>
        <w:trPr>
          <w:trHeight w:val="216"/>
        </w:trPr>
        <w:tc>
          <w:tcPr>
            <w:tcW w:w="4200" w:type="dxa"/>
            <w:vAlign w:val="bottom"/>
          </w:tcPr>
          <w:p>
            <w:pPr>
              <w:jc w:val="center"/>
              <w:ind w:right="2150"/>
              <w:spacing w:after="0"/>
              <w:rPr>
                <w:sz w:val="20"/>
                <w:szCs w:val="20"/>
                <w:color w:val="auto"/>
              </w:rPr>
            </w:pPr>
            <w:r>
              <w:rPr>
                <w:rFonts w:ascii="Arial" w:cs="Arial" w:eastAsia="Arial" w:hAnsi="Arial"/>
                <w:sz w:val="18"/>
                <w:szCs w:val="18"/>
                <w:color w:val="auto"/>
                <w:w w:val="91"/>
              </w:rPr>
              <w:t>(State or Other Jurisdiction</w:t>
            </w:r>
          </w:p>
        </w:tc>
        <w:tc>
          <w:tcPr>
            <w:tcW w:w="2260" w:type="dxa"/>
            <w:vAlign w:val="bottom"/>
          </w:tcPr>
          <w:p>
            <w:pPr>
              <w:jc w:val="center"/>
              <w:ind w:right="1170"/>
              <w:spacing w:after="0"/>
              <w:rPr>
                <w:sz w:val="20"/>
                <w:szCs w:val="20"/>
                <w:color w:val="auto"/>
              </w:rPr>
            </w:pPr>
            <w:r>
              <w:rPr>
                <w:rFonts w:ascii="Arial" w:cs="Arial" w:eastAsia="Arial" w:hAnsi="Arial"/>
                <w:sz w:val="18"/>
                <w:szCs w:val="18"/>
                <w:color w:val="auto"/>
                <w:w w:val="91"/>
              </w:rPr>
              <w:t>(Commission</w:t>
            </w: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3"/>
              </w:rPr>
              <w:t>(IRS Employer</w:t>
            </w:r>
          </w:p>
        </w:tc>
      </w:tr>
      <w:tr>
        <w:trPr>
          <w:trHeight w:val="230"/>
        </w:trPr>
        <w:tc>
          <w:tcPr>
            <w:tcW w:w="4200" w:type="dxa"/>
            <w:vAlign w:val="bottom"/>
          </w:tcPr>
          <w:p>
            <w:pPr>
              <w:jc w:val="center"/>
              <w:ind w:right="2150"/>
              <w:spacing w:after="0"/>
              <w:rPr>
                <w:sz w:val="20"/>
                <w:szCs w:val="20"/>
                <w:color w:val="auto"/>
              </w:rPr>
            </w:pPr>
            <w:r>
              <w:rPr>
                <w:rFonts w:ascii="Arial" w:cs="Arial" w:eastAsia="Arial" w:hAnsi="Arial"/>
                <w:sz w:val="18"/>
                <w:szCs w:val="18"/>
                <w:color w:val="auto"/>
                <w:w w:val="94"/>
              </w:rPr>
              <w:t>of Incorporation)</w:t>
            </w:r>
          </w:p>
        </w:tc>
        <w:tc>
          <w:tcPr>
            <w:tcW w:w="2260" w:type="dxa"/>
            <w:vAlign w:val="bottom"/>
          </w:tcPr>
          <w:p>
            <w:pPr>
              <w:jc w:val="center"/>
              <w:ind w:right="1170"/>
              <w:spacing w:after="0"/>
              <w:rPr>
                <w:sz w:val="20"/>
                <w:szCs w:val="20"/>
                <w:color w:val="auto"/>
              </w:rPr>
            </w:pPr>
            <w:r>
              <w:rPr>
                <w:rFonts w:ascii="Arial" w:cs="Arial" w:eastAsia="Arial" w:hAnsi="Arial"/>
                <w:sz w:val="18"/>
                <w:szCs w:val="18"/>
                <w:color w:val="auto"/>
                <w:w w:val="92"/>
              </w:rPr>
              <w:t>File Number)</w:t>
            </w: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5"/>
              </w:rPr>
              <w:t>Identification No.)</w:t>
            </w:r>
          </w:p>
        </w:tc>
      </w:tr>
      <w:tr>
        <w:trPr>
          <w:trHeight w:val="661"/>
        </w:trPr>
        <w:tc>
          <w:tcPr>
            <w:tcW w:w="6460" w:type="dxa"/>
            <w:vAlign w:val="bottom"/>
            <w:gridSpan w:val="2"/>
          </w:tcPr>
          <w:p>
            <w:pPr>
              <w:jc w:val="center"/>
              <w:ind w:right="970"/>
              <w:spacing w:after="0"/>
              <w:rPr>
                <w:sz w:val="20"/>
                <w:szCs w:val="20"/>
                <w:color w:val="auto"/>
              </w:rPr>
            </w:pPr>
            <w:r>
              <w:rPr>
                <w:rFonts w:ascii="Arial" w:cs="Arial" w:eastAsia="Arial" w:hAnsi="Arial"/>
                <w:sz w:val="18"/>
                <w:szCs w:val="18"/>
                <w:b w:val="1"/>
                <w:bCs w:val="1"/>
                <w:color w:val="auto"/>
                <w:w w:val="91"/>
              </w:rPr>
              <w:t>400 Professional Drive, Suite 400, Gaithersburg, Maryland</w:t>
            </w:r>
          </w:p>
        </w:tc>
        <w:tc>
          <w:tcPr>
            <w:tcW w:w="2620" w:type="dxa"/>
            <w:vAlign w:val="bottom"/>
          </w:tcPr>
          <w:p>
            <w:pPr>
              <w:jc w:val="right"/>
              <w:ind w:right="350"/>
              <w:spacing w:after="0"/>
              <w:rPr>
                <w:sz w:val="20"/>
                <w:szCs w:val="20"/>
                <w:color w:val="auto"/>
              </w:rPr>
            </w:pPr>
            <w:r>
              <w:rPr>
                <w:rFonts w:ascii="Arial" w:cs="Arial" w:eastAsia="Arial" w:hAnsi="Arial"/>
                <w:sz w:val="18"/>
                <w:szCs w:val="18"/>
                <w:b w:val="1"/>
                <w:bCs w:val="1"/>
                <w:color w:val="auto"/>
              </w:rPr>
              <w:t>20879</w:t>
            </w:r>
          </w:p>
        </w:tc>
      </w:tr>
      <w:tr>
        <w:trPr>
          <w:trHeight w:val="230"/>
        </w:trPr>
        <w:tc>
          <w:tcPr>
            <w:tcW w:w="4200" w:type="dxa"/>
            <w:vAlign w:val="bottom"/>
          </w:tcPr>
          <w:p>
            <w:pPr>
              <w:jc w:val="center"/>
              <w:ind w:left="1110"/>
              <w:spacing w:after="0"/>
              <w:rPr>
                <w:sz w:val="20"/>
                <w:szCs w:val="20"/>
                <w:color w:val="auto"/>
              </w:rPr>
            </w:pPr>
            <w:r>
              <w:rPr>
                <w:rFonts w:ascii="Arial" w:cs="Arial" w:eastAsia="Arial" w:hAnsi="Arial"/>
                <w:sz w:val="18"/>
                <w:szCs w:val="18"/>
                <w:color w:val="auto"/>
                <w:w w:val="92"/>
              </w:rPr>
              <w:t>(Address of Principal Executive Offices)</w:t>
            </w:r>
          </w:p>
        </w:tc>
        <w:tc>
          <w:tcPr>
            <w:tcW w:w="2260" w:type="dxa"/>
            <w:vAlign w:val="bottom"/>
          </w:tcPr>
          <w:p>
            <w:pPr>
              <w:spacing w:after="0"/>
              <w:rPr>
                <w:sz w:val="20"/>
                <w:szCs w:val="20"/>
                <w:color w:val="auto"/>
              </w:rPr>
            </w:pP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1"/>
              </w:rPr>
              <w:t>(Zip Code)</w:t>
            </w:r>
          </w:p>
        </w:tc>
      </w:tr>
    </w:tbl>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(240) 631-3200</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Not applicable</w:t>
      </w:r>
    </w:p>
    <w:p>
      <w:pPr>
        <w:spacing w:after="0" w:line="6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80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80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80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sz w:val="24"/>
          <w:szCs w:val="24"/>
          <w:color w:val="auto"/>
        </w:rPr>
      </w:pPr>
    </w:p>
    <w:p>
      <w:pPr>
        <w:ind w:left="80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468" w:right="459" w:bottom="1440" w:gutter="0" w:footer="0" w:header="0"/>
        </w:sectPr>
      </w:pPr>
    </w:p>
    <w:bookmarkStart w:id="1" w:name="page2"/>
    <w:bookmarkEnd w:id="1"/>
    <w:p>
      <w:pPr>
        <w:spacing w:after="0"/>
        <w:tabs>
          <w:tab w:leader="none" w:pos="13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Appointment of Certain Officers; Compensatory Arrangements of Certain Officers</w:t>
      </w:r>
    </w:p>
    <w:p>
      <w:pPr>
        <w:spacing w:after="0" w:line="229"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As previously disclosed in its Current Report on Form 8-K filed on January 22, 2015 by Emergent BioSolutions Inc., the company's board of directors appointed Jerome Hauer to serve as a Class III director of the company with an initial term expiring at the 2015 annual meeting of stockholders. On May 21, 2015, the board appointed Dr. Hauer to serve on the scientific review committee and the strategic operations committee of the board of directors.</w:t>
      </w:r>
    </w:p>
    <w:p>
      <w:pPr>
        <w:spacing w:after="0" w:line="14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160" w:firstLine="713"/>
        <w:spacing w:after="0" w:line="279" w:lineRule="auto"/>
        <w:rPr>
          <w:sz w:val="20"/>
          <w:szCs w:val="20"/>
          <w:color w:val="auto"/>
        </w:rPr>
      </w:pPr>
      <w:r>
        <w:rPr>
          <w:rFonts w:ascii="Arial" w:cs="Arial" w:eastAsia="Arial" w:hAnsi="Arial"/>
          <w:sz w:val="17"/>
          <w:szCs w:val="17"/>
          <w:color w:val="auto"/>
        </w:rPr>
        <w:t>The company held its 2015 annual meeting of stockholders on May 21, 2015. A total of 36,198,195 shares of the company's common stock were present or represented by proxy at the meeting, which represented approximately 94.45% of the company's 38,324,052 shares of common stock that were outstanding and entitled to vote at the meeting, as of the record date of March 31, 2015. Stockholders considered the three proposals outlined below, each of which is described in more detail in the company's definitive proxy statement filed with the SEC on April 10, 2015.</w:t>
      </w:r>
    </w:p>
    <w:p>
      <w:pPr>
        <w:spacing w:after="0" w:line="171" w:lineRule="exact"/>
        <w:rPr>
          <w:sz w:val="20"/>
          <w:szCs w:val="20"/>
          <w:color w:val="auto"/>
        </w:rPr>
      </w:pPr>
    </w:p>
    <w:p>
      <w:pPr>
        <w:ind w:right="340" w:firstLine="713"/>
        <w:spacing w:after="0" w:line="277" w:lineRule="auto"/>
        <w:rPr>
          <w:sz w:val="20"/>
          <w:szCs w:val="20"/>
          <w:color w:val="auto"/>
        </w:rPr>
      </w:pPr>
      <w:r>
        <w:rPr>
          <w:rFonts w:ascii="Arial" w:cs="Arial" w:eastAsia="Arial" w:hAnsi="Arial"/>
          <w:sz w:val="18"/>
          <w:szCs w:val="18"/>
          <w:i w:val="1"/>
          <w:iCs w:val="1"/>
          <w:color w:val="auto"/>
        </w:rPr>
        <w:t>Proposal 1</w:t>
      </w:r>
      <w:r>
        <w:rPr>
          <w:rFonts w:ascii="Arial" w:cs="Arial" w:eastAsia="Arial" w:hAnsi="Arial"/>
          <w:sz w:val="18"/>
          <w:szCs w:val="18"/>
          <w:color w:val="auto"/>
        </w:rPr>
        <w:t>. The election of four nominees to serve as Class III directors, each for a term of three years. All director nominees were elected. The</w:t>
      </w:r>
      <w:r>
        <w:rPr>
          <w:rFonts w:ascii="Arial" w:cs="Arial" w:eastAsia="Arial" w:hAnsi="Arial"/>
          <w:sz w:val="18"/>
          <w:szCs w:val="18"/>
          <w:i w:val="1"/>
          <w:iCs w:val="1"/>
          <w:color w:val="auto"/>
        </w:rPr>
        <w:t xml:space="preserve"> </w:t>
      </w:r>
      <w:r>
        <w:rPr>
          <w:rFonts w:ascii="Arial" w:cs="Arial" w:eastAsia="Arial" w:hAnsi="Arial"/>
          <w:sz w:val="18"/>
          <w:szCs w:val="18"/>
          <w:color w:val="auto"/>
        </w:rPr>
        <w:t>voting results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Nominees</w:t>
            </w:r>
          </w:p>
        </w:tc>
        <w:tc>
          <w:tcPr>
            <w:tcW w:w="400" w:type="dxa"/>
            <w:vAlign w:val="bottom"/>
          </w:tcPr>
          <w:p>
            <w:pPr>
              <w:spacing w:after="0"/>
              <w:rPr>
                <w:sz w:val="20"/>
                <w:szCs w:val="20"/>
                <w:color w:val="auto"/>
              </w:rPr>
            </w:pPr>
          </w:p>
        </w:tc>
        <w:tc>
          <w:tcPr>
            <w:tcW w:w="314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color w:val="auto"/>
              </w:rPr>
              <w:t>For</w:t>
            </w:r>
          </w:p>
        </w:tc>
        <w:tc>
          <w:tcPr>
            <w:tcW w:w="400" w:type="dxa"/>
            <w:vAlign w:val="bottom"/>
          </w:tcPr>
          <w:p>
            <w:pPr>
              <w:spacing w:after="0"/>
              <w:rPr>
                <w:sz w:val="20"/>
                <w:szCs w:val="20"/>
                <w:color w:val="auto"/>
              </w:rPr>
            </w:pPr>
          </w:p>
        </w:tc>
        <w:tc>
          <w:tcPr>
            <w:tcW w:w="358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color w:val="auto"/>
              </w:rPr>
              <w:t>Withheld</w:t>
            </w: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color w:val="auto"/>
              </w:rPr>
              <w:t>Daniel J. Abdun-Nabi</w:t>
            </w:r>
          </w:p>
        </w:tc>
        <w:tc>
          <w:tcPr>
            <w:tcW w:w="400" w:type="dxa"/>
            <w:vAlign w:val="bottom"/>
          </w:tcPr>
          <w:p>
            <w:pPr>
              <w:spacing w:after="0"/>
              <w:rPr>
                <w:sz w:val="17"/>
                <w:szCs w:val="17"/>
                <w:color w:val="auto"/>
              </w:rPr>
            </w:pPr>
          </w:p>
        </w:tc>
        <w:tc>
          <w:tcPr>
            <w:tcW w:w="3140" w:type="dxa"/>
            <w:vAlign w:val="bottom"/>
          </w:tcPr>
          <w:p>
            <w:pPr>
              <w:jc w:val="right"/>
              <w:ind w:right="870"/>
              <w:spacing w:after="0" w:line="201" w:lineRule="exact"/>
              <w:rPr>
                <w:sz w:val="20"/>
                <w:szCs w:val="20"/>
                <w:color w:val="auto"/>
              </w:rPr>
            </w:pPr>
            <w:r>
              <w:rPr>
                <w:rFonts w:ascii="Arial" w:cs="Arial" w:eastAsia="Arial" w:hAnsi="Arial"/>
                <w:sz w:val="18"/>
                <w:szCs w:val="18"/>
                <w:color w:val="auto"/>
              </w:rPr>
              <w:t>33,431,815</w:t>
            </w:r>
          </w:p>
        </w:tc>
        <w:tc>
          <w:tcPr>
            <w:tcW w:w="400" w:type="dxa"/>
            <w:vAlign w:val="bottom"/>
          </w:tcPr>
          <w:p>
            <w:pPr>
              <w:spacing w:after="0"/>
              <w:rPr>
                <w:sz w:val="17"/>
                <w:szCs w:val="17"/>
                <w:color w:val="auto"/>
              </w:rPr>
            </w:pPr>
          </w:p>
        </w:tc>
        <w:tc>
          <w:tcPr>
            <w:tcW w:w="3580" w:type="dxa"/>
            <w:vAlign w:val="bottom"/>
          </w:tcPr>
          <w:p>
            <w:pPr>
              <w:jc w:val="right"/>
              <w:ind w:right="1150"/>
              <w:spacing w:after="0" w:line="201" w:lineRule="exact"/>
              <w:rPr>
                <w:sz w:val="20"/>
                <w:szCs w:val="20"/>
                <w:color w:val="auto"/>
              </w:rPr>
            </w:pPr>
            <w:r>
              <w:rPr>
                <w:rFonts w:ascii="Arial" w:cs="Arial" w:eastAsia="Arial" w:hAnsi="Arial"/>
                <w:sz w:val="18"/>
                <w:szCs w:val="18"/>
                <w:color w:val="auto"/>
              </w:rPr>
              <w:t>321,879</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Dr. Sue Bailey</w:t>
            </w:r>
          </w:p>
        </w:tc>
        <w:tc>
          <w:tcPr>
            <w:tcW w:w="3540" w:type="dxa"/>
            <w:vAlign w:val="bottom"/>
            <w:gridSpan w:val="2"/>
          </w:tcPr>
          <w:p>
            <w:pPr>
              <w:jc w:val="right"/>
              <w:ind w:right="870"/>
              <w:spacing w:after="0"/>
              <w:rPr>
                <w:sz w:val="20"/>
                <w:szCs w:val="20"/>
                <w:color w:val="auto"/>
              </w:rPr>
            </w:pPr>
            <w:r>
              <w:rPr>
                <w:rFonts w:ascii="Arial" w:cs="Arial" w:eastAsia="Arial" w:hAnsi="Arial"/>
                <w:sz w:val="18"/>
                <w:szCs w:val="18"/>
                <w:color w:val="auto"/>
              </w:rPr>
              <w:t>33,450,268</w:t>
            </w:r>
          </w:p>
        </w:tc>
        <w:tc>
          <w:tcPr>
            <w:tcW w:w="3980" w:type="dxa"/>
            <w:vAlign w:val="bottom"/>
            <w:gridSpan w:val="2"/>
          </w:tcPr>
          <w:p>
            <w:pPr>
              <w:jc w:val="right"/>
              <w:ind w:right="1150"/>
              <w:spacing w:after="0"/>
              <w:rPr>
                <w:sz w:val="20"/>
                <w:szCs w:val="20"/>
                <w:color w:val="auto"/>
              </w:rPr>
            </w:pPr>
            <w:r>
              <w:rPr>
                <w:rFonts w:ascii="Arial" w:cs="Arial" w:eastAsia="Arial" w:hAnsi="Arial"/>
                <w:sz w:val="18"/>
                <w:szCs w:val="18"/>
                <w:color w:val="auto"/>
              </w:rPr>
              <w:t>303,426</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Dr. Jerome Hauer</w:t>
            </w:r>
          </w:p>
        </w:tc>
        <w:tc>
          <w:tcPr>
            <w:tcW w:w="3540" w:type="dxa"/>
            <w:vAlign w:val="bottom"/>
            <w:gridSpan w:val="2"/>
          </w:tcPr>
          <w:p>
            <w:pPr>
              <w:jc w:val="right"/>
              <w:ind w:right="870"/>
              <w:spacing w:after="0"/>
              <w:rPr>
                <w:sz w:val="20"/>
                <w:szCs w:val="20"/>
                <w:color w:val="auto"/>
              </w:rPr>
            </w:pPr>
            <w:r>
              <w:rPr>
                <w:rFonts w:ascii="Arial" w:cs="Arial" w:eastAsia="Arial" w:hAnsi="Arial"/>
                <w:sz w:val="18"/>
                <w:szCs w:val="18"/>
                <w:color w:val="auto"/>
              </w:rPr>
              <w:t>33,449,859</w:t>
            </w:r>
          </w:p>
        </w:tc>
        <w:tc>
          <w:tcPr>
            <w:tcW w:w="3980" w:type="dxa"/>
            <w:vAlign w:val="bottom"/>
            <w:gridSpan w:val="2"/>
          </w:tcPr>
          <w:p>
            <w:pPr>
              <w:jc w:val="right"/>
              <w:ind w:right="1150"/>
              <w:spacing w:after="0"/>
              <w:rPr>
                <w:sz w:val="20"/>
                <w:szCs w:val="20"/>
                <w:color w:val="auto"/>
              </w:rPr>
            </w:pPr>
            <w:r>
              <w:rPr>
                <w:rFonts w:ascii="Arial" w:cs="Arial" w:eastAsia="Arial" w:hAnsi="Arial"/>
                <w:sz w:val="18"/>
                <w:szCs w:val="18"/>
                <w:color w:val="auto"/>
              </w:rPr>
              <w:t>303,835</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Dr. John E. Niederhuber</w:t>
            </w:r>
          </w:p>
        </w:tc>
        <w:tc>
          <w:tcPr>
            <w:tcW w:w="3540" w:type="dxa"/>
            <w:vAlign w:val="bottom"/>
            <w:gridSpan w:val="2"/>
          </w:tcPr>
          <w:p>
            <w:pPr>
              <w:jc w:val="right"/>
              <w:ind w:right="870"/>
              <w:spacing w:after="0"/>
              <w:rPr>
                <w:sz w:val="20"/>
                <w:szCs w:val="20"/>
                <w:color w:val="auto"/>
              </w:rPr>
            </w:pPr>
            <w:r>
              <w:rPr>
                <w:rFonts w:ascii="Arial" w:cs="Arial" w:eastAsia="Arial" w:hAnsi="Arial"/>
                <w:sz w:val="18"/>
                <w:szCs w:val="18"/>
                <w:color w:val="auto"/>
              </w:rPr>
              <w:t>33,447,153</w:t>
            </w:r>
          </w:p>
        </w:tc>
        <w:tc>
          <w:tcPr>
            <w:tcW w:w="3980" w:type="dxa"/>
            <w:vAlign w:val="bottom"/>
            <w:gridSpan w:val="2"/>
          </w:tcPr>
          <w:p>
            <w:pPr>
              <w:jc w:val="right"/>
              <w:ind w:right="1150"/>
              <w:spacing w:after="0"/>
              <w:rPr>
                <w:sz w:val="20"/>
                <w:szCs w:val="20"/>
                <w:color w:val="auto"/>
              </w:rPr>
            </w:pPr>
            <w:r>
              <w:rPr>
                <w:rFonts w:ascii="Arial" w:cs="Arial" w:eastAsia="Arial" w:hAnsi="Arial"/>
                <w:sz w:val="18"/>
                <w:szCs w:val="18"/>
                <w:color w:val="auto"/>
              </w:rPr>
              <w:t>306,541</w:t>
            </w:r>
          </w:p>
        </w:tc>
      </w:tr>
    </w:tbl>
    <w:p>
      <w:pPr>
        <w:spacing w:after="0" w:line="202" w:lineRule="exact"/>
        <w:rPr>
          <w:sz w:val="20"/>
          <w:szCs w:val="20"/>
          <w:color w:val="auto"/>
        </w:rPr>
      </w:pPr>
    </w:p>
    <w:p>
      <w:pPr>
        <w:ind w:left="720"/>
        <w:spacing w:after="0"/>
        <w:rPr>
          <w:sz w:val="20"/>
          <w:szCs w:val="20"/>
          <w:color w:val="auto"/>
        </w:rPr>
      </w:pPr>
      <w:r>
        <w:rPr>
          <w:rFonts w:ascii="Arial" w:cs="Arial" w:eastAsia="Arial" w:hAnsi="Arial"/>
          <w:sz w:val="17"/>
          <w:szCs w:val="17"/>
          <w:i w:val="1"/>
          <w:iCs w:val="1"/>
          <w:color w:val="auto"/>
        </w:rPr>
        <w:t>Proposal 2</w:t>
      </w:r>
      <w:r>
        <w:rPr>
          <w:rFonts w:ascii="Arial" w:cs="Arial" w:eastAsia="Arial" w:hAnsi="Arial"/>
          <w:sz w:val="17"/>
          <w:szCs w:val="17"/>
          <w:color w:val="auto"/>
        </w:rPr>
        <w:t>. The ratification of the appointment by the audit committee of Ernst &amp; Young LLP as the company's independent registered public</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gridSpan w:val="6"/>
          </w:tcPr>
          <w:p>
            <w:pPr>
              <w:jc w:val="right"/>
              <w:ind w:right="970"/>
              <w:spacing w:after="0"/>
              <w:rPr>
                <w:sz w:val="20"/>
                <w:szCs w:val="20"/>
                <w:color w:val="auto"/>
              </w:rPr>
            </w:pPr>
            <w:r>
              <w:rPr>
                <w:rFonts w:ascii="Arial" w:cs="Arial" w:eastAsia="Arial" w:hAnsi="Arial"/>
                <w:sz w:val="18"/>
                <w:szCs w:val="18"/>
                <w:color w:val="auto"/>
                <w:w w:val="91"/>
              </w:rPr>
              <w:t>accounting firm for fiscal year 2015. Proposal 2 was approved. The voting results were as follows:</w:t>
            </w:r>
          </w:p>
        </w:tc>
        <w:tc>
          <w:tcPr>
            <w:tcW w:w="44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232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For</w:t>
            </w:r>
          </w:p>
        </w:tc>
        <w:tc>
          <w:tcPr>
            <w:tcW w:w="460" w:type="dxa"/>
            <w:vAlign w:val="bottom"/>
          </w:tcPr>
          <w:p>
            <w:pPr>
              <w:spacing w:after="0"/>
              <w:rPr>
                <w:sz w:val="20"/>
                <w:szCs w:val="20"/>
                <w:color w:val="auto"/>
              </w:rPr>
            </w:pPr>
          </w:p>
        </w:tc>
        <w:tc>
          <w:tcPr>
            <w:tcW w:w="24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Against</w:t>
            </w:r>
          </w:p>
        </w:tc>
        <w:tc>
          <w:tcPr>
            <w:tcW w:w="440" w:type="dxa"/>
            <w:vAlign w:val="bottom"/>
          </w:tcPr>
          <w:p>
            <w:pPr>
              <w:spacing w:after="0"/>
              <w:rPr>
                <w:sz w:val="20"/>
                <w:szCs w:val="20"/>
                <w:color w:val="auto"/>
              </w:rPr>
            </w:pPr>
          </w:p>
        </w:tc>
        <w:tc>
          <w:tcPr>
            <w:tcW w:w="25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Abstaining</w:t>
            </w:r>
          </w:p>
        </w:tc>
        <w:tc>
          <w:tcPr>
            <w:tcW w:w="440" w:type="dxa"/>
            <w:vAlign w:val="bottom"/>
          </w:tcPr>
          <w:p>
            <w:pPr>
              <w:spacing w:after="0"/>
              <w:rPr>
                <w:sz w:val="20"/>
                <w:szCs w:val="20"/>
                <w:color w:val="auto"/>
              </w:rPr>
            </w:pPr>
          </w:p>
        </w:tc>
        <w:tc>
          <w:tcPr>
            <w:tcW w:w="25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Broker Non-Votes</w:t>
            </w:r>
          </w:p>
        </w:tc>
      </w:tr>
      <w:tr>
        <w:trPr>
          <w:trHeight w:val="230"/>
        </w:trPr>
        <w:tc>
          <w:tcPr>
            <w:tcW w:w="20" w:type="dxa"/>
            <w:vAlign w:val="bottom"/>
          </w:tcPr>
          <w:p>
            <w:pPr>
              <w:spacing w:after="0"/>
              <w:rPr>
                <w:sz w:val="20"/>
                <w:szCs w:val="20"/>
                <w:color w:val="auto"/>
              </w:rPr>
            </w:pPr>
          </w:p>
        </w:tc>
        <w:tc>
          <w:tcPr>
            <w:tcW w:w="2320" w:type="dxa"/>
            <w:vAlign w:val="bottom"/>
          </w:tcPr>
          <w:p>
            <w:pPr>
              <w:jc w:val="right"/>
              <w:ind w:right="550"/>
              <w:spacing w:after="0"/>
              <w:rPr>
                <w:sz w:val="20"/>
                <w:szCs w:val="20"/>
                <w:color w:val="auto"/>
              </w:rPr>
            </w:pPr>
            <w:r>
              <w:rPr>
                <w:rFonts w:ascii="Arial" w:cs="Arial" w:eastAsia="Arial" w:hAnsi="Arial"/>
                <w:sz w:val="18"/>
                <w:szCs w:val="18"/>
                <w:color w:val="auto"/>
              </w:rPr>
              <w:t>35,768,521</w:t>
            </w:r>
          </w:p>
        </w:tc>
        <w:tc>
          <w:tcPr>
            <w:tcW w:w="460" w:type="dxa"/>
            <w:vAlign w:val="bottom"/>
          </w:tcPr>
          <w:p>
            <w:pPr>
              <w:spacing w:after="0"/>
              <w:rPr>
                <w:sz w:val="20"/>
                <w:szCs w:val="20"/>
                <w:color w:val="auto"/>
              </w:rPr>
            </w:pPr>
          </w:p>
        </w:tc>
        <w:tc>
          <w:tcPr>
            <w:tcW w:w="2400" w:type="dxa"/>
            <w:vAlign w:val="bottom"/>
          </w:tcPr>
          <w:p>
            <w:pPr>
              <w:jc w:val="right"/>
              <w:ind w:right="650"/>
              <w:spacing w:after="0"/>
              <w:rPr>
                <w:sz w:val="20"/>
                <w:szCs w:val="20"/>
                <w:color w:val="auto"/>
              </w:rPr>
            </w:pPr>
            <w:r>
              <w:rPr>
                <w:rFonts w:ascii="Arial" w:cs="Arial" w:eastAsia="Arial" w:hAnsi="Arial"/>
                <w:sz w:val="18"/>
                <w:szCs w:val="18"/>
                <w:color w:val="auto"/>
              </w:rPr>
              <w:t>377,694</w:t>
            </w:r>
          </w:p>
        </w:tc>
        <w:tc>
          <w:tcPr>
            <w:tcW w:w="440" w:type="dxa"/>
            <w:vAlign w:val="bottom"/>
          </w:tcPr>
          <w:p>
            <w:pPr>
              <w:spacing w:after="0"/>
              <w:rPr>
                <w:sz w:val="20"/>
                <w:szCs w:val="20"/>
                <w:color w:val="auto"/>
              </w:rPr>
            </w:pPr>
          </w:p>
        </w:tc>
        <w:tc>
          <w:tcPr>
            <w:tcW w:w="2540" w:type="dxa"/>
            <w:vAlign w:val="bottom"/>
          </w:tcPr>
          <w:p>
            <w:pPr>
              <w:jc w:val="right"/>
              <w:ind w:right="690"/>
              <w:spacing w:after="0"/>
              <w:rPr>
                <w:sz w:val="20"/>
                <w:szCs w:val="20"/>
                <w:color w:val="auto"/>
              </w:rPr>
            </w:pPr>
            <w:r>
              <w:rPr>
                <w:rFonts w:ascii="Arial" w:cs="Arial" w:eastAsia="Arial" w:hAnsi="Arial"/>
                <w:sz w:val="18"/>
                <w:szCs w:val="18"/>
                <w:color w:val="auto"/>
              </w:rPr>
              <w:t>51,980</w:t>
            </w:r>
          </w:p>
        </w:tc>
        <w:tc>
          <w:tcPr>
            <w:tcW w:w="440" w:type="dxa"/>
            <w:vAlign w:val="bottom"/>
          </w:tcPr>
          <w:p>
            <w:pPr>
              <w:spacing w:after="0"/>
              <w:rPr>
                <w:sz w:val="20"/>
                <w:szCs w:val="20"/>
                <w:color w:val="auto"/>
              </w:rPr>
            </w:pPr>
          </w:p>
        </w:tc>
        <w:tc>
          <w:tcPr>
            <w:tcW w:w="2580" w:type="dxa"/>
            <w:vAlign w:val="bottom"/>
          </w:tcPr>
          <w:p>
            <w:pPr>
              <w:jc w:val="right"/>
              <w:ind w:right="890"/>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right="60" w:firstLine="713"/>
        <w:spacing w:after="0" w:line="258" w:lineRule="auto"/>
        <w:rPr>
          <w:sz w:val="20"/>
          <w:szCs w:val="20"/>
          <w:color w:val="auto"/>
        </w:rPr>
      </w:pPr>
      <w:r>
        <w:rPr>
          <w:rFonts w:ascii="Arial" w:cs="Arial" w:eastAsia="Arial" w:hAnsi="Arial"/>
          <w:sz w:val="18"/>
          <w:szCs w:val="18"/>
          <w:i w:val="1"/>
          <w:iCs w:val="1"/>
          <w:color w:val="auto"/>
        </w:rPr>
        <w:t>Proposal 3</w:t>
      </w:r>
      <w:r>
        <w:rPr>
          <w:rFonts w:ascii="Arial" w:cs="Arial" w:eastAsia="Arial" w:hAnsi="Arial"/>
          <w:sz w:val="18"/>
          <w:szCs w:val="18"/>
          <w:color w:val="auto"/>
        </w:rPr>
        <w:t>. An advisory vote to approve the compensation of the company's named executive officers. Proposal 3 was approved. The voting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3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For</w:t>
            </w:r>
          </w:p>
        </w:tc>
        <w:tc>
          <w:tcPr>
            <w:tcW w:w="460" w:type="dxa"/>
            <w:vAlign w:val="bottom"/>
          </w:tcPr>
          <w:p>
            <w:pPr>
              <w:spacing w:after="0"/>
              <w:rPr>
                <w:sz w:val="19"/>
                <w:szCs w:val="19"/>
                <w:color w:val="auto"/>
              </w:rPr>
            </w:pPr>
          </w:p>
        </w:tc>
        <w:tc>
          <w:tcPr>
            <w:tcW w:w="24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Against</w:t>
            </w:r>
          </w:p>
        </w:tc>
        <w:tc>
          <w:tcPr>
            <w:tcW w:w="440" w:type="dxa"/>
            <w:vAlign w:val="bottom"/>
          </w:tcPr>
          <w:p>
            <w:pPr>
              <w:spacing w:after="0"/>
              <w:rPr>
                <w:sz w:val="19"/>
                <w:szCs w:val="19"/>
                <w:color w:val="auto"/>
              </w:rPr>
            </w:pPr>
          </w:p>
        </w:tc>
        <w:tc>
          <w:tcPr>
            <w:tcW w:w="25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Abstaining</w:t>
            </w:r>
          </w:p>
        </w:tc>
        <w:tc>
          <w:tcPr>
            <w:tcW w:w="440" w:type="dxa"/>
            <w:vAlign w:val="bottom"/>
          </w:tcPr>
          <w:p>
            <w:pPr>
              <w:spacing w:after="0"/>
              <w:rPr>
                <w:sz w:val="19"/>
                <w:szCs w:val="19"/>
                <w:color w:val="auto"/>
              </w:rPr>
            </w:pPr>
          </w:p>
        </w:tc>
        <w:tc>
          <w:tcPr>
            <w:tcW w:w="26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Broker Non-Votes</w:t>
            </w:r>
          </w:p>
        </w:tc>
        <w:tc>
          <w:tcPr>
            <w:tcW w:w="220" w:type="dxa"/>
            <w:vAlign w:val="bottom"/>
          </w:tcPr>
          <w:p>
            <w:pPr>
              <w:spacing w:after="0"/>
              <w:rPr>
                <w:sz w:val="19"/>
                <w:szCs w:val="19"/>
                <w:color w:val="auto"/>
              </w:rPr>
            </w:pPr>
          </w:p>
        </w:tc>
      </w:tr>
      <w:tr>
        <w:trPr>
          <w:trHeight w:val="230"/>
        </w:trPr>
        <w:tc>
          <w:tcPr>
            <w:tcW w:w="2340" w:type="dxa"/>
            <w:vAlign w:val="bottom"/>
          </w:tcPr>
          <w:p>
            <w:pPr>
              <w:jc w:val="right"/>
              <w:ind w:right="570"/>
              <w:spacing w:after="0"/>
              <w:rPr>
                <w:sz w:val="20"/>
                <w:szCs w:val="20"/>
                <w:color w:val="auto"/>
              </w:rPr>
            </w:pPr>
            <w:r>
              <w:rPr>
                <w:rFonts w:ascii="Arial" w:cs="Arial" w:eastAsia="Arial" w:hAnsi="Arial"/>
                <w:sz w:val="18"/>
                <w:szCs w:val="18"/>
                <w:color w:val="auto"/>
              </w:rPr>
              <w:t>30,563,841</w:t>
            </w:r>
          </w:p>
        </w:tc>
        <w:tc>
          <w:tcPr>
            <w:tcW w:w="460" w:type="dxa"/>
            <w:vAlign w:val="bottom"/>
          </w:tcPr>
          <w:p>
            <w:pPr>
              <w:spacing w:after="0"/>
              <w:rPr>
                <w:sz w:val="20"/>
                <w:szCs w:val="20"/>
                <w:color w:val="auto"/>
              </w:rPr>
            </w:pPr>
          </w:p>
        </w:tc>
        <w:tc>
          <w:tcPr>
            <w:tcW w:w="2400" w:type="dxa"/>
            <w:vAlign w:val="bottom"/>
          </w:tcPr>
          <w:p>
            <w:pPr>
              <w:jc w:val="right"/>
              <w:ind w:right="590"/>
              <w:spacing w:after="0"/>
              <w:rPr>
                <w:sz w:val="20"/>
                <w:szCs w:val="20"/>
                <w:color w:val="auto"/>
              </w:rPr>
            </w:pPr>
            <w:r>
              <w:rPr>
                <w:rFonts w:ascii="Arial" w:cs="Arial" w:eastAsia="Arial" w:hAnsi="Arial"/>
                <w:sz w:val="18"/>
                <w:szCs w:val="18"/>
                <w:color w:val="auto"/>
              </w:rPr>
              <w:t>3,131,378</w:t>
            </w:r>
          </w:p>
        </w:tc>
        <w:tc>
          <w:tcPr>
            <w:tcW w:w="440" w:type="dxa"/>
            <w:vAlign w:val="bottom"/>
          </w:tcPr>
          <w:p>
            <w:pPr>
              <w:spacing w:after="0"/>
              <w:rPr>
                <w:sz w:val="20"/>
                <w:szCs w:val="20"/>
                <w:color w:val="auto"/>
              </w:rPr>
            </w:pPr>
          </w:p>
        </w:tc>
        <w:tc>
          <w:tcPr>
            <w:tcW w:w="2520" w:type="dxa"/>
            <w:vAlign w:val="bottom"/>
          </w:tcPr>
          <w:p>
            <w:pPr>
              <w:jc w:val="right"/>
              <w:ind w:right="690"/>
              <w:spacing w:after="0"/>
              <w:rPr>
                <w:sz w:val="20"/>
                <w:szCs w:val="20"/>
                <w:color w:val="auto"/>
              </w:rPr>
            </w:pPr>
            <w:r>
              <w:rPr>
                <w:rFonts w:ascii="Arial" w:cs="Arial" w:eastAsia="Arial" w:hAnsi="Arial"/>
                <w:sz w:val="18"/>
                <w:szCs w:val="18"/>
                <w:color w:val="auto"/>
              </w:rPr>
              <w:t>58,475</w:t>
            </w:r>
          </w:p>
        </w:tc>
        <w:tc>
          <w:tcPr>
            <w:tcW w:w="440" w:type="dxa"/>
            <w:vAlign w:val="bottom"/>
          </w:tcPr>
          <w:p>
            <w:pPr>
              <w:spacing w:after="0"/>
              <w:rPr>
                <w:sz w:val="20"/>
                <w:szCs w:val="20"/>
                <w:color w:val="auto"/>
              </w:rPr>
            </w:pPr>
          </w:p>
        </w:tc>
        <w:tc>
          <w:tcPr>
            <w:tcW w:w="2600" w:type="dxa"/>
            <w:vAlign w:val="bottom"/>
          </w:tcPr>
          <w:p>
            <w:pPr>
              <w:jc w:val="right"/>
              <w:ind w:right="590"/>
              <w:spacing w:after="0"/>
              <w:rPr>
                <w:sz w:val="20"/>
                <w:szCs w:val="20"/>
                <w:color w:val="auto"/>
              </w:rPr>
            </w:pPr>
            <w:r>
              <w:rPr>
                <w:rFonts w:ascii="Arial" w:cs="Arial" w:eastAsia="Arial" w:hAnsi="Arial"/>
                <w:sz w:val="18"/>
                <w:szCs w:val="18"/>
                <w:color w:val="auto"/>
              </w:rPr>
              <w:t>2,444,501</w:t>
            </w:r>
          </w:p>
        </w:tc>
        <w:tc>
          <w:tcPr>
            <w:tcW w:w="220" w:type="dxa"/>
            <w:vAlign w:val="bottom"/>
          </w:tcPr>
          <w:p>
            <w:pPr>
              <w:spacing w:after="0"/>
              <w:rPr>
                <w:sz w:val="20"/>
                <w:szCs w:val="20"/>
                <w:color w:val="auto"/>
              </w:rPr>
            </w:pPr>
          </w:p>
        </w:tc>
      </w:tr>
      <w:tr>
        <w:trPr>
          <w:trHeight w:val="479"/>
        </w:trPr>
        <w:tc>
          <w:tcPr>
            <w:tcW w:w="2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Date: May 21, 2015</w:t>
            </w:r>
          </w:p>
        </w:tc>
        <w:tc>
          <w:tcPr>
            <w:tcW w:w="7620" w:type="dxa"/>
            <w:vAlign w:val="bottom"/>
            <w:gridSpan w:val="4"/>
          </w:tcPr>
          <w:p>
            <w:pPr>
              <w:ind w:left="2140"/>
              <w:spacing w:after="0"/>
              <w:rPr>
                <w:sz w:val="20"/>
                <w:szCs w:val="20"/>
                <w:color w:val="auto"/>
              </w:rPr>
            </w:pPr>
            <w:r>
              <w:rPr>
                <w:rFonts w:ascii="Arial" w:cs="Arial" w:eastAsia="Arial" w:hAnsi="Arial"/>
                <w:sz w:val="18"/>
                <w:szCs w:val="18"/>
                <w:color w:val="auto"/>
              </w:rPr>
              <w:t>EMERGENT BIOSOLUTIONS INC.</w:t>
            </w:r>
          </w:p>
        </w:tc>
      </w:tr>
      <w:tr>
        <w:trPr>
          <w:trHeight w:val="190"/>
        </w:trPr>
        <w:tc>
          <w:tcPr>
            <w:tcW w:w="3640" w:type="dxa"/>
            <w:vAlign w:val="bottom"/>
          </w:tcPr>
          <w:p>
            <w:pPr>
              <w:spacing w:after="0"/>
              <w:rPr>
                <w:sz w:val="16"/>
                <w:szCs w:val="16"/>
                <w:color w:val="auto"/>
              </w:rPr>
            </w:pPr>
          </w:p>
        </w:tc>
        <w:tc>
          <w:tcPr>
            <w:tcW w:w="2560" w:type="dxa"/>
            <w:vAlign w:val="bottom"/>
          </w:tcPr>
          <w:p>
            <w:pPr>
              <w:ind w:left="2140"/>
              <w:spacing w:after="0" w:line="190" w:lineRule="exact"/>
              <w:rPr>
                <w:sz w:val="20"/>
                <w:szCs w:val="20"/>
                <w:color w:val="auto"/>
              </w:rPr>
            </w:pPr>
            <w:r>
              <w:rPr>
                <w:rFonts w:ascii="Arial" w:cs="Arial" w:eastAsia="Arial" w:hAnsi="Arial"/>
                <w:sz w:val="18"/>
                <w:szCs w:val="18"/>
                <w:color w:val="auto"/>
              </w:rPr>
              <w:t>By:</w:t>
            </w:r>
          </w:p>
        </w:tc>
        <w:tc>
          <w:tcPr>
            <w:tcW w:w="5060" w:type="dxa"/>
            <w:vAlign w:val="bottom"/>
            <w:gridSpan w:val="3"/>
          </w:tcPr>
          <w:p>
            <w:pPr>
              <w:ind w:left="160"/>
              <w:spacing w:after="0" w:line="190" w:lineRule="exact"/>
              <w:rPr>
                <w:sz w:val="20"/>
                <w:szCs w:val="20"/>
                <w:color w:val="auto"/>
              </w:rPr>
            </w:pPr>
            <w:r>
              <w:rPr>
                <w:rFonts w:ascii="Arial" w:cs="Arial" w:eastAsia="Arial" w:hAnsi="Arial"/>
                <w:sz w:val="18"/>
                <w:szCs w:val="18"/>
                <w:color w:val="auto"/>
              </w:rPr>
              <w:t>/s/ A.B. Cruz III</w:t>
            </w:r>
          </w:p>
        </w:tc>
      </w:tr>
      <w:tr>
        <w:trPr>
          <w:trHeight w:val="20"/>
        </w:trPr>
        <w:tc>
          <w:tcPr>
            <w:tcW w:w="3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22"/>
        </w:trPr>
        <w:tc>
          <w:tcPr>
            <w:tcW w:w="36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060" w:type="dxa"/>
            <w:vAlign w:val="bottom"/>
            <w:gridSpan w:val="3"/>
          </w:tcPr>
          <w:p>
            <w:pPr>
              <w:ind w:left="160"/>
              <w:spacing w:after="0"/>
              <w:rPr>
                <w:sz w:val="20"/>
                <w:szCs w:val="20"/>
                <w:color w:val="auto"/>
              </w:rPr>
            </w:pPr>
            <w:r>
              <w:rPr>
                <w:rFonts w:ascii="Arial" w:cs="Arial" w:eastAsia="Arial" w:hAnsi="Arial"/>
                <w:sz w:val="18"/>
                <w:szCs w:val="18"/>
                <w:color w:val="auto"/>
              </w:rPr>
              <w:t>A.B. Cruz III</w:t>
            </w:r>
          </w:p>
        </w:tc>
      </w:tr>
      <w:tr>
        <w:trPr>
          <w:trHeight w:val="230"/>
        </w:trPr>
        <w:tc>
          <w:tcPr>
            <w:tcW w:w="36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60" w:type="dxa"/>
            <w:vAlign w:val="bottom"/>
            <w:gridSpan w:val="3"/>
          </w:tcPr>
          <w:p>
            <w:pPr>
              <w:ind w:left="160"/>
              <w:spacing w:after="0"/>
              <w:rPr>
                <w:sz w:val="20"/>
                <w:szCs w:val="20"/>
                <w:color w:val="auto"/>
              </w:rPr>
            </w:pPr>
            <w:r>
              <w:rPr>
                <w:rFonts w:ascii="Arial" w:cs="Arial" w:eastAsia="Arial" w:hAnsi="Arial"/>
                <w:sz w:val="18"/>
                <w:szCs w:val="18"/>
                <w:color w:val="auto"/>
                <w:w w:val="89"/>
              </w:rPr>
              <w:t>Executive Vice President, General Counsel and Corporate Secretary</w:t>
            </w:r>
          </w:p>
        </w:tc>
      </w:tr>
    </w:tbl>
    <w:p>
      <w:pPr>
        <w:spacing w:after="0" w:line="1" w:lineRule="exact"/>
        <w:rPr>
          <w:sz w:val="20"/>
          <w:szCs w:val="20"/>
          <w:color w:val="auto"/>
        </w:rPr>
      </w:pPr>
    </w:p>
    <w:sectPr>
      <w:pgSz w:w="11900" w:h="16838" w:orient="portrait"/>
      <w:cols w:equalWidth="0" w:num="1">
        <w:col w:w="11260"/>
      </w:cols>
      <w:pgMar w:left="240" w:top="109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2019-12-08T17:54:36Z</dcterms:created>
  <dcterms:modified xsi:type="dcterms:W3CDTF">2019-12-08T17:54:36Z</dcterms:modified>
</cp:coreProperties>
</file>