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311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311404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Emergent BioSolutions Inc.</w:t>
        </w:r>
      </w:hyperlink>
    </w:p>
    <w:p>
      <w:pPr>
        <w:spacing w:after="0" w:line="219" w:lineRule="exact"/>
        <w:rPr>
          <w:sz w:val="24"/>
          <w:szCs w:val="24"/>
          <w:color w:val="auto"/>
        </w:r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1000" w:type="dxa"/>
            <w:vAlign w:val="bottom"/>
          </w:tcPr>
          <w:p>
            <w:pPr>
              <w:spacing w:after="0"/>
              <w:rPr>
                <w:sz w:val="20"/>
                <w:szCs w:val="20"/>
                <w:color w:val="auto"/>
              </w:rPr>
            </w:pPr>
            <w:r>
              <w:rPr>
                <w:rFonts w:ascii="Arial" w:cs="Arial" w:eastAsia="Arial" w:hAnsi="Arial"/>
                <w:sz w:val="9"/>
                <w:szCs w:val="9"/>
                <w:color w:val="auto"/>
              </w:rPr>
              <w:t>(Last)</w:t>
            </w:r>
          </w:p>
        </w:tc>
        <w:tc>
          <w:tcPr>
            <w:tcW w:w="1120" w:type="dxa"/>
            <w:vAlign w:val="bottom"/>
          </w:tcPr>
          <w:p>
            <w:pPr>
              <w:ind w:left="100"/>
              <w:spacing w:after="0"/>
              <w:rPr>
                <w:sz w:val="20"/>
                <w:szCs w:val="20"/>
                <w:color w:val="auto"/>
              </w:rPr>
            </w:pPr>
            <w:r>
              <w:rPr>
                <w:rFonts w:ascii="Arial" w:cs="Arial" w:eastAsia="Arial" w:hAnsi="Arial"/>
                <w:sz w:val="9"/>
                <w:szCs w:val="9"/>
                <w:color w:val="auto"/>
              </w:rPr>
              <w:t>(First)</w:t>
            </w:r>
          </w:p>
        </w:tc>
        <w:tc>
          <w:tcPr>
            <w:tcW w:w="1160" w:type="dxa"/>
            <w:vAlign w:val="bottom"/>
          </w:tcPr>
          <w:p>
            <w:pPr>
              <w:ind w:left="8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2120" w:type="dxa"/>
            <w:vAlign w:val="bottom"/>
            <w:gridSpan w:val="2"/>
          </w:tcPr>
          <w:p>
            <w:pPr>
              <w:spacing w:after="0"/>
              <w:rPr>
                <w:sz w:val="20"/>
                <w:szCs w:val="20"/>
                <w:color w:val="auto"/>
              </w:rPr>
            </w:pPr>
            <w:r>
              <w:rPr>
                <w:rFonts w:ascii="Arial" w:cs="Arial" w:eastAsia="Arial" w:hAnsi="Arial"/>
                <w:sz w:val="12"/>
                <w:szCs w:val="12"/>
                <w:color w:val="0000FF"/>
                <w:w w:val="94"/>
              </w:rPr>
              <w:t>400 PROFESSIONAL DRIVE, SUITE 400</w:t>
            </w:r>
          </w:p>
        </w:tc>
        <w:tc>
          <w:tcPr>
            <w:tcW w:w="116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r>
      <w:tr>
        <w:trPr>
          <w:trHeight w:val="177"/>
        </w:trPr>
        <w:tc>
          <w:tcPr>
            <w:tcW w:w="1040" w:type="dxa"/>
            <w:vAlign w:val="bottom"/>
            <w:gridSpan w:val="2"/>
          </w:tcPr>
          <w:p>
            <w:pPr>
              <w:spacing w:after="0"/>
              <w:rPr>
                <w:sz w:val="20"/>
                <w:szCs w:val="20"/>
                <w:color w:val="auto"/>
              </w:rPr>
            </w:pPr>
            <w:r>
              <w:rPr>
                <w:rFonts w:ascii="Arial" w:cs="Arial" w:eastAsia="Arial" w:hAnsi="Arial"/>
                <w:sz w:val="9"/>
                <w:szCs w:val="9"/>
                <w:color w:val="auto"/>
              </w:rPr>
              <w:t>(Street)</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color w:val="0000FF"/>
              </w:rPr>
              <w:t>GAITHERSBURG</w:t>
            </w:r>
          </w:p>
        </w:tc>
        <w:tc>
          <w:tcPr>
            <w:tcW w:w="1120" w:type="dxa"/>
            <w:vAlign w:val="bottom"/>
          </w:tcPr>
          <w:p>
            <w:pPr>
              <w:ind w:left="100"/>
              <w:spacing w:after="0"/>
              <w:rPr>
                <w:sz w:val="20"/>
                <w:szCs w:val="20"/>
                <w:color w:val="auto"/>
              </w:rPr>
            </w:pPr>
            <w:r>
              <w:rPr>
                <w:rFonts w:ascii="Arial" w:cs="Arial" w:eastAsia="Arial" w:hAnsi="Arial"/>
                <w:sz w:val="12"/>
                <w:szCs w:val="12"/>
                <w:color w:val="0000FF"/>
              </w:rPr>
              <w:t>MD</w:t>
            </w:r>
          </w:p>
        </w:tc>
        <w:tc>
          <w:tcPr>
            <w:tcW w:w="1160" w:type="dxa"/>
            <w:vAlign w:val="bottom"/>
          </w:tcPr>
          <w:p>
            <w:pPr>
              <w:ind w:left="80"/>
              <w:spacing w:after="0"/>
              <w:rPr>
                <w:sz w:val="20"/>
                <w:szCs w:val="20"/>
                <w:color w:val="auto"/>
              </w:rPr>
            </w:pPr>
            <w:r>
              <w:rPr>
                <w:rFonts w:ascii="Arial" w:cs="Arial" w:eastAsia="Arial" w:hAnsi="Arial"/>
                <w:sz w:val="12"/>
                <w:szCs w:val="12"/>
                <w:color w:val="0000FF"/>
              </w:rPr>
              <w:t>20879</w:t>
            </w:r>
          </w:p>
        </w:tc>
      </w:tr>
    </w:tbl>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05/23/2019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1">
        <w:r>
          <w:rPr>
            <w:rFonts w:ascii="Arial" w:cs="Arial" w:eastAsia="Arial" w:hAnsi="Arial"/>
            <w:sz w:val="14"/>
            <w:szCs w:val="14"/>
            <w:u w:val="single" w:color="auto"/>
            <w:color w:val="0000EE"/>
          </w:rPr>
          <w:t>Emergent BioSolutions Inc.</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EBS</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2100" w:type="dxa"/>
            <w:vAlign w:val="bottom"/>
            <w:gridSpan w:val="2"/>
          </w:tcPr>
          <w:p>
            <w:pPr>
              <w:spacing w:after="0"/>
              <w:rPr>
                <w:sz w:val="20"/>
                <w:szCs w:val="20"/>
                <w:color w:val="auto"/>
              </w:rPr>
            </w:pPr>
            <w:r>
              <w:rPr>
                <w:rFonts w:ascii="Arial" w:cs="Arial" w:eastAsia="Arial" w:hAnsi="Arial"/>
                <w:sz w:val="9"/>
                <w:szCs w:val="9"/>
                <w:color w:val="auto"/>
              </w:rPr>
              <w:t>4. Relationship of Reporting Person(s) to Issuer</w:t>
            </w:r>
          </w:p>
        </w:tc>
        <w:tc>
          <w:tcPr>
            <w:tcW w:w="130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5.</w:t>
            </w:r>
          </w:p>
        </w:tc>
        <w:tc>
          <w:tcPr>
            <w:tcW w:w="2760" w:type="dxa"/>
            <w:vAlign w:val="bottom"/>
            <w:gridSpan w:val="2"/>
          </w:tcPr>
          <w:p>
            <w:pPr>
              <w:jc w:val="center"/>
              <w:ind w:right="495"/>
              <w:spacing w:after="0"/>
              <w:rPr>
                <w:sz w:val="20"/>
                <w:szCs w:val="20"/>
                <w:color w:val="auto"/>
              </w:rPr>
            </w:pPr>
            <w:r>
              <w:rPr>
                <w:rFonts w:ascii="Arial" w:cs="Arial" w:eastAsia="Arial" w:hAnsi="Arial"/>
                <w:sz w:val="9"/>
                <w:szCs w:val="9"/>
                <w:color w:val="auto"/>
                <w:w w:val="99"/>
              </w:rPr>
              <w:t>If Amendment, Date of Original Filed (Month/Day/Year)</w:t>
            </w:r>
          </w:p>
        </w:tc>
        <w:tc>
          <w:tcPr>
            <w:tcW w:w="0" w:type="dxa"/>
            <w:vAlign w:val="bottom"/>
          </w:tcPr>
          <w:p>
            <w:pPr>
              <w:spacing w:after="0"/>
              <w:rPr>
                <w:sz w:val="1"/>
                <w:szCs w:val="1"/>
                <w:color w:val="auto"/>
              </w:rPr>
            </w:pPr>
          </w:p>
        </w:tc>
      </w:tr>
      <w:tr>
        <w:trPr>
          <w:trHeight w:val="108"/>
        </w:trPr>
        <w:tc>
          <w:tcPr>
            <w:tcW w:w="1700" w:type="dxa"/>
            <w:vAlign w:val="bottom"/>
          </w:tcPr>
          <w:p>
            <w:pPr>
              <w:jc w:val="right"/>
              <w:ind w:right="772"/>
              <w:spacing w:after="0"/>
              <w:rPr>
                <w:sz w:val="20"/>
                <w:szCs w:val="20"/>
                <w:color w:val="auto"/>
              </w:rPr>
            </w:pPr>
            <w:r>
              <w:rPr>
                <w:rFonts w:ascii="Arial" w:cs="Arial" w:eastAsia="Arial" w:hAnsi="Arial"/>
                <w:sz w:val="9"/>
                <w:szCs w:val="9"/>
                <w:color w:val="auto"/>
                <w:w w:val="99"/>
              </w:rPr>
              <w:t>(Check all applicable)</w:t>
            </w: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700" w:type="dxa"/>
            <w:vAlign w:val="bottom"/>
            <w:vMerge w:val="restart"/>
          </w:tcPr>
          <w:p>
            <w:pPr>
              <w:jc w:val="right"/>
              <w:ind w:right="792"/>
              <w:spacing w:after="0"/>
              <w:rPr>
                <w:sz w:val="20"/>
                <w:szCs w:val="20"/>
                <w:color w:val="auto"/>
              </w:rPr>
            </w:pPr>
            <w:r>
              <w:rPr>
                <w:rFonts w:ascii="Arial" w:cs="Arial" w:eastAsia="Arial" w:hAnsi="Arial"/>
                <w:sz w:val="9"/>
                <w:szCs w:val="9"/>
                <w:color w:val="auto"/>
              </w:rPr>
              <w:t>Director</w:t>
            </w:r>
          </w:p>
        </w:tc>
        <w:tc>
          <w:tcPr>
            <w:tcW w:w="400" w:type="dxa"/>
            <w:vAlign w:val="bottom"/>
          </w:tcPr>
          <w:p>
            <w:pPr>
              <w:spacing w:after="0"/>
              <w:rPr>
                <w:sz w:val="4"/>
                <w:szCs w:val="4"/>
                <w:color w:val="auto"/>
              </w:rPr>
            </w:pPr>
          </w:p>
        </w:tc>
        <w:tc>
          <w:tcPr>
            <w:tcW w:w="1300" w:type="dxa"/>
            <w:vAlign w:val="bottom"/>
            <w:vMerge w:val="restart"/>
          </w:tcPr>
          <w:p>
            <w:pPr>
              <w:ind w:left="100"/>
              <w:spacing w:after="0"/>
              <w:rPr>
                <w:sz w:val="20"/>
                <w:szCs w:val="20"/>
                <w:color w:val="auto"/>
              </w:rPr>
            </w:pPr>
            <w:r>
              <w:rPr>
                <w:rFonts w:ascii="Arial" w:cs="Arial" w:eastAsia="Arial" w:hAnsi="Arial"/>
                <w:sz w:val="9"/>
                <w:szCs w:val="9"/>
                <w:color w:val="auto"/>
              </w:rPr>
              <w:t>10% Owner</w:t>
            </w: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1700" w:type="dxa"/>
            <w:vAlign w:val="bottom"/>
            <w:vMerge w:val="continue"/>
          </w:tcPr>
          <w:p>
            <w:pPr>
              <w:spacing w:after="0"/>
              <w:rPr>
                <w:sz w:val="4"/>
                <w:szCs w:val="4"/>
                <w:color w:val="auto"/>
              </w:rPr>
            </w:pPr>
          </w:p>
        </w:tc>
        <w:tc>
          <w:tcPr>
            <w:tcW w:w="400" w:type="dxa"/>
            <w:vAlign w:val="bottom"/>
            <w:vMerge w:val="restart"/>
          </w:tcPr>
          <w:p>
            <w:pPr>
              <w:ind w:left="200"/>
              <w:spacing w:after="0"/>
              <w:rPr>
                <w:sz w:val="20"/>
                <w:szCs w:val="20"/>
                <w:color w:val="auto"/>
              </w:rPr>
            </w:pPr>
            <w:r>
              <w:rPr>
                <w:rFonts w:ascii="Arial" w:cs="Arial" w:eastAsia="Arial" w:hAnsi="Arial"/>
                <w:sz w:val="12"/>
                <w:szCs w:val="12"/>
                <w:color w:val="0000FF"/>
              </w:rPr>
              <w:t>X</w:t>
            </w:r>
          </w:p>
        </w:tc>
        <w:tc>
          <w:tcPr>
            <w:tcW w:w="1300" w:type="dxa"/>
            <w:vAlign w:val="bottom"/>
            <w:vMerge w:val="continue"/>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Arial" w:cs="Arial" w:eastAsia="Arial" w:hAnsi="Arial"/>
                <w:sz w:val="9"/>
                <w:szCs w:val="9"/>
                <w:color w:val="auto"/>
              </w:rPr>
              <w:t>6.</w:t>
            </w:r>
          </w:p>
        </w:tc>
        <w:tc>
          <w:tcPr>
            <w:tcW w:w="2760" w:type="dxa"/>
            <w:vAlign w:val="bottom"/>
            <w:gridSpan w:val="2"/>
            <w:vMerge w:val="restart"/>
          </w:tcPr>
          <w:p>
            <w:pPr>
              <w:jc w:val="center"/>
              <w:ind w:right="475"/>
              <w:spacing w:after="0"/>
              <w:rPr>
                <w:sz w:val="20"/>
                <w:szCs w:val="20"/>
                <w:color w:val="auto"/>
              </w:rPr>
            </w:pPr>
            <w:r>
              <w:rPr>
                <w:rFonts w:ascii="Arial" w:cs="Arial" w:eastAsia="Arial" w:hAnsi="Arial"/>
                <w:sz w:val="9"/>
                <w:szCs w:val="9"/>
                <w:color w:val="auto"/>
              </w:rPr>
              <w:t>Individual or Joint/Group Filing (Check Applicable Line)</w:t>
            </w:r>
          </w:p>
        </w:tc>
        <w:tc>
          <w:tcPr>
            <w:tcW w:w="0" w:type="dxa"/>
            <w:vAlign w:val="bottom"/>
          </w:tcPr>
          <w:p>
            <w:pPr>
              <w:spacing w:after="0"/>
              <w:rPr>
                <w:sz w:val="1"/>
                <w:szCs w:val="1"/>
                <w:color w:val="auto"/>
              </w:rPr>
            </w:pPr>
          </w:p>
        </w:tc>
      </w:tr>
      <w:tr>
        <w:trPr>
          <w:trHeight w:val="90"/>
        </w:trPr>
        <w:tc>
          <w:tcPr>
            <w:tcW w:w="1700" w:type="dxa"/>
            <w:vAlign w:val="bottom"/>
            <w:vMerge w:val="restart"/>
          </w:tcPr>
          <w:p>
            <w:pPr>
              <w:jc w:val="right"/>
              <w:ind w:right="172"/>
              <w:spacing w:after="0"/>
              <w:rPr>
                <w:sz w:val="20"/>
                <w:szCs w:val="20"/>
                <w:color w:val="auto"/>
              </w:rPr>
            </w:pPr>
            <w:r>
              <w:rPr>
                <w:rFonts w:ascii="Arial" w:cs="Arial" w:eastAsia="Arial" w:hAnsi="Arial"/>
                <w:sz w:val="9"/>
                <w:szCs w:val="9"/>
                <w:color w:val="auto"/>
              </w:rPr>
              <w:t>Officer (give title below)</w:t>
            </w:r>
          </w:p>
        </w:tc>
        <w:tc>
          <w:tcPr>
            <w:tcW w:w="400" w:type="dxa"/>
            <w:vAlign w:val="bottom"/>
            <w:vMerge w:val="continue"/>
          </w:tcPr>
          <w:p>
            <w:pPr>
              <w:spacing w:after="0"/>
              <w:rPr>
                <w:sz w:val="7"/>
                <w:szCs w:val="7"/>
                <w:color w:val="auto"/>
              </w:rPr>
            </w:pPr>
          </w:p>
        </w:tc>
        <w:tc>
          <w:tcPr>
            <w:tcW w:w="1300" w:type="dxa"/>
            <w:vAlign w:val="bottom"/>
            <w:vMerge w:val="restart"/>
          </w:tcPr>
          <w:p>
            <w:pPr>
              <w:ind w:left="100"/>
              <w:spacing w:after="0"/>
              <w:rPr>
                <w:sz w:val="20"/>
                <w:szCs w:val="20"/>
                <w:color w:val="auto"/>
              </w:rPr>
            </w:pPr>
            <w:r>
              <w:rPr>
                <w:rFonts w:ascii="Arial" w:cs="Arial" w:eastAsia="Arial" w:hAnsi="Arial"/>
                <w:sz w:val="9"/>
                <w:szCs w:val="9"/>
                <w:color w:val="auto"/>
              </w:rPr>
              <w:t>Other (specify below)</w:t>
            </w:r>
          </w:p>
        </w:tc>
        <w:tc>
          <w:tcPr>
            <w:tcW w:w="120" w:type="dxa"/>
            <w:vAlign w:val="bottom"/>
            <w:vMerge w:val="continue"/>
          </w:tcPr>
          <w:p>
            <w:pPr>
              <w:spacing w:after="0"/>
              <w:rPr>
                <w:sz w:val="7"/>
                <w:szCs w:val="7"/>
                <w:color w:val="auto"/>
              </w:rPr>
            </w:pPr>
          </w:p>
        </w:tc>
        <w:tc>
          <w:tcPr>
            <w:tcW w:w="2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70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vMerge w:val="restart"/>
          </w:tcPr>
          <w:p>
            <w:pPr>
              <w:ind w:left="100"/>
              <w:spacing w:after="0"/>
              <w:rPr>
                <w:sz w:val="20"/>
                <w:szCs w:val="20"/>
                <w:color w:val="auto"/>
              </w:rPr>
            </w:pPr>
            <w:r>
              <w:rPr>
                <w:rFonts w:ascii="Arial" w:cs="Arial" w:eastAsia="Arial" w:hAnsi="Arial"/>
                <w:sz w:val="12"/>
                <w:szCs w:val="12"/>
                <w:color w:val="0000FF"/>
              </w:rPr>
              <w:t>X</w:t>
            </w:r>
          </w:p>
        </w:tc>
        <w:tc>
          <w:tcPr>
            <w:tcW w:w="2480" w:type="dxa"/>
            <w:vAlign w:val="bottom"/>
            <w:vMerge w:val="restart"/>
          </w:tcPr>
          <w:p>
            <w:pPr>
              <w:jc w:val="center"/>
              <w:ind w:right="795"/>
              <w:spacing w:after="0"/>
              <w:rPr>
                <w:sz w:val="20"/>
                <w:szCs w:val="20"/>
                <w:color w:val="auto"/>
              </w:rPr>
            </w:pPr>
            <w:r>
              <w:rPr>
                <w:rFonts w:ascii="Arial" w:cs="Arial" w:eastAsia="Arial" w:hAnsi="Arial"/>
                <w:sz w:val="9"/>
                <w:szCs w:val="9"/>
                <w:color w:val="auto"/>
                <w:w w:val="99"/>
              </w:rPr>
              <w:t>Form filed by One Reporting Person</w:t>
            </w:r>
          </w:p>
        </w:tc>
        <w:tc>
          <w:tcPr>
            <w:tcW w:w="0" w:type="dxa"/>
            <w:vAlign w:val="bottom"/>
          </w:tcPr>
          <w:p>
            <w:pPr>
              <w:spacing w:after="0"/>
              <w:rPr>
                <w:sz w:val="1"/>
                <w:szCs w:val="1"/>
                <w:color w:val="auto"/>
              </w:rPr>
            </w:pPr>
          </w:p>
        </w:tc>
      </w:tr>
      <w:tr>
        <w:trPr>
          <w:trHeight w:val="81"/>
        </w:trPr>
        <w:tc>
          <w:tcPr>
            <w:tcW w:w="3400" w:type="dxa"/>
            <w:vAlign w:val="bottom"/>
            <w:gridSpan w:val="3"/>
            <w:vMerge w:val="restart"/>
          </w:tcPr>
          <w:p>
            <w:pPr>
              <w:ind w:left="940"/>
              <w:spacing w:after="0"/>
              <w:rPr>
                <w:sz w:val="20"/>
                <w:szCs w:val="20"/>
                <w:color w:val="auto"/>
              </w:rPr>
            </w:pPr>
            <w:r>
              <w:rPr>
                <w:rFonts w:ascii="Arial" w:cs="Arial" w:eastAsia="Arial" w:hAnsi="Arial"/>
                <w:sz w:val="12"/>
                <w:szCs w:val="12"/>
                <w:color w:val="0000FF"/>
              </w:rPr>
              <w:t>Sean Kirk, EVP, Manufacturing</w:t>
            </w:r>
          </w:p>
        </w:tc>
        <w:tc>
          <w:tcPr>
            <w:tcW w:w="1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4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vMerge w:val="restart"/>
          </w:tcPr>
          <w:p>
            <w:pPr>
              <w:ind w:left="100"/>
              <w:spacing w:after="0"/>
              <w:rPr>
                <w:sz w:val="20"/>
                <w:szCs w:val="20"/>
                <w:color w:val="auto"/>
              </w:rPr>
            </w:pPr>
            <w:r>
              <w:rPr>
                <w:rFonts w:ascii="Arial" w:cs="Arial" w:eastAsia="Arial" w:hAnsi="Arial"/>
                <w:sz w:val="9"/>
                <w:szCs w:val="9"/>
                <w:color w:val="auto"/>
              </w:rPr>
              <w:t>Form filed by More than One Reporting Person</w:t>
            </w:r>
          </w:p>
        </w:tc>
        <w:tc>
          <w:tcPr>
            <w:tcW w:w="0" w:type="dxa"/>
            <w:vAlign w:val="bottom"/>
          </w:tcPr>
          <w:p>
            <w:pPr>
              <w:spacing w:after="0"/>
              <w:rPr>
                <w:sz w:val="1"/>
                <w:szCs w:val="1"/>
                <w:color w:val="auto"/>
              </w:rPr>
            </w:pPr>
          </w:p>
        </w:tc>
      </w:tr>
      <w:tr>
        <w:trPr>
          <w:trHeight w:val="46"/>
        </w:trPr>
        <w:tc>
          <w:tcPr>
            <w:tcW w:w="1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62" w:lineRule="exact"/>
        <w:rPr>
          <w:sz w:val="24"/>
          <w:szCs w:val="24"/>
          <w:color w:val="auto"/>
        </w:rPr>
      </w:pPr>
    </w:p>
    <w:p>
      <w:pPr>
        <w:sectPr>
          <w:pgSz w:w="11900" w:h="16838" w:orient="portrait"/>
          <w:cols w:equalWidth="0" w:num="3">
            <w:col w:w="3360" w:space="118"/>
            <w:col w:w="1482" w:space="220"/>
            <w:col w:w="6300"/>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Common Stock</w:t>
            </w:r>
          </w:p>
        </w:tc>
        <w:tc>
          <w:tcPr>
            <w:tcW w:w="6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ind w:left="880"/>
              <w:spacing w:after="0"/>
              <w:rPr>
                <w:sz w:val="20"/>
                <w:szCs w:val="20"/>
                <w:color w:val="auto"/>
              </w:rPr>
            </w:pPr>
            <w:r>
              <w:rPr>
                <w:rFonts w:ascii="Arial" w:cs="Arial" w:eastAsia="Arial" w:hAnsi="Arial"/>
                <w:sz w:val="12"/>
                <w:szCs w:val="12"/>
                <w:color w:val="0000FF"/>
              </w:rPr>
              <w:t>13,604</w:t>
            </w:r>
            <w:r>
              <w:rPr>
                <w:rFonts w:ascii="Arial" w:cs="Arial" w:eastAsia="Arial" w:hAnsi="Arial"/>
                <w:sz w:val="15"/>
                <w:szCs w:val="15"/>
                <w:color w:val="008000"/>
                <w:vertAlign w:val="superscript"/>
              </w:rPr>
              <w:t>(1)</w:t>
            </w:r>
          </w:p>
        </w:tc>
        <w:tc>
          <w:tcPr>
            <w:tcW w:w="860" w:type="dxa"/>
            <w:vAlign w:val="bottom"/>
            <w:tcBorders>
              <w:bottom w:val="single" w:sz="8" w:color="2C2C2C"/>
            </w:tcBorders>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jc w:val="center"/>
              <w:ind w:left="296"/>
              <w:spacing w:after="0"/>
              <w:rPr>
                <w:sz w:val="20"/>
                <w:szCs w:val="20"/>
                <w:color w:val="auto"/>
              </w:rPr>
            </w:pPr>
            <w:r>
              <w:rPr>
                <w:rFonts w:ascii="Arial" w:cs="Arial" w:eastAsia="Arial" w:hAnsi="Arial"/>
                <w:sz w:val="12"/>
                <w:szCs w:val="12"/>
                <w:b w:val="1"/>
                <w:bCs w:val="1"/>
                <w:color w:val="auto"/>
                <w:w w:val="97"/>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jc w:val="center"/>
              <w:ind w:right="488"/>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35"/>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Stock Options (Right to Buy)</w:t>
            </w:r>
          </w:p>
        </w:tc>
        <w:tc>
          <w:tcPr>
            <w:tcW w:w="600" w:type="dxa"/>
            <w:vAlign w:val="bottom"/>
          </w:tcPr>
          <w:p>
            <w:pPr>
              <w:jc w:val="right"/>
              <w:ind w:right="216"/>
              <w:spacing w:after="0"/>
              <w:rPr>
                <w:sz w:val="20"/>
                <w:szCs w:val="20"/>
                <w:color w:val="auto"/>
              </w:rPr>
            </w:pPr>
            <w:r>
              <w:rPr>
                <w:rFonts w:ascii="Arial" w:cs="Arial" w:eastAsia="Arial" w:hAnsi="Arial"/>
                <w:sz w:val="8"/>
                <w:szCs w:val="8"/>
                <w:color w:val="008000"/>
              </w:rPr>
              <w:t>(2)</w:t>
            </w:r>
          </w:p>
        </w:tc>
        <w:tc>
          <w:tcPr>
            <w:tcW w:w="520" w:type="dxa"/>
            <w:vAlign w:val="bottom"/>
          </w:tcPr>
          <w:p>
            <w:pPr>
              <w:jc w:val="right"/>
              <w:spacing w:after="0"/>
              <w:rPr>
                <w:sz w:val="20"/>
                <w:szCs w:val="20"/>
                <w:color w:val="auto"/>
              </w:rPr>
            </w:pPr>
            <w:r>
              <w:rPr>
                <w:rFonts w:ascii="Arial" w:cs="Arial" w:eastAsia="Arial" w:hAnsi="Arial"/>
                <w:sz w:val="9"/>
                <w:szCs w:val="9"/>
                <w:color w:val="0000FF"/>
              </w:rPr>
              <w:t>02/28/2023</w:t>
            </w:r>
          </w:p>
        </w:tc>
        <w:tc>
          <w:tcPr>
            <w:tcW w:w="2140" w:type="dxa"/>
            <w:vAlign w:val="bottom"/>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right"/>
              <w:ind w:right="168"/>
              <w:spacing w:after="0"/>
              <w:rPr>
                <w:sz w:val="20"/>
                <w:szCs w:val="20"/>
                <w:color w:val="auto"/>
              </w:rPr>
            </w:pPr>
            <w:r>
              <w:rPr>
                <w:rFonts w:ascii="Arial" w:cs="Arial" w:eastAsia="Arial" w:hAnsi="Arial"/>
                <w:sz w:val="12"/>
                <w:szCs w:val="12"/>
                <w:color w:val="0000FF"/>
              </w:rPr>
              <w:t>3,135</w:t>
            </w:r>
          </w:p>
        </w:tc>
        <w:tc>
          <w:tcPr>
            <w:tcW w:w="800" w:type="dxa"/>
            <w:vAlign w:val="bottom"/>
          </w:tcPr>
          <w:p>
            <w:pPr>
              <w:jc w:val="right"/>
              <w:ind w:right="227"/>
              <w:spacing w:after="0"/>
              <w:rPr>
                <w:sz w:val="20"/>
                <w:szCs w:val="20"/>
                <w:color w:val="auto"/>
              </w:rPr>
            </w:pPr>
            <w:r>
              <w:rPr>
                <w:rFonts w:ascii="Arial" w:cs="Arial" w:eastAsia="Arial" w:hAnsi="Arial"/>
                <w:sz w:val="12"/>
                <w:szCs w:val="12"/>
                <w:color w:val="0000FF"/>
              </w:rPr>
              <w:t>30.86</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Stock Options (Right to Buy)</w:t>
            </w:r>
          </w:p>
        </w:tc>
        <w:tc>
          <w:tcPr>
            <w:tcW w:w="600" w:type="dxa"/>
            <w:vAlign w:val="bottom"/>
          </w:tcPr>
          <w:p>
            <w:pPr>
              <w:jc w:val="right"/>
              <w:ind w:right="216"/>
              <w:spacing w:after="0"/>
              <w:rPr>
                <w:sz w:val="20"/>
                <w:szCs w:val="20"/>
                <w:color w:val="auto"/>
              </w:rPr>
            </w:pPr>
            <w:r>
              <w:rPr>
                <w:rFonts w:ascii="Arial" w:cs="Arial" w:eastAsia="Arial" w:hAnsi="Arial"/>
                <w:sz w:val="8"/>
                <w:szCs w:val="8"/>
                <w:color w:val="008000"/>
              </w:rPr>
              <w:t>(2)</w:t>
            </w:r>
          </w:p>
        </w:tc>
        <w:tc>
          <w:tcPr>
            <w:tcW w:w="520" w:type="dxa"/>
            <w:vAlign w:val="bottom"/>
          </w:tcPr>
          <w:p>
            <w:pPr>
              <w:jc w:val="right"/>
              <w:spacing w:after="0"/>
              <w:rPr>
                <w:sz w:val="20"/>
                <w:szCs w:val="20"/>
                <w:color w:val="auto"/>
              </w:rPr>
            </w:pPr>
            <w:r>
              <w:rPr>
                <w:rFonts w:ascii="Arial" w:cs="Arial" w:eastAsia="Arial" w:hAnsi="Arial"/>
                <w:sz w:val="9"/>
                <w:szCs w:val="9"/>
                <w:color w:val="0000FF"/>
              </w:rPr>
              <w:t>02/27/2024</w:t>
            </w:r>
          </w:p>
        </w:tc>
        <w:tc>
          <w:tcPr>
            <w:tcW w:w="2140" w:type="dxa"/>
            <w:vAlign w:val="bottom"/>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right"/>
              <w:ind w:right="168"/>
              <w:spacing w:after="0"/>
              <w:rPr>
                <w:sz w:val="20"/>
                <w:szCs w:val="20"/>
                <w:color w:val="auto"/>
              </w:rPr>
            </w:pPr>
            <w:r>
              <w:rPr>
                <w:rFonts w:ascii="Arial" w:cs="Arial" w:eastAsia="Arial" w:hAnsi="Arial"/>
                <w:sz w:val="12"/>
                <w:szCs w:val="12"/>
                <w:color w:val="0000FF"/>
              </w:rPr>
              <w:t>7,293</w:t>
            </w:r>
          </w:p>
        </w:tc>
        <w:tc>
          <w:tcPr>
            <w:tcW w:w="800" w:type="dxa"/>
            <w:vAlign w:val="bottom"/>
          </w:tcPr>
          <w:p>
            <w:pPr>
              <w:jc w:val="right"/>
              <w:ind w:right="227"/>
              <w:spacing w:after="0"/>
              <w:rPr>
                <w:sz w:val="20"/>
                <w:szCs w:val="20"/>
                <w:color w:val="auto"/>
              </w:rPr>
            </w:pPr>
            <w:r>
              <w:rPr>
                <w:rFonts w:ascii="Arial" w:cs="Arial" w:eastAsia="Arial" w:hAnsi="Arial"/>
                <w:sz w:val="12"/>
                <w:szCs w:val="12"/>
                <w:color w:val="0000FF"/>
              </w:rPr>
              <w:t>30.63</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Stock Options (Right to Buy)</w:t>
            </w:r>
          </w:p>
        </w:tc>
        <w:tc>
          <w:tcPr>
            <w:tcW w:w="600" w:type="dxa"/>
            <w:vAlign w:val="bottom"/>
          </w:tcPr>
          <w:p>
            <w:pPr>
              <w:jc w:val="right"/>
              <w:ind w:right="216"/>
              <w:spacing w:after="0"/>
              <w:rPr>
                <w:sz w:val="20"/>
                <w:szCs w:val="20"/>
                <w:color w:val="auto"/>
              </w:rPr>
            </w:pPr>
            <w:r>
              <w:rPr>
                <w:rFonts w:ascii="Arial" w:cs="Arial" w:eastAsia="Arial" w:hAnsi="Arial"/>
                <w:sz w:val="8"/>
                <w:szCs w:val="8"/>
                <w:color w:val="008000"/>
              </w:rPr>
              <w:t>(2)</w:t>
            </w:r>
          </w:p>
        </w:tc>
        <w:tc>
          <w:tcPr>
            <w:tcW w:w="520" w:type="dxa"/>
            <w:vAlign w:val="bottom"/>
          </w:tcPr>
          <w:p>
            <w:pPr>
              <w:jc w:val="right"/>
              <w:spacing w:after="0"/>
              <w:rPr>
                <w:sz w:val="20"/>
                <w:szCs w:val="20"/>
                <w:color w:val="auto"/>
              </w:rPr>
            </w:pPr>
            <w:r>
              <w:rPr>
                <w:rFonts w:ascii="Arial" w:cs="Arial" w:eastAsia="Arial" w:hAnsi="Arial"/>
                <w:sz w:val="9"/>
                <w:szCs w:val="9"/>
                <w:color w:val="0000FF"/>
              </w:rPr>
              <w:t>02/26/2025</w:t>
            </w:r>
          </w:p>
        </w:tc>
        <w:tc>
          <w:tcPr>
            <w:tcW w:w="2140" w:type="dxa"/>
            <w:vAlign w:val="bottom"/>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right"/>
              <w:ind w:right="168"/>
              <w:spacing w:after="0"/>
              <w:rPr>
                <w:sz w:val="20"/>
                <w:szCs w:val="20"/>
                <w:color w:val="auto"/>
              </w:rPr>
            </w:pPr>
            <w:r>
              <w:rPr>
                <w:rFonts w:ascii="Arial" w:cs="Arial" w:eastAsia="Arial" w:hAnsi="Arial"/>
                <w:sz w:val="12"/>
                <w:szCs w:val="12"/>
                <w:color w:val="0000FF"/>
              </w:rPr>
              <w:t>6,044</w:t>
            </w:r>
          </w:p>
        </w:tc>
        <w:tc>
          <w:tcPr>
            <w:tcW w:w="800" w:type="dxa"/>
            <w:vAlign w:val="bottom"/>
          </w:tcPr>
          <w:p>
            <w:pPr>
              <w:jc w:val="right"/>
              <w:ind w:right="227"/>
              <w:spacing w:after="0"/>
              <w:rPr>
                <w:sz w:val="20"/>
                <w:szCs w:val="20"/>
                <w:color w:val="auto"/>
              </w:rPr>
            </w:pPr>
            <w:r>
              <w:rPr>
                <w:rFonts w:ascii="Arial" w:cs="Arial" w:eastAsia="Arial" w:hAnsi="Arial"/>
                <w:sz w:val="12"/>
                <w:szCs w:val="12"/>
                <w:color w:val="0000FF"/>
              </w:rPr>
              <w:t>49.64</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Stock Options (Right to Buy)</w:t>
            </w:r>
          </w:p>
        </w:tc>
        <w:tc>
          <w:tcPr>
            <w:tcW w:w="600" w:type="dxa"/>
            <w:vAlign w:val="bottom"/>
          </w:tcPr>
          <w:p>
            <w:pPr>
              <w:jc w:val="right"/>
              <w:ind w:right="216"/>
              <w:spacing w:after="0"/>
              <w:rPr>
                <w:sz w:val="20"/>
                <w:szCs w:val="20"/>
                <w:color w:val="auto"/>
              </w:rPr>
            </w:pPr>
            <w:r>
              <w:rPr>
                <w:rFonts w:ascii="Arial" w:cs="Arial" w:eastAsia="Arial" w:hAnsi="Arial"/>
                <w:sz w:val="8"/>
                <w:szCs w:val="8"/>
                <w:color w:val="008000"/>
              </w:rPr>
              <w:t>(2)</w:t>
            </w:r>
          </w:p>
        </w:tc>
        <w:tc>
          <w:tcPr>
            <w:tcW w:w="520" w:type="dxa"/>
            <w:vAlign w:val="bottom"/>
          </w:tcPr>
          <w:p>
            <w:pPr>
              <w:jc w:val="right"/>
              <w:spacing w:after="0"/>
              <w:rPr>
                <w:sz w:val="20"/>
                <w:szCs w:val="20"/>
                <w:color w:val="auto"/>
              </w:rPr>
            </w:pPr>
            <w:r>
              <w:rPr>
                <w:rFonts w:ascii="Arial" w:cs="Arial" w:eastAsia="Arial" w:hAnsi="Arial"/>
                <w:sz w:val="9"/>
                <w:szCs w:val="9"/>
                <w:color w:val="0000FF"/>
              </w:rPr>
              <w:t>02/25/2026</w:t>
            </w:r>
          </w:p>
        </w:tc>
        <w:tc>
          <w:tcPr>
            <w:tcW w:w="2140" w:type="dxa"/>
            <w:vAlign w:val="bottom"/>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right"/>
              <w:ind w:right="168"/>
              <w:spacing w:after="0"/>
              <w:rPr>
                <w:sz w:val="20"/>
                <w:szCs w:val="20"/>
                <w:color w:val="auto"/>
              </w:rPr>
            </w:pPr>
            <w:r>
              <w:rPr>
                <w:rFonts w:ascii="Arial" w:cs="Arial" w:eastAsia="Arial" w:hAnsi="Arial"/>
                <w:sz w:val="12"/>
                <w:szCs w:val="12"/>
                <w:color w:val="0000FF"/>
              </w:rPr>
              <w:t>5,124</w:t>
            </w:r>
          </w:p>
        </w:tc>
        <w:tc>
          <w:tcPr>
            <w:tcW w:w="800" w:type="dxa"/>
            <w:vAlign w:val="bottom"/>
          </w:tcPr>
          <w:p>
            <w:pPr>
              <w:jc w:val="right"/>
              <w:ind w:right="227"/>
              <w:spacing w:after="0"/>
              <w:rPr>
                <w:sz w:val="20"/>
                <w:szCs w:val="20"/>
                <w:color w:val="auto"/>
              </w:rPr>
            </w:pPr>
            <w:r>
              <w:rPr>
                <w:rFonts w:ascii="Arial" w:cs="Arial" w:eastAsia="Arial" w:hAnsi="Arial"/>
                <w:sz w:val="12"/>
                <w:szCs w:val="12"/>
                <w:color w:val="0000FF"/>
              </w:rPr>
              <w:t>61.01</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Stock Options (Right to Buy)</w:t>
            </w:r>
          </w:p>
        </w:tc>
        <w:tc>
          <w:tcPr>
            <w:tcW w:w="600" w:type="dxa"/>
            <w:vAlign w:val="bottom"/>
          </w:tcPr>
          <w:p>
            <w:pPr>
              <w:jc w:val="right"/>
              <w:ind w:right="216"/>
              <w:spacing w:after="0"/>
              <w:rPr>
                <w:sz w:val="20"/>
                <w:szCs w:val="20"/>
                <w:color w:val="auto"/>
              </w:rPr>
            </w:pPr>
            <w:r>
              <w:rPr>
                <w:rFonts w:ascii="Arial" w:cs="Arial" w:eastAsia="Arial" w:hAnsi="Arial"/>
                <w:sz w:val="8"/>
                <w:szCs w:val="8"/>
                <w:color w:val="008000"/>
              </w:rPr>
              <w:t>(2)</w:t>
            </w:r>
          </w:p>
        </w:tc>
        <w:tc>
          <w:tcPr>
            <w:tcW w:w="520" w:type="dxa"/>
            <w:vAlign w:val="bottom"/>
          </w:tcPr>
          <w:p>
            <w:pPr>
              <w:jc w:val="right"/>
              <w:spacing w:after="0"/>
              <w:rPr>
                <w:sz w:val="20"/>
                <w:szCs w:val="20"/>
                <w:color w:val="auto"/>
              </w:rPr>
            </w:pPr>
            <w:r>
              <w:rPr>
                <w:rFonts w:ascii="Arial" w:cs="Arial" w:eastAsia="Arial" w:hAnsi="Arial"/>
                <w:sz w:val="9"/>
                <w:szCs w:val="9"/>
                <w:color w:val="0000FF"/>
              </w:rPr>
              <w:t>03/31/2026</w:t>
            </w:r>
          </w:p>
        </w:tc>
        <w:tc>
          <w:tcPr>
            <w:tcW w:w="2140" w:type="dxa"/>
            <w:vAlign w:val="bottom"/>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right"/>
              <w:ind w:right="168"/>
              <w:spacing w:after="0"/>
              <w:rPr>
                <w:sz w:val="20"/>
                <w:szCs w:val="20"/>
                <w:color w:val="auto"/>
              </w:rPr>
            </w:pPr>
            <w:r>
              <w:rPr>
                <w:rFonts w:ascii="Arial" w:cs="Arial" w:eastAsia="Arial" w:hAnsi="Arial"/>
                <w:sz w:val="12"/>
                <w:szCs w:val="12"/>
                <w:color w:val="0000FF"/>
              </w:rPr>
              <w:t>1,424</w:t>
            </w:r>
          </w:p>
        </w:tc>
        <w:tc>
          <w:tcPr>
            <w:tcW w:w="800" w:type="dxa"/>
            <w:vAlign w:val="bottom"/>
          </w:tcPr>
          <w:p>
            <w:pPr>
              <w:jc w:val="right"/>
              <w:ind w:right="227"/>
              <w:spacing w:after="0"/>
              <w:rPr>
                <w:sz w:val="20"/>
                <w:szCs w:val="20"/>
                <w:color w:val="auto"/>
              </w:rPr>
            </w:pPr>
            <w:r>
              <w:rPr>
                <w:rFonts w:ascii="Arial" w:cs="Arial" w:eastAsia="Arial" w:hAnsi="Arial"/>
                <w:sz w:val="12"/>
                <w:szCs w:val="12"/>
                <w:color w:val="0000FF"/>
              </w:rPr>
              <w:t>50.52</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20" w:right="200" w:hanging="1"/>
        <w:spacing w:after="0" w:line="254" w:lineRule="auto"/>
        <w:tabs>
          <w:tab w:leader="none" w:pos="110" w:val="left"/>
        </w:tabs>
        <w:numPr>
          <w:ilvl w:val="0"/>
          <w:numId w:val="2"/>
        </w:numPr>
        <w:rPr>
          <w:rFonts w:ascii="Arial" w:cs="Arial" w:eastAsia="Arial" w:hAnsi="Arial"/>
          <w:sz w:val="9"/>
          <w:szCs w:val="9"/>
          <w:color w:val="008000"/>
        </w:rPr>
      </w:pPr>
      <w:r>
        <w:rPr>
          <w:rFonts w:ascii="Arial" w:cs="Arial" w:eastAsia="Arial" w:hAnsi="Arial"/>
          <w:sz w:val="9"/>
          <w:szCs w:val="9"/>
          <w:color w:val="008000"/>
        </w:rPr>
        <w:t>Consists of 2,933 shares, as well as 1,424 unvested PSUs and 9,247 unvested RSUs granted from the Emergent Stock Incentive Plan. Each RSU and each PSU represents a right to receive one share of common stock. The PSUs vest upon achievement with respect to adjusted net income as a percentage of total GAAP revenue for the 2021 fiscal year, as certified by the Compensation Committee following the performance period. The RSUs vest in three equal installments annually on the day prior to the anniversary date of the grant.</w:t>
      </w:r>
    </w:p>
    <w:p>
      <w:pPr>
        <w:spacing w:after="0" w:line="15"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Vests in three equal annual installments beginning on the day prior to the anniversary date of the grant.</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9"/>
          <w:szCs w:val="9"/>
          <w:color w:val="008000"/>
        </w:rPr>
        <w:t>Exhibit List: Exhibit-24.1 Power of Attorney</w:t>
      </w:r>
    </w:p>
    <w:p>
      <w:pPr>
        <w:spacing w:after="0" w:line="36"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186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9"/>
              </w:rPr>
              <w:t>/s/ S. Scott Lieberman, Attorney-in-fact</w:t>
            </w:r>
          </w:p>
        </w:tc>
        <w:tc>
          <w:tcPr>
            <w:tcW w:w="42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06/03/2019</w:t>
            </w: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LIMITED POWER OF ATTORNEY</w:t>
      </w:r>
    </w:p>
    <w:p>
      <w:pPr>
        <w:ind w:left="8"/>
        <w:spacing w:after="0"/>
        <w:rPr>
          <w:sz w:val="20"/>
          <w:szCs w:val="20"/>
          <w:color w:val="auto"/>
        </w:rPr>
      </w:pPr>
      <w:r>
        <w:rPr>
          <w:rFonts w:ascii="Courier New" w:cs="Courier New" w:eastAsia="Courier New" w:hAnsi="Courier New"/>
          <w:sz w:val="12"/>
          <w:szCs w:val="12"/>
          <w:color w:val="auto"/>
        </w:rPr>
        <w:t>FOR SECTION 16 REPORTING OBLIGATIONS</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makes, constitutes and appoints each of Atul Saran, Brian Millard and Scott Lieberman signing singly and eac</w:t>
      </w:r>
    </w:p>
    <w:p>
      <w:pPr>
        <w:spacing w:after="0" w:line="10" w:lineRule="exact"/>
        <w:rPr>
          <w:sz w:val="20"/>
          <w:szCs w:val="20"/>
          <w:color w:val="auto"/>
        </w:rPr>
      </w:pPr>
    </w:p>
    <w:p>
      <w:pPr>
        <w:ind w:left="348" w:hanging="348"/>
        <w:spacing w:after="0"/>
        <w:tabs>
          <w:tab w:leader="none" w:pos="34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w:t>
      </w:r>
    </w:p>
    <w:p>
      <w:pPr>
        <w:spacing w:after="0" w:line="10" w:lineRule="exact"/>
        <w:rPr>
          <w:rFonts w:ascii="Courier New" w:cs="Courier New" w:eastAsia="Courier New" w:hAnsi="Courier New"/>
          <w:sz w:val="11"/>
          <w:szCs w:val="11"/>
          <w:color w:val="auto"/>
        </w:rPr>
      </w:pPr>
    </w:p>
    <w:p>
      <w:pPr>
        <w:ind w:left="488" w:hanging="418"/>
        <w:spacing w:after="0"/>
        <w:tabs>
          <w:tab w:leader="none" w:pos="488" w:val="left"/>
        </w:tabs>
        <w:numPr>
          <w:ilvl w:val="1"/>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Emergent BioSolutions Inc. (the "Company"), Form</w:t>
      </w:r>
    </w:p>
    <w:p>
      <w:pPr>
        <w:spacing w:after="0" w:line="10" w:lineRule="exact"/>
        <w:rPr>
          <w:sz w:val="20"/>
          <w:szCs w:val="20"/>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prepare, complete and execute any such Form 3, 4,</w:t>
      </w:r>
    </w:p>
    <w:p>
      <w:pPr>
        <w:spacing w:after="0" w:line="10"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seek or obtain, as the undersigned's representative and on the undersigned's behalf, information regarding transactions in the Company's securities from any</w:t>
      </w:r>
    </w:p>
    <w:p>
      <w:pPr>
        <w:spacing w:after="0" w:line="10" w:lineRule="exact"/>
        <w:rPr>
          <w:rFonts w:ascii="Courier New" w:cs="Courier New" w:eastAsia="Courier New" w:hAnsi="Courier New"/>
          <w:sz w:val="11"/>
          <w:szCs w:val="11"/>
          <w:color w:val="auto"/>
        </w:rPr>
      </w:pPr>
    </w:p>
    <w:p>
      <w:pPr>
        <w:ind w:left="8" w:hanging="8"/>
        <w:spacing w:after="0" w:line="236" w:lineRule="auto"/>
        <w:tabs>
          <w:tab w:leader="none" w:pos="57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 in fact, may be of benefit to, in the b The undersigned hereby grants to each such attorney in fact full power and authority to do and perform any and every act and thing whatsoever requisite, necessary, This Power of Attorney shall remain in full force and effect until the undersigned is no longer required to file Forms 3, 4, and 5 with respect to the undersigned's IN WITNESS WHEREOF, the undersigned has caused this Power of Attorney to be executed as of this 30th day of May 2019.</w:t>
      </w:r>
    </w:p>
    <w:p>
      <w:pPr>
        <w:spacing w:after="0" w:line="136" w:lineRule="exact"/>
        <w:rPr>
          <w:sz w:val="20"/>
          <w:szCs w:val="20"/>
          <w:color w:val="auto"/>
        </w:rPr>
      </w:pPr>
    </w:p>
    <w:p>
      <w:pPr>
        <w:ind w:left="8"/>
        <w:spacing w:after="0"/>
        <w:tabs>
          <w:tab w:leader="none" w:pos="548"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2"/>
          <w:szCs w:val="12"/>
          <w:color w:val="auto"/>
        </w:rPr>
        <w:t>/s/ Sean Kirk</w:t>
      </w:r>
    </w:p>
    <w:p>
      <w:pPr>
        <w:spacing w:after="0" w:line="134" w:lineRule="exact"/>
        <w:rPr>
          <w:sz w:val="20"/>
          <w:szCs w:val="20"/>
          <w:color w:val="auto"/>
        </w:rPr>
      </w:pPr>
    </w:p>
    <w:p>
      <w:pPr>
        <w:ind w:left="8"/>
        <w:spacing w:after="0"/>
        <w:tabs>
          <w:tab w:leader="none" w:pos="548" w:val="left"/>
        </w:tabs>
        <w:rPr>
          <w:sz w:val="20"/>
          <w:szCs w:val="20"/>
          <w:color w:val="auto"/>
        </w:rPr>
      </w:pPr>
      <w:r>
        <w:rPr>
          <w:rFonts w:ascii="Courier New" w:cs="Courier New" w:eastAsia="Courier New" w:hAnsi="Courier New"/>
          <w:sz w:val="12"/>
          <w:szCs w:val="12"/>
          <w:color w:val="auto"/>
        </w:rPr>
        <w:t>Name:</w:t>
      </w:r>
      <w:r>
        <w:rPr>
          <w:sz w:val="20"/>
          <w:szCs w:val="20"/>
          <w:color w:val="auto"/>
        </w:rPr>
        <w:tab/>
      </w:r>
      <w:r>
        <w:rPr>
          <w:rFonts w:ascii="Courier New" w:cs="Courier New" w:eastAsia="Courier New" w:hAnsi="Courier New"/>
          <w:sz w:val="12"/>
          <w:szCs w:val="12"/>
          <w:color w:val="auto"/>
        </w:rPr>
        <w:t>Sean Kirk</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2019-12-03T23:04:49Z</dcterms:created>
  <dcterms:modified xsi:type="dcterms:W3CDTF">2019-12-03T23:04:49Z</dcterms:modified>
</cp:coreProperties>
</file>