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Hauer Jerome M</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42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400 PROFESSIONAL DR, SUITE 400</w:t>
            </w:r>
          </w:p>
        </w:tc>
      </w:tr>
      <w:tr>
        <w:trPr>
          <w:trHeight w:val="212"/>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560" w:type="dxa"/>
            <w:vAlign w:val="bottom"/>
          </w:tcPr>
          <w:p>
            <w:pPr>
              <w:jc w:val="right"/>
              <w:ind w:right="586"/>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42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Emergent BioSolutions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EBS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80" w:type="dxa"/>
            <w:vAlign w:val="bottom"/>
            <w:gridSpan w:val="3"/>
          </w:tcPr>
          <w:p>
            <w:pPr>
              <w:ind w:left="80"/>
              <w:spacing w:after="0"/>
              <w:rPr>
                <w:sz w:val="20"/>
                <w:szCs w:val="20"/>
                <w:color w:val="auto"/>
              </w:rPr>
            </w:pPr>
            <w:r>
              <w:rPr>
                <w:rFonts w:ascii="Arial" w:cs="Arial" w:eastAsia="Arial" w:hAnsi="Arial"/>
                <w:sz w:val="18"/>
                <w:szCs w:val="18"/>
                <w:color w:val="0000FF"/>
              </w:rPr>
              <w:t>05/25/2023</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05/25/2023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33,847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57,508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jc w:val="both"/>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company's Stock Incentive Plan, as amended and restated. These restricted stock units vest in one installment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Richard S. Lindahl,</w:t>
            </w:r>
          </w:p>
        </w:tc>
        <w:tc>
          <w:tcPr>
            <w:tcW w:w="30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05/30/2023</w:t>
            </w:r>
          </w:p>
        </w:tc>
        <w:tc>
          <w:tcPr>
            <w:tcW w:w="0" w:type="dxa"/>
            <w:vAlign w:val="bottom"/>
          </w:tcPr>
          <w:p>
            <w:pPr>
              <w:spacing w:after="0"/>
              <w:rPr>
                <w:sz w:val="1"/>
                <w:szCs w:val="1"/>
                <w:color w:val="auto"/>
              </w:rPr>
            </w:pPr>
          </w:p>
        </w:tc>
      </w:tr>
      <w:tr>
        <w:trPr>
          <w:trHeight w:val="88"/>
        </w:trPr>
        <w:tc>
          <w:tcPr>
            <w:tcW w:w="116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Attorney-in-fact</w:t>
            </w:r>
          </w:p>
        </w:tc>
        <w:tc>
          <w:tcPr>
            <w:tcW w:w="740" w:type="dxa"/>
            <w:vAlign w:val="bottom"/>
            <w:gridSpan w:val="2"/>
            <w:vMerge w:val="restart"/>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493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2023-05-30T18:11:05Z</dcterms:created>
  <dcterms:modified xsi:type="dcterms:W3CDTF">2023-05-30T18:11:05Z</dcterms:modified>
</cp:coreProperties>
</file>