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May 30, 2018</w:t>
      </w:r>
    </w:p>
    <w:p>
      <w:pPr>
        <w:spacing w:after="0" w:line="12" w:lineRule="exact"/>
        <w:rPr>
          <w:sz w:val="24"/>
          <w:szCs w:val="24"/>
          <w:color w:val="auto"/>
        </w:rPr>
      </w:pPr>
    </w:p>
    <w:p>
      <w:pPr>
        <w:ind w:left="9380"/>
        <w:spacing w:after="0"/>
        <w:rPr>
          <w:sz w:val="20"/>
          <w:szCs w:val="20"/>
          <w:color w:val="auto"/>
        </w:rPr>
      </w:pPr>
      <w:r>
        <w:rPr>
          <w:rFonts w:ascii="Arial" w:cs="Arial" w:eastAsia="Arial" w:hAnsi="Arial"/>
          <w:sz w:val="16"/>
          <w:szCs w:val="16"/>
          <w:color w:val="auto"/>
        </w:rPr>
        <w:t>Reference No 333-_______</w:t>
      </w:r>
    </w:p>
    <w:p>
      <w:pPr>
        <w:spacing w:after="0" w:line="3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w:t>
      </w: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EMERGENT BIOSOLUTIONS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8" w:lineRule="exact"/>
        <w:rPr>
          <w:sz w:val="24"/>
          <w:szCs w:val="24"/>
          <w:color w:val="auto"/>
        </w:rPr>
      </w:pPr>
    </w:p>
    <w:tbl>
      <w:tblPr>
        <w:tblLayout w:type="fixed"/>
        <w:tblInd w:w="720" w:type="dxa"/>
        <w:tblCellMar>
          <w:top w:w="0" w:type="dxa"/>
          <w:left w:w="0" w:type="dxa"/>
          <w:bottom w:w="0" w:type="dxa"/>
          <w:right w:w="0" w:type="dxa"/>
        </w:tblCellMar>
      </w:tblPr>
      <w:tr>
        <w:trPr>
          <w:trHeight w:val="220"/>
        </w:trPr>
        <w:tc>
          <w:tcPr>
            <w:tcW w:w="7860" w:type="dxa"/>
            <w:vAlign w:val="bottom"/>
          </w:tcPr>
          <w:p>
            <w:pPr>
              <w:jc w:val="center"/>
              <w:ind w:right="5430"/>
              <w:spacing w:after="0"/>
              <w:rPr>
                <w:sz w:val="20"/>
                <w:szCs w:val="20"/>
                <w:color w:val="auto"/>
              </w:rPr>
            </w:pPr>
            <w:r>
              <w:rPr>
                <w:rFonts w:ascii="Arial" w:cs="Arial" w:eastAsia="Arial" w:hAnsi="Arial"/>
                <w:sz w:val="18"/>
                <w:szCs w:val="18"/>
                <w:b w:val="1"/>
                <w:bCs w:val="1"/>
                <w:color w:val="auto"/>
                <w:w w:val="93"/>
              </w:rPr>
              <w:t>Delaware</w:t>
            </w:r>
          </w:p>
        </w:tc>
        <w:tc>
          <w:tcPr>
            <w:tcW w:w="164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14-1902018</w:t>
            </w:r>
          </w:p>
        </w:tc>
      </w:tr>
      <w:tr>
        <w:trPr>
          <w:trHeight w:val="203"/>
        </w:trPr>
        <w:tc>
          <w:tcPr>
            <w:tcW w:w="7860" w:type="dxa"/>
            <w:vAlign w:val="bottom"/>
          </w:tcPr>
          <w:p>
            <w:pPr>
              <w:jc w:val="center"/>
              <w:ind w:right="5430"/>
              <w:spacing w:after="0" w:line="202" w:lineRule="exact"/>
              <w:rPr>
                <w:sz w:val="20"/>
                <w:szCs w:val="20"/>
                <w:color w:val="auto"/>
              </w:rPr>
            </w:pPr>
            <w:r>
              <w:rPr>
                <w:rFonts w:ascii="Arial" w:cs="Arial" w:eastAsia="Arial" w:hAnsi="Arial"/>
                <w:sz w:val="18"/>
                <w:szCs w:val="18"/>
                <w:color w:val="auto"/>
                <w:w w:val="92"/>
              </w:rPr>
              <w:t>(State or other jurisdiction</w:t>
            </w:r>
          </w:p>
        </w:tc>
        <w:tc>
          <w:tcPr>
            <w:tcW w:w="1640" w:type="dxa"/>
            <w:vAlign w:val="bottom"/>
          </w:tcPr>
          <w:p>
            <w:pPr>
              <w:jc w:val="center"/>
              <w:ind w:left="190"/>
              <w:spacing w:after="0" w:line="202" w:lineRule="exact"/>
              <w:rPr>
                <w:sz w:val="20"/>
                <w:szCs w:val="20"/>
                <w:color w:val="auto"/>
              </w:rPr>
            </w:pPr>
            <w:r>
              <w:rPr>
                <w:rFonts w:ascii="Arial" w:cs="Arial" w:eastAsia="Arial" w:hAnsi="Arial"/>
                <w:sz w:val="18"/>
                <w:szCs w:val="18"/>
                <w:color w:val="auto"/>
                <w:w w:val="93"/>
              </w:rPr>
              <w:t>(I.R.S. Employer</w:t>
            </w:r>
          </w:p>
        </w:tc>
      </w:tr>
      <w:tr>
        <w:trPr>
          <w:trHeight w:val="230"/>
        </w:trPr>
        <w:tc>
          <w:tcPr>
            <w:tcW w:w="7860" w:type="dxa"/>
            <w:vAlign w:val="bottom"/>
          </w:tcPr>
          <w:p>
            <w:pPr>
              <w:jc w:val="center"/>
              <w:ind w:right="5410"/>
              <w:spacing w:after="0"/>
              <w:rPr>
                <w:sz w:val="20"/>
                <w:szCs w:val="20"/>
                <w:color w:val="auto"/>
              </w:rPr>
            </w:pPr>
            <w:r>
              <w:rPr>
                <w:rFonts w:ascii="Arial" w:cs="Arial" w:eastAsia="Arial" w:hAnsi="Arial"/>
                <w:sz w:val="18"/>
                <w:szCs w:val="18"/>
                <w:color w:val="auto"/>
                <w:w w:val="92"/>
              </w:rPr>
              <w:t>of incorporation or organization)</w:t>
            </w:r>
          </w:p>
        </w:tc>
        <w:tc>
          <w:tcPr>
            <w:tcW w:w="1640" w:type="dxa"/>
            <w:vAlign w:val="bottom"/>
          </w:tcPr>
          <w:p>
            <w:pPr>
              <w:jc w:val="center"/>
              <w:ind w:left="210"/>
              <w:spacing w:after="0"/>
              <w:rPr>
                <w:sz w:val="20"/>
                <w:szCs w:val="20"/>
                <w:color w:val="auto"/>
              </w:rPr>
            </w:pPr>
            <w:r>
              <w:rPr>
                <w:rFonts w:ascii="Arial" w:cs="Arial" w:eastAsia="Arial" w:hAnsi="Arial"/>
                <w:sz w:val="18"/>
                <w:szCs w:val="18"/>
                <w:color w:val="auto"/>
                <w:w w:val="95"/>
              </w:rPr>
              <w:t>Identification No.)</w:t>
            </w:r>
          </w:p>
        </w:tc>
      </w:tr>
      <w:tr>
        <w:trPr>
          <w:trHeight w:val="373"/>
        </w:trPr>
        <w:tc>
          <w:tcPr>
            <w:tcW w:w="7860" w:type="dxa"/>
            <w:vAlign w:val="bottom"/>
          </w:tcPr>
          <w:p>
            <w:pPr>
              <w:jc w:val="center"/>
              <w:ind w:right="4650"/>
              <w:spacing w:after="0"/>
              <w:rPr>
                <w:sz w:val="20"/>
                <w:szCs w:val="20"/>
                <w:color w:val="auto"/>
              </w:rPr>
            </w:pPr>
            <w:r>
              <w:rPr>
                <w:rFonts w:ascii="Arial" w:cs="Arial" w:eastAsia="Arial" w:hAnsi="Arial"/>
                <w:sz w:val="18"/>
                <w:szCs w:val="18"/>
                <w:b w:val="1"/>
                <w:bCs w:val="1"/>
                <w:color w:val="auto"/>
                <w:w w:val="89"/>
              </w:rPr>
              <w:t>400 Professional Drive, Suite 400</w:t>
            </w:r>
          </w:p>
        </w:tc>
        <w:tc>
          <w:tcPr>
            <w:tcW w:w="1640" w:type="dxa"/>
            <w:vAlign w:val="bottom"/>
          </w:tcPr>
          <w:p>
            <w:pPr>
              <w:spacing w:after="0"/>
              <w:rPr>
                <w:sz w:val="24"/>
                <w:szCs w:val="24"/>
                <w:color w:val="auto"/>
              </w:rPr>
            </w:pPr>
          </w:p>
        </w:tc>
      </w:tr>
      <w:tr>
        <w:trPr>
          <w:trHeight w:val="207"/>
        </w:trPr>
        <w:tc>
          <w:tcPr>
            <w:tcW w:w="7860" w:type="dxa"/>
            <w:vAlign w:val="bottom"/>
          </w:tcPr>
          <w:p>
            <w:pPr>
              <w:jc w:val="center"/>
              <w:ind w:right="4630"/>
              <w:spacing w:after="0"/>
              <w:rPr>
                <w:sz w:val="20"/>
                <w:szCs w:val="20"/>
                <w:color w:val="auto"/>
              </w:rPr>
            </w:pPr>
            <w:r>
              <w:rPr>
                <w:rFonts w:ascii="Arial" w:cs="Arial" w:eastAsia="Arial" w:hAnsi="Arial"/>
                <w:sz w:val="18"/>
                <w:szCs w:val="18"/>
                <w:b w:val="1"/>
                <w:bCs w:val="1"/>
                <w:color w:val="auto"/>
                <w:w w:val="94"/>
              </w:rPr>
              <w:t>Gaithersburg, Maryland</w:t>
            </w:r>
          </w:p>
        </w:tc>
        <w:tc>
          <w:tcPr>
            <w:tcW w:w="164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20879</w:t>
            </w:r>
          </w:p>
        </w:tc>
      </w:tr>
      <w:tr>
        <w:trPr>
          <w:trHeight w:val="230"/>
        </w:trPr>
        <w:tc>
          <w:tcPr>
            <w:tcW w:w="7860" w:type="dxa"/>
            <w:vAlign w:val="bottom"/>
          </w:tcPr>
          <w:p>
            <w:pPr>
              <w:jc w:val="center"/>
              <w:ind w:right="4630"/>
              <w:spacing w:after="0"/>
              <w:rPr>
                <w:sz w:val="20"/>
                <w:szCs w:val="20"/>
                <w:color w:val="auto"/>
              </w:rPr>
            </w:pPr>
            <w:r>
              <w:rPr>
                <w:rFonts w:ascii="Arial" w:cs="Arial" w:eastAsia="Arial" w:hAnsi="Arial"/>
                <w:sz w:val="18"/>
                <w:szCs w:val="18"/>
                <w:color w:val="auto"/>
                <w:w w:val="92"/>
              </w:rPr>
              <w:t>(Address of Principal Executive Offices)</w:t>
            </w:r>
          </w:p>
        </w:tc>
        <w:tc>
          <w:tcPr>
            <w:tcW w:w="1640" w:type="dxa"/>
            <w:vAlign w:val="bottom"/>
          </w:tcPr>
          <w:p>
            <w:pPr>
              <w:jc w:val="center"/>
              <w:ind w:left="230"/>
              <w:spacing w:after="0"/>
              <w:rPr>
                <w:sz w:val="20"/>
                <w:szCs w:val="20"/>
                <w:color w:val="auto"/>
              </w:rPr>
            </w:pPr>
            <w:r>
              <w:rPr>
                <w:rFonts w:ascii="Arial" w:cs="Arial" w:eastAsia="Arial" w:hAnsi="Arial"/>
                <w:sz w:val="18"/>
                <w:szCs w:val="18"/>
                <w:color w:val="auto"/>
                <w:w w:val="94"/>
              </w:rPr>
              <w:t>(Zip Code)</w:t>
            </w:r>
          </w:p>
        </w:tc>
      </w:tr>
      <w:tr>
        <w:trPr>
          <w:trHeight w:val="391"/>
        </w:trPr>
        <w:tc>
          <w:tcPr>
            <w:tcW w:w="7860" w:type="dxa"/>
            <w:vAlign w:val="bottom"/>
          </w:tcPr>
          <w:p>
            <w:pPr>
              <w:jc w:val="center"/>
              <w:ind w:left="2050"/>
              <w:spacing w:after="0"/>
              <w:rPr>
                <w:sz w:val="20"/>
                <w:szCs w:val="20"/>
                <w:color w:val="auto"/>
              </w:rPr>
            </w:pPr>
            <w:r>
              <w:rPr>
                <w:rFonts w:ascii="Arial" w:cs="Arial" w:eastAsia="Arial" w:hAnsi="Arial"/>
                <w:sz w:val="18"/>
                <w:szCs w:val="18"/>
                <w:b w:val="1"/>
                <w:bCs w:val="1"/>
                <w:color w:val="auto"/>
              </w:rPr>
              <w:t>EMERGENT BIOSOLUTIONS INC. STOCK INCENTIVE PLAN</w:t>
            </w:r>
          </w:p>
        </w:tc>
        <w:tc>
          <w:tcPr>
            <w:tcW w:w="1640" w:type="dxa"/>
            <w:vAlign w:val="bottom"/>
          </w:tcPr>
          <w:p>
            <w:pPr>
              <w:spacing w:after="0"/>
              <w:rPr>
                <w:sz w:val="24"/>
                <w:szCs w:val="24"/>
                <w:color w:val="auto"/>
              </w:rPr>
            </w:pPr>
          </w:p>
        </w:tc>
      </w:tr>
      <w:tr>
        <w:trPr>
          <w:trHeight w:val="230"/>
        </w:trPr>
        <w:tc>
          <w:tcPr>
            <w:tcW w:w="7860" w:type="dxa"/>
            <w:vAlign w:val="bottom"/>
          </w:tcPr>
          <w:p>
            <w:pPr>
              <w:jc w:val="center"/>
              <w:ind w:left="2030"/>
              <w:spacing w:after="0"/>
              <w:rPr>
                <w:sz w:val="20"/>
                <w:szCs w:val="20"/>
                <w:color w:val="auto"/>
              </w:rPr>
            </w:pPr>
            <w:r>
              <w:rPr>
                <w:rFonts w:ascii="Arial" w:cs="Arial" w:eastAsia="Arial" w:hAnsi="Arial"/>
                <w:sz w:val="18"/>
                <w:szCs w:val="18"/>
                <w:color w:val="auto"/>
                <w:w w:val="94"/>
              </w:rPr>
              <w:t>(Full title of the plan)</w:t>
            </w:r>
          </w:p>
        </w:tc>
        <w:tc>
          <w:tcPr>
            <w:tcW w:w="1640" w:type="dxa"/>
            <w:vAlign w:val="bottom"/>
          </w:tcPr>
          <w:p>
            <w:pPr>
              <w:spacing w:after="0"/>
              <w:rPr>
                <w:sz w:val="20"/>
                <w:szCs w:val="20"/>
                <w:color w:val="auto"/>
              </w:rPr>
            </w:pPr>
          </w:p>
        </w:tc>
      </w:tr>
      <w:tr>
        <w:trPr>
          <w:trHeight w:val="373"/>
        </w:trPr>
        <w:tc>
          <w:tcPr>
            <w:tcW w:w="7860" w:type="dxa"/>
            <w:vAlign w:val="bottom"/>
          </w:tcPr>
          <w:p>
            <w:pPr>
              <w:jc w:val="center"/>
              <w:ind w:left="2050"/>
              <w:spacing w:after="0"/>
              <w:rPr>
                <w:sz w:val="20"/>
                <w:szCs w:val="20"/>
                <w:color w:val="auto"/>
              </w:rPr>
            </w:pPr>
            <w:r>
              <w:rPr>
                <w:rFonts w:ascii="Arial" w:cs="Arial" w:eastAsia="Arial" w:hAnsi="Arial"/>
                <w:sz w:val="18"/>
                <w:szCs w:val="18"/>
                <w:b w:val="1"/>
                <w:bCs w:val="1"/>
                <w:color w:val="auto"/>
                <w:w w:val="93"/>
              </w:rPr>
              <w:t>Richard S. Lindahl</w:t>
            </w:r>
          </w:p>
        </w:tc>
        <w:tc>
          <w:tcPr>
            <w:tcW w:w="1640" w:type="dxa"/>
            <w:vAlign w:val="bottom"/>
          </w:tcPr>
          <w:p>
            <w:pPr>
              <w:spacing w:after="0"/>
              <w:rPr>
                <w:sz w:val="24"/>
                <w:szCs w:val="24"/>
                <w:color w:val="auto"/>
              </w:rPr>
            </w:pPr>
          </w:p>
        </w:tc>
      </w:tr>
      <w:tr>
        <w:trPr>
          <w:trHeight w:val="203"/>
        </w:trPr>
        <w:tc>
          <w:tcPr>
            <w:tcW w:w="7860" w:type="dxa"/>
            <w:vAlign w:val="bottom"/>
          </w:tcPr>
          <w:p>
            <w:pPr>
              <w:jc w:val="center"/>
              <w:ind w:left="2030"/>
              <w:spacing w:after="0" w:line="202" w:lineRule="exact"/>
              <w:rPr>
                <w:sz w:val="20"/>
                <w:szCs w:val="20"/>
                <w:color w:val="auto"/>
              </w:rPr>
            </w:pPr>
            <w:r>
              <w:rPr>
                <w:rFonts w:ascii="Arial" w:cs="Arial" w:eastAsia="Arial" w:hAnsi="Arial"/>
                <w:sz w:val="18"/>
                <w:szCs w:val="18"/>
                <w:b w:val="1"/>
                <w:bCs w:val="1"/>
                <w:color w:val="auto"/>
                <w:w w:val="90"/>
              </w:rPr>
              <w:t>Executive Vice President, Chief Financial Officer and Treasurer</w:t>
            </w:r>
          </w:p>
        </w:tc>
        <w:tc>
          <w:tcPr>
            <w:tcW w:w="1640" w:type="dxa"/>
            <w:vAlign w:val="bottom"/>
          </w:tcPr>
          <w:p>
            <w:pPr>
              <w:spacing w:after="0"/>
              <w:rPr>
                <w:sz w:val="17"/>
                <w:szCs w:val="17"/>
                <w:color w:val="auto"/>
              </w:rPr>
            </w:pPr>
          </w:p>
        </w:tc>
      </w:tr>
      <w:tr>
        <w:trPr>
          <w:trHeight w:val="203"/>
        </w:trPr>
        <w:tc>
          <w:tcPr>
            <w:tcW w:w="7860" w:type="dxa"/>
            <w:vAlign w:val="bottom"/>
          </w:tcPr>
          <w:p>
            <w:pPr>
              <w:jc w:val="center"/>
              <w:ind w:left="2050"/>
              <w:spacing w:after="0" w:line="202" w:lineRule="exact"/>
              <w:rPr>
                <w:sz w:val="20"/>
                <w:szCs w:val="20"/>
                <w:color w:val="auto"/>
              </w:rPr>
            </w:pPr>
            <w:r>
              <w:rPr>
                <w:rFonts w:ascii="Arial" w:cs="Arial" w:eastAsia="Arial" w:hAnsi="Arial"/>
                <w:sz w:val="18"/>
                <w:szCs w:val="18"/>
                <w:b w:val="1"/>
                <w:bCs w:val="1"/>
                <w:color w:val="auto"/>
                <w:w w:val="90"/>
              </w:rPr>
              <w:t>Emergent BioSolutions Inc.</w:t>
            </w:r>
          </w:p>
        </w:tc>
        <w:tc>
          <w:tcPr>
            <w:tcW w:w="1640" w:type="dxa"/>
            <w:vAlign w:val="bottom"/>
          </w:tcPr>
          <w:p>
            <w:pPr>
              <w:spacing w:after="0"/>
              <w:rPr>
                <w:sz w:val="17"/>
                <w:szCs w:val="17"/>
                <w:color w:val="auto"/>
              </w:rPr>
            </w:pPr>
          </w:p>
        </w:tc>
      </w:tr>
      <w:tr>
        <w:trPr>
          <w:trHeight w:val="203"/>
        </w:trPr>
        <w:tc>
          <w:tcPr>
            <w:tcW w:w="7860" w:type="dxa"/>
            <w:vAlign w:val="bottom"/>
          </w:tcPr>
          <w:p>
            <w:pPr>
              <w:jc w:val="center"/>
              <w:ind w:left="2050"/>
              <w:spacing w:after="0" w:line="202" w:lineRule="exact"/>
              <w:rPr>
                <w:sz w:val="20"/>
                <w:szCs w:val="20"/>
                <w:color w:val="auto"/>
              </w:rPr>
            </w:pPr>
            <w:r>
              <w:rPr>
                <w:rFonts w:ascii="Arial" w:cs="Arial" w:eastAsia="Arial" w:hAnsi="Arial"/>
                <w:sz w:val="18"/>
                <w:szCs w:val="18"/>
                <w:b w:val="1"/>
                <w:bCs w:val="1"/>
                <w:color w:val="auto"/>
                <w:w w:val="89"/>
              </w:rPr>
              <w:t>400 Professional Drive, Suite 400</w:t>
            </w:r>
          </w:p>
        </w:tc>
        <w:tc>
          <w:tcPr>
            <w:tcW w:w="1640" w:type="dxa"/>
            <w:vAlign w:val="bottom"/>
          </w:tcPr>
          <w:p>
            <w:pPr>
              <w:spacing w:after="0"/>
              <w:rPr>
                <w:sz w:val="17"/>
                <w:szCs w:val="17"/>
                <w:color w:val="auto"/>
              </w:rPr>
            </w:pPr>
          </w:p>
        </w:tc>
      </w:tr>
      <w:tr>
        <w:trPr>
          <w:trHeight w:val="207"/>
        </w:trPr>
        <w:tc>
          <w:tcPr>
            <w:tcW w:w="7860" w:type="dxa"/>
            <w:vAlign w:val="bottom"/>
          </w:tcPr>
          <w:p>
            <w:pPr>
              <w:jc w:val="center"/>
              <w:ind w:left="2050"/>
              <w:spacing w:after="0"/>
              <w:rPr>
                <w:sz w:val="20"/>
                <w:szCs w:val="20"/>
                <w:color w:val="auto"/>
              </w:rPr>
            </w:pPr>
            <w:r>
              <w:rPr>
                <w:rFonts w:ascii="Arial" w:cs="Arial" w:eastAsia="Arial" w:hAnsi="Arial"/>
                <w:sz w:val="18"/>
                <w:szCs w:val="18"/>
                <w:b w:val="1"/>
                <w:bCs w:val="1"/>
                <w:color w:val="auto"/>
                <w:w w:val="93"/>
              </w:rPr>
              <w:t>Gaithersburg, Maryland 20879</w:t>
            </w:r>
          </w:p>
        </w:tc>
        <w:tc>
          <w:tcPr>
            <w:tcW w:w="1640" w:type="dxa"/>
            <w:vAlign w:val="bottom"/>
          </w:tcPr>
          <w:p>
            <w:pPr>
              <w:spacing w:after="0"/>
              <w:rPr>
                <w:sz w:val="17"/>
                <w:szCs w:val="17"/>
                <w:color w:val="auto"/>
              </w:rPr>
            </w:pPr>
          </w:p>
        </w:tc>
      </w:tr>
      <w:tr>
        <w:trPr>
          <w:trHeight w:val="199"/>
        </w:trPr>
        <w:tc>
          <w:tcPr>
            <w:tcW w:w="7860" w:type="dxa"/>
            <w:vAlign w:val="bottom"/>
          </w:tcPr>
          <w:p>
            <w:pPr>
              <w:jc w:val="center"/>
              <w:ind w:left="2050"/>
              <w:spacing w:after="0" w:line="199" w:lineRule="exact"/>
              <w:rPr>
                <w:sz w:val="20"/>
                <w:szCs w:val="20"/>
                <w:color w:val="auto"/>
              </w:rPr>
            </w:pPr>
            <w:r>
              <w:rPr>
                <w:rFonts w:ascii="Arial" w:cs="Arial" w:eastAsia="Arial" w:hAnsi="Arial"/>
                <w:sz w:val="18"/>
                <w:szCs w:val="18"/>
                <w:color w:val="auto"/>
                <w:w w:val="89"/>
              </w:rPr>
              <w:t>(Name and address of agent for service)</w:t>
            </w:r>
          </w:p>
        </w:tc>
        <w:tc>
          <w:tcPr>
            <w:tcW w:w="1640" w:type="dxa"/>
            <w:vAlign w:val="bottom"/>
          </w:tcPr>
          <w:p>
            <w:pPr>
              <w:spacing w:after="0"/>
              <w:rPr>
                <w:sz w:val="17"/>
                <w:szCs w:val="17"/>
                <w:color w:val="auto"/>
              </w:rPr>
            </w:pPr>
          </w:p>
        </w:tc>
      </w:tr>
      <w:tr>
        <w:trPr>
          <w:trHeight w:val="207"/>
        </w:trPr>
        <w:tc>
          <w:tcPr>
            <w:tcW w:w="7860" w:type="dxa"/>
            <w:vAlign w:val="bottom"/>
          </w:tcPr>
          <w:p>
            <w:pPr>
              <w:jc w:val="center"/>
              <w:ind w:left="2050"/>
              <w:spacing w:after="0"/>
              <w:rPr>
                <w:sz w:val="20"/>
                <w:szCs w:val="20"/>
                <w:color w:val="auto"/>
              </w:rPr>
            </w:pPr>
            <w:r>
              <w:rPr>
                <w:rFonts w:ascii="Arial" w:cs="Arial" w:eastAsia="Arial" w:hAnsi="Arial"/>
                <w:sz w:val="18"/>
                <w:szCs w:val="18"/>
                <w:b w:val="1"/>
                <w:bCs w:val="1"/>
                <w:color w:val="auto"/>
                <w:w w:val="90"/>
              </w:rPr>
              <w:t>(240) 631-3200</w:t>
            </w:r>
          </w:p>
        </w:tc>
        <w:tc>
          <w:tcPr>
            <w:tcW w:w="1640" w:type="dxa"/>
            <w:vAlign w:val="bottom"/>
          </w:tcPr>
          <w:p>
            <w:pPr>
              <w:spacing w:after="0"/>
              <w:rPr>
                <w:sz w:val="17"/>
                <w:szCs w:val="17"/>
                <w:color w:val="auto"/>
              </w:rPr>
            </w:pPr>
          </w:p>
        </w:tc>
      </w:tr>
      <w:tr>
        <w:trPr>
          <w:trHeight w:val="230"/>
        </w:trPr>
        <w:tc>
          <w:tcPr>
            <w:tcW w:w="7860" w:type="dxa"/>
            <w:vAlign w:val="bottom"/>
          </w:tcPr>
          <w:p>
            <w:pPr>
              <w:jc w:val="center"/>
              <w:ind w:left="2050"/>
              <w:spacing w:after="0"/>
              <w:rPr>
                <w:sz w:val="20"/>
                <w:szCs w:val="20"/>
                <w:color w:val="auto"/>
              </w:rPr>
            </w:pPr>
            <w:r>
              <w:rPr>
                <w:rFonts w:ascii="Arial" w:cs="Arial" w:eastAsia="Arial" w:hAnsi="Arial"/>
                <w:sz w:val="18"/>
                <w:szCs w:val="18"/>
                <w:color w:val="auto"/>
                <w:w w:val="90"/>
              </w:rPr>
              <w:t>(Telephone number, including area code, of agent for service)</w:t>
            </w:r>
          </w:p>
        </w:tc>
        <w:tc>
          <w:tcPr>
            <w:tcW w:w="1640" w:type="dxa"/>
            <w:vAlign w:val="bottom"/>
          </w:tcPr>
          <w:p>
            <w:pPr>
              <w:spacing w:after="0"/>
              <w:rPr>
                <w:sz w:val="20"/>
                <w:szCs w:val="20"/>
                <w:color w:val="auto"/>
              </w:rPr>
            </w:pPr>
          </w:p>
        </w:tc>
      </w:tr>
    </w:tbl>
    <w:p>
      <w:pPr>
        <w:spacing w:after="0" w:line="175" w:lineRule="exact"/>
        <w:rPr>
          <w:sz w:val="24"/>
          <w:szCs w:val="24"/>
          <w:color w:val="auto"/>
        </w:rPr>
      </w:pPr>
    </w:p>
    <w:p>
      <w:pPr>
        <w:ind w:right="10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3" w:right="239" w:bottom="1440" w:gutter="0" w:footer="0" w:header="0"/>
        </w:sectPr>
      </w:pPr>
    </w:p>
    <w:p>
      <w:pPr>
        <w:spacing w:after="0" w:line="136"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36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81" w:lineRule="exact"/>
        <w:rPr>
          <w:sz w:val="24"/>
          <w:szCs w:val="24"/>
          <w:color w:val="auto"/>
        </w:rPr>
      </w:pPr>
    </w:p>
    <w:p>
      <w:pPr>
        <w:sectPr>
          <w:pgSz w:w="11900" w:h="16838" w:orient="portrait"/>
          <w:cols w:equalWidth="0" w:num="2">
            <w:col w:w="5640" w:space="720"/>
            <w:col w:w="5060"/>
          </w:cols>
          <w:pgMar w:left="240" w:top="233" w:right="239" w:bottom="1440" w:gutter="0" w:footer="0" w:header="0"/>
          <w:type w:val="continuous"/>
        </w:sectPr>
      </w:pPr>
    </w:p>
    <w:p>
      <w:pPr>
        <w:ind w:left="6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67" w:lineRule="exact"/>
        <w:rPr>
          <w:sz w:val="24"/>
          <w:szCs w:val="24"/>
          <w:color w:val="auto"/>
        </w:rPr>
      </w:pPr>
    </w:p>
    <w:p>
      <w:pPr>
        <w:sectPr>
          <w:pgSz w:w="11900" w:h="16838" w:orient="portrait"/>
          <w:cols w:equalWidth="0" w:num="2">
            <w:col w:w="5560" w:space="720"/>
            <w:col w:w="5140"/>
          </w:cols>
          <w:pgMar w:left="240" w:top="233"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3">
            <w:col w:w="3360" w:space="540"/>
            <w:col w:w="1960" w:space="220"/>
            <w:col w:w="5340"/>
          </w:cols>
          <w:pgMar w:left="240" w:top="233" w:right="239" w:bottom="1440" w:gutter="0" w:footer="0" w:header="0"/>
          <w:type w:val="continuous"/>
        </w:sectPr>
      </w:pPr>
    </w:p>
    <w:p>
      <w:pPr>
        <w:spacing w:after="0" w:line="278"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116840</wp:posOffset>
            </wp:positionV>
            <wp:extent cx="12350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5075"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41"/>
        </w:trPr>
        <w:tc>
          <w:tcPr>
            <w:tcW w:w="59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right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right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right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right w:val="single" w:sz="8" w:color="auto"/>
            </w:tcBorders>
          </w:tcPr>
          <w:p>
            <w:pPr>
              <w:spacing w:after="0"/>
              <w:rPr>
                <w:sz w:val="3"/>
                <w:szCs w:val="3"/>
                <w:color w:val="auto"/>
              </w:rPr>
            </w:pPr>
          </w:p>
        </w:tc>
      </w:tr>
      <w:tr>
        <w:trPr>
          <w:trHeight w:val="182"/>
        </w:trPr>
        <w:tc>
          <w:tcPr>
            <w:tcW w:w="598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right w:val="single" w:sz="8" w:color="auto"/>
            </w:tcBorders>
            <w:gridSpan w:val="2"/>
          </w:tcPr>
          <w:p>
            <w:pPr>
              <w:jc w:val="center"/>
              <w:ind w:right="280"/>
              <w:spacing w:after="0" w:line="182" w:lineRule="exact"/>
              <w:rPr>
                <w:sz w:val="20"/>
                <w:szCs w:val="20"/>
                <w:color w:val="auto"/>
              </w:rPr>
            </w:pPr>
            <w:r>
              <w:rPr>
                <w:rFonts w:ascii="Arial" w:cs="Arial" w:eastAsia="Arial" w:hAnsi="Arial"/>
                <w:sz w:val="18"/>
                <w:szCs w:val="18"/>
                <w:color w:val="auto"/>
                <w:w w:val="88"/>
              </w:rPr>
              <w:t>Proposed</w:t>
            </w:r>
          </w:p>
        </w:tc>
        <w:tc>
          <w:tcPr>
            <w:tcW w:w="80" w:type="dxa"/>
            <w:vAlign w:val="bottom"/>
          </w:tcPr>
          <w:p>
            <w:pPr>
              <w:spacing w:after="0"/>
              <w:rPr>
                <w:sz w:val="15"/>
                <w:szCs w:val="15"/>
                <w:color w:val="auto"/>
              </w:rPr>
            </w:pPr>
          </w:p>
        </w:tc>
        <w:tc>
          <w:tcPr>
            <w:tcW w:w="1280" w:type="dxa"/>
            <w:vAlign w:val="bottom"/>
            <w:tcBorders>
              <w:right w:val="single" w:sz="8" w:color="auto"/>
            </w:tcBorders>
            <w:gridSpan w:val="2"/>
          </w:tcPr>
          <w:p>
            <w:pPr>
              <w:jc w:val="center"/>
              <w:ind w:right="140"/>
              <w:spacing w:after="0" w:line="182" w:lineRule="exact"/>
              <w:rPr>
                <w:sz w:val="20"/>
                <w:szCs w:val="20"/>
                <w:color w:val="auto"/>
              </w:rPr>
            </w:pPr>
            <w:r>
              <w:rPr>
                <w:rFonts w:ascii="Arial" w:cs="Arial" w:eastAsia="Arial" w:hAnsi="Arial"/>
                <w:sz w:val="18"/>
                <w:szCs w:val="18"/>
                <w:color w:val="auto"/>
                <w:w w:val="85"/>
              </w:rPr>
              <w:t>Proposed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r>
      <w:tr>
        <w:trPr>
          <w:trHeight w:val="203"/>
        </w:trPr>
        <w:tc>
          <w:tcPr>
            <w:tcW w:w="59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right w:val="single" w:sz="8" w:color="auto"/>
            </w:tcBorders>
            <w:gridSpan w:val="2"/>
          </w:tcPr>
          <w:p>
            <w:pPr>
              <w:jc w:val="center"/>
              <w:ind w:right="280"/>
              <w:spacing w:after="0" w:line="202" w:lineRule="exact"/>
              <w:rPr>
                <w:sz w:val="20"/>
                <w:szCs w:val="20"/>
                <w:color w:val="auto"/>
              </w:rPr>
            </w:pPr>
            <w:r>
              <w:rPr>
                <w:rFonts w:ascii="Arial" w:cs="Arial" w:eastAsia="Arial" w:hAnsi="Arial"/>
                <w:sz w:val="18"/>
                <w:szCs w:val="18"/>
                <w:color w:val="auto"/>
                <w:w w:val="92"/>
              </w:rPr>
              <w:t>maximum</w:t>
            </w:r>
          </w:p>
        </w:tc>
        <w:tc>
          <w:tcPr>
            <w:tcW w:w="80" w:type="dxa"/>
            <w:vAlign w:val="bottom"/>
          </w:tcPr>
          <w:p>
            <w:pPr>
              <w:spacing w:after="0"/>
              <w:rPr>
                <w:sz w:val="17"/>
                <w:szCs w:val="17"/>
                <w:color w:val="auto"/>
              </w:rPr>
            </w:pPr>
          </w:p>
        </w:tc>
        <w:tc>
          <w:tcPr>
            <w:tcW w:w="1280" w:type="dxa"/>
            <w:vAlign w:val="bottom"/>
            <w:tcBorders>
              <w:right w:val="single" w:sz="8" w:color="auto"/>
            </w:tcBorders>
            <w:gridSpan w:val="2"/>
          </w:tcPr>
          <w:p>
            <w:pPr>
              <w:jc w:val="center"/>
              <w:ind w:right="140"/>
              <w:spacing w:after="0" w:line="202" w:lineRule="exact"/>
              <w:rPr>
                <w:sz w:val="20"/>
                <w:szCs w:val="20"/>
                <w:color w:val="auto"/>
              </w:rPr>
            </w:pPr>
            <w:r>
              <w:rPr>
                <w:rFonts w:ascii="Arial" w:cs="Arial" w:eastAsia="Arial" w:hAnsi="Arial"/>
                <w:sz w:val="18"/>
                <w:szCs w:val="18"/>
                <w:color w:val="auto"/>
                <w:w w:val="94"/>
              </w:rPr>
              <w:t>maximum</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03"/>
        </w:trPr>
        <w:tc>
          <w:tcPr>
            <w:tcW w:w="59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right w:val="single" w:sz="8" w:color="auto"/>
            </w:tcBorders>
            <w:gridSpan w:val="3"/>
          </w:tcPr>
          <w:p>
            <w:pPr>
              <w:jc w:val="center"/>
              <w:ind w:right="120"/>
              <w:spacing w:after="0" w:line="202" w:lineRule="exact"/>
              <w:rPr>
                <w:sz w:val="20"/>
                <w:szCs w:val="20"/>
                <w:color w:val="auto"/>
              </w:rPr>
            </w:pPr>
            <w:r>
              <w:rPr>
                <w:rFonts w:ascii="Arial" w:cs="Arial" w:eastAsia="Arial" w:hAnsi="Arial"/>
                <w:sz w:val="18"/>
                <w:szCs w:val="18"/>
                <w:color w:val="auto"/>
                <w:w w:val="94"/>
              </w:rPr>
              <w:t>offering price</w:t>
            </w:r>
          </w:p>
        </w:tc>
        <w:tc>
          <w:tcPr>
            <w:tcW w:w="80" w:type="dxa"/>
            <w:vAlign w:val="bottom"/>
          </w:tcPr>
          <w:p>
            <w:pPr>
              <w:spacing w:after="0"/>
              <w:rPr>
                <w:sz w:val="17"/>
                <w:szCs w:val="17"/>
                <w:color w:val="auto"/>
              </w:rPr>
            </w:pPr>
          </w:p>
        </w:tc>
        <w:tc>
          <w:tcPr>
            <w:tcW w:w="1280" w:type="dxa"/>
            <w:vAlign w:val="bottom"/>
            <w:tcBorders>
              <w:right w:val="single" w:sz="8" w:color="auto"/>
            </w:tcBorders>
            <w:gridSpan w:val="2"/>
          </w:tcPr>
          <w:p>
            <w:pPr>
              <w:jc w:val="center"/>
              <w:ind w:right="140"/>
              <w:spacing w:after="0" w:line="202" w:lineRule="exact"/>
              <w:rPr>
                <w:sz w:val="20"/>
                <w:szCs w:val="20"/>
                <w:color w:val="auto"/>
              </w:rPr>
            </w:pPr>
            <w:r>
              <w:rPr>
                <w:rFonts w:ascii="Arial" w:cs="Arial" w:eastAsia="Arial" w:hAnsi="Arial"/>
                <w:sz w:val="18"/>
                <w:szCs w:val="18"/>
                <w:color w:val="auto"/>
                <w:w w:val="86"/>
              </w:rPr>
              <w:t>aggregate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03"/>
        </w:trPr>
        <w:tc>
          <w:tcPr>
            <w:tcW w:w="598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Title of</w:t>
            </w:r>
          </w:p>
        </w:tc>
        <w:tc>
          <w:tcPr>
            <w:tcW w:w="100" w:type="dxa"/>
            <w:vAlign w:val="bottom"/>
          </w:tcPr>
          <w:p>
            <w:pPr>
              <w:spacing w:after="0"/>
              <w:rPr>
                <w:sz w:val="17"/>
                <w:szCs w:val="17"/>
                <w:color w:val="auto"/>
              </w:rPr>
            </w:pPr>
          </w:p>
        </w:tc>
        <w:tc>
          <w:tcPr>
            <w:tcW w:w="130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Amount to be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right w:val="single" w:sz="8" w:color="auto"/>
            </w:tcBorders>
            <w:gridSpan w:val="2"/>
          </w:tcPr>
          <w:p>
            <w:pPr>
              <w:jc w:val="center"/>
              <w:ind w:right="280"/>
              <w:spacing w:after="0" w:line="202" w:lineRule="exact"/>
              <w:rPr>
                <w:sz w:val="20"/>
                <w:szCs w:val="20"/>
                <w:color w:val="auto"/>
              </w:rPr>
            </w:pPr>
            <w:r>
              <w:rPr>
                <w:rFonts w:ascii="Arial" w:cs="Arial" w:eastAsia="Arial" w:hAnsi="Arial"/>
                <w:sz w:val="18"/>
                <w:szCs w:val="18"/>
                <w:color w:val="auto"/>
                <w:w w:val="92"/>
              </w:rPr>
              <w:t>per</w:t>
            </w:r>
          </w:p>
        </w:tc>
        <w:tc>
          <w:tcPr>
            <w:tcW w:w="80" w:type="dxa"/>
            <w:vAlign w:val="bottom"/>
          </w:tcPr>
          <w:p>
            <w:pPr>
              <w:spacing w:after="0"/>
              <w:rPr>
                <w:sz w:val="17"/>
                <w:szCs w:val="17"/>
                <w:color w:val="auto"/>
              </w:rPr>
            </w:pPr>
          </w:p>
        </w:tc>
        <w:tc>
          <w:tcPr>
            <w:tcW w:w="1280" w:type="dxa"/>
            <w:vAlign w:val="bottom"/>
            <w:tcBorders>
              <w:right w:val="single" w:sz="8" w:color="auto"/>
            </w:tcBorders>
            <w:gridSpan w:val="2"/>
          </w:tcPr>
          <w:p>
            <w:pPr>
              <w:jc w:val="center"/>
              <w:ind w:right="140"/>
              <w:spacing w:after="0" w:line="202" w:lineRule="exact"/>
              <w:rPr>
                <w:sz w:val="20"/>
                <w:szCs w:val="20"/>
                <w:color w:val="auto"/>
              </w:rPr>
            </w:pPr>
            <w:r>
              <w:rPr>
                <w:rFonts w:ascii="Arial" w:cs="Arial" w:eastAsia="Arial" w:hAnsi="Arial"/>
                <w:sz w:val="18"/>
                <w:szCs w:val="18"/>
                <w:color w:val="auto"/>
                <w:w w:val="96"/>
              </w:rPr>
              <w:t>offering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center"/>
              <w:ind w:right="220"/>
              <w:spacing w:after="0" w:line="202" w:lineRule="exact"/>
              <w:rPr>
                <w:sz w:val="20"/>
                <w:szCs w:val="20"/>
                <w:color w:val="auto"/>
              </w:rPr>
            </w:pPr>
            <w:r>
              <w:rPr>
                <w:rFonts w:ascii="Arial" w:cs="Arial" w:eastAsia="Arial" w:hAnsi="Arial"/>
                <w:sz w:val="18"/>
                <w:szCs w:val="18"/>
                <w:color w:val="auto"/>
                <w:w w:val="95"/>
              </w:rPr>
              <w:t>Amount of</w:t>
            </w:r>
          </w:p>
        </w:tc>
      </w:tr>
      <w:tr>
        <w:trPr>
          <w:trHeight w:val="224"/>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securities to be registered</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registered (1)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8"/>
              </w:rPr>
              <w:t>share (2)</w:t>
            </w: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3"/>
              </w:rPr>
              <w:t>price (2)</w:t>
            </w: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0"/>
              </w:rPr>
              <w:t>registration fee</w:t>
            </w:r>
          </w:p>
        </w:tc>
      </w:tr>
      <w:tr>
        <w:trPr>
          <w:trHeight w:val="216"/>
        </w:trPr>
        <w:tc>
          <w:tcPr>
            <w:tcW w:w="5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Common stock, $0.001 par value per share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40" w:type="dxa"/>
            <w:vAlign w:val="bottom"/>
            <w:tcBorders>
              <w:right w:val="single" w:sz="8" w:color="auto"/>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50.27</w:t>
            </w:r>
          </w:p>
        </w:tc>
        <w:tc>
          <w:tcPr>
            <w:tcW w:w="1360" w:type="dxa"/>
            <w:vAlign w:val="bottom"/>
            <w:tcBorders>
              <w:right w:val="single" w:sz="8" w:color="auto"/>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4"/>
              </w:rPr>
              <w:t>$  150,810,000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18,775.</w:t>
            </w:r>
            <w:r>
              <w:rPr>
                <w:rFonts w:ascii="Arial" w:cs="Arial" w:eastAsia="Arial" w:hAnsi="Arial"/>
                <w:sz w:val="18"/>
                <w:szCs w:val="18"/>
                <w:u w:val="single" w:color="auto"/>
                <w:color w:val="auto"/>
              </w:rPr>
              <w:t>85</w:t>
            </w:r>
          </w:p>
        </w:tc>
      </w:tr>
      <w:tr>
        <w:trPr>
          <w:trHeight w:val="27"/>
        </w:trPr>
        <w:tc>
          <w:tcPr>
            <w:tcW w:w="5980" w:type="dxa"/>
            <w:vAlign w:val="bottom"/>
            <w:tcBorders>
              <w:left w:val="single" w:sz="8" w:color="auto"/>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r>
    </w:tbl>
    <w:p>
      <w:pPr>
        <w:spacing w:after="0" w:line="188" w:lineRule="exact"/>
        <w:rPr>
          <w:sz w:val="20"/>
          <w:szCs w:val="20"/>
          <w:color w:val="auto"/>
        </w:rPr>
      </w:pPr>
    </w:p>
    <w:p>
      <w:pPr>
        <w:jc w:val="both"/>
        <w:ind w:left="320" w:right="100" w:hanging="312"/>
        <w:spacing w:after="0" w:line="271" w:lineRule="auto"/>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Consists of 3,000,000 additional shares of common stock issuable under the Emergent BioSolutions Inc. Stock Incentive Plan. In addition, 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ind w:left="320" w:right="40" w:hanging="312"/>
        <w:spacing w:after="0" w:line="323" w:lineRule="auto"/>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457(c) and 457(h) under the Securities Act of 1933, as amended, and based upon the average of the high and low prices of the company's common stock on the New York Stock Exchange on May 25, 2018.</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02" w:lineRule="exact"/>
        <w:rPr>
          <w:sz w:val="20"/>
          <w:szCs w:val="20"/>
          <w:color w:val="auto"/>
        </w:rPr>
      </w:pPr>
    </w:p>
    <w:p>
      <w:pPr>
        <w:ind w:right="60" w:firstLine="324"/>
        <w:spacing w:after="0" w:line="276" w:lineRule="auto"/>
        <w:rPr>
          <w:sz w:val="20"/>
          <w:szCs w:val="20"/>
          <w:color w:val="auto"/>
        </w:rPr>
      </w:pPr>
      <w:r>
        <w:rPr>
          <w:rFonts w:ascii="Arial" w:cs="Arial" w:eastAsia="Arial" w:hAnsi="Arial"/>
          <w:sz w:val="16"/>
          <w:szCs w:val="16"/>
          <w:color w:val="auto"/>
        </w:rPr>
        <w:t>This registration statement on Form S-8 is filed to register the offer and sale of an additional 3,000,000 shares of the company's common stock, $0.001 par value per share, issuable under the Emergent BioSolutions Inc. Stock Incentive Plan (the "Stock Incentive Plan"). In accordance with General Instruction E to Form S-8, the contents of the following registration statements previously filed by the company with respect to securities offered pursuant to prior versions of the Emergent BioSolutions Inc. Stock Incentive Plan are hereby incorporated by reference: Form S-8, Registration No. 333-216294, filed on February 28, 2017, Form S-8, Registration No. 333-196232, filed on May 23, 2014, Form S-8, Registration No. 333-184699, filed on November 1, 2012, Form S-8, Registration No. 333-161154, filed on August 7, 2009 and Form S-8, Registration No. 333-139190, filed on December 8, 2006.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Plan Information.*</w:t>
      </w:r>
    </w:p>
    <w:p>
      <w:pPr>
        <w:spacing w:after="0" w:line="19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137795</wp:posOffset>
            </wp:positionV>
            <wp:extent cx="12350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80" w:firstLine="332"/>
        <w:spacing w:after="0" w:line="262" w:lineRule="auto"/>
        <w:tabs>
          <w:tab w:leader="none" w:pos="45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information called for in Part I of Form S-8 will be included in a prospectus to be distributed to participants in the plan covered by this registration statement pursuant to Rule 428(b)(1) of the Securities Act of 1933, as amended (the "Securities 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1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1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16" w:lineRule="exact"/>
        <w:rPr>
          <w:sz w:val="20"/>
          <w:szCs w:val="20"/>
          <w:color w:val="auto"/>
        </w:rPr>
      </w:pPr>
    </w:p>
    <w:p>
      <w:pPr>
        <w:ind w:right="20" w:firstLine="324"/>
        <w:spacing w:after="0" w:line="248" w:lineRule="auto"/>
        <w:rPr>
          <w:sz w:val="20"/>
          <w:szCs w:val="20"/>
          <w:color w:val="auto"/>
        </w:rPr>
      </w:pPr>
      <w:r>
        <w:rPr>
          <w:rFonts w:ascii="Arial" w:cs="Arial" w:eastAsia="Arial" w:hAnsi="Arial"/>
          <w:sz w:val="18"/>
          <w:szCs w:val="18"/>
          <w:color w:val="auto"/>
        </w:rPr>
        <w:t>The validity of the issuance of the shares of common stock to be registered in connection with this registration statement will be passed upon by Eric M. Burt, Vice President, Associate General Counsel and Assistant Corporate Secretary of the company. Mr. Burt is compensated by the Company as an employee and holds awards granted under the company's Stock Incentive Plan.</w:t>
      </w:r>
    </w:p>
    <w:p>
      <w:pPr>
        <w:spacing w:after="0" w:line="17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9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 Index immediately preceding the exhibits is incorporated herein by reference.</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137795</wp:posOffset>
            </wp:positionV>
            <wp:extent cx="12350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17145"/>
                    </a:xfrm>
                    <a:prstGeom prst="rect">
                      <a:avLst/>
                    </a:prstGeom>
                    <a:noFill/>
                  </pic:spPr>
                </pic:pic>
              </a:graphicData>
            </a:graphic>
          </wp:anchor>
        </w:drawing>
      </w:r>
    </w:p>
    <w:p>
      <w:pPr>
        <w:spacing w:after="0" w:line="371" w:lineRule="exact"/>
        <w:rPr>
          <w:sz w:val="20"/>
          <w:szCs w:val="20"/>
          <w:color w:val="auto"/>
        </w:rPr>
      </w:pPr>
    </w:p>
    <w:p>
      <w:pPr>
        <w:ind w:right="20" w:firstLine="332"/>
        <w:spacing w:after="0" w:line="241" w:lineRule="auto"/>
        <w:tabs>
          <w:tab w:leader="none" w:pos="504"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 accordance with General Instruction E to Form S-8, the contents of the following registration statements previously filed by the company with respect to securities offered pursuant to prior versions of the Emergent BioSolutions Inc. Stock Incentive Plan are hereby incorporated by reference: Form S-8, Registration No. 333-216294, filed on February 28, 2017, Form S-8, Registration No. 333-196232, filed on May 23, 2014, Form S-8, Registration No. 333-184699, filed on November 1, 2012, Form S-8, Registration No. 333-161154, filed on August 7, 2009 and Form S-8, Registration No. 333-139190, filed on December 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14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60" w:firstLine="324"/>
        <w:spacing w:after="0" w:line="248" w:lineRule="auto"/>
        <w:rPr>
          <w:sz w:val="20"/>
          <w:szCs w:val="20"/>
          <w:color w:val="auto"/>
        </w:rPr>
      </w:pPr>
      <w:r>
        <w:rPr>
          <w:rFonts w:ascii="Arial" w:cs="Arial" w:eastAsia="Arial" w:hAnsi="Arial"/>
          <w:sz w:val="18"/>
          <w:szCs w:val="18"/>
          <w:color w:val="auto"/>
        </w:rPr>
        <w:t>Pursuant to the requirements of the Securities Act of 1933, as amended, the company certifies that it has reasonable grounds to believe that it meets all of the requirements for filing on Form S-8 and has duly caused this registration statement to be signed on its behalf by the undersigned, thereunto duly authorized, in the City of Gaithersburg, Maryland, on this 30th day of May, 2018.</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EMERGENT BIOSOLUTIONS INC.</w:t>
      </w:r>
    </w:p>
    <w:p>
      <w:pPr>
        <w:spacing w:after="0" w:line="198"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w:t>
      </w:r>
      <w:r>
        <w:rPr>
          <w:rFonts w:ascii="Arial" w:cs="Arial" w:eastAsia="Arial" w:hAnsi="Arial"/>
          <w:sz w:val="12"/>
          <w:szCs w:val="12"/>
          <w:color w:val="auto"/>
        </w:rPr>
        <w:t>ICHARD</w:t>
      </w:r>
      <w:r>
        <w:rPr>
          <w:rFonts w:ascii="Arial" w:cs="Arial" w:eastAsia="Arial" w:hAnsi="Arial"/>
          <w:sz w:val="18"/>
          <w:szCs w:val="18"/>
          <w:color w:val="auto"/>
        </w:rPr>
        <w:t xml:space="preserve"> S. L</w:t>
      </w:r>
      <w:r>
        <w:rPr>
          <w:rFonts w:ascii="Arial" w:cs="Arial" w:eastAsia="Arial" w:hAnsi="Arial"/>
          <w:sz w:val="12"/>
          <w:szCs w:val="12"/>
          <w:color w:val="auto"/>
        </w:rPr>
        <w:t>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-10160</wp:posOffset>
            </wp:positionV>
            <wp:extent cx="1080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8"/>
          <w:szCs w:val="18"/>
          <w:color w:val="auto"/>
        </w:rPr>
        <w:t>Richard S. Lindahl</w:t>
      </w:r>
    </w:p>
    <w:p>
      <w:pPr>
        <w:ind w:left="43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02" w:lineRule="exact"/>
        <w:rPr>
          <w:sz w:val="20"/>
          <w:szCs w:val="20"/>
          <w:color w:val="auto"/>
        </w:rPr>
      </w:pPr>
    </w:p>
    <w:p>
      <w:pPr>
        <w:ind w:right="20" w:firstLine="324"/>
        <w:spacing w:after="0" w:line="274" w:lineRule="auto"/>
        <w:rPr>
          <w:sz w:val="20"/>
          <w:szCs w:val="20"/>
          <w:color w:val="auto"/>
        </w:rPr>
      </w:pPr>
      <w:r>
        <w:rPr>
          <w:rFonts w:ascii="Arial" w:cs="Arial" w:eastAsia="Arial" w:hAnsi="Arial"/>
          <w:sz w:val="16"/>
          <w:szCs w:val="16"/>
          <w:color w:val="auto"/>
        </w:rPr>
        <w:t>We, the undersigned officers and directors of Emergent BioSolutions Inc., hereby severally constitute and appoint Daniel J. Abdun-Nabi, Chief Executive Officer and Richard S. Lindahl, Executive Vice President, Chief Financial Officer and Treasurer, and each of them singly, and any successor or successors to such offices held by each of them, our true and lawful attorneys with full power to any of them, and to each of them singly, to sign for us and in our names in the capacities indicated below the registration statement on Form S-8 filed herewith and any and all subsequent amendments to said registration statement and generally to do all such things in our name and on our behalf in our capacities as officers and directors to enable Emergent BioSolutions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50"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12"/>
          </w:tcPr>
          <w:p>
            <w:pPr>
              <w:spacing w:after="0"/>
              <w:rPr>
                <w:sz w:val="20"/>
                <w:szCs w:val="20"/>
                <w:color w:val="auto"/>
              </w:rPr>
            </w:pPr>
            <w:r>
              <w:rPr>
                <w:rFonts w:ascii="Arial" w:cs="Arial" w:eastAsia="Arial" w:hAnsi="Arial"/>
                <w:sz w:val="18"/>
                <w:szCs w:val="18"/>
                <w:b w:val="1"/>
                <w:bCs w:val="1"/>
                <w:color w:val="auto"/>
              </w:rPr>
              <w:t>Signature</w:t>
            </w:r>
          </w:p>
        </w:tc>
        <w:tc>
          <w:tcPr>
            <w:tcW w:w="5860" w:type="dxa"/>
            <w:vAlign w:val="bottom"/>
          </w:tcPr>
          <w:p>
            <w:pPr>
              <w:ind w:left="1080"/>
              <w:spacing w:after="0"/>
              <w:rPr>
                <w:sz w:val="20"/>
                <w:szCs w:val="20"/>
                <w:color w:val="auto"/>
              </w:rPr>
            </w:pPr>
            <w:r>
              <w:rPr>
                <w:rFonts w:ascii="Arial" w:cs="Arial" w:eastAsia="Arial" w:hAnsi="Arial"/>
                <w:sz w:val="18"/>
                <w:szCs w:val="18"/>
                <w:b w:val="1"/>
                <w:bCs w:val="1"/>
                <w:color w:val="auto"/>
              </w:rPr>
              <w:t>Title</w:t>
            </w:r>
          </w:p>
        </w:tc>
        <w:tc>
          <w:tcPr>
            <w:tcW w:w="2220" w:type="dxa"/>
            <w:vAlign w:val="bottom"/>
          </w:tcPr>
          <w:p>
            <w:pPr>
              <w:ind w:left="200"/>
              <w:spacing w:after="0"/>
              <w:rPr>
                <w:sz w:val="20"/>
                <w:szCs w:val="20"/>
                <w:color w:val="auto"/>
              </w:rPr>
            </w:pPr>
            <w:r>
              <w:rPr>
                <w:rFonts w:ascii="Arial" w:cs="Arial" w:eastAsia="Arial" w:hAnsi="Arial"/>
                <w:sz w:val="18"/>
                <w:szCs w:val="18"/>
                <w:b w:val="1"/>
                <w:bCs w:val="1"/>
                <w:color w:val="auto"/>
              </w:rPr>
              <w:t>Date</w:t>
            </w:r>
          </w:p>
        </w:tc>
      </w:tr>
      <w:tr>
        <w:trPr>
          <w:trHeight w:val="392"/>
        </w:trPr>
        <w:tc>
          <w:tcPr>
            <w:tcW w:w="20" w:type="dxa"/>
            <w:vAlign w:val="bottom"/>
          </w:tcPr>
          <w:p>
            <w:pPr>
              <w:spacing w:after="0"/>
              <w:rPr>
                <w:sz w:val="24"/>
                <w:szCs w:val="24"/>
                <w:color w:val="auto"/>
              </w:rPr>
            </w:pPr>
          </w:p>
        </w:tc>
        <w:tc>
          <w:tcPr>
            <w:tcW w:w="3320" w:type="dxa"/>
            <w:vAlign w:val="bottom"/>
            <w:gridSpan w:val="11"/>
          </w:tcPr>
          <w:p>
            <w:pPr>
              <w:ind w:left="40"/>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ANIEL</w:t>
            </w:r>
            <w:r>
              <w:rPr>
                <w:rFonts w:ascii="Arial" w:cs="Arial" w:eastAsia="Arial" w:hAnsi="Arial"/>
                <w:sz w:val="18"/>
                <w:szCs w:val="18"/>
                <w:color w:val="auto"/>
              </w:rPr>
              <w:t xml:space="preserve"> J. A</w:t>
            </w:r>
            <w:r>
              <w:rPr>
                <w:rFonts w:ascii="Arial" w:cs="Arial" w:eastAsia="Arial" w:hAnsi="Arial"/>
                <w:sz w:val="12"/>
                <w:szCs w:val="12"/>
                <w:color w:val="auto"/>
              </w:rPr>
              <w:t>BDUN</w:t>
            </w:r>
            <w:r>
              <w:rPr>
                <w:rFonts w:ascii="Arial" w:cs="Arial" w:eastAsia="Arial" w:hAnsi="Arial"/>
                <w:sz w:val="18"/>
                <w:szCs w:val="18"/>
                <w:color w:val="auto"/>
              </w:rPr>
              <w:t>-N</w:t>
            </w:r>
            <w:r>
              <w:rPr>
                <w:rFonts w:ascii="Arial" w:cs="Arial" w:eastAsia="Arial" w:hAnsi="Arial"/>
                <w:sz w:val="12"/>
                <w:szCs w:val="12"/>
                <w:color w:val="auto"/>
              </w:rPr>
              <w:t>ABI</w:t>
            </w:r>
          </w:p>
        </w:tc>
        <w:tc>
          <w:tcPr>
            <w:tcW w:w="5860" w:type="dxa"/>
            <w:vAlign w:val="bottom"/>
          </w:tcPr>
          <w:p>
            <w:pPr>
              <w:ind w:left="1080"/>
              <w:spacing w:after="0"/>
              <w:rPr>
                <w:sz w:val="20"/>
                <w:szCs w:val="20"/>
                <w:color w:val="auto"/>
              </w:rPr>
            </w:pPr>
            <w:r>
              <w:rPr>
                <w:rFonts w:ascii="Arial" w:cs="Arial" w:eastAsia="Arial" w:hAnsi="Arial"/>
                <w:sz w:val="18"/>
                <w:szCs w:val="18"/>
                <w:color w:val="auto"/>
              </w:rPr>
              <w:t>Chief Executive Officer and Director</w:t>
            </w:r>
          </w:p>
        </w:tc>
        <w:tc>
          <w:tcPr>
            <w:tcW w:w="2220" w:type="dxa"/>
            <w:vAlign w:val="bottom"/>
          </w:tcPr>
          <w:p>
            <w:pPr>
              <w:ind w:left="200"/>
              <w:spacing w:after="0"/>
              <w:rPr>
                <w:sz w:val="20"/>
                <w:szCs w:val="20"/>
                <w:color w:val="auto"/>
              </w:rPr>
            </w:pPr>
            <w:r>
              <w:rPr>
                <w:rFonts w:ascii="Arial" w:cs="Arial" w:eastAsia="Arial" w:hAnsi="Arial"/>
                <w:sz w:val="18"/>
                <w:szCs w:val="18"/>
                <w:color w:val="auto"/>
              </w:rPr>
              <w:t>May 30, 2018</w:t>
            </w:r>
          </w:p>
        </w:tc>
      </w:tr>
      <w:tr>
        <w:trPr>
          <w:trHeight w:val="224"/>
        </w:trPr>
        <w:tc>
          <w:tcPr>
            <w:tcW w:w="20" w:type="dxa"/>
            <w:vAlign w:val="bottom"/>
          </w:tcPr>
          <w:p>
            <w:pPr>
              <w:spacing w:after="0"/>
              <w:rPr>
                <w:sz w:val="19"/>
                <w:szCs w:val="19"/>
                <w:color w:val="auto"/>
              </w:rPr>
            </w:pPr>
          </w:p>
        </w:tc>
        <w:tc>
          <w:tcPr>
            <w:tcW w:w="18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Daniel J. Abdun-Nabi</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60" w:type="dxa"/>
            <w:vAlign w:val="bottom"/>
          </w:tcPr>
          <w:p>
            <w:pPr>
              <w:ind w:left="1080"/>
              <w:spacing w:after="0"/>
              <w:rPr>
                <w:sz w:val="20"/>
                <w:szCs w:val="20"/>
                <w:color w:val="auto"/>
              </w:rPr>
            </w:pPr>
            <w:r>
              <w:rPr>
                <w:rFonts w:ascii="Arial" w:cs="Arial" w:eastAsia="Arial" w:hAnsi="Arial"/>
                <w:sz w:val="18"/>
                <w:szCs w:val="18"/>
                <w:color w:val="auto"/>
              </w:rPr>
              <w:t>(Principal Executive Officer)</w:t>
            </w:r>
          </w:p>
        </w:tc>
        <w:tc>
          <w:tcPr>
            <w:tcW w:w="2220" w:type="dxa"/>
            <w:vAlign w:val="bottom"/>
          </w:tcPr>
          <w:p>
            <w:pPr>
              <w:spacing w:after="0"/>
              <w:rPr>
                <w:sz w:val="19"/>
                <w:szCs w:val="19"/>
                <w:color w:val="auto"/>
              </w:rPr>
            </w:pPr>
          </w:p>
        </w:tc>
      </w:tr>
      <w:tr>
        <w:trPr>
          <w:trHeight w:val="377"/>
        </w:trPr>
        <w:tc>
          <w:tcPr>
            <w:tcW w:w="16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7"/>
              </w:rPr>
              <w:t>/s/ R</w:t>
            </w:r>
            <w:r>
              <w:rPr>
                <w:rFonts w:ascii="Arial" w:cs="Arial" w:eastAsia="Arial" w:hAnsi="Arial"/>
                <w:sz w:val="12"/>
                <w:szCs w:val="12"/>
                <w:color w:val="auto"/>
                <w:w w:val="97"/>
              </w:rPr>
              <w:t>ICHARD</w:t>
            </w:r>
            <w:r>
              <w:rPr>
                <w:rFonts w:ascii="Arial" w:cs="Arial" w:eastAsia="Arial" w:hAnsi="Arial"/>
                <w:sz w:val="18"/>
                <w:szCs w:val="18"/>
                <w:color w:val="auto"/>
                <w:w w:val="97"/>
              </w:rPr>
              <w:t xml:space="preserve"> S. L</w:t>
            </w:r>
            <w:r>
              <w:rPr>
                <w:rFonts w:ascii="Arial" w:cs="Arial" w:eastAsia="Arial" w:hAnsi="Arial"/>
                <w:sz w:val="12"/>
                <w:szCs w:val="12"/>
                <w:color w:val="auto"/>
                <w:w w:val="97"/>
              </w:rPr>
              <w:t>INDAHL</w:t>
            </w:r>
          </w:p>
        </w:tc>
        <w:tc>
          <w:tcPr>
            <w:tcW w:w="1720" w:type="dxa"/>
            <w:vAlign w:val="bottom"/>
            <w:gridSpan w:val="7"/>
          </w:tcPr>
          <w:p>
            <w:pPr>
              <w:spacing w:after="0"/>
              <w:rPr>
                <w:sz w:val="24"/>
                <w:szCs w:val="24"/>
                <w:color w:val="auto"/>
              </w:rPr>
            </w:pPr>
          </w:p>
        </w:tc>
        <w:tc>
          <w:tcPr>
            <w:tcW w:w="5860" w:type="dxa"/>
            <w:vAlign w:val="bottom"/>
          </w:tcPr>
          <w:p>
            <w:pPr>
              <w:ind w:left="1080"/>
              <w:spacing w:after="0"/>
              <w:rPr>
                <w:sz w:val="20"/>
                <w:szCs w:val="20"/>
                <w:color w:val="auto"/>
              </w:rPr>
            </w:pPr>
            <w:r>
              <w:rPr>
                <w:rFonts w:ascii="Arial" w:cs="Arial" w:eastAsia="Arial" w:hAnsi="Arial"/>
                <w:sz w:val="18"/>
                <w:szCs w:val="18"/>
                <w:color w:val="auto"/>
                <w:w w:val="94"/>
              </w:rPr>
              <w:t>Executive Vice President, Chief Financial Officer and Treasurer</w:t>
            </w:r>
          </w:p>
        </w:tc>
        <w:tc>
          <w:tcPr>
            <w:tcW w:w="2220" w:type="dxa"/>
            <w:vAlign w:val="bottom"/>
          </w:tcPr>
          <w:p>
            <w:pPr>
              <w:ind w:left="200"/>
              <w:spacing w:after="0"/>
              <w:rPr>
                <w:sz w:val="20"/>
                <w:szCs w:val="20"/>
                <w:color w:val="auto"/>
              </w:rPr>
            </w:pPr>
            <w:r>
              <w:rPr>
                <w:rFonts w:ascii="Arial" w:cs="Arial" w:eastAsia="Arial" w:hAnsi="Arial"/>
                <w:sz w:val="18"/>
                <w:szCs w:val="18"/>
                <w:color w:val="auto"/>
              </w:rPr>
              <w:t>May 30, 2018</w:t>
            </w:r>
          </w:p>
        </w:tc>
      </w:tr>
      <w:tr>
        <w:trPr>
          <w:trHeight w:val="277"/>
        </w:trPr>
        <w:tc>
          <w:tcPr>
            <w:tcW w:w="3340" w:type="dxa"/>
            <w:vAlign w:val="bottom"/>
            <w:gridSpan w:val="12"/>
          </w:tcPr>
          <w:p>
            <w:pPr>
              <w:spacing w:after="0"/>
              <w:rPr>
                <w:sz w:val="20"/>
                <w:szCs w:val="20"/>
                <w:color w:val="auto"/>
              </w:rPr>
            </w:pPr>
            <w:r>
              <w:rPr>
                <w:rFonts w:ascii="Arial" w:cs="Arial" w:eastAsia="Arial" w:hAnsi="Arial"/>
                <w:sz w:val="18"/>
                <w:szCs w:val="18"/>
                <w:color w:val="auto"/>
              </w:rPr>
              <w:t>Richard S. Lindahl</w:t>
            </w:r>
          </w:p>
        </w:tc>
        <w:tc>
          <w:tcPr>
            <w:tcW w:w="5860" w:type="dxa"/>
            <w:vAlign w:val="bottom"/>
          </w:tcPr>
          <w:p>
            <w:pPr>
              <w:ind w:left="1080"/>
              <w:spacing w:after="0"/>
              <w:rPr>
                <w:sz w:val="20"/>
                <w:szCs w:val="20"/>
                <w:color w:val="auto"/>
              </w:rPr>
            </w:pPr>
            <w:r>
              <w:rPr>
                <w:rFonts w:ascii="Arial" w:cs="Arial" w:eastAsia="Arial" w:hAnsi="Arial"/>
                <w:sz w:val="18"/>
                <w:szCs w:val="18"/>
                <w:color w:val="auto"/>
              </w:rPr>
              <w:t>(Principal Financial and Accounting Officer)</w:t>
            </w:r>
          </w:p>
        </w:tc>
        <w:tc>
          <w:tcPr>
            <w:tcW w:w="2220" w:type="dxa"/>
            <w:vAlign w:val="bottom"/>
          </w:tcPr>
          <w:p>
            <w:pPr>
              <w:spacing w:after="0"/>
              <w:rPr>
                <w:sz w:val="24"/>
                <w:szCs w:val="24"/>
                <w:color w:val="auto"/>
              </w:rPr>
            </w:pPr>
          </w:p>
        </w:tc>
      </w:tr>
      <w:tr>
        <w:trPr>
          <w:trHeight w:val="378"/>
        </w:trPr>
        <w:tc>
          <w:tcPr>
            <w:tcW w:w="3340" w:type="dxa"/>
            <w:vAlign w:val="bottom"/>
            <w:gridSpan w:val="12"/>
          </w:tcPr>
          <w:p>
            <w:pPr>
              <w:spacing w:after="0"/>
              <w:rPr>
                <w:sz w:val="20"/>
                <w:szCs w:val="20"/>
                <w:color w:val="auto"/>
              </w:rPr>
            </w:pPr>
            <w:r>
              <w:rPr>
                <w:rFonts w:ascii="Arial" w:cs="Arial" w:eastAsia="Arial" w:hAnsi="Arial"/>
                <w:sz w:val="18"/>
                <w:szCs w:val="18"/>
                <w:color w:val="auto"/>
              </w:rPr>
              <w:t>/s/ F</w:t>
            </w:r>
            <w:r>
              <w:rPr>
                <w:rFonts w:ascii="Arial" w:cs="Arial" w:eastAsia="Arial" w:hAnsi="Arial"/>
                <w:sz w:val="12"/>
                <w:szCs w:val="12"/>
                <w:color w:val="auto"/>
              </w:rPr>
              <w:t>UAD</w:t>
            </w:r>
            <w:r>
              <w:rPr>
                <w:rFonts w:ascii="Arial" w:cs="Arial" w:eastAsia="Arial" w:hAnsi="Arial"/>
                <w:sz w:val="18"/>
                <w:szCs w:val="18"/>
                <w:color w:val="auto"/>
              </w:rPr>
              <w:t xml:space="preserve"> E</w:t>
            </w:r>
            <w:r>
              <w:rPr>
                <w:rFonts w:ascii="Arial" w:cs="Arial" w:eastAsia="Arial" w:hAnsi="Arial"/>
                <w:sz w:val="12"/>
                <w:szCs w:val="12"/>
                <w:color w:val="auto"/>
              </w:rPr>
              <w:t>L</w:t>
            </w:r>
            <w:r>
              <w:rPr>
                <w:rFonts w:ascii="Arial" w:cs="Arial" w:eastAsia="Arial" w:hAnsi="Arial"/>
                <w:sz w:val="18"/>
                <w:szCs w:val="18"/>
                <w:color w:val="auto"/>
              </w:rPr>
              <w:t>-H</w:t>
            </w:r>
            <w:r>
              <w:rPr>
                <w:rFonts w:ascii="Arial" w:cs="Arial" w:eastAsia="Arial" w:hAnsi="Arial"/>
                <w:sz w:val="12"/>
                <w:szCs w:val="12"/>
                <w:color w:val="auto"/>
              </w:rPr>
              <w:t>IBRI</w:t>
            </w:r>
          </w:p>
        </w:tc>
        <w:tc>
          <w:tcPr>
            <w:tcW w:w="5860" w:type="dxa"/>
            <w:vAlign w:val="bottom"/>
          </w:tcPr>
          <w:p>
            <w:pPr>
              <w:ind w:left="1080"/>
              <w:spacing w:after="0"/>
              <w:rPr>
                <w:sz w:val="20"/>
                <w:szCs w:val="20"/>
                <w:color w:val="auto"/>
              </w:rPr>
            </w:pPr>
            <w:r>
              <w:rPr>
                <w:rFonts w:ascii="Arial" w:cs="Arial" w:eastAsia="Arial" w:hAnsi="Arial"/>
                <w:sz w:val="18"/>
                <w:szCs w:val="18"/>
                <w:color w:val="auto"/>
              </w:rPr>
              <w:t>Executive Chairman of the Board</w:t>
            </w:r>
          </w:p>
        </w:tc>
        <w:tc>
          <w:tcPr>
            <w:tcW w:w="2220" w:type="dxa"/>
            <w:vAlign w:val="bottom"/>
          </w:tcPr>
          <w:p>
            <w:pPr>
              <w:ind w:left="200"/>
              <w:spacing w:after="0"/>
              <w:rPr>
                <w:sz w:val="20"/>
                <w:szCs w:val="20"/>
                <w:color w:val="auto"/>
              </w:rPr>
            </w:pPr>
            <w:r>
              <w:rPr>
                <w:rFonts w:ascii="Arial" w:cs="Arial" w:eastAsia="Arial" w:hAnsi="Arial"/>
                <w:sz w:val="18"/>
                <w:szCs w:val="18"/>
                <w:color w:val="auto"/>
              </w:rPr>
              <w:t>May 30, 2018</w:t>
            </w:r>
          </w:p>
        </w:tc>
      </w:tr>
      <w:tr>
        <w:trPr>
          <w:trHeight w:val="277"/>
        </w:trPr>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Fuad El-Hibri</w:t>
            </w:r>
          </w:p>
        </w:tc>
        <w:tc>
          <w:tcPr>
            <w:tcW w:w="2100" w:type="dxa"/>
            <w:vAlign w:val="bottom"/>
            <w:gridSpan w:val="10"/>
          </w:tcPr>
          <w:p>
            <w:pPr>
              <w:spacing w:after="0"/>
              <w:rPr>
                <w:sz w:val="24"/>
                <w:szCs w:val="24"/>
                <w:color w:val="auto"/>
              </w:rPr>
            </w:pPr>
          </w:p>
        </w:tc>
        <w:tc>
          <w:tcPr>
            <w:tcW w:w="58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78"/>
        </w:trPr>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 D</w:t>
            </w:r>
            <w:r>
              <w:rPr>
                <w:rFonts w:ascii="Arial" w:cs="Arial" w:eastAsia="Arial" w:hAnsi="Arial"/>
                <w:sz w:val="12"/>
                <w:szCs w:val="12"/>
                <w:color w:val="auto"/>
                <w:w w:val="95"/>
              </w:rPr>
              <w:t>R</w:t>
            </w:r>
            <w:r>
              <w:rPr>
                <w:rFonts w:ascii="Arial" w:cs="Arial" w:eastAsia="Arial" w:hAnsi="Arial"/>
                <w:sz w:val="18"/>
                <w:szCs w:val="18"/>
                <w:color w:val="auto"/>
                <w:w w:val="95"/>
              </w:rPr>
              <w:t>. S</w:t>
            </w:r>
            <w:r>
              <w:rPr>
                <w:rFonts w:ascii="Arial" w:cs="Arial" w:eastAsia="Arial" w:hAnsi="Arial"/>
                <w:sz w:val="12"/>
                <w:szCs w:val="12"/>
                <w:color w:val="auto"/>
                <w:w w:val="95"/>
              </w:rPr>
              <w:t>UE</w:t>
            </w:r>
            <w:r>
              <w:rPr>
                <w:rFonts w:ascii="Arial" w:cs="Arial" w:eastAsia="Arial" w:hAnsi="Arial"/>
                <w:sz w:val="18"/>
                <w:szCs w:val="18"/>
                <w:color w:val="auto"/>
                <w:w w:val="95"/>
              </w:rPr>
              <w:t xml:space="preserve"> B</w:t>
            </w:r>
            <w:r>
              <w:rPr>
                <w:rFonts w:ascii="Arial" w:cs="Arial" w:eastAsia="Arial" w:hAnsi="Arial"/>
                <w:sz w:val="12"/>
                <w:szCs w:val="12"/>
                <w:color w:val="auto"/>
                <w:w w:val="95"/>
              </w:rPr>
              <w:t>AILEY</w:t>
            </w:r>
          </w:p>
        </w:tc>
        <w:tc>
          <w:tcPr>
            <w:tcW w:w="2020" w:type="dxa"/>
            <w:vAlign w:val="bottom"/>
            <w:gridSpan w:val="9"/>
          </w:tcPr>
          <w:p>
            <w:pPr>
              <w:spacing w:after="0"/>
              <w:rPr>
                <w:sz w:val="24"/>
                <w:szCs w:val="24"/>
                <w:color w:val="auto"/>
              </w:rPr>
            </w:pPr>
          </w:p>
        </w:tc>
        <w:tc>
          <w:tcPr>
            <w:tcW w:w="58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200"/>
              <w:spacing w:after="0"/>
              <w:rPr>
                <w:sz w:val="20"/>
                <w:szCs w:val="20"/>
                <w:color w:val="auto"/>
              </w:rPr>
            </w:pPr>
            <w:r>
              <w:rPr>
                <w:rFonts w:ascii="Arial" w:cs="Arial" w:eastAsia="Arial" w:hAnsi="Arial"/>
                <w:sz w:val="18"/>
                <w:szCs w:val="18"/>
                <w:color w:val="auto"/>
              </w:rPr>
              <w:t>May 30, 2018</w:t>
            </w:r>
          </w:p>
        </w:tc>
      </w:tr>
      <w:tr>
        <w:trPr>
          <w:trHeight w:val="277"/>
        </w:trPr>
        <w:tc>
          <w:tcPr>
            <w:tcW w:w="3340" w:type="dxa"/>
            <w:vAlign w:val="bottom"/>
            <w:gridSpan w:val="12"/>
          </w:tcPr>
          <w:p>
            <w:pPr>
              <w:spacing w:after="0"/>
              <w:rPr>
                <w:sz w:val="20"/>
                <w:szCs w:val="20"/>
                <w:color w:val="auto"/>
              </w:rPr>
            </w:pPr>
            <w:r>
              <w:rPr>
                <w:rFonts w:ascii="Arial" w:cs="Arial" w:eastAsia="Arial" w:hAnsi="Arial"/>
                <w:sz w:val="18"/>
                <w:szCs w:val="18"/>
                <w:color w:val="auto"/>
              </w:rPr>
              <w:t>Dr. Sue Bailey</w:t>
            </w:r>
          </w:p>
        </w:tc>
        <w:tc>
          <w:tcPr>
            <w:tcW w:w="58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3320" w:type="dxa"/>
            <w:vAlign w:val="bottom"/>
            <w:gridSpan w:val="11"/>
          </w:tcPr>
          <w:p>
            <w:pPr>
              <w:ind w:left="40"/>
              <w:spacing w:after="0"/>
              <w:rPr>
                <w:sz w:val="20"/>
                <w:szCs w:val="20"/>
                <w:color w:val="auto"/>
              </w:rPr>
            </w:pPr>
            <w:r>
              <w:rPr>
                <w:rFonts w:ascii="Arial" w:cs="Arial" w:eastAsia="Arial" w:hAnsi="Arial"/>
                <w:sz w:val="18"/>
                <w:szCs w:val="18"/>
                <w:color w:val="auto"/>
              </w:rPr>
              <w:t>/s/ Z</w:t>
            </w:r>
            <w:r>
              <w:rPr>
                <w:rFonts w:ascii="Arial" w:cs="Arial" w:eastAsia="Arial" w:hAnsi="Arial"/>
                <w:sz w:val="12"/>
                <w:szCs w:val="12"/>
                <w:color w:val="auto"/>
              </w:rPr>
              <w:t>SOLT</w:t>
            </w:r>
            <w:r>
              <w:rPr>
                <w:rFonts w:ascii="Arial" w:cs="Arial" w:eastAsia="Arial" w:hAnsi="Arial"/>
                <w:sz w:val="18"/>
                <w:szCs w:val="18"/>
                <w:color w:val="auto"/>
              </w:rPr>
              <w:t xml:space="preserve"> H</w:t>
            </w:r>
            <w:r>
              <w:rPr>
                <w:rFonts w:ascii="Arial" w:cs="Arial" w:eastAsia="Arial" w:hAnsi="Arial"/>
                <w:sz w:val="12"/>
                <w:szCs w:val="12"/>
                <w:color w:val="auto"/>
              </w:rPr>
              <w:t>ARSANYI</w:t>
            </w:r>
            <w:r>
              <w:rPr>
                <w:rFonts w:ascii="Arial" w:cs="Arial" w:eastAsia="Arial" w:hAnsi="Arial"/>
                <w:sz w:val="18"/>
                <w:szCs w:val="18"/>
                <w:color w:val="auto"/>
              </w:rPr>
              <w:t>, P</w:t>
            </w:r>
            <w:r>
              <w:rPr>
                <w:rFonts w:ascii="Arial" w:cs="Arial" w:eastAsia="Arial" w:hAnsi="Arial"/>
                <w:sz w:val="12"/>
                <w:szCs w:val="12"/>
                <w:color w:val="auto"/>
              </w:rPr>
              <w:t>H</w:t>
            </w:r>
            <w:r>
              <w:rPr>
                <w:rFonts w:ascii="Arial" w:cs="Arial" w:eastAsia="Arial" w:hAnsi="Arial"/>
                <w:sz w:val="18"/>
                <w:szCs w:val="18"/>
                <w:color w:val="auto"/>
              </w:rPr>
              <w:t>.D.</w:t>
            </w:r>
          </w:p>
        </w:tc>
        <w:tc>
          <w:tcPr>
            <w:tcW w:w="58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200"/>
              <w:spacing w:after="0"/>
              <w:rPr>
                <w:sz w:val="20"/>
                <w:szCs w:val="20"/>
                <w:color w:val="auto"/>
              </w:rPr>
            </w:pPr>
            <w:r>
              <w:rPr>
                <w:rFonts w:ascii="Arial" w:cs="Arial" w:eastAsia="Arial" w:hAnsi="Arial"/>
                <w:sz w:val="18"/>
                <w:szCs w:val="18"/>
                <w:color w:val="auto"/>
              </w:rPr>
              <w:t>May 30, 2018</w:t>
            </w:r>
          </w:p>
        </w:tc>
      </w:tr>
      <w:tr>
        <w:trPr>
          <w:trHeight w:val="224"/>
        </w:trPr>
        <w:tc>
          <w:tcPr>
            <w:tcW w:w="20" w:type="dxa"/>
            <w:vAlign w:val="bottom"/>
          </w:tcPr>
          <w:p>
            <w:pPr>
              <w:spacing w:after="0"/>
              <w:rPr>
                <w:sz w:val="19"/>
                <w:szCs w:val="19"/>
                <w:color w:val="auto"/>
              </w:rPr>
            </w:pPr>
          </w:p>
        </w:tc>
        <w:tc>
          <w:tcPr>
            <w:tcW w:w="18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Zsolt Harsanyi, Ph.D.</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64"/>
        </w:trPr>
        <w:tc>
          <w:tcPr>
            <w:tcW w:w="20" w:type="dxa"/>
            <w:vAlign w:val="bottom"/>
          </w:tcPr>
          <w:p>
            <w:pPr>
              <w:spacing w:after="0"/>
              <w:rPr>
                <w:sz w:val="24"/>
                <w:szCs w:val="24"/>
                <w:color w:val="auto"/>
              </w:rPr>
            </w:pPr>
          </w:p>
        </w:tc>
        <w:tc>
          <w:tcPr>
            <w:tcW w:w="3320" w:type="dxa"/>
            <w:vAlign w:val="bottom"/>
            <w:gridSpan w:val="11"/>
          </w:tcPr>
          <w:p>
            <w:pPr>
              <w:ind w:left="4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EROME</w:t>
            </w:r>
            <w:r>
              <w:rPr>
                <w:rFonts w:ascii="Arial" w:cs="Arial" w:eastAsia="Arial" w:hAnsi="Arial"/>
                <w:sz w:val="18"/>
                <w:szCs w:val="18"/>
                <w:color w:val="auto"/>
              </w:rPr>
              <w:t xml:space="preserve"> M. H</w:t>
            </w:r>
            <w:r>
              <w:rPr>
                <w:rFonts w:ascii="Arial" w:cs="Arial" w:eastAsia="Arial" w:hAnsi="Arial"/>
                <w:sz w:val="12"/>
                <w:szCs w:val="12"/>
                <w:color w:val="auto"/>
              </w:rPr>
              <w:t>AUER</w:t>
            </w:r>
            <w:r>
              <w:rPr>
                <w:rFonts w:ascii="Arial" w:cs="Arial" w:eastAsia="Arial" w:hAnsi="Arial"/>
                <w:sz w:val="18"/>
                <w:szCs w:val="18"/>
                <w:color w:val="auto"/>
              </w:rPr>
              <w:t>, P</w:t>
            </w:r>
            <w:r>
              <w:rPr>
                <w:rFonts w:ascii="Arial" w:cs="Arial" w:eastAsia="Arial" w:hAnsi="Arial"/>
                <w:sz w:val="12"/>
                <w:szCs w:val="12"/>
                <w:color w:val="auto"/>
              </w:rPr>
              <w:t>H</w:t>
            </w:r>
            <w:r>
              <w:rPr>
                <w:rFonts w:ascii="Arial" w:cs="Arial" w:eastAsia="Arial" w:hAnsi="Arial"/>
                <w:sz w:val="18"/>
                <w:szCs w:val="18"/>
                <w:color w:val="auto"/>
              </w:rPr>
              <w:t>.D.</w:t>
            </w:r>
          </w:p>
        </w:tc>
        <w:tc>
          <w:tcPr>
            <w:tcW w:w="58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200"/>
              <w:spacing w:after="0"/>
              <w:rPr>
                <w:sz w:val="20"/>
                <w:szCs w:val="20"/>
                <w:color w:val="auto"/>
              </w:rPr>
            </w:pPr>
            <w:r>
              <w:rPr>
                <w:rFonts w:ascii="Arial" w:cs="Arial" w:eastAsia="Arial" w:hAnsi="Arial"/>
                <w:sz w:val="18"/>
                <w:szCs w:val="18"/>
                <w:color w:val="auto"/>
              </w:rPr>
              <w:t>May 30, 2018</w:t>
            </w:r>
          </w:p>
        </w:tc>
      </w:tr>
      <w:tr>
        <w:trPr>
          <w:trHeight w:val="224"/>
        </w:trPr>
        <w:tc>
          <w:tcPr>
            <w:tcW w:w="20" w:type="dxa"/>
            <w:vAlign w:val="bottom"/>
          </w:tcPr>
          <w:p>
            <w:pPr>
              <w:spacing w:after="0"/>
              <w:rPr>
                <w:sz w:val="19"/>
                <w:szCs w:val="19"/>
                <w:color w:val="auto"/>
              </w:rPr>
            </w:pPr>
          </w:p>
        </w:tc>
        <w:tc>
          <w:tcPr>
            <w:tcW w:w="200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Jerome M. Hauer, Ph.D.</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91"/>
        </w:trPr>
        <w:tc>
          <w:tcPr>
            <w:tcW w:w="3340" w:type="dxa"/>
            <w:vAlign w:val="bottom"/>
            <w:gridSpan w:val="12"/>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ENERAL</w:t>
            </w:r>
            <w:r>
              <w:rPr>
                <w:rFonts w:ascii="Arial" w:cs="Arial" w:eastAsia="Arial" w:hAnsi="Arial"/>
                <w:sz w:val="18"/>
                <w:szCs w:val="18"/>
                <w:color w:val="auto"/>
              </w:rPr>
              <w:t xml:space="preserve"> G</w:t>
            </w:r>
            <w:r>
              <w:rPr>
                <w:rFonts w:ascii="Arial" w:cs="Arial" w:eastAsia="Arial" w:hAnsi="Arial"/>
                <w:sz w:val="12"/>
                <w:szCs w:val="12"/>
                <w:color w:val="auto"/>
              </w:rPr>
              <w:t>EORGE</w:t>
            </w:r>
            <w:r>
              <w:rPr>
                <w:rFonts w:ascii="Arial" w:cs="Arial" w:eastAsia="Arial" w:hAnsi="Arial"/>
                <w:sz w:val="18"/>
                <w:szCs w:val="18"/>
                <w:color w:val="auto"/>
              </w:rPr>
              <w:t xml:space="preserve"> A. J</w:t>
            </w:r>
            <w:r>
              <w:rPr>
                <w:rFonts w:ascii="Arial" w:cs="Arial" w:eastAsia="Arial" w:hAnsi="Arial"/>
                <w:sz w:val="12"/>
                <w:szCs w:val="12"/>
                <w:color w:val="auto"/>
              </w:rPr>
              <w:t>OULWAN</w:t>
            </w:r>
          </w:p>
        </w:tc>
        <w:tc>
          <w:tcPr>
            <w:tcW w:w="58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200"/>
              <w:spacing w:after="0"/>
              <w:rPr>
                <w:sz w:val="20"/>
                <w:szCs w:val="20"/>
                <w:color w:val="auto"/>
              </w:rPr>
            </w:pPr>
            <w:r>
              <w:rPr>
                <w:rFonts w:ascii="Arial" w:cs="Arial" w:eastAsia="Arial" w:hAnsi="Arial"/>
                <w:sz w:val="18"/>
                <w:szCs w:val="18"/>
                <w:color w:val="auto"/>
              </w:rPr>
              <w:t>May 30, 2018</w:t>
            </w:r>
          </w:p>
        </w:tc>
      </w:tr>
      <w:tr>
        <w:trPr>
          <w:trHeight w:val="224"/>
        </w:trPr>
        <w:tc>
          <w:tcPr>
            <w:tcW w:w="226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General George A. Joulwan</w:t>
            </w:r>
          </w:p>
        </w:tc>
        <w:tc>
          <w:tcPr>
            <w:tcW w:w="108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64"/>
        </w:trPr>
        <w:tc>
          <w:tcPr>
            <w:tcW w:w="3340" w:type="dxa"/>
            <w:vAlign w:val="bottom"/>
            <w:gridSpan w:val="12"/>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B. R</w:t>
            </w:r>
            <w:r>
              <w:rPr>
                <w:rFonts w:ascii="Arial" w:cs="Arial" w:eastAsia="Arial" w:hAnsi="Arial"/>
                <w:sz w:val="12"/>
                <w:szCs w:val="12"/>
                <w:color w:val="auto"/>
              </w:rPr>
              <w:t>ICHARD</w:t>
            </w:r>
          </w:p>
        </w:tc>
        <w:tc>
          <w:tcPr>
            <w:tcW w:w="58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200"/>
              <w:spacing w:after="0"/>
              <w:rPr>
                <w:sz w:val="20"/>
                <w:szCs w:val="20"/>
                <w:color w:val="auto"/>
              </w:rPr>
            </w:pPr>
            <w:r>
              <w:rPr>
                <w:rFonts w:ascii="Arial" w:cs="Arial" w:eastAsia="Arial" w:hAnsi="Arial"/>
                <w:sz w:val="18"/>
                <w:szCs w:val="18"/>
                <w:color w:val="auto"/>
              </w:rPr>
              <w:t>May 30, 2018</w:t>
            </w:r>
          </w:p>
        </w:tc>
      </w:tr>
      <w:tr>
        <w:trPr>
          <w:trHeight w:val="277"/>
        </w:trPr>
        <w:tc>
          <w:tcPr>
            <w:tcW w:w="16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Ronald B. Richard</w:t>
            </w:r>
          </w:p>
        </w:tc>
        <w:tc>
          <w:tcPr>
            <w:tcW w:w="1740" w:type="dxa"/>
            <w:vAlign w:val="bottom"/>
            <w:gridSpan w:val="8"/>
          </w:tcPr>
          <w:p>
            <w:pPr>
              <w:spacing w:after="0"/>
              <w:rPr>
                <w:sz w:val="24"/>
                <w:szCs w:val="24"/>
                <w:color w:val="auto"/>
              </w:rPr>
            </w:pPr>
          </w:p>
        </w:tc>
        <w:tc>
          <w:tcPr>
            <w:tcW w:w="58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78"/>
        </w:trPr>
        <w:tc>
          <w:tcPr>
            <w:tcW w:w="3340" w:type="dxa"/>
            <w:vAlign w:val="bottom"/>
            <w:gridSpan w:val="12"/>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OUIS</w:t>
            </w:r>
            <w:r>
              <w:rPr>
                <w:rFonts w:ascii="Arial" w:cs="Arial" w:eastAsia="Arial" w:hAnsi="Arial"/>
                <w:sz w:val="18"/>
                <w:szCs w:val="18"/>
                <w:color w:val="auto"/>
              </w:rPr>
              <w:t xml:space="preserve"> W. S</w:t>
            </w:r>
            <w:r>
              <w:rPr>
                <w:rFonts w:ascii="Arial" w:cs="Arial" w:eastAsia="Arial" w:hAnsi="Arial"/>
                <w:sz w:val="12"/>
                <w:szCs w:val="12"/>
                <w:color w:val="auto"/>
              </w:rPr>
              <w:t>ULLIVAN</w:t>
            </w:r>
            <w:r>
              <w:rPr>
                <w:rFonts w:ascii="Arial" w:cs="Arial" w:eastAsia="Arial" w:hAnsi="Arial"/>
                <w:sz w:val="18"/>
                <w:szCs w:val="18"/>
                <w:color w:val="auto"/>
              </w:rPr>
              <w:t>, M.D.</w:t>
            </w:r>
          </w:p>
        </w:tc>
        <w:tc>
          <w:tcPr>
            <w:tcW w:w="58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200"/>
              <w:spacing w:after="0"/>
              <w:rPr>
                <w:sz w:val="20"/>
                <w:szCs w:val="20"/>
                <w:color w:val="auto"/>
              </w:rPr>
            </w:pPr>
            <w:r>
              <w:rPr>
                <w:rFonts w:ascii="Arial" w:cs="Arial" w:eastAsia="Arial" w:hAnsi="Arial"/>
                <w:sz w:val="18"/>
                <w:szCs w:val="18"/>
                <w:color w:val="auto"/>
              </w:rPr>
              <w:t>May 30, 2018</w:t>
            </w:r>
          </w:p>
        </w:tc>
      </w:tr>
      <w:tr>
        <w:trPr>
          <w:trHeight w:val="224"/>
        </w:trPr>
        <w:tc>
          <w:tcPr>
            <w:tcW w:w="200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Louis W. Sullivan, M.D.</w:t>
            </w:r>
          </w:p>
        </w:tc>
        <w:tc>
          <w:tcPr>
            <w:tcW w:w="1340" w:type="dxa"/>
            <w:vAlign w:val="bottom"/>
            <w:gridSpan w:val="3"/>
          </w:tcPr>
          <w:p>
            <w:pPr>
              <w:spacing w:after="0"/>
              <w:rPr>
                <w:sz w:val="19"/>
                <w:szCs w:val="19"/>
                <w:color w:val="auto"/>
              </w:rPr>
            </w:pPr>
          </w:p>
        </w:tc>
        <w:tc>
          <w:tcPr>
            <w:tcW w:w="586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64"/>
        </w:trPr>
        <w:tc>
          <w:tcPr>
            <w:tcW w:w="3340" w:type="dxa"/>
            <w:vAlign w:val="bottom"/>
            <w:gridSpan w:val="12"/>
          </w:tcPr>
          <w:p>
            <w:pPr>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ATHRYN</w:t>
            </w:r>
            <w:r>
              <w:rPr>
                <w:rFonts w:ascii="Arial" w:cs="Arial" w:eastAsia="Arial" w:hAnsi="Arial"/>
                <w:sz w:val="18"/>
                <w:szCs w:val="18"/>
                <w:color w:val="auto"/>
              </w:rPr>
              <w:t xml:space="preserve"> C. Z</w:t>
            </w:r>
            <w:r>
              <w:rPr>
                <w:rFonts w:ascii="Arial" w:cs="Arial" w:eastAsia="Arial" w:hAnsi="Arial"/>
                <w:sz w:val="12"/>
                <w:szCs w:val="12"/>
                <w:color w:val="auto"/>
              </w:rPr>
              <w:t>OON</w:t>
            </w:r>
            <w:r>
              <w:rPr>
                <w:rFonts w:ascii="Arial" w:cs="Arial" w:eastAsia="Arial" w:hAnsi="Arial"/>
                <w:sz w:val="18"/>
                <w:szCs w:val="18"/>
                <w:color w:val="auto"/>
              </w:rPr>
              <w:t>, P</w:t>
            </w:r>
            <w:r>
              <w:rPr>
                <w:rFonts w:ascii="Arial" w:cs="Arial" w:eastAsia="Arial" w:hAnsi="Arial"/>
                <w:sz w:val="12"/>
                <w:szCs w:val="12"/>
                <w:color w:val="auto"/>
              </w:rPr>
              <w:t>H</w:t>
            </w:r>
            <w:r>
              <w:rPr>
                <w:rFonts w:ascii="Arial" w:cs="Arial" w:eastAsia="Arial" w:hAnsi="Arial"/>
                <w:sz w:val="18"/>
                <w:szCs w:val="18"/>
                <w:color w:val="auto"/>
              </w:rPr>
              <w:t>.D.</w:t>
            </w:r>
          </w:p>
        </w:tc>
        <w:tc>
          <w:tcPr>
            <w:tcW w:w="58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200"/>
              <w:spacing w:after="0"/>
              <w:rPr>
                <w:sz w:val="20"/>
                <w:szCs w:val="20"/>
                <w:color w:val="auto"/>
              </w:rPr>
            </w:pPr>
            <w:r>
              <w:rPr>
                <w:rFonts w:ascii="Arial" w:cs="Arial" w:eastAsia="Arial" w:hAnsi="Arial"/>
                <w:sz w:val="18"/>
                <w:szCs w:val="18"/>
                <w:color w:val="auto"/>
              </w:rPr>
              <w:t>May 30, 2018</w:t>
            </w:r>
          </w:p>
        </w:tc>
      </w:tr>
      <w:tr>
        <w:trPr>
          <w:trHeight w:val="224"/>
        </w:trPr>
        <w:tc>
          <w:tcPr>
            <w:tcW w:w="196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Kathryn C. Zoon, Ph.D.</w:t>
            </w:r>
          </w:p>
        </w:tc>
        <w:tc>
          <w:tcPr>
            <w:tcW w:w="1380" w:type="dxa"/>
            <w:vAlign w:val="bottom"/>
            <w:gridSpan w:val="4"/>
          </w:tcPr>
          <w:p>
            <w:pPr>
              <w:spacing w:after="0"/>
              <w:rPr>
                <w:sz w:val="19"/>
                <w:szCs w:val="19"/>
                <w:color w:val="auto"/>
              </w:rPr>
            </w:pPr>
          </w:p>
        </w:tc>
        <w:tc>
          <w:tcPr>
            <w:tcW w:w="586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71"/>
        </w:trPr>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16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38"/>
        </w:trPr>
        <w:tc>
          <w:tcPr>
            <w:tcW w:w="114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1016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4"/>
        </w:trPr>
        <w:tc>
          <w:tcPr>
            <w:tcW w:w="1140" w:type="dxa"/>
            <w:vAlign w:val="bottom"/>
            <w:gridSpan w:val="5"/>
          </w:tcPr>
          <w:p>
            <w:pPr>
              <w:spacing w:after="0"/>
              <w:rPr>
                <w:sz w:val="20"/>
                <w:szCs w:val="20"/>
                <w:color w:val="auto"/>
              </w:rPr>
            </w:pPr>
            <w:r>
              <w:rPr>
                <w:rFonts w:ascii="Arial" w:cs="Arial" w:eastAsia="Arial" w:hAnsi="Arial"/>
                <w:sz w:val="18"/>
                <w:szCs w:val="18"/>
                <w:b w:val="1"/>
                <w:bCs w:val="1"/>
                <w:color w:val="auto"/>
              </w:rPr>
              <w:t>Number</w:t>
            </w:r>
          </w:p>
        </w:tc>
        <w:tc>
          <w:tcPr>
            <w:tcW w:w="10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80" w:type="dxa"/>
            <w:vAlign w:val="bottom"/>
            <w:gridSpan w:val="3"/>
          </w:tcPr>
          <w:p>
            <w:pPr>
              <w:spacing w:after="0"/>
              <w:rPr>
                <w:rFonts w:ascii="Arial" w:cs="Arial" w:eastAsia="Arial" w:hAnsi="Arial"/>
                <w:sz w:val="18"/>
                <w:szCs w:val="18"/>
                <w:color w:val="0000EE"/>
              </w:rPr>
            </w:pPr>
            <w:hyperlink r:id="rId14">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160" w:type="dxa"/>
            <w:vAlign w:val="bottom"/>
          </w:tcPr>
          <w:p>
            <w:pPr>
              <w:ind w:left="480"/>
              <w:spacing w:after="0"/>
              <w:rPr>
                <w:sz w:val="20"/>
                <w:szCs w:val="20"/>
                <w:color w:val="auto"/>
              </w:rPr>
            </w:pPr>
            <w:r>
              <w:rPr>
                <w:rFonts w:ascii="Arial" w:cs="Arial" w:eastAsia="Arial" w:hAnsi="Arial"/>
                <w:sz w:val="18"/>
                <w:szCs w:val="18"/>
                <w:color w:val="auto"/>
                <w:w w:val="91"/>
              </w:rPr>
              <w:t>Third Restated Certificate of Incorporation of the company (incorporated by reference to Exhibit 3 to the company's Quarterly Report</w:t>
            </w:r>
          </w:p>
        </w:tc>
        <w:tc>
          <w:tcPr>
            <w:tcW w:w="0" w:type="dxa"/>
            <w:vAlign w:val="bottom"/>
          </w:tcPr>
          <w:p>
            <w:pPr>
              <w:spacing w:after="0"/>
              <w:rPr>
                <w:sz w:val="1"/>
                <w:szCs w:val="1"/>
                <w:color w:val="auto"/>
              </w:rPr>
            </w:pPr>
          </w:p>
        </w:tc>
      </w:tr>
      <w:tr>
        <w:trPr>
          <w:trHeight w:val="223"/>
        </w:trPr>
        <w:tc>
          <w:tcPr>
            <w:tcW w:w="1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160" w:type="dxa"/>
            <w:vAlign w:val="bottom"/>
          </w:tcPr>
          <w:p>
            <w:pPr>
              <w:ind w:left="480"/>
              <w:spacing w:after="0"/>
              <w:rPr>
                <w:sz w:val="20"/>
                <w:szCs w:val="20"/>
                <w:color w:val="auto"/>
              </w:rPr>
            </w:pPr>
            <w:r>
              <w:rPr>
                <w:rFonts w:ascii="Arial" w:cs="Arial" w:eastAsia="Arial" w:hAnsi="Arial"/>
                <w:sz w:val="18"/>
                <w:szCs w:val="18"/>
                <w:color w:val="auto"/>
              </w:rPr>
              <w:t>on Form 10-Q filed on August 5, 2016.</w:t>
            </w:r>
          </w:p>
        </w:tc>
        <w:tc>
          <w:tcPr>
            <w:tcW w:w="0" w:type="dxa"/>
            <w:vAlign w:val="bottom"/>
          </w:tcPr>
          <w:p>
            <w:pPr>
              <w:spacing w:after="0"/>
              <w:rPr>
                <w:sz w:val="1"/>
                <w:szCs w:val="1"/>
                <w:color w:val="auto"/>
              </w:rPr>
            </w:pPr>
          </w:p>
        </w:tc>
      </w:tr>
      <w:tr>
        <w:trPr>
          <w:trHeight w:val="365"/>
        </w:trPr>
        <w:tc>
          <w:tcPr>
            <w:tcW w:w="280" w:type="dxa"/>
            <w:vAlign w:val="bottom"/>
            <w:gridSpan w:val="3"/>
          </w:tcPr>
          <w:p>
            <w:pPr>
              <w:spacing w:after="0"/>
              <w:rPr>
                <w:rFonts w:ascii="Arial" w:cs="Arial" w:eastAsia="Arial" w:hAnsi="Arial"/>
                <w:sz w:val="18"/>
                <w:szCs w:val="18"/>
                <w:color w:val="0000EE"/>
              </w:rPr>
            </w:pPr>
            <w:hyperlink r:id="rId15">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160" w:type="dxa"/>
            <w:vAlign w:val="bottom"/>
          </w:tcPr>
          <w:p>
            <w:pPr>
              <w:ind w:left="480"/>
              <w:spacing w:after="0"/>
              <w:rPr>
                <w:sz w:val="20"/>
                <w:szCs w:val="20"/>
                <w:color w:val="auto"/>
              </w:rPr>
            </w:pPr>
            <w:r>
              <w:rPr>
                <w:rFonts w:ascii="Arial" w:cs="Arial" w:eastAsia="Arial" w:hAnsi="Arial"/>
                <w:sz w:val="18"/>
                <w:szCs w:val="18"/>
                <w:color w:val="auto"/>
                <w:w w:val="91"/>
              </w:rPr>
              <w:t>Amended and Restated By-laws of the company (incorporated by reference to Exhibit 3 to the company's Current Report on Form 8-</w:t>
            </w:r>
          </w:p>
        </w:tc>
        <w:tc>
          <w:tcPr>
            <w:tcW w:w="0" w:type="dxa"/>
            <w:vAlign w:val="bottom"/>
          </w:tcPr>
          <w:p>
            <w:pPr>
              <w:spacing w:after="0"/>
              <w:rPr>
                <w:sz w:val="1"/>
                <w:szCs w:val="1"/>
                <w:color w:val="auto"/>
              </w:rPr>
            </w:pPr>
          </w:p>
        </w:tc>
      </w:tr>
      <w:tr>
        <w:trPr>
          <w:trHeight w:val="223"/>
        </w:trPr>
        <w:tc>
          <w:tcPr>
            <w:tcW w:w="1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160" w:type="dxa"/>
            <w:vAlign w:val="bottom"/>
          </w:tcPr>
          <w:p>
            <w:pPr>
              <w:ind w:left="480"/>
              <w:spacing w:after="0"/>
              <w:rPr>
                <w:sz w:val="20"/>
                <w:szCs w:val="20"/>
                <w:color w:val="auto"/>
              </w:rPr>
            </w:pPr>
            <w:r>
              <w:rPr>
                <w:rFonts w:ascii="Arial" w:cs="Arial" w:eastAsia="Arial" w:hAnsi="Arial"/>
                <w:sz w:val="18"/>
                <w:szCs w:val="18"/>
                <w:color w:val="auto"/>
              </w:rPr>
              <w:t>K filed on August 16, 2012).</w:t>
            </w:r>
          </w:p>
        </w:tc>
        <w:tc>
          <w:tcPr>
            <w:tcW w:w="0" w:type="dxa"/>
            <w:vAlign w:val="bottom"/>
          </w:tcPr>
          <w:p>
            <w:pPr>
              <w:spacing w:after="0"/>
              <w:rPr>
                <w:sz w:val="1"/>
                <w:szCs w:val="1"/>
                <w:color w:val="auto"/>
              </w:rPr>
            </w:pPr>
          </w:p>
        </w:tc>
      </w:tr>
      <w:tr>
        <w:trPr>
          <w:trHeight w:val="365"/>
        </w:trPr>
        <w:tc>
          <w:tcPr>
            <w:tcW w:w="280" w:type="dxa"/>
            <w:vAlign w:val="bottom"/>
            <w:gridSpan w:val="3"/>
          </w:tcPr>
          <w:p>
            <w:pPr>
              <w:spacing w:after="0"/>
              <w:rPr>
                <w:rFonts w:ascii="Arial" w:cs="Arial" w:eastAsia="Arial" w:hAnsi="Arial"/>
                <w:sz w:val="18"/>
                <w:szCs w:val="18"/>
                <w:color w:val="0000EE"/>
              </w:rPr>
            </w:pPr>
            <w:hyperlink r:id="rId16">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160" w:type="dxa"/>
            <w:vAlign w:val="bottom"/>
          </w:tcPr>
          <w:p>
            <w:pPr>
              <w:ind w:left="480"/>
              <w:spacing w:after="0"/>
              <w:rPr>
                <w:sz w:val="20"/>
                <w:szCs w:val="20"/>
                <w:color w:val="auto"/>
              </w:rPr>
            </w:pPr>
            <w:r>
              <w:rPr>
                <w:rFonts w:ascii="Arial" w:cs="Arial" w:eastAsia="Arial" w:hAnsi="Arial"/>
                <w:sz w:val="18"/>
                <w:szCs w:val="18"/>
                <w:color w:val="auto"/>
                <w:w w:val="95"/>
              </w:rPr>
              <w:t>Form of Common Stock Certificate (incorporated by reference to Exhibit 4.1 to Amendment No. 3 to the company's Registration</w:t>
            </w:r>
          </w:p>
        </w:tc>
        <w:tc>
          <w:tcPr>
            <w:tcW w:w="0" w:type="dxa"/>
            <w:vAlign w:val="bottom"/>
          </w:tcPr>
          <w:p>
            <w:pPr>
              <w:spacing w:after="0"/>
              <w:rPr>
                <w:sz w:val="1"/>
                <w:szCs w:val="1"/>
                <w:color w:val="auto"/>
              </w:rPr>
            </w:pPr>
          </w:p>
        </w:tc>
      </w:tr>
      <w:tr>
        <w:trPr>
          <w:trHeight w:val="223"/>
        </w:trPr>
        <w:tc>
          <w:tcPr>
            <w:tcW w:w="1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160" w:type="dxa"/>
            <w:vAlign w:val="bottom"/>
          </w:tcPr>
          <w:p>
            <w:pPr>
              <w:ind w:left="480"/>
              <w:spacing w:after="0"/>
              <w:rPr>
                <w:sz w:val="20"/>
                <w:szCs w:val="20"/>
                <w:color w:val="auto"/>
              </w:rPr>
            </w:pPr>
            <w:r>
              <w:rPr>
                <w:rFonts w:ascii="Arial" w:cs="Arial" w:eastAsia="Arial" w:hAnsi="Arial"/>
                <w:sz w:val="18"/>
                <w:szCs w:val="18"/>
                <w:color w:val="auto"/>
              </w:rPr>
              <w:t>Statement on Form S-1 (Registration No. 333-136622) filed on October 20, 2006).</w:t>
            </w:r>
          </w:p>
        </w:tc>
        <w:tc>
          <w:tcPr>
            <w:tcW w:w="0" w:type="dxa"/>
            <w:vAlign w:val="bottom"/>
          </w:tcPr>
          <w:p>
            <w:pPr>
              <w:spacing w:after="0"/>
              <w:rPr>
                <w:sz w:val="1"/>
                <w:szCs w:val="1"/>
                <w:color w:val="auto"/>
              </w:rPr>
            </w:pPr>
          </w:p>
        </w:tc>
      </w:tr>
      <w:tr>
        <w:trPr>
          <w:trHeight w:val="392"/>
        </w:trPr>
        <w:tc>
          <w:tcPr>
            <w:tcW w:w="1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3"/>
              </w:rPr>
              <w:t>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160" w:type="dxa"/>
            <w:vAlign w:val="bottom"/>
          </w:tcPr>
          <w:p>
            <w:pPr>
              <w:ind w:left="480"/>
              <w:spacing w:after="0"/>
              <w:rPr>
                <w:sz w:val="20"/>
                <w:szCs w:val="20"/>
                <w:color w:val="auto"/>
              </w:rPr>
            </w:pPr>
            <w:r>
              <w:rPr>
                <w:rFonts w:ascii="Arial" w:cs="Arial" w:eastAsia="Arial" w:hAnsi="Arial"/>
                <w:sz w:val="18"/>
                <w:szCs w:val="18"/>
                <w:color w:val="auto"/>
                <w:w w:val="91"/>
              </w:rPr>
              <w:t>Opinion of Eric M. Burt, Vice President, Associate General Counsel and Assistant Corporate Secretary of the company, regarding the</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160" w:type="dxa"/>
            <w:vAlign w:val="bottom"/>
          </w:tcPr>
          <w:p>
            <w:pPr>
              <w:ind w:left="480"/>
              <w:spacing w:after="0"/>
              <w:rPr>
                <w:sz w:val="20"/>
                <w:szCs w:val="20"/>
                <w:color w:val="auto"/>
              </w:rPr>
            </w:pPr>
            <w:r>
              <w:rPr>
                <w:rFonts w:ascii="Arial" w:cs="Arial" w:eastAsia="Arial" w:hAnsi="Arial"/>
                <w:sz w:val="18"/>
                <w:szCs w:val="18"/>
                <w:color w:val="auto"/>
              </w:rPr>
              <w:t>validity of the shares of Common Stock being offered hereby.</w:t>
            </w:r>
          </w:p>
        </w:tc>
        <w:tc>
          <w:tcPr>
            <w:tcW w:w="0" w:type="dxa"/>
            <w:vAlign w:val="bottom"/>
          </w:tcPr>
          <w:p>
            <w:pPr>
              <w:spacing w:after="0"/>
              <w:rPr>
                <w:sz w:val="1"/>
                <w:szCs w:val="1"/>
                <w:color w:val="auto"/>
              </w:rPr>
            </w:pPr>
          </w:p>
        </w:tc>
      </w:tr>
      <w:tr>
        <w:trPr>
          <w:trHeight w:val="365"/>
        </w:trPr>
        <w:tc>
          <w:tcPr>
            <w:tcW w:w="4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p>
        </w:tc>
        <w:tc>
          <w:tcPr>
            <w:tcW w:w="720" w:type="dxa"/>
            <w:vAlign w:val="bottom"/>
          </w:tcPr>
          <w:p>
            <w:pPr>
              <w:spacing w:after="0"/>
              <w:rPr>
                <w:sz w:val="24"/>
                <w:szCs w:val="24"/>
                <w:color w:val="auto"/>
              </w:rPr>
            </w:pPr>
          </w:p>
        </w:tc>
        <w:tc>
          <w:tcPr>
            <w:tcW w:w="10160" w:type="dxa"/>
            <w:vAlign w:val="bottom"/>
          </w:tcPr>
          <w:p>
            <w:pPr>
              <w:ind w:left="48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85"/>
        </w:trPr>
        <w:tc>
          <w:tcPr>
            <w:tcW w:w="4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2*</w:t>
            </w:r>
          </w:p>
        </w:tc>
        <w:tc>
          <w:tcPr>
            <w:tcW w:w="720" w:type="dxa"/>
            <w:vAlign w:val="bottom"/>
          </w:tcPr>
          <w:p>
            <w:pPr>
              <w:spacing w:after="0"/>
              <w:rPr>
                <w:sz w:val="24"/>
                <w:szCs w:val="24"/>
                <w:color w:val="auto"/>
              </w:rPr>
            </w:pPr>
          </w:p>
        </w:tc>
        <w:tc>
          <w:tcPr>
            <w:tcW w:w="10160" w:type="dxa"/>
            <w:vAlign w:val="bottom"/>
          </w:tcPr>
          <w:p>
            <w:pPr>
              <w:ind w:left="480"/>
              <w:spacing w:after="0"/>
              <w:rPr>
                <w:sz w:val="20"/>
                <w:szCs w:val="20"/>
                <w:color w:val="auto"/>
              </w:rPr>
            </w:pPr>
            <w:r>
              <w:rPr>
                <w:rFonts w:ascii="Arial" w:cs="Arial" w:eastAsia="Arial" w:hAnsi="Arial"/>
                <w:sz w:val="18"/>
                <w:szCs w:val="18"/>
                <w:color w:val="auto"/>
                <w:w w:val="93"/>
              </w:rPr>
              <w:t>Consent of Eric M. Burt, Vice President, Associate General Counsel and Assistant Corporate Secretary (included in Exhibit 5 filed</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160" w:type="dxa"/>
            <w:vAlign w:val="bottom"/>
          </w:tcPr>
          <w:p>
            <w:pPr>
              <w:ind w:left="480"/>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365"/>
        </w:trPr>
        <w:tc>
          <w:tcPr>
            <w:tcW w:w="28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24*</w:t>
              </w:r>
            </w:hyperlink>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160" w:type="dxa"/>
            <w:vAlign w:val="bottom"/>
          </w:tcPr>
          <w:p>
            <w:pPr>
              <w:ind w:left="480"/>
              <w:spacing w:after="0"/>
              <w:rPr>
                <w:sz w:val="20"/>
                <w:szCs w:val="20"/>
                <w:color w:val="auto"/>
              </w:rPr>
            </w:pPr>
            <w:r>
              <w:rPr>
                <w:rFonts w:ascii="Arial" w:cs="Arial" w:eastAsia="Arial" w:hAnsi="Arial"/>
                <w:sz w:val="18"/>
                <w:szCs w:val="18"/>
                <w:color w:val="auto"/>
              </w:rPr>
              <w:t>Power of Attorney (included on the signature page to this registration statement).</w:t>
            </w:r>
          </w:p>
        </w:tc>
        <w:tc>
          <w:tcPr>
            <w:tcW w:w="0" w:type="dxa"/>
            <w:vAlign w:val="bottom"/>
          </w:tcPr>
          <w:p>
            <w:pPr>
              <w:spacing w:after="0"/>
              <w:rPr>
                <w:sz w:val="1"/>
                <w:szCs w:val="1"/>
                <w:color w:val="auto"/>
              </w:rPr>
            </w:pPr>
          </w:p>
        </w:tc>
      </w:tr>
      <w:tr>
        <w:trPr>
          <w:trHeight w:val="385"/>
        </w:trPr>
        <w:tc>
          <w:tcPr>
            <w:tcW w:w="2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6"/>
              </w:rPr>
              <w:t>99*</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160" w:type="dxa"/>
            <w:vAlign w:val="bottom"/>
          </w:tcPr>
          <w:p>
            <w:pPr>
              <w:ind w:left="480"/>
              <w:spacing w:after="0"/>
              <w:rPr>
                <w:sz w:val="20"/>
                <w:szCs w:val="20"/>
                <w:color w:val="auto"/>
              </w:rPr>
            </w:pPr>
            <w:r>
              <w:rPr>
                <w:rFonts w:ascii="Arial" w:cs="Arial" w:eastAsia="Arial" w:hAnsi="Arial"/>
                <w:sz w:val="18"/>
                <w:szCs w:val="18"/>
                <w:color w:val="auto"/>
              </w:rPr>
              <w:t>Emergent BioSolutions Inc. Stock Incentive Plan</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300"/>
          </w:cols>
          <w:pgMar w:left="240" w:top="121"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Emergent BioSolutions Inc.</w:t>
      </w:r>
    </w:p>
    <w:p>
      <w:pPr>
        <w:spacing w:after="0" w:line="203" w:lineRule="auto"/>
        <w:rPr>
          <w:sz w:val="20"/>
          <w:szCs w:val="20"/>
          <w:color w:val="auto"/>
        </w:rPr>
      </w:pPr>
      <w:r>
        <w:rPr>
          <w:rFonts w:ascii="Arial" w:cs="Arial" w:eastAsia="Arial" w:hAnsi="Arial"/>
          <w:sz w:val="18"/>
          <w:szCs w:val="18"/>
          <w:color w:val="auto"/>
        </w:rPr>
        <w:t>400 Professional Drive, Suite 400</w:t>
      </w:r>
    </w:p>
    <w:p>
      <w:pPr>
        <w:spacing w:after="0"/>
        <w:rPr>
          <w:sz w:val="20"/>
          <w:szCs w:val="20"/>
          <w:color w:val="auto"/>
        </w:rPr>
      </w:pPr>
      <w:r>
        <w:rPr>
          <w:rFonts w:ascii="Arial" w:cs="Arial" w:eastAsia="Arial" w:hAnsi="Arial"/>
          <w:sz w:val="18"/>
          <w:szCs w:val="18"/>
          <w:color w:val="auto"/>
        </w:rPr>
        <w:t>Gaithersburg, MD 20879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May 30,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I am Vice President, Associate General Counsel and Assistant Corporate Secretary of Emergent BioSolutions Inc., a Delaware corporation (the "Company"). This opinion is being rendered solely in connection with the Company's Registration Statement on Form S-8 (the "Registration Statement") being filed with the Securities and Exchange Commission (the "Commission") under the Securities Act of 1933, as amended (the "Securities Act"), relating to the registration of 3,000,000 shares of the Company's common stock, $0.001 par value per share (the "Shares"), which may be issued pursuant to the Emergent BioSolutions Inc. Stock Incentive Plan (the "Stock Incentive Plan").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being delivered pursuant to the requirements of Item 601(b)(5) of Regulation S-K under the Securities Act.</w:t>
      </w:r>
    </w:p>
    <w:p>
      <w:pPr>
        <w:spacing w:after="0" w:line="171"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In rendering the opinion set forth herein, I or attorneys under my supervision (with whom I have consulted) have examined the Stock Incentive Plan and the Registration Statement (including the exhibits thereto) and originals or copies, certified or otherwise identified to our satisfaction, of such records of the Company and such agreements, certificates and receipts of public officials, certificates of officers or other representatives of the Company and others, and such other documents as I or attorneys under my supervision (with whom I have consulted) have deemed necessary or appropriate as a basis for the opinion set forth below.</w:t>
      </w:r>
    </w:p>
    <w:p>
      <w:pPr>
        <w:spacing w:after="0" w:line="151"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In my examination, I or attorneys under my supervision (with whom I have consulted)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As to any facts material to this opinion that I or attorneys under my supervision (with whom I have consulted) did not independently establish or verify, we have relied upon statements and representations of officers and other representatives of the Company and others and of public officials.</w:t>
      </w:r>
    </w:p>
    <w:p>
      <w:pPr>
        <w:spacing w:after="0" w:line="15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Based upon and subject to the foregoing, I am of the opinion that the issuance of the Shares reserved for issuance under the Stock Incentive Plan have been duly authorized and that the Shares, when issued and delivered in accordance with the terms of the Stock Incentive Plan, will be validly issued, fully paid and nonassessable.</w:t>
      </w:r>
    </w:p>
    <w:p>
      <w:pPr>
        <w:spacing w:after="0" w:line="148"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 hereby consent to the filing of this opinion with the Commission as an exhibit to the Registration Statement and to the reference to me under the caption "Interests of Named Experts and Counsel" in the Registration Statement. By giving this consent, I do not admit that I am an expert with respect to any part of the Registration Statement, including this exhibit, within the meaning of the term "expert" as used in the Securities Act or the rules and regulations of the Commission issued thereunder.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w:t>
      </w:r>
      <w:r>
        <w:rPr>
          <w:rFonts w:ascii="Arial" w:cs="Arial" w:eastAsia="Arial" w:hAnsi="Arial"/>
          <w:sz w:val="12"/>
          <w:szCs w:val="12"/>
          <w:color w:val="auto"/>
        </w:rPr>
        <w:t>RIC</w:t>
      </w:r>
      <w:r>
        <w:rPr>
          <w:rFonts w:ascii="Arial" w:cs="Arial" w:eastAsia="Arial" w:hAnsi="Arial"/>
          <w:sz w:val="18"/>
          <w:szCs w:val="18"/>
          <w:color w:val="auto"/>
        </w:rPr>
        <w:t xml:space="preserve"> M. B</w:t>
      </w:r>
      <w:r>
        <w:rPr>
          <w:rFonts w:ascii="Arial" w:cs="Arial" w:eastAsia="Arial" w:hAnsi="Arial"/>
          <w:sz w:val="12"/>
          <w:szCs w:val="12"/>
          <w:color w:val="auto"/>
        </w:rPr>
        <w:t>URT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Eric M. Burt</w:t>
      </w:r>
    </w:p>
    <w:p>
      <w:pPr>
        <w:spacing w:after="0"/>
        <w:rPr>
          <w:sz w:val="20"/>
          <w:szCs w:val="20"/>
          <w:color w:val="auto"/>
        </w:rPr>
      </w:pPr>
      <w:r>
        <w:rPr>
          <w:rFonts w:ascii="Arial" w:cs="Arial" w:eastAsia="Arial" w:hAnsi="Arial"/>
          <w:sz w:val="18"/>
          <w:szCs w:val="18"/>
          <w:color w:val="auto"/>
        </w:rPr>
        <w:t>Vice President, Associate General Counsel and Assistant Corporate Secretary</w:t>
      </w:r>
    </w:p>
    <w:p>
      <w:pPr>
        <w:sectPr>
          <w:pgSz w:w="11900" w:h="16838" w:orient="portrait"/>
          <w:cols w:equalWidth="0" w:num="1">
            <w:col w:w="11420"/>
          </w:cols>
          <w:pgMar w:left="240" w:top="35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consent to the incorporation by reference in the Registration Statement (Form S-8) filed on May 30, 2018 pertaining to the Emergent BioSolutions Inc. Stock Incentive Plan of Emergent BioSolutions Inc. of our reports dated February 22, 2018, with respect to the consolidated financial statements and schedule of Emergent BioSolutions Inc. and the effectiveness of internal control over financial reporting of Emergent BioSolutions Inc. included in its Annual Report (Form 10-K) for the year ended December 31, 2017, filed with the Securities and Exchange Commission.</w:t>
      </w:r>
    </w:p>
    <w:p>
      <w:pPr>
        <w:spacing w:after="0" w:line="15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Baltimore, MD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May 30, 2018</w:t>
      </w:r>
    </w:p>
    <w:p>
      <w:pPr>
        <w:sectPr>
          <w:pgSz w:w="11900" w:h="16838" w:orient="portrait"/>
          <w:cols w:equalWidth="0" w:num="1">
            <w:col w:w="11420"/>
          </w:cols>
          <w:pgMar w:left="240" w:top="111" w:right="239" w:bottom="1440" w:gutter="0" w:footer="0" w:header="0"/>
        </w:sectPr>
      </w:pPr>
    </w:p>
    <w:bookmarkStart w:id="6" w:name="page7"/>
    <w:bookmarkEnd w:id="6"/>
    <w:p>
      <w:pPr>
        <w:spacing w:after="0" w:line="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EMERGENT BIOSOLUTIONS INC. STOCK INCENTIVE PLAN</w:t>
      </w:r>
    </w:p>
    <w:p>
      <w:pPr>
        <w:spacing w:after="0" w:line="175"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purpose of this Stock Incentive Plan (the "Plan") of Emergent BioSolutions Inc., a Delaware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The Plan amends and restates the 2006 Stock Incentive Plan (the "Original Plan") that was originally adopted by the board of directors of the Company (the "Board") on October 25, 2006 and approved by the stockholders on October 27, 2006, was amended by the Board on March 31, 2009 and approved by the stockholders on May 21, 2009, was amended by the Board on March 6, 2012 and approved by the stockholders on May 17, 2012, was amended by the Board on March 20, 2014 and approved by the stockholders on May 22, 2014, was amended by the Board on March 24, 2016 and approved by our stockholders on May 19, 2016, and was amended by the Board on March 22, 2018 and approved by our stockholders on May 24, 2018.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w:t>
      </w:r>
    </w:p>
    <w:p>
      <w:pPr>
        <w:spacing w:after="0" w:line="238"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7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All of the Company's employees, officers, directors, consultants and advisors to the Company (as such terms consultants and advisors are defined and interpreted for purposes of Form S-8 under the Securities Act of 1933, as amended (the "Securities Act"), or any successor form) are eligible to receive options, stock appreciation rights, restricted stock, restricted stock units and other stock-unit awards (each, an "Award") under the Plan. Each person who receives an Award under the Plan is deemed a "Participant".</w:t>
      </w:r>
    </w:p>
    <w:p>
      <w:pPr>
        <w:spacing w:after="0" w:line="242"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Administration and Delegation</w:t>
      </w:r>
    </w:p>
    <w:p>
      <w:pPr>
        <w:spacing w:after="0" w:line="77" w:lineRule="exact"/>
        <w:rPr>
          <w:sz w:val="20"/>
          <w:szCs w:val="20"/>
          <w:color w:val="auto"/>
        </w:rPr>
      </w:pPr>
    </w:p>
    <w:p>
      <w:pPr>
        <w:jc w:val="both"/>
        <w:ind w:firstLine="8"/>
        <w:spacing w:after="0" w:line="239"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Administration by Board of Directors</w:t>
      </w:r>
      <w:r>
        <w:rPr>
          <w:rFonts w:ascii="Arial" w:cs="Arial" w:eastAsia="Arial" w:hAnsi="Arial"/>
          <w:sz w:val="18"/>
          <w:szCs w:val="18"/>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37" w:lineRule="exact"/>
        <w:rPr>
          <w:rFonts w:ascii="Arial" w:cs="Arial" w:eastAsia="Arial" w:hAnsi="Arial"/>
          <w:sz w:val="18"/>
          <w:szCs w:val="18"/>
          <w:color w:val="auto"/>
        </w:rPr>
      </w:pPr>
    </w:p>
    <w:p>
      <w:pPr>
        <w:jc w:val="both"/>
        <w:ind w:firstLine="8"/>
        <w:spacing w:after="0" w:line="294"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Appointment of Committees</w:t>
      </w:r>
      <w:r>
        <w:rPr>
          <w:rFonts w:ascii="Arial" w:cs="Arial" w:eastAsia="Arial" w:hAnsi="Arial"/>
          <w:sz w:val="16"/>
          <w:szCs w:val="16"/>
          <w:color w:val="auto"/>
        </w:rPr>
        <w:t>. To the extent permitted by applicable law, the Board may delegate any or all of its powers under the Plan to one or more committees or subcommittees of the Board (a "Committee"). All references in the Plan to the "Board" shall mean the Board or a Committee of the Board or the officers referred to in Section 3(c) to the extent that the Board's powers or authority under the Plan have been delegated to such Committee or officers.</w:t>
      </w:r>
    </w:p>
    <w:p>
      <w:pPr>
        <w:spacing w:after="0" w:line="93" w:lineRule="exact"/>
        <w:rPr>
          <w:rFonts w:ascii="Arial" w:cs="Arial" w:eastAsia="Arial" w:hAnsi="Arial"/>
          <w:sz w:val="16"/>
          <w:szCs w:val="16"/>
          <w:color w:val="auto"/>
        </w:rPr>
      </w:pPr>
    </w:p>
    <w:p>
      <w:pPr>
        <w:jc w:val="both"/>
        <w:ind w:firstLine="8"/>
        <w:spacing w:after="0" w:line="239"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Delegation to Officers</w:t>
      </w:r>
      <w:r>
        <w:rPr>
          <w:rFonts w:ascii="Arial" w:cs="Arial" w:eastAsia="Arial" w:hAnsi="Arial"/>
          <w:sz w:val="18"/>
          <w:szCs w:val="18"/>
          <w:color w:val="auto"/>
        </w:rPr>
        <w:t>. Subject to any requirements of applicable law (including as applicable Sections 152 and 157(c) of the General Corporation Law of the State of Delaware), the Board may delegate to one or more officers of the Company the power to grant Awards (subject to any limitations under the Plan) to employees or officers of the Company and to exercise such other powers under the Plan as the Board may determine, provided that the Board shall fix the terms of Awards to be granted by such officers, the maximum number of shares subject to Awards that the officers may grant, and the time period in which such Awards may be granted; and provided further, that no officer shall be authorized to grant Awards to any "executive officer" of the Company (as defined by Rule 3b-7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or to any "officer" of the Company (as defined by Rule 16a-1(f) under the Exchange Act).</w:t>
      </w:r>
    </w:p>
    <w:p>
      <w:pPr>
        <w:spacing w:after="0" w:line="137" w:lineRule="exact"/>
        <w:rPr>
          <w:rFonts w:ascii="Arial" w:cs="Arial" w:eastAsia="Arial" w:hAnsi="Arial"/>
          <w:sz w:val="18"/>
          <w:szCs w:val="18"/>
          <w:color w:val="auto"/>
        </w:rPr>
      </w:pPr>
    </w:p>
    <w:p>
      <w:pPr>
        <w:ind w:right="20" w:firstLine="8"/>
        <w:spacing w:after="0" w:line="262"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Awards to Non-Employee Directors</w:t>
      </w:r>
      <w:r>
        <w:rPr>
          <w:rFonts w:ascii="Arial" w:cs="Arial" w:eastAsia="Arial" w:hAnsi="Arial"/>
          <w:sz w:val="18"/>
          <w:szCs w:val="18"/>
          <w:color w:val="auto"/>
        </w:rPr>
        <w:t>. Awards made to non-employee directors will be granted and administered by a Committee, all of the members of which are independent directors as defined by Section 303A.02 of the New York Stock Exchange Listed Company Manual.</w:t>
      </w:r>
    </w:p>
    <w:p>
      <w:pPr>
        <w:spacing w:after="0" w:line="223"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Stock Available for Awards</w:t>
      </w:r>
      <w:r>
        <w:rPr>
          <w:rFonts w:ascii="Arial" w:cs="Arial" w:eastAsia="Arial" w:hAnsi="Arial"/>
          <w:sz w:val="18"/>
          <w:szCs w:val="18"/>
          <w:color w:val="auto"/>
        </w:rPr>
        <w:t>.</w:t>
      </w:r>
    </w:p>
    <w:p>
      <w:pPr>
        <w:spacing w:after="0" w:line="77" w:lineRule="exact"/>
        <w:rPr>
          <w:sz w:val="20"/>
          <w:szCs w:val="20"/>
          <w:color w:val="auto"/>
        </w:rPr>
      </w:pPr>
    </w:p>
    <w:p>
      <w:pPr>
        <w:ind w:right="20" w:firstLine="8"/>
        <w:spacing w:after="0" w:line="291" w:lineRule="auto"/>
        <w:tabs>
          <w:tab w:leader="none" w:pos="245"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Maximum Number of Shares</w:t>
      </w:r>
      <w:r>
        <w:rPr>
          <w:rFonts w:ascii="Arial" w:cs="Arial" w:eastAsia="Arial" w:hAnsi="Arial"/>
          <w:sz w:val="17"/>
          <w:szCs w:val="17"/>
          <w:color w:val="auto"/>
        </w:rPr>
        <w:t>. An aggregate of 3,000,000 shares of common stock, $0.001 par value per share, of the Company (the "Common Stock") shall be added to the 18,928,826 shares issuable or transferable under the Plan as of March 21, 2018 for a total of 21,928,826 shares.</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If any Award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is settled in cash, or results in any shares of Common Stock not being issued, the unused shares of Common Stock covered by such Award shall again be available for the grant of Awards under the Plan. Shares of Common Stock delivered (either by actual delivery, attestation or net exercise) to the Company by a Participant to (i) purchase shares of Common Stock upon the exercise of an Award or (ii) satisfy tax withholding obligations with respect to Options and Stock Appreciation Rights (including shares retained from the Option or Stock Appreciation Right creating the tax obligation) shall not be added back to the number of shares available for future grant of Awards (for the avoidance of doubt, shares of Common Stock delivered to the Company by a Participant to satisfy tax withholding obligations with respect to Restricted Stock, Restricted Stock Units and Other Stock Unit Awards (including shares retained from the Restricted Stock, Restricted Stock Unit or Other Stock Unit Award creating the tax obligation) shall be added back to the number of shares available for future grant of Awards). However, in the case of Incentive Stock Options (as hereinafter defined), the foregoing provisions shall be subject to any limitations under the Code. Shares of Common Stock issued under the Plan may consist in whole or in part of authorized but unissued shares or treasury shares. Notwithstanding anything to the contrary herein, with respect to Stock Appreciation Rights settled in shares of Common Stock upon exercise, the aggregate number of shares of Common Stock with respect to which the Stock Appreciation Right is exercised, rather than the number of shares of Common Stock actually issued upon exercise, shall be counted against the number of shares of Common Stock available for Awards under the Plan. In no event shall shares of Common Stock repurchased by the Company on the open market using the proceeds from the exercise of an Award increase the number of shares available for future grant of Awards.</w:t>
      </w:r>
    </w:p>
    <w:p>
      <w:pPr>
        <w:spacing w:after="0" w:line="132" w:lineRule="exact"/>
        <w:rPr>
          <w:sz w:val="20"/>
          <w:szCs w:val="20"/>
          <w:color w:val="auto"/>
        </w:rPr>
      </w:pPr>
    </w:p>
    <w:p>
      <w:pPr>
        <w:ind w:right="20" w:firstLine="8"/>
        <w:spacing w:after="0" w:line="262" w:lineRule="auto"/>
        <w:tabs>
          <w:tab w:leader="none" w:pos="26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Computing the Total Number of Shares of Common Stock Available Under the Plan</w:t>
      </w:r>
      <w:r>
        <w:rPr>
          <w:rFonts w:ascii="Arial" w:cs="Arial" w:eastAsia="Arial" w:hAnsi="Arial"/>
          <w:sz w:val="18"/>
          <w:szCs w:val="18"/>
          <w:color w:val="auto"/>
        </w:rPr>
        <w:t>. For purposes of computing the maximum aggregate number of shares of Common Stock available for issuance under the Plan, the following rules shall apply:</w:t>
      </w:r>
    </w:p>
    <w:p>
      <w:pPr>
        <w:spacing w:after="0" w:line="34" w:lineRule="exact"/>
        <w:rPr>
          <w:sz w:val="20"/>
          <w:szCs w:val="20"/>
          <w:color w:val="auto"/>
        </w:rPr>
      </w:pPr>
    </w:p>
    <w:p>
      <w:pPr>
        <w:ind w:firstLine="8"/>
        <w:spacing w:after="0" w:line="324" w:lineRule="auto"/>
        <w:tabs>
          <w:tab w:leader="none" w:pos="221"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shares of Common Stock made subject to Awards of Options or Stock Appreciation Rights shall be counted against the maximum aggregate number of shares of Common Stock available for issuance under the Plan as one (1) share of Common Stock for every one (1) share of Common Stock granted.</w:t>
      </w:r>
    </w:p>
    <w:p>
      <w:pPr>
        <w:spacing w:after="0" w:line="70" w:lineRule="exact"/>
        <w:rPr>
          <w:rFonts w:ascii="Arial" w:cs="Arial" w:eastAsia="Arial" w:hAnsi="Arial"/>
          <w:sz w:val="16"/>
          <w:szCs w:val="16"/>
          <w:color w:val="auto"/>
        </w:rPr>
      </w:pPr>
    </w:p>
    <w:p>
      <w:pPr>
        <w:ind w:right="20" w:firstLine="8"/>
        <w:spacing w:after="0" w:line="262" w:lineRule="auto"/>
        <w:tabs>
          <w:tab w:leader="none" w:pos="2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shares of Common Stock made subject to Awards of Options or Stock Appreciation Rights which shares are returned to the Plan pursuant to Section 4(a) shall be returned as one (1) share of Common Stock for every one (1) share of Common Stock granted.</w:t>
      </w:r>
    </w:p>
    <w:p>
      <w:pPr>
        <w:spacing w:after="0" w:line="115" w:lineRule="exact"/>
        <w:rPr>
          <w:rFonts w:ascii="Arial" w:cs="Arial" w:eastAsia="Arial" w:hAnsi="Arial"/>
          <w:sz w:val="18"/>
          <w:szCs w:val="18"/>
          <w:color w:val="auto"/>
        </w:rPr>
      </w:pPr>
    </w:p>
    <w:p>
      <w:pPr>
        <w:jc w:val="both"/>
        <w:ind w:firstLine="8"/>
        <w:spacing w:after="0" w:line="294" w:lineRule="auto"/>
        <w:tabs>
          <w:tab w:leader="none" w:pos="32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shares of Common Stock made subject to a Full-Value Award (as defined below): (A) granted prior to May 21, 2009, shall be counted against the maximum aggregate number of shares of Common Stock available for issuance under the Plan as one (1) share of Common Stock for every one (1) share of Common Stock granted; (B) granted on or after May 21, 2009 but prior to May 17, 2012, shall be counted against the maximum aggregate number of shares</w:t>
      </w:r>
    </w:p>
    <w:p>
      <w:pPr>
        <w:sectPr>
          <w:pgSz w:w="11900" w:h="16897" w:orient="portrait"/>
          <w:cols w:equalWidth="0" w:num="1">
            <w:col w:w="11420"/>
          </w:cols>
          <w:pgMar w:left="240" w:top="121" w:right="239" w:bottom="0" w:gutter="0" w:footer="0" w:header="0"/>
        </w:sectPr>
      </w:pPr>
    </w:p>
    <w:bookmarkStart w:id="7" w:name="page8"/>
    <w:bookmarkEnd w:id="7"/>
    <w:p>
      <w:pPr>
        <w:jc w:val="both"/>
        <w:spacing w:after="0"/>
        <w:rPr>
          <w:sz w:val="20"/>
          <w:szCs w:val="20"/>
          <w:color w:val="auto"/>
        </w:rPr>
      </w:pPr>
      <w:r>
        <w:rPr>
          <w:rFonts w:ascii="Arial" w:cs="Arial" w:eastAsia="Arial" w:hAnsi="Arial"/>
          <w:sz w:val="18"/>
          <w:szCs w:val="18"/>
          <w:color w:val="auto"/>
        </w:rPr>
        <w:t>of Common Stock available for issuance under the Plan as 1.5 shares of Common Stock for every one (1) share of Common Stock granted; (C) granted on or after May 17, 2012 but prior to May 22, 2014, shall be counted against the maximum aggregate number of shares of Common Stock available for issuance under the Plan as 1.86 shares of Common Stock for every one (1) share of Common Stock granted; and (D) granted on or after May 22, 2014, shall be counted against the maximum aggregate number of shares of Common Stock available for issuance under the Plan as 2.3 shares of Common Stock for every one (1) share of Common Stock granted. A "Full-Value Award" is an Award of Restricted Stock, a Restricted Stock Unit Award, an Other Stock Unit Award or a Performance Award.</w:t>
      </w:r>
    </w:p>
    <w:p>
      <w:pPr>
        <w:spacing w:after="0" w:line="136" w:lineRule="exact"/>
        <w:rPr>
          <w:sz w:val="20"/>
          <w:szCs w:val="20"/>
          <w:color w:val="auto"/>
        </w:rPr>
      </w:pPr>
    </w:p>
    <w:p>
      <w:pPr>
        <w:jc w:val="both"/>
        <w:ind w:firstLine="8"/>
        <w:spacing w:after="0" w:line="257" w:lineRule="auto"/>
        <w:tabs>
          <w:tab w:leader="none" w:pos="307"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shares of Common Stock made subject to a Full-Value Award which shares are returned to the Plan pursuant to Section 4(a): (A) shall be returned as one (1) share of Common Stock for every one (1) share of Common Stock granted prior to May 21, 2009; (B) shall be returned as 1.5 shares of Common Stock for every one (1) share of Common Stock granted on or subsequent to May 21, 2009 and prior to May 17, 2012; (C) shall be returned as 1.86 shares of Common Stock for every one (1) share of Common Stock granted on or subsequent to May 17, 2012 and prior to May 22, 2014. Beginning on May 22, 2014, any shares of Common Stock subject to a Full-Value Award that are returned to the Plan will be returned as 2.3 shares of Common Stock for every one (1) share of Common Stock subject to such Award, regardless of when the Award was granted.</w:t>
      </w:r>
    </w:p>
    <w:p>
      <w:pPr>
        <w:spacing w:after="0" w:line="122"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Sublimits</w:t>
      </w:r>
      <w:r>
        <w:rPr>
          <w:rFonts w:ascii="Arial" w:cs="Arial" w:eastAsia="Arial" w:hAnsi="Arial"/>
          <w:sz w:val="18"/>
          <w:szCs w:val="18"/>
          <w:color w:val="auto"/>
        </w:rPr>
        <w:t>.</w:t>
      </w:r>
    </w:p>
    <w:p>
      <w:pPr>
        <w:spacing w:after="0" w:line="158" w:lineRule="exact"/>
        <w:rPr>
          <w:sz w:val="20"/>
          <w:szCs w:val="20"/>
          <w:color w:val="auto"/>
        </w:rPr>
      </w:pPr>
    </w:p>
    <w:p>
      <w:pPr>
        <w:jc w:val="both"/>
        <w:ind w:firstLine="8"/>
        <w:spacing w:after="0" w:line="279" w:lineRule="auto"/>
        <w:tabs>
          <w:tab w:leader="none" w:pos="21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Per Participant Limit</w:t>
      </w:r>
      <w:r>
        <w:rPr>
          <w:rFonts w:ascii="Arial" w:cs="Arial" w:eastAsia="Arial" w:hAnsi="Arial"/>
          <w:sz w:val="16"/>
          <w:szCs w:val="16"/>
          <w:color w:val="auto"/>
        </w:rPr>
        <w:t>. The maximum number of shares of Common Stock with respect to which Awards may be granted to any Participant under the Plan shall be 1,000,000 per calendar year. For purposes of the foregoing limit, the combination of an Option in tandem with a SAR (as each is hereafter defined) shall be treated as a single Award. The per Participant limit described in this Section 4(c) shall be construed and applied consistently with Section 162(m) of the Code or any successor provision thereto, and the regulations thereunder ("Section 162(m)"). For the avoidance of doubt, all shares of Common Stock underlying Awards granted under the Plan shall be counted on a one-for-one basis for purposes of the sublimit set forth in this section.</w:t>
      </w:r>
    </w:p>
    <w:p>
      <w:pPr>
        <w:spacing w:after="0" w:line="105" w:lineRule="exact"/>
        <w:rPr>
          <w:rFonts w:ascii="Arial" w:cs="Arial" w:eastAsia="Arial" w:hAnsi="Arial"/>
          <w:sz w:val="16"/>
          <w:szCs w:val="16"/>
          <w:color w:val="auto"/>
        </w:rPr>
      </w:pPr>
    </w:p>
    <w:p>
      <w:pPr>
        <w:jc w:val="both"/>
        <w:ind w:firstLine="8"/>
        <w:spacing w:after="0" w:line="248" w:lineRule="auto"/>
        <w:tabs>
          <w:tab w:leader="none" w:pos="27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Limit Applicable to Non-Employee Directors</w:t>
      </w:r>
      <w:r>
        <w:rPr>
          <w:rFonts w:ascii="Arial" w:cs="Arial" w:eastAsia="Arial" w:hAnsi="Arial"/>
          <w:sz w:val="18"/>
          <w:szCs w:val="18"/>
          <w:color w:val="auto"/>
        </w:rPr>
        <w:t>. In any calendar year, the sum of cash compensation paid to any non-employee director for service as a director and the value of Awards under the Plan made to such non-employee director (calculated based on the grant date fair value of such Awards for financial reporting purposes) shall not exceed $1,000,000.</w:t>
      </w:r>
    </w:p>
    <w:p>
      <w:pPr>
        <w:spacing w:after="0" w:line="128" w:lineRule="exact"/>
        <w:rPr>
          <w:sz w:val="20"/>
          <w:szCs w:val="20"/>
          <w:color w:val="auto"/>
        </w:rPr>
      </w:pPr>
    </w:p>
    <w:p>
      <w:pPr>
        <w:jc w:val="both"/>
        <w:ind w:firstLine="8"/>
        <w:spacing w:after="0" w:line="241"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In connection with a merger or consolidation of an entity with the Company or the acquisition by the Company of property or stock of an entity, the Board may grant Awards in substitution for any options or other stock or stock unit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except as may be required by reason of Section 422 and related provisions of the Code.</w:t>
      </w:r>
    </w:p>
    <w:p>
      <w:pPr>
        <w:spacing w:after="0" w:line="244"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Stock Options</w:t>
      </w:r>
    </w:p>
    <w:p>
      <w:pPr>
        <w:spacing w:after="0" w:line="77" w:lineRule="exact"/>
        <w:rPr>
          <w:sz w:val="20"/>
          <w:szCs w:val="20"/>
          <w:color w:val="auto"/>
        </w:rPr>
      </w:pPr>
    </w:p>
    <w:p>
      <w:pPr>
        <w:jc w:val="both"/>
        <w:ind w:firstLine="8"/>
        <w:spacing w:after="0" w:line="243" w:lineRule="auto"/>
        <w:tabs>
          <w:tab w:leader="none" w:pos="25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(as hereinafter defined) shall be designated a "Nonstatutory Stock Option".</w:t>
      </w:r>
    </w:p>
    <w:p>
      <w:pPr>
        <w:spacing w:after="0" w:line="134" w:lineRule="exact"/>
        <w:rPr>
          <w:rFonts w:ascii="Arial" w:cs="Arial" w:eastAsia="Arial" w:hAnsi="Arial"/>
          <w:sz w:val="18"/>
          <w:szCs w:val="18"/>
          <w:color w:val="auto"/>
        </w:rPr>
      </w:pPr>
    </w:p>
    <w:p>
      <w:pPr>
        <w:jc w:val="both"/>
        <w:ind w:firstLine="8"/>
        <w:spacing w:after="0" w:line="276"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An Option that the Board intends to be an "incentive stock option" as defined in Section 422 of the Code (an "Incentive Stock Option") shall only be granted to employees of Emergent BioSolutions Inc., any of Emergent BioSolutions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 or for any action taken by the Board, including without limitation the conversion of an Incentive Stock Option to a Nonstatutory Stock Option.</w:t>
      </w:r>
    </w:p>
    <w:p>
      <w:pPr>
        <w:spacing w:after="0" w:line="108" w:lineRule="exact"/>
        <w:rPr>
          <w:rFonts w:ascii="Arial" w:cs="Arial" w:eastAsia="Arial" w:hAnsi="Arial"/>
          <w:sz w:val="16"/>
          <w:szCs w:val="16"/>
          <w:color w:val="auto"/>
        </w:rPr>
      </w:pPr>
    </w:p>
    <w:p>
      <w:pPr>
        <w:ind w:firstLine="8"/>
        <w:spacing w:after="0" w:line="291" w:lineRule="auto"/>
        <w:tabs>
          <w:tab w:leader="none" w:pos="24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Board shall establish the exercise price of each Option and specify such exercise price in the applicable option agreement; provided, however, that the exercise price shall not be less than 100% of the Fair Market Value (as defined below) on the date the Option is granted.</w:t>
      </w:r>
    </w:p>
    <w:p>
      <w:pPr>
        <w:spacing w:after="0" w:line="93" w:lineRule="exact"/>
        <w:rPr>
          <w:rFonts w:ascii="Arial" w:cs="Arial" w:eastAsia="Arial" w:hAnsi="Arial"/>
          <w:sz w:val="17"/>
          <w:szCs w:val="17"/>
          <w:color w:val="auto"/>
        </w:rPr>
      </w:pPr>
    </w:p>
    <w:p>
      <w:pPr>
        <w:jc w:val="both"/>
        <w:ind w:firstLine="8"/>
        <w:spacing w:after="0" w:line="268"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Duration and Vesting of Options</w:t>
      </w:r>
      <w:r>
        <w:rPr>
          <w:rFonts w:ascii="Arial" w:cs="Arial" w:eastAsia="Arial" w:hAnsi="Arial"/>
          <w:sz w:val="16"/>
          <w:szCs w:val="16"/>
          <w:color w:val="auto"/>
        </w:rPr>
        <w:t>. Each Option shall be exercisable at such times and subject to such terms and conditions as the Board may specify in the applicable option agreement subject to the limitations of the Plan; provided, however, that no Option granted before March 6, 2012 will be granted for a term in excess of 10 years and no Option granted on or after March 6, 2012 will be granted for a term in excess of 7 years. Options granted to Participants other than non-employee directors that vest solely based on the passage of time shall not vest (i) prior to the first anniversary of the date of grant; (ii) as to more than one-third of the Award prior to the second anniversary of the date of grant; and (iii) as to more than two-thirds of the Award prior to the third anniversary of the date of grant. Options to non-employee directors that vest solely based on the passage of time shall not vest: (i) prior to the earlier of the first anniversary of the date of grant and the date of the first annual meeting held after the date of grant; (ii) as to more than one-third of the Award prior to the earlier of the second anniversary of the date of grant and the date of the second annual meeting held after the date of grant; and (iii) as to more than two-thirds of the Award prior to the earlier of the third anniversary of the date of grant and the date of the third annual meeting held after the date of grant. Notwithstanding the foregoing, the Board or the Committee, either at the time the Option is granted or at any time thereafter, may allow an Option to accelerate and become vested, in whole or in part, prior to the vesting date specified above, in the event of the death or disability of the Participant.Options that do not vest solely based on the passage of time shall not vest prior to the first anniversary of the date of grant (or, in the case of Awards to non-employee directors, the earlier of the first anniversary of the date of grant and the date of the first annual meeting held after the date of grant). The foregoing minimum vesting requirements shall not apply to Awards granted, in the aggregate, for up to 5% of the authorized number of shares specified in Section 4(a). For the avoidance of doubt, all shares of Common Stock underlying Awards granted under the Plan shall be counted on a one-for-one basis for purposes of the minimum vesting provision set forth in this section. The six foregoing sentences shall apply to Options granted on or after May 19, 2016.</w:t>
      </w:r>
    </w:p>
    <w:p>
      <w:pPr>
        <w:spacing w:after="0" w:line="116" w:lineRule="exact"/>
        <w:rPr>
          <w:rFonts w:ascii="Arial" w:cs="Arial" w:eastAsia="Arial" w:hAnsi="Arial"/>
          <w:sz w:val="16"/>
          <w:szCs w:val="16"/>
          <w:color w:val="auto"/>
        </w:rPr>
      </w:pPr>
    </w:p>
    <w:p>
      <w:pPr>
        <w:jc w:val="both"/>
        <w:ind w:firstLine="8"/>
        <w:spacing w:after="0" w:line="243" w:lineRule="auto"/>
        <w:tabs>
          <w:tab w:leader="none" w:pos="24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 Subject to Section 10(e), shares of Common Stock subject to the Option will be delivered by the Company following exercise either as soon as practicable.</w:t>
      </w:r>
    </w:p>
    <w:p>
      <w:pPr>
        <w:spacing w:after="0" w:line="134"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Payment Upon Exercise</w:t>
      </w:r>
      <w:r>
        <w:rPr>
          <w:rFonts w:ascii="Arial" w:cs="Arial" w:eastAsia="Arial" w:hAnsi="Arial"/>
          <w:sz w:val="18"/>
          <w:szCs w:val="18"/>
          <w:color w:val="auto"/>
        </w:rPr>
        <w:t>.  Common Stock purchased upon the exercise of an Option granted under the Plan shall be paid for as follows:</w:t>
      </w:r>
    </w:p>
    <w:p>
      <w:pPr>
        <w:spacing w:after="0" w:line="77"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157" w:lineRule="exact"/>
        <w:rPr>
          <w:rFonts w:ascii="Arial" w:cs="Arial" w:eastAsia="Arial" w:hAnsi="Arial"/>
          <w:sz w:val="18"/>
          <w:szCs w:val="18"/>
          <w:color w:val="auto"/>
        </w:rPr>
      </w:pPr>
    </w:p>
    <w:p>
      <w:pPr>
        <w:jc w:val="both"/>
        <w:ind w:firstLine="8"/>
        <w:spacing w:after="0" w:line="267" w:lineRule="auto"/>
        <w:tabs>
          <w:tab w:leader="none" w:pos="267"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as otherwise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 (iii) to the extent provided for in the applicable option agreement or approved by the Board, in its sole discretion, by delivery (either by actual delivery or attestation) of shares of Common Stock owned by the Participant valued at their fair market value as determined by (or in a manner approved by) the Board ("Fair Market Value"), provided (i) such method of payment is then permitted under applicable law,</w:t>
      </w:r>
    </w:p>
    <w:p>
      <w:pPr>
        <w:spacing w:after="0" w:line="3" w:lineRule="exact"/>
        <w:rPr>
          <w:rFonts w:ascii="Arial" w:cs="Arial" w:eastAsia="Arial" w:hAnsi="Arial"/>
          <w:sz w:val="16"/>
          <w:szCs w:val="16"/>
          <w:color w:val="auto"/>
        </w:rPr>
      </w:pPr>
    </w:p>
    <w:p>
      <w:pPr>
        <w:jc w:val="both"/>
        <w:ind w:firstLine="8"/>
        <w:spacing w:after="0" w:line="239" w:lineRule="auto"/>
        <w:tabs>
          <w:tab w:leader="none" w:pos="298"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ectPr>
          <w:pgSz w:w="11900" w:h="16838" w:orient="portrait"/>
          <w:cols w:equalWidth="0" w:num="1">
            <w:col w:w="11420"/>
          </w:cols>
          <w:pgMar w:left="240" w:top="125" w:right="239" w:bottom="0" w:gutter="0" w:footer="0" w:header="0"/>
        </w:sectPr>
      </w:pPr>
    </w:p>
    <w:bookmarkStart w:id="8" w:name="page9"/>
    <w:bookmarkEnd w:id="8"/>
    <w:p>
      <w:pPr>
        <w:spacing w:after="0" w:line="91" w:lineRule="exact"/>
        <w:rPr>
          <w:sz w:val="20"/>
          <w:szCs w:val="20"/>
          <w:color w:val="auto"/>
        </w:rPr>
      </w:pPr>
    </w:p>
    <w:p>
      <w:pPr>
        <w:ind w:left="332" w:hanging="332"/>
        <w:spacing w:after="0"/>
        <w:tabs>
          <w:tab w:leader="none" w:pos="33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the extent permitted by applicable law and provided for in the applicable option agreement or approved by the Board, in its sole discretion, by</w:t>
      </w:r>
    </w:p>
    <w:p>
      <w:pPr>
        <w:spacing w:after="0" w:line="23" w:lineRule="exact"/>
        <w:rPr>
          <w:rFonts w:ascii="Arial" w:cs="Arial" w:eastAsia="Arial" w:hAnsi="Arial"/>
          <w:sz w:val="17"/>
          <w:szCs w:val="17"/>
          <w:color w:val="auto"/>
        </w:rPr>
      </w:pPr>
    </w:p>
    <w:p>
      <w:pPr>
        <w:ind w:left="-8" w:firstLine="8"/>
        <w:spacing w:after="0" w:line="243" w:lineRule="auto"/>
        <w:tabs>
          <w:tab w:leader="none" w:pos="216"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delivery of a promissory note of the Participant to the Company on terms determined by the Board, or (ii) payment of such other lawful consideration as the Board may determine; or</w:t>
      </w:r>
    </w:p>
    <w:p>
      <w:pPr>
        <w:spacing w:after="0" w:line="132" w:lineRule="exact"/>
        <w:rPr>
          <w:rFonts w:ascii="Arial" w:cs="Arial" w:eastAsia="Arial" w:hAnsi="Arial"/>
          <w:sz w:val="18"/>
          <w:szCs w:val="18"/>
          <w:color w:val="auto"/>
        </w:rPr>
      </w:pPr>
    </w:p>
    <w:p>
      <w:pPr>
        <w:ind w:left="252" w:hanging="252"/>
        <w:spacing w:after="0"/>
        <w:tabs>
          <w:tab w:leader="none" w:pos="2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158" w:lineRule="exact"/>
        <w:rPr>
          <w:sz w:val="20"/>
          <w:szCs w:val="20"/>
          <w:color w:val="auto"/>
        </w:rPr>
      </w:pPr>
    </w:p>
    <w:p>
      <w:pPr>
        <w:jc w:val="both"/>
        <w:ind w:left="-8" w:firstLine="8"/>
        <w:spacing w:after="0" w:line="255" w:lineRule="auto"/>
        <w:tabs>
          <w:tab w:leader="none" w:pos="247"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Limitation on Repricing</w:t>
      </w:r>
      <w:r>
        <w:rPr>
          <w:rFonts w:ascii="Arial" w:cs="Arial" w:eastAsia="Arial" w:hAnsi="Arial"/>
          <w:sz w:val="17"/>
          <w:szCs w:val="17"/>
          <w:color w:val="auto"/>
        </w:rPr>
        <w:t>. Unless such action is approved by the Company's stockholders or is pursuant to Section 9 of the Plan: (i) outstanding Options granted under the Plan may not be amended to provide an exercise price per share that is lower than the then-current exercise price per share of such outstanding Option, (ii) the Board may also not cancel any outstanding option (whether or not granted under the Plan) and grant in substitution therefor new Awards under the Plan covering the same or a different number of shares of Common Stock and having an exercise price per share lower than the then-current exercise price per share of the cancelled option, (iii) the Board may not cancel in exchange for a cash payment any outstanding Option with an exercise price per share above the then-current Fair Market Value or (iv) the Board may not take any other action under the Plan that constitutes a "repricing" under the rules of the New York Stock Exchange ("NYSE").</w:t>
      </w:r>
    </w:p>
    <w:p>
      <w:pPr>
        <w:spacing w:after="0" w:line="234" w:lineRule="exact"/>
        <w:rPr>
          <w:sz w:val="20"/>
          <w:szCs w:val="20"/>
          <w:color w:val="auto"/>
        </w:rPr>
      </w:pPr>
    </w:p>
    <w:p>
      <w:pPr>
        <w:ind w:left="352" w:hanging="352"/>
        <w:spacing w:after="0"/>
        <w:tabs>
          <w:tab w:leader="none" w:pos="35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p>
    <w:p>
      <w:pPr>
        <w:spacing w:after="0" w:line="77" w:lineRule="exact"/>
        <w:rPr>
          <w:sz w:val="20"/>
          <w:szCs w:val="20"/>
          <w:color w:val="auto"/>
        </w:rPr>
      </w:pPr>
    </w:p>
    <w:p>
      <w:pPr>
        <w:jc w:val="both"/>
        <w:ind w:left="-8" w:firstLine="8"/>
        <w:spacing w:after="0" w:line="248" w:lineRule="auto"/>
        <w:tabs>
          <w:tab w:leader="none" w:pos="23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 Stock Appreciation Right, or SAR, is an Award entitling the holder, upon exercise, to receive an amount of Common Stock determined by reference to appreciation, from and after the date of grant, in the fair market value of a share of Common Stock. The date as of which such appreciation or other measure is determined shall be the exercise date.</w:t>
      </w:r>
    </w:p>
    <w:p>
      <w:pPr>
        <w:spacing w:after="0" w:line="128" w:lineRule="exact"/>
        <w:rPr>
          <w:rFonts w:ascii="Arial" w:cs="Arial" w:eastAsia="Arial" w:hAnsi="Arial"/>
          <w:sz w:val="18"/>
          <w:szCs w:val="18"/>
          <w:color w:val="auto"/>
        </w:rPr>
      </w:pPr>
    </w:p>
    <w:p>
      <w:pPr>
        <w:ind w:left="252" w:hanging="252"/>
        <w:spacing w:after="0"/>
        <w:tabs>
          <w:tab w:leader="none" w:pos="25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Stock Appreciation Rights may be granted in tandem with, or independently of, Options granted under the Plan.</w:t>
      </w:r>
    </w:p>
    <w:p>
      <w:pPr>
        <w:spacing w:after="0" w:line="158" w:lineRule="exact"/>
        <w:rPr>
          <w:sz w:val="20"/>
          <w:szCs w:val="20"/>
          <w:color w:val="auto"/>
        </w:rPr>
      </w:pPr>
    </w:p>
    <w:p>
      <w:pPr>
        <w:jc w:val="both"/>
        <w:ind w:left="-8" w:firstLine="8"/>
        <w:spacing w:after="0" w:line="271" w:lineRule="auto"/>
        <w:tabs>
          <w:tab w:leader="none" w:pos="207"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Tandem Awards</w:t>
      </w:r>
      <w:r>
        <w:rPr>
          <w:rFonts w:ascii="Arial" w:cs="Arial" w:eastAsia="Arial" w:hAnsi="Arial"/>
          <w:sz w:val="16"/>
          <w:szCs w:val="16"/>
          <w:color w:val="auto"/>
        </w:rPr>
        <w:t>. When Stock Appreciation Rights are expressly granted in tandem with Options, (i) the Stock Appreciation Right will be exercisable only at such time or times, and to the extent, that the related Option is exercisable (except to the extent designated by the Board in connection with a Reorganization Event or a Change in Control Event) and will be exercisable in accordance with the procedure required for exercise of the related Option;</w:t>
      </w:r>
    </w:p>
    <w:p>
      <w:pPr>
        <w:jc w:val="both"/>
        <w:ind w:left="-8" w:firstLine="8"/>
        <w:spacing w:after="0" w:line="252" w:lineRule="auto"/>
        <w:tabs>
          <w:tab w:leader="none" w:pos="277"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Stock Appreciation Right will terminate and no longer be exercisable upon the termination or exercise of the related Option, except to the extent designated by the Board in connection with a Reorganization Event or a Change in Control Event and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 (iii) the Option will terminate and no longer be exercisable upon the exercise of the related Stock Appreciation Right; and (iv) the Stock Appreciation Right will be transferable only with the related Option. No tandem SAR may have a base amount that is less than 100% of the fair market value of a share of Common Stock on the date of grant. No tandem SAR granted prior to March 6, 2012 may have a term of more than ten (10) years from the date of grant and no tandem SAR granted on or after March 6, 2012 may have a term of more than seven (7) years from the date of grant.</w:t>
      </w:r>
    </w:p>
    <w:p>
      <w:pPr>
        <w:spacing w:after="0" w:line="125" w:lineRule="exact"/>
        <w:rPr>
          <w:sz w:val="20"/>
          <w:szCs w:val="20"/>
          <w:color w:val="auto"/>
        </w:rPr>
      </w:pPr>
    </w:p>
    <w:p>
      <w:pPr>
        <w:jc w:val="both"/>
        <w:ind w:left="-8" w:firstLine="8"/>
        <w:spacing w:after="0" w:line="259" w:lineRule="auto"/>
        <w:tabs>
          <w:tab w:leader="none" w:pos="257"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Independent SARs</w:t>
      </w:r>
      <w:r>
        <w:rPr>
          <w:rFonts w:ascii="Arial" w:cs="Arial" w:eastAsia="Arial" w:hAnsi="Arial"/>
          <w:sz w:val="17"/>
          <w:szCs w:val="17"/>
          <w:color w:val="auto"/>
        </w:rPr>
        <w:t>. A Stock Appreciation Right not expressly granted in tandem with an Option will become exercisable at such time or times, and on such conditions, as the Board may specify in the SAR Award; provided, however, that the base amount specified on the date of grant to calculate appreciation shall be no less than 100% of the fair market value of a share of Common Stock on the date of grant and the maximum term of any Stock Appreciation Right shall (i) with respect to Stock Appreciation Rights granted prior to March 6, 2012, be no more than ten (10) years from the date of grant and (ii) with respect to Stock Appreciation Rights granted on or after March 6, 2012 be no more than seven (7) years from the date of grant.</w:t>
      </w:r>
    </w:p>
    <w:p>
      <w:pPr>
        <w:spacing w:after="0" w:line="120" w:lineRule="exact"/>
        <w:rPr>
          <w:sz w:val="20"/>
          <w:szCs w:val="20"/>
          <w:color w:val="auto"/>
        </w:rPr>
      </w:pPr>
    </w:p>
    <w:p>
      <w:pPr>
        <w:ind w:left="-8" w:right="20" w:firstLine="8"/>
        <w:spacing w:after="0" w:line="291" w:lineRule="auto"/>
        <w:tabs>
          <w:tab w:leader="none" w:pos="237"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Exercise</w:t>
      </w:r>
      <w:r>
        <w:rPr>
          <w:rFonts w:ascii="Arial" w:cs="Arial" w:eastAsia="Arial" w:hAnsi="Arial"/>
          <w:sz w:val="17"/>
          <w:szCs w:val="17"/>
          <w:color w:val="auto"/>
        </w:rPr>
        <w:t>. Stock Appreciation Rights may be exercised by delivery to the Company of a written notice of exercise signed by the proper person or by any other form of notice (including electronic notice) approved by the Board, together with any other documents required by the Board.</w:t>
      </w:r>
    </w:p>
    <w:p>
      <w:pPr>
        <w:spacing w:after="0" w:line="93" w:lineRule="exact"/>
        <w:rPr>
          <w:rFonts w:ascii="Arial" w:cs="Arial" w:eastAsia="Arial" w:hAnsi="Arial"/>
          <w:sz w:val="17"/>
          <w:szCs w:val="17"/>
          <w:color w:val="auto"/>
        </w:rPr>
      </w:pPr>
    </w:p>
    <w:p>
      <w:pPr>
        <w:ind w:left="252" w:hanging="252"/>
        <w:spacing w:after="0"/>
        <w:tabs>
          <w:tab w:leader="none" w:pos="25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Stock Appreciation Rights granted to Participants other than non-employee directors that vest solely based on the passage of time shall not vest</w:t>
      </w:r>
    </w:p>
    <w:p>
      <w:pPr>
        <w:spacing w:after="0" w:line="34" w:lineRule="exact"/>
        <w:rPr>
          <w:rFonts w:ascii="Arial" w:cs="Arial" w:eastAsia="Arial" w:hAnsi="Arial"/>
          <w:sz w:val="16"/>
          <w:szCs w:val="16"/>
          <w:color w:val="auto"/>
        </w:rPr>
      </w:pPr>
    </w:p>
    <w:p>
      <w:pPr>
        <w:jc w:val="both"/>
        <w:ind w:left="-8" w:firstLine="8"/>
        <w:spacing w:after="0" w:line="267" w:lineRule="auto"/>
        <w:tabs>
          <w:tab w:leader="none" w:pos="209"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prior to the first anniversary of the date of grant; (ii) as to more than one-third of the Award prior to the second anniversary of the date of grant; and (iii) as to more than two-thirds of the Award prior to the third anniversary of the date of grant. Stock Appreciation Rights granted to non-employee directors that vest solely based on the passage of time shall not vest: (i) prior to the earlier of the first anniversary of the date of grant and the date of the first annual meeting held after the date of grant; (ii) as to more than one-third of the Award prior to the earlier of the second anniversary of the date of grant and the date of the second annual meeting held after the date of grant; and (iii) as to more than two-thirds of the Award prior to the earlier of the third anniversary of the date of grant and the date of the third annual meeting held after the date of grant. Notwithstanding the foregoing, the Board or the Committee, either at the time the Stock Appreciation Right is granted or at any time thereafter, may allow an Stock Appreciation Right to accelerate and become vested, in whole or in part, prior to the vesting date specified above, in the event of the death or disability of the Participant. Stock Appreciation Rights that do not vest solely based on the passage of time shall not vest prior to the first anniversary of the date of grant (or, in the case of Awards to non-employee directors, the earlier of the first anniversary of the date of grant and the date of the first annual meeting held after the date of grant). The foregoing minimum vesting requirements shall not apply to Awards granted, in the aggregate, for up to 5% of the authorized number of shares specified in Section 4(a). For the avoidance of doubt, all shares of Common Stock underlying Awards granted under the Plan shall be counted on a one-for-one basis for purposes of the minimum vesting provision set forth in this section. The six foregoing sentences shall only apply to Stock Appreciation Rights granted on or after May 19, 2016.</w:t>
      </w:r>
    </w:p>
    <w:p>
      <w:pPr>
        <w:spacing w:after="0" w:line="118" w:lineRule="exact"/>
        <w:rPr>
          <w:rFonts w:ascii="Arial" w:cs="Arial" w:eastAsia="Arial" w:hAnsi="Arial"/>
          <w:sz w:val="16"/>
          <w:szCs w:val="16"/>
          <w:color w:val="auto"/>
        </w:rPr>
      </w:pPr>
    </w:p>
    <w:p>
      <w:pPr>
        <w:jc w:val="both"/>
        <w:ind w:left="-8" w:firstLine="8"/>
        <w:spacing w:after="0" w:line="255" w:lineRule="auto"/>
        <w:tabs>
          <w:tab w:leader="none" w:pos="237"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Limitation on Repricing</w:t>
      </w:r>
      <w:r>
        <w:rPr>
          <w:rFonts w:ascii="Arial" w:cs="Arial" w:eastAsia="Arial" w:hAnsi="Arial"/>
          <w:sz w:val="17"/>
          <w:szCs w:val="17"/>
          <w:color w:val="auto"/>
        </w:rPr>
        <w:t>. Unless such action is approved by the Company's stockholders or is pursuant to Section 9 of the Plan: (i) outstanding Stock Appreciation Rights granted under the Plan may not be amended to provide a base price per share that is lower than the then-current base price per share of such outstanding Stock Appreciation Right, (ii) the Board may also not cancel any outstanding stock appreciation right (whether or not granted under the Plan) and grant in substitution therefor new Awards under the Plan covering the same or a different number of shares of Common Stock and having a base price per share lower than the then-current base price per share of the cancelled stock appreciation right, (iii) the Board may not cancel in exchange for a cash payment any outstanding Stock Appreciation Right with a base price per share above the then-current Fair Market Value or (iv) the Board may not take any other action under the Plan that constitutes a "repricing" under the rules of the NYSE.</w:t>
      </w:r>
    </w:p>
    <w:p>
      <w:pPr>
        <w:spacing w:after="0" w:line="234" w:lineRule="exact"/>
        <w:rPr>
          <w:sz w:val="20"/>
          <w:szCs w:val="20"/>
          <w:color w:val="auto"/>
        </w:rPr>
      </w:pPr>
    </w:p>
    <w:p>
      <w:pPr>
        <w:ind w:left="352" w:hanging="352"/>
        <w:spacing w:after="0"/>
        <w:tabs>
          <w:tab w:leader="none" w:pos="35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Restricted Stock; Restricted Stock Units</w:t>
      </w:r>
    </w:p>
    <w:p>
      <w:pPr>
        <w:spacing w:after="0" w:line="77" w:lineRule="exact"/>
        <w:rPr>
          <w:sz w:val="20"/>
          <w:szCs w:val="20"/>
          <w:color w:val="auto"/>
        </w:rPr>
      </w:pPr>
    </w:p>
    <w:p>
      <w:pPr>
        <w:jc w:val="both"/>
        <w:ind w:left="-8" w:firstLine="8"/>
        <w:spacing w:after="0"/>
        <w:tabs>
          <w:tab w:leader="none" w:pos="23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entitling recipients to acquire shares of Common Stock ("Restricted Stock"), subject to the right of the Company to repurchase all or part of such shares at their issue price or other stated or formula price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to be delivered at the time such shares of Common Stock vest ("Restricted Stock Units") (Restricted Stock and Restricted Stock Units are each referred to herein as a "Restricted Stock Award").</w:t>
      </w:r>
    </w:p>
    <w:p>
      <w:pPr>
        <w:spacing w:after="0" w:line="149" w:lineRule="exact"/>
        <w:rPr>
          <w:rFonts w:ascii="Arial" w:cs="Arial" w:eastAsia="Arial" w:hAnsi="Arial"/>
          <w:sz w:val="18"/>
          <w:szCs w:val="18"/>
          <w:color w:val="auto"/>
        </w:rPr>
      </w:pPr>
    </w:p>
    <w:p>
      <w:pPr>
        <w:jc w:val="both"/>
        <w:ind w:left="-8" w:firstLine="8"/>
        <w:spacing w:after="0" w:line="271" w:lineRule="auto"/>
        <w:tabs>
          <w:tab w:leader="none" w:pos="247"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Terms and Conditions for all Restricted Stock Awards</w:t>
      </w:r>
      <w:r>
        <w:rPr>
          <w:rFonts w:ascii="Arial" w:cs="Arial" w:eastAsia="Arial" w:hAnsi="Arial"/>
          <w:sz w:val="16"/>
          <w:szCs w:val="16"/>
          <w:color w:val="auto"/>
        </w:rPr>
        <w:t>. The Board shall determine the terms and conditions of a Restricted Stock Award, including the conditions for vesting and repurchase (or forfeiture) and the issue price, provided that for Restricted Stock Awards granted on or after May 19, 2016, the following minimum vesting provisions shall apply. Restricted Stock Awards granted to Participants other than non-employee directors that vest solely based on the passage of time shall not vest: (i) prior to the first anniversary of the date of grant; (ii) as to more than one-third of the Award prior to the second anniversary of the date of grant; and (iii) as to more than two-thirds of the Award prior to the third anniversary of the date of grant. Restricted Stock Awards granted to non-employee directors that vest solely based on the passage of time shall not vest: (i) prior to the earlier of the first anniversary of the date of grant and the date of the first annual meeting held after the date of grant; (ii) as to more than one-third of the Award prior to the earlier of the second anniversary of the date of grant and the date of the second annual meeting held after the date of grant; and (iii) as to more than two-thirds of the Award prior to the earlier of the third anniversary of the date of grant and the date of the third annual meeting held after the date of grant. Restricted Stock Awards that do not vest solely</w:t>
      </w:r>
    </w:p>
    <w:p>
      <w:pPr>
        <w:sectPr>
          <w:pgSz w:w="11900" w:h="16930" w:orient="portrait"/>
          <w:cols w:equalWidth="0" w:num="1">
            <w:col w:w="11412"/>
          </w:cols>
          <w:pgMar w:left="248" w:top="125" w:right="239" w:bottom="0" w:gutter="0" w:footer="0" w:header="0"/>
        </w:sectPr>
      </w:pPr>
    </w:p>
    <w:bookmarkStart w:id="9" w:name="page10"/>
    <w:bookmarkEnd w:id="9"/>
    <w:p>
      <w:pPr>
        <w:jc w:val="both"/>
        <w:spacing w:after="0" w:line="248" w:lineRule="auto"/>
        <w:rPr>
          <w:sz w:val="20"/>
          <w:szCs w:val="20"/>
          <w:color w:val="auto"/>
        </w:rPr>
      </w:pPr>
      <w:r>
        <w:rPr>
          <w:rFonts w:ascii="Arial" w:cs="Arial" w:eastAsia="Arial" w:hAnsi="Arial"/>
          <w:sz w:val="18"/>
          <w:szCs w:val="18"/>
          <w:color w:val="auto"/>
        </w:rPr>
        <w:t>based on the passage of time (excluding Performance Awards granted pursuant to Section 10(i)) shall not vest prior to the first anniversary of the date of grant (or, in the case of Awards to non-employee directors, the earlier of the first anniversary of the date of grant and date of the first annual meeting held after the date of grant).</w:t>
      </w:r>
    </w:p>
    <w:p>
      <w:pPr>
        <w:spacing w:after="0" w:line="12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Notwithstanding any other provision of the Plan (other than Section 10(i), if applicable), the Board or Committee may, either at the time a Restricted Stock Award is made or at any time thereafter, waive any right to repurchase shares of Common Stock (or waive the forfeiture thereof) or remove or modify the restrictions applicable to the Restricted Stock Award, in whole or in part, in the event of the death or disability of the Participant. The foregoing minimum vesting requirements shall not apply to Awards granted, in the aggregate, for up to 5% of the authorized number of shares specified in Section 4(a). For the avoidance of doubt, all shares of Common Stock underlying Awards granted under the Plan shall be counted on a one-for-one basis for purposes of the minimum vesting provisions set forth in this section.</w:t>
      </w:r>
    </w:p>
    <w:p>
      <w:pPr>
        <w:spacing w:after="0" w:line="136"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w:t>
      </w:r>
    </w:p>
    <w:p>
      <w:pPr>
        <w:spacing w:after="0" w:line="158" w:lineRule="exact"/>
        <w:rPr>
          <w:sz w:val="20"/>
          <w:szCs w:val="20"/>
          <w:color w:val="auto"/>
        </w:rPr>
      </w:pPr>
    </w:p>
    <w:p>
      <w:pPr>
        <w:jc w:val="both"/>
        <w:ind w:firstLine="8"/>
        <w:spacing w:after="0" w:line="259" w:lineRule="auto"/>
        <w:tabs>
          <w:tab w:leader="none" w:pos="21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Unless otherwise provided in the applicable Award agreement, any dividends (whether paid in cash, stock or property) declared and paid by the Company with respect to shares of Restricted Stock ("Unvested Dividends")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shares of Restricted Stock.</w:t>
      </w:r>
    </w:p>
    <w:p>
      <w:pPr>
        <w:spacing w:after="0" w:line="120" w:lineRule="exact"/>
        <w:rPr>
          <w:rFonts w:ascii="Arial" w:cs="Arial" w:eastAsia="Arial" w:hAnsi="Arial"/>
          <w:sz w:val="17"/>
          <w:szCs w:val="17"/>
          <w:color w:val="auto"/>
        </w:rPr>
      </w:pPr>
    </w:p>
    <w:p>
      <w:pPr>
        <w:jc w:val="both"/>
        <w:ind w:firstLine="8"/>
        <w:spacing w:after="0"/>
        <w:tabs>
          <w:tab w:leader="none" w:pos="26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The Company may require that any stock certificates issued in respect of shares of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136"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 Units</w:t>
      </w:r>
    </w:p>
    <w:p>
      <w:pPr>
        <w:spacing w:after="0" w:line="158" w:lineRule="exact"/>
        <w:rPr>
          <w:sz w:val="20"/>
          <w:szCs w:val="20"/>
          <w:color w:val="auto"/>
        </w:rPr>
      </w:pPr>
    </w:p>
    <w:p>
      <w:pPr>
        <w:jc w:val="both"/>
        <w:ind w:firstLine="8"/>
        <w:spacing w:after="0" w:line="243" w:lineRule="auto"/>
        <w:tabs>
          <w:tab w:leader="none" w:pos="21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Upon the vesting of and/or lapsing of any other restrictions (i.e., settlement) with respect to each Restricted Stock Unit, the Participant shall be entitled to receive from the Company such number of shares of Common Stock or an amount of cash equal to the Fair Market Value of such number of shares of Common Stock, as provided in the applicable Award agreement. The Board may, in its discretion, provide that settlement of Restricted Stock Units shall be deferred, on a mandatory basis or at the election of the Participant.</w:t>
      </w:r>
    </w:p>
    <w:p>
      <w:pPr>
        <w:spacing w:after="0" w:line="147" w:lineRule="exact"/>
        <w:rPr>
          <w:rFonts w:ascii="Arial" w:cs="Arial" w:eastAsia="Arial" w:hAnsi="Arial"/>
          <w:sz w:val="18"/>
          <w:szCs w:val="18"/>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 Participant shall have no voting rights with respect to any Restricted Stock Units.</w:t>
      </w:r>
    </w:p>
    <w:p>
      <w:pPr>
        <w:spacing w:after="0" w:line="157" w:lineRule="exact"/>
        <w:rPr>
          <w:rFonts w:ascii="Arial" w:cs="Arial" w:eastAsia="Arial" w:hAnsi="Arial"/>
          <w:sz w:val="18"/>
          <w:szCs w:val="18"/>
          <w:color w:val="auto"/>
        </w:rPr>
      </w:pPr>
    </w:p>
    <w:p>
      <w:pPr>
        <w:jc w:val="both"/>
        <w:ind w:firstLine="8"/>
        <w:spacing w:after="0" w:line="258" w:lineRule="auto"/>
        <w:tabs>
          <w:tab w:leader="none" w:pos="315"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To the extent provided by the Board, in its sole discretion, a grant of Restricted Stock Units may provide Participants with the right to receive an amount equal to any dividends or other distributions declared and paid on an equal number of outstanding shares of Common Stock</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("Dividend Equivalents"). Dividend Equivalents may be settled in cash and/or shares of Common Stock and shall be subject to the same restrictions on transfer and forfeitability as the Restricted Stock Units with respect to which paid, as determined by the Board in its sole discretion, subject in each case to such terms and conditions as the Board shall establish, in each case to be set forth in the applicable Award agreement.</w:t>
      </w:r>
    </w:p>
    <w:p>
      <w:pPr>
        <w:spacing w:after="0" w:line="227"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Other Stock-Unit Awards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Other Awards of shares of Common Stock, and other Awards that are valued in whole or in part by reference to, or are otherwise based on, shares of Common Stock or other property, may be granted hereunder to Participants ("Other Stock Unit Awards"), including without limitation Awards entitling recipients to receive shares of Common Stock to be delivered in the future. Such Other Stock Unit Awards shall also be available as a form of payment in the settlement of other Awards granted under the Plan or as payment in lieu of compensation to which a Participant is otherwise entitled. Other Stock Unit Awards may be paid in shares of Common Stock or cash, as the Board shall determine. Subject to the provisions of the Plan, the Board shall determine the terms and conditions of each Other Stock Unit Award, including any purchase price applicable thereto</w:t>
      </w:r>
      <w:r>
        <w:rPr>
          <w:rFonts w:ascii="Arial" w:cs="Arial" w:eastAsia="Arial" w:hAnsi="Arial"/>
          <w:sz w:val="17"/>
          <w:szCs w:val="17"/>
          <w:b w:val="1"/>
          <w:bCs w:val="1"/>
          <w:color w:val="auto"/>
        </w:rPr>
        <w:t>,</w:t>
      </w:r>
      <w:r>
        <w:rPr>
          <w:rFonts w:ascii="Arial" w:cs="Arial" w:eastAsia="Arial" w:hAnsi="Arial"/>
          <w:sz w:val="17"/>
          <w:szCs w:val="17"/>
          <w:color w:val="auto"/>
        </w:rPr>
        <w:t xml:space="preserve"> provided that for Other Stock Unit Awards granted on or after May 19, 2016 the following minimum vesting provisions shall apply.</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Other Stock Unit Awards granted to Participants other than non-employee directors that vest solely based on the passage of time shall not vest: (i) prior to the first anniversary of the date of grant; (ii) as to more than one-third of the Award prior to the second anniversary of the date of grant; and (iii) as to more than two-thirds of the Award prior to the third anniversary of the date of grant. Other Stock Unit Awards granted to non-employee directors that vest solely based on the passage of time shall not vest: (i) prior to the earlier of the first anniversary of the date of grant and the date of the first annual meeting held after the date of grant; (ii) as to more than one-third of the Award prior to the earlier of the second anniversary of the date of grant and the date of the second annual meeting held after the date of grant; and (iii) as to more than two-thirds of the Award prior to the earlier of the third anniversary of the date of grant and the date of the third annual meeting held after the date of grant. Other Stock Unit Awards that do not vest solely based on the passage of time (excluding Performance Awards granted pursuant to Section 10(i)) shall not vest prior to the first anniversary of the date of grant (or, in the case of Awards to non-employee directors, the earlier of the first anniversary of the date of grant and date of the first annual meeting held after the date of grant).</w:t>
      </w:r>
    </w:p>
    <w:p>
      <w:pPr>
        <w:spacing w:after="0" w:line="1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Notwithstanding any other provision of the Plan (other than Section 10(i), if applicable), the Board or Committee may, either at the time a Stock Unit Award is made or at any time thereafter, waive any right to repurchase shares of Common Stock (or waive the forfeiture thereof) or remove or modify the restrictions applicable to the Stock Unit Award, in whole or in part, in the event of the death or disability of the Participant. The foregoing minimum vesting requirements shall not apply to Awards granted, in the aggregate, for up to 5% of the authorized number of shares specified in Section 4(a)(1). For the avoidance of doubt, all shares of Common Stock underlying Awards granted under the Plan shall be counted on a one-for-one basis for purposes of the minimum vesting provisions set forth in this section.</w:t>
      </w:r>
    </w:p>
    <w:p>
      <w:pPr>
        <w:spacing w:after="0" w:line="244"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Common Stock and Certain Other Events</w:t>
      </w:r>
    </w:p>
    <w:p>
      <w:pPr>
        <w:spacing w:after="0" w:line="77" w:lineRule="exact"/>
        <w:rPr>
          <w:sz w:val="20"/>
          <w:szCs w:val="20"/>
          <w:color w:val="auto"/>
        </w:rPr>
      </w:pPr>
    </w:p>
    <w:p>
      <w:pPr>
        <w:jc w:val="both"/>
        <w:ind w:firstLine="8"/>
        <w:spacing w:after="0" w:line="253" w:lineRule="auto"/>
        <w:tabs>
          <w:tab w:leader="none" w:pos="258"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Changes in Capitalization</w:t>
      </w:r>
      <w:r>
        <w:rPr>
          <w:rFonts w:ascii="Arial" w:cs="Arial" w:eastAsia="Arial" w:hAnsi="Arial"/>
          <w:sz w:val="17"/>
          <w:szCs w:val="17"/>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limits set forth in Section 4(c), (iii) the share- and per-share provisions and the exercise price of each SAR, (iv) the number of shares subject to and the repurchase price per share subject to each outstanding Restricted Stock Award, and (v) the share- and per-share-related provisions and the purchase price, if any, of each outstanding Other Stock Unit Award, shall be appropriately adjusted by the Company (or substituted Awards may be made, if applicable) to the extent determined by the Board. Without limiting the generality of the foregoing, in the event the Company effects a split of the Common Stock by means of a stock dividend and the exercise price of and the number of shares subject to any outstanding Options are adjusted as of the date of the distribution of the dividend (rather than as of the record date for such dividend), then optionees who exercise such Options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23" w:lineRule="exact"/>
        <w:rPr>
          <w:rFonts w:ascii="Arial" w:cs="Arial" w:eastAsia="Arial" w:hAnsi="Arial"/>
          <w:sz w:val="17"/>
          <w:szCs w:val="17"/>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Reorganization and Change in Control Events</w:t>
      </w:r>
    </w:p>
    <w:p>
      <w:pPr>
        <w:sectPr>
          <w:pgSz w:w="11900" w:h="16838" w:orient="portrait"/>
          <w:cols w:equalWidth="0" w:num="1">
            <w:col w:w="11420"/>
          </w:cols>
          <w:pgMar w:left="240" w:top="125" w:right="239" w:bottom="0" w:gutter="0" w:footer="0" w:header="0"/>
        </w:sectPr>
      </w:pPr>
    </w:p>
    <w:bookmarkStart w:id="10" w:name="page11"/>
    <w:bookmarkEnd w:id="10"/>
    <w:p>
      <w:pPr>
        <w:ind w:left="220" w:hanging="212"/>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 A "Reorganization Event" shall mean:</w:t>
      </w:r>
    </w:p>
    <w:p>
      <w:pPr>
        <w:spacing w:after="0" w:line="77" w:lineRule="exact"/>
        <w:rPr>
          <w:sz w:val="20"/>
          <w:szCs w:val="20"/>
          <w:color w:val="auto"/>
        </w:rPr>
      </w:pPr>
    </w:p>
    <w:p>
      <w:pPr>
        <w:ind w:firstLine="8"/>
        <w:spacing w:after="0" w:line="262" w:lineRule="auto"/>
        <w:tabs>
          <w:tab w:leader="none" w:pos="25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merger or consolidation of the Company with or into another entity as a result of which all of the Common Stock of the Company is converted into or exchanged for the right to receive cash, securities or other property or is cancelled;</w:t>
      </w:r>
    </w:p>
    <w:p>
      <w:pPr>
        <w:spacing w:after="0" w:line="34"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exchange of all of the Common Stock of the Company for cash, securities or other property pursuant to a share exchange transaction; or</w:t>
      </w:r>
    </w:p>
    <w:p>
      <w:pPr>
        <w:spacing w:after="0" w:line="88" w:lineRule="exact"/>
        <w:rPr>
          <w:rFonts w:ascii="Arial" w:cs="Arial" w:eastAsia="Arial" w:hAnsi="Arial"/>
          <w:sz w:val="17"/>
          <w:szCs w:val="17"/>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liquidation or dissolution of the Company.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 A "Change in Control Event" shall mean:</w:t>
      </w:r>
    </w:p>
    <w:p>
      <w:pPr>
        <w:spacing w:after="0" w:line="77" w:lineRule="exact"/>
        <w:rPr>
          <w:sz w:val="20"/>
          <w:szCs w:val="20"/>
          <w:color w:val="auto"/>
        </w:rPr>
      </w:pPr>
    </w:p>
    <w:p>
      <w:pPr>
        <w:jc w:val="both"/>
        <w:ind w:firstLine="8"/>
        <w:spacing w:after="0" w:line="270" w:lineRule="auto"/>
        <w:tabs>
          <w:tab w:leader="none" w:pos="27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acquisition by an individual, entity or group (within the meaning of Section 13(d)(3) or 14(d)(2) of the Exchange Act) (a "Person") of beneficial ownership of any capital stock of the Company if, after such acquisition, such Person beneficially owns (within the meaning of Rule 13d 3 promulgated under the Exchange Act) 50% or more of either (x) the aggregate number of shares of Common Stock then-outstanding (the "Outstanding Company Common Stock") or (y) the combined voting power of the then-outstanding securities of the Company entitled to vote generally in the election of directors (the "Outstanding Company Voting Securities"); provided, however, that for purposes of this subsection (1), the following acquisitions shall not constitute a Change in Control Event: (A)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(B) any acquisition by any employee benefit plan (or related trust) sponsored or maintained by the Company or any corporation controlled by the Company, or (C) any acquisition by any corporation pursuant to a Business Combination (as defined below) which complies with clauses (x) and (y) of subsection (3) of this definition; or</w:t>
      </w:r>
    </w:p>
    <w:p>
      <w:pPr>
        <w:spacing w:after="0" w:line="36" w:lineRule="exact"/>
        <w:rPr>
          <w:rFonts w:ascii="Arial" w:cs="Arial" w:eastAsia="Arial" w:hAnsi="Arial"/>
          <w:sz w:val="16"/>
          <w:szCs w:val="16"/>
          <w:color w:val="auto"/>
        </w:rPr>
      </w:pPr>
    </w:p>
    <w:p>
      <w:pPr>
        <w:jc w:val="both"/>
        <w:ind w:firstLine="8"/>
        <w:spacing w:after="0" w:line="266" w:lineRule="auto"/>
        <w:tabs>
          <w:tab w:leader="none" w:pos="258"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such time as the Continuing Directors (as defined below) do not constitute a majority of the Board (or, if applicable, the Board of Directors of a successor corporation to the Company), where the term "Continuing Director" means at any date a member of the Board (x) who was a member of the Board on the date of the initial adoption of this Plan by the Board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(3)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conditions is satisfied:</w:t>
      </w:r>
    </w:p>
    <w:p>
      <w:pPr>
        <w:spacing w:after="0" w:line="3" w:lineRule="exact"/>
        <w:rPr>
          <w:rFonts w:ascii="Arial" w:cs="Arial" w:eastAsia="Arial" w:hAnsi="Arial"/>
          <w:sz w:val="16"/>
          <w:szCs w:val="16"/>
          <w:color w:val="auto"/>
        </w:rPr>
      </w:pPr>
    </w:p>
    <w:p>
      <w:pPr>
        <w:jc w:val="both"/>
        <w:spacing w:after="0" w:line="251" w:lineRule="auto"/>
        <w:rPr>
          <w:rFonts w:ascii="Arial" w:cs="Arial" w:eastAsia="Arial" w:hAnsi="Arial"/>
          <w:sz w:val="16"/>
          <w:szCs w:val="16"/>
          <w:color w:val="auto"/>
        </w:rPr>
      </w:pPr>
      <w:r>
        <w:rPr>
          <w:rFonts w:ascii="Arial" w:cs="Arial" w:eastAsia="Arial" w:hAnsi="Arial"/>
          <w:sz w:val="17"/>
          <w:szCs w:val="17"/>
          <w:color w:val="auto"/>
        </w:rPr>
        <w:t>(x)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44" w:lineRule="exact"/>
        <w:rPr>
          <w:rFonts w:ascii="Arial" w:cs="Arial" w:eastAsia="Arial" w:hAnsi="Arial"/>
          <w:sz w:val="16"/>
          <w:szCs w:val="16"/>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liquidation or dissolution of the Company.</w:t>
      </w:r>
    </w:p>
    <w:p>
      <w:pPr>
        <w:spacing w:after="0" w:line="77" w:lineRule="exact"/>
        <w:rPr>
          <w:sz w:val="20"/>
          <w:szCs w:val="20"/>
          <w:color w:val="auto"/>
        </w:rPr>
      </w:pPr>
    </w:p>
    <w:p>
      <w:pPr>
        <w:jc w:val="both"/>
        <w:ind w:firstLine="8"/>
        <w:spacing w:after="0" w:line="263" w:lineRule="auto"/>
        <w:tabs>
          <w:tab w:leader="none" w:pos="293" w:val="left"/>
        </w:tabs>
        <w:numPr>
          <w:ilvl w:val="0"/>
          <w:numId w:val="43"/>
        </w:numPr>
        <w:rPr>
          <w:rFonts w:ascii="Arial" w:cs="Arial" w:eastAsia="Arial" w:hAnsi="Arial"/>
          <w:sz w:val="17"/>
          <w:szCs w:val="17"/>
          <w:color w:val="auto"/>
        </w:rPr>
      </w:pPr>
      <w:r>
        <w:rPr>
          <w:rFonts w:ascii="Arial" w:cs="Arial" w:eastAsia="Arial" w:hAnsi="Arial"/>
          <w:sz w:val="17"/>
          <w:szCs w:val="17"/>
          <w:color w:val="auto"/>
        </w:rPr>
        <w:t>"Good Reason" shall mean any significant diminution in the Participant's title, authority, or responsibilities from and after such Reorganization Event or Change in Control Event, as the case may be, or any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 50 miles from its location immediately prior to such Reorganization Event or Change in Control Event.</w:t>
      </w:r>
    </w:p>
    <w:p>
      <w:pPr>
        <w:spacing w:after="0" w:line="34" w:lineRule="exact"/>
        <w:rPr>
          <w:rFonts w:ascii="Arial" w:cs="Arial" w:eastAsia="Arial" w:hAnsi="Arial"/>
          <w:sz w:val="17"/>
          <w:szCs w:val="17"/>
          <w:color w:val="auto"/>
        </w:rPr>
      </w:pPr>
    </w:p>
    <w:p>
      <w:pPr>
        <w:jc w:val="both"/>
        <w:ind w:firstLine="8"/>
        <w:spacing w:after="0" w:line="257" w:lineRule="auto"/>
        <w:tabs>
          <w:tab w:leader="none" w:pos="319" w:val="left"/>
        </w:tabs>
        <w:numPr>
          <w:ilvl w:val="0"/>
          <w:numId w:val="43"/>
        </w:numPr>
        <w:rPr>
          <w:rFonts w:ascii="Arial" w:cs="Arial" w:eastAsia="Arial" w:hAnsi="Arial"/>
          <w:sz w:val="17"/>
          <w:szCs w:val="17"/>
          <w:color w:val="auto"/>
        </w:rPr>
      </w:pPr>
      <w:r>
        <w:rPr>
          <w:rFonts w:ascii="Arial" w:cs="Arial" w:eastAsia="Arial" w:hAnsi="Arial"/>
          <w:sz w:val="17"/>
          <w:szCs w:val="17"/>
          <w:color w:val="auto"/>
        </w:rPr>
        <w:t>"Cause" shall mean any (i) willful failure by the Participant, which failure is not cured within 30 days of written notice to the Participant from the Company, to perform his or her material responsibilities to the Company, (ii) willful misconduct by the Participant which affects the business reputation of the Company, (iii) material breach by the Participant of any employment, consulting, confidentiality, non-competition or non-solicitation agreement with the Company, (iv) conviction or plea of nolo contendere (no contest) by the Participant to a felony, or (v) commission by the Participant of any act involving fraud, theft or dishonesty with respect to the Company's business or affairs. The Participant shall be considered to have been discharged for "Cause" if the Company determines, within 30 days after the Participant's resignation, that discharge for Cause was warranted.</w:t>
      </w:r>
    </w:p>
    <w:p>
      <w:pPr>
        <w:spacing w:after="0" w:line="122" w:lineRule="exact"/>
        <w:rPr>
          <w:sz w:val="20"/>
          <w:szCs w:val="20"/>
          <w:color w:val="auto"/>
        </w:rPr>
      </w:pPr>
    </w:p>
    <w:p>
      <w:pPr>
        <w:ind w:left="28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Effect on Options</w:t>
      </w:r>
    </w:p>
    <w:p>
      <w:pPr>
        <w:spacing w:after="0" w:line="77" w:lineRule="exact"/>
        <w:rPr>
          <w:sz w:val="20"/>
          <w:szCs w:val="20"/>
          <w:color w:val="auto"/>
        </w:rPr>
      </w:pPr>
    </w:p>
    <w:p>
      <w:pPr>
        <w:jc w:val="both"/>
        <w:ind w:firstLine="8"/>
        <w:spacing w:after="0" w:line="268" w:lineRule="auto"/>
        <w:tabs>
          <w:tab w:leader="none" w:pos="302"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Reorganization Event. Upon the occurrence of a Reorganization Event (regardless of whether such event also constitutes a Change in Control Event), or the execution by the Company of any agreement with respect to a Reorganization Event (regardless of whether such event will result in a Change in Control Event), the Board shall provide that all outstanding Options shall be assumed, or equivalent options shall be substituted, by the acquiring or succeeding corporation (or an affiliate thereof); provided that if such Reorganization Event also constitutes a Change in Control Event, except to the extent specifically provided to the contrary in the instrument evidencing any Option or any other agreement between a Participant and the Company such assumed or substituted options shall become immediately exercisable in full if, on or prior to the first anniversary of the date of the consummation of the Reorganization Event, the Participant's employment with the Company or the acquiring or succeeding corporation is terminated for Good Reason by the Participant or is terminated without Cause by the Company or the acquiring or succeeding corporation or the Participant's service on the Board is terminated. For purposes hereof, an Option shall be considered to be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31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Notwithstanding the foregoing, if the acquiring or succeeding corporation (or an affiliate thereof) does not agree to assume, or substitute for, some or all of such Options, or in the event of a liquidation or dissolution of the Company, the Board shall, upon written notice to the Participants, provide with respect to any Options that are not to be assumed by an acquiring or succeeding corporation that all then unexercised Options will become exercisable in full as of a specified time prior to the Reorganization Event and will terminate immediately prior to the consummation of such Reorganization Event, except to the extent exercised by the Participants before the consummation of such Reorganization Event; provided, however, that in the event of a Reorganization Event under the terms of which holders of Common Stock will receive upon consummation thereof a cash payment for each share of Common Stock surrendered pursuant to such Reorganization Event (the "Acquisition Price"), then the Board may instead provide that all such outstanding Options shall terminate upon consummation of such Reorganization Event and that each Participant shall receive, in exchange therefor, a cash payment equal to the amount (if any) by</w:t>
      </w:r>
    </w:p>
    <w:p>
      <w:pPr>
        <w:sectPr>
          <w:pgSz w:w="11900" w:h="16838" w:orient="portrait"/>
          <w:cols w:equalWidth="0" w:num="1">
            <w:col w:w="11420"/>
          </w:cols>
          <w:pgMar w:left="240" w:top="125" w:right="239" w:bottom="0" w:gutter="0" w:footer="0" w:header="0"/>
        </w:sectPr>
      </w:pPr>
    </w:p>
    <w:bookmarkStart w:id="11" w:name="page12"/>
    <w:bookmarkEnd w:id="11"/>
    <w:p>
      <w:pPr>
        <w:spacing w:after="0" w:line="262" w:lineRule="auto"/>
        <w:rPr>
          <w:sz w:val="20"/>
          <w:szCs w:val="20"/>
          <w:color w:val="auto"/>
        </w:rPr>
      </w:pPr>
      <w:r>
        <w:rPr>
          <w:rFonts w:ascii="Arial" w:cs="Arial" w:eastAsia="Arial" w:hAnsi="Arial"/>
          <w:sz w:val="18"/>
          <w:szCs w:val="18"/>
          <w:color w:val="auto"/>
        </w:rPr>
        <w:t>which (A) the Acquisition Price multiplied by the number of shares of Common Stock subject to such outstanding Options (whether or not then exercisable), exceeds (B) the aggregate exercise price of such Options and any applicable tax withholdings.</w:t>
      </w:r>
    </w:p>
    <w:p>
      <w:pPr>
        <w:spacing w:after="0" w:line="34" w:lineRule="exact"/>
        <w:rPr>
          <w:sz w:val="20"/>
          <w:szCs w:val="20"/>
          <w:color w:val="auto"/>
        </w:rPr>
      </w:pPr>
    </w:p>
    <w:p>
      <w:pPr>
        <w:jc w:val="both"/>
        <w:ind w:firstLine="8"/>
        <w:spacing w:after="0" w:line="257" w:lineRule="auto"/>
        <w:tabs>
          <w:tab w:leader="none" w:pos="322"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 in Control Event that is not a Reorganization Event. Upon the occurrence of a Change in Control Event that does not also constitute a Reorganization Event, except to the extent specifically provided to the contrary in the instrument evidencing any Option or any other agreement between a Participant and the Company, then outstanding Options shall continue to become vested in accordance with the original vesting schedule set forth in such Option, provided, however, that each such Option shall be immediately exercisable in full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122"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Effect on Restricted Stock Awards</w:t>
      </w:r>
    </w:p>
    <w:p>
      <w:pPr>
        <w:spacing w:after="0" w:line="77" w:lineRule="exact"/>
        <w:rPr>
          <w:sz w:val="20"/>
          <w:szCs w:val="20"/>
          <w:color w:val="auto"/>
        </w:rPr>
      </w:pPr>
    </w:p>
    <w:p>
      <w:pPr>
        <w:jc w:val="both"/>
        <w:ind w:firstLine="8"/>
        <w:spacing w:after="0" w:line="263" w:lineRule="auto"/>
        <w:tabs>
          <w:tab w:leader="none" w:pos="306"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Reorganization Event that is not a Change in Control Event. Upon the occurrence of a Reorganization Event that is not a Change in Control Event, the repurchase and other rights of the Company under each outstanding Restricted Stock Award shall inure to the benefit of the Company's successor and shall apply to the cash, securities or other property which the Common Stock was converted into or exchanged for pursuant to such Reorganization Event in the same manner and to the same extent as they applied to the Common Stock subject to such Restricted Stock Award.</w:t>
      </w:r>
    </w:p>
    <w:p>
      <w:pPr>
        <w:spacing w:after="0" w:line="129" w:lineRule="exact"/>
        <w:rPr>
          <w:rFonts w:ascii="Arial" w:cs="Arial" w:eastAsia="Arial" w:hAnsi="Arial"/>
          <w:sz w:val="17"/>
          <w:szCs w:val="17"/>
          <w:color w:val="auto"/>
        </w:rPr>
      </w:pPr>
    </w:p>
    <w:p>
      <w:pPr>
        <w:jc w:val="both"/>
        <w:ind w:firstLine="8"/>
        <w:spacing w:after="0" w:line="239" w:lineRule="auto"/>
        <w:tabs>
          <w:tab w:leader="none" w:pos="2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 in Control Event. Upon the occurrence of a Change in Control Event (regardless of whether such event also constitutes a Reorganization Event), except to the extent specifically provided to the contrary in the instrument evidencing any Restricted Stock Award or any other agreement between a Participant and the Company, each then outstanding Restricted Stock Award shall continue to become free from conditions or restrictions in accordance with the original schedule set forth in such Restricted Stock Award, provided, however, that each such Restricted Stock Award shall immediately become free from all conditions or restrictions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137"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Effect on Stock Appreciation Rights and Other Stock Unit Awards</w:t>
      </w:r>
    </w:p>
    <w:p>
      <w:pPr>
        <w:spacing w:after="0" w:line="15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Board may specify in an Award at the time of the grant the effect of a Reorganization Event and Change in Control Event on any SAR and Other Stock Unit Award.</w:t>
      </w:r>
    </w:p>
    <w:p>
      <w:pPr>
        <w:spacing w:after="0" w:line="223"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Awards</w:t>
      </w:r>
    </w:p>
    <w:p>
      <w:pPr>
        <w:spacing w:after="0" w:line="77" w:lineRule="exact"/>
        <w:rPr>
          <w:sz w:val="20"/>
          <w:szCs w:val="20"/>
          <w:color w:val="auto"/>
        </w:rPr>
      </w:pPr>
    </w:p>
    <w:p>
      <w:pPr>
        <w:jc w:val="both"/>
        <w:ind w:firstLine="8"/>
        <w:spacing w:after="0" w:line="253" w:lineRule="auto"/>
        <w:tabs>
          <w:tab w:leader="none" w:pos="24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Transferability of Awards</w:t>
      </w:r>
      <w:r>
        <w:rPr>
          <w:rFonts w:ascii="Arial" w:cs="Arial" w:eastAsia="Arial" w:hAnsi="Arial"/>
          <w:sz w:val="17"/>
          <w:szCs w:val="17"/>
          <w:color w:val="auto"/>
        </w:rPr>
        <w:t>.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except as may be otherwise provided in an Award agreement; provided, however, that the gratuitous transfer of the Award by the Participant to or for the benefit of any immediate family member, domestic partner, family trust or other entity established for the benefit of the Participant and/or an immediate family member thereof if, with respect to such proposed transferee, the Company would be eligible to use a Registration Statement on Form S-8 for the registration of the sale of the Common Stock subject to such Award under the Securities Act ; provided, further, that the Company shall not be required to recognize any such transfer until such time as the Participant and such authorized transferee shall, as a condition to such transfer, deliver to the Company a written instrument in form and substance satisfactory to the Company confirming that such transferee shall be bound by all of the terms and conditions of the Award; and, provided, further, that no option intended to be an incentive stock option shall be transferable unless the Board shall otherwise permit. References to a Participant, to the extent relevant in the context, shall include references to authorized transferees.</w:t>
      </w:r>
    </w:p>
    <w:p>
      <w:pPr>
        <w:spacing w:after="0" w:line="123" w:lineRule="exact"/>
        <w:rPr>
          <w:rFonts w:ascii="Arial" w:cs="Arial" w:eastAsia="Arial" w:hAnsi="Arial"/>
          <w:sz w:val="17"/>
          <w:szCs w:val="17"/>
          <w:color w:val="auto"/>
        </w:rPr>
      </w:pPr>
    </w:p>
    <w:p>
      <w:pPr>
        <w:ind w:firstLine="8"/>
        <w:spacing w:after="0" w:line="262"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shall be evidenced in such form (written, electronic or otherwise) as the Board shall determine. Each Award may contain terms and conditions in addition to those set forth in the Plan.</w:t>
      </w:r>
    </w:p>
    <w:p>
      <w:pPr>
        <w:spacing w:after="0" w:line="115" w:lineRule="exact"/>
        <w:rPr>
          <w:rFonts w:ascii="Arial" w:cs="Arial" w:eastAsia="Arial" w:hAnsi="Arial"/>
          <w:sz w:val="18"/>
          <w:szCs w:val="18"/>
          <w:color w:val="auto"/>
        </w:rPr>
      </w:pPr>
    </w:p>
    <w:p>
      <w:pPr>
        <w:ind w:firstLine="8"/>
        <w:spacing w:after="0" w:line="262" w:lineRule="auto"/>
        <w:tabs>
          <w:tab w:leader="none" w:pos="24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Board Discretion</w:t>
      </w:r>
      <w:r>
        <w:rPr>
          <w:rFonts w:ascii="Arial" w:cs="Arial" w:eastAsia="Arial" w:hAnsi="Arial"/>
          <w:sz w:val="18"/>
          <w:szCs w:val="18"/>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15" w:lineRule="exact"/>
        <w:rPr>
          <w:rFonts w:ascii="Arial" w:cs="Arial" w:eastAsia="Arial" w:hAnsi="Arial"/>
          <w:sz w:val="18"/>
          <w:szCs w:val="18"/>
          <w:color w:val="auto"/>
        </w:rPr>
      </w:pPr>
    </w:p>
    <w:p>
      <w:pPr>
        <w:jc w:val="both"/>
        <w:ind w:firstLine="8"/>
        <w:spacing w:after="0" w:line="248"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Termination of Status</w:t>
      </w:r>
      <w:r>
        <w:rPr>
          <w:rFonts w:ascii="Arial" w:cs="Arial" w:eastAsia="Arial" w:hAnsi="Arial"/>
          <w:sz w:val="18"/>
          <w:szCs w:val="18"/>
          <w:color w:val="auto"/>
        </w:rPr>
        <w:t>. The Board shall determine the effect on an Award of the disability, death, termination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28" w:lineRule="exact"/>
        <w:rPr>
          <w:rFonts w:ascii="Arial" w:cs="Arial" w:eastAsia="Arial" w:hAnsi="Arial"/>
          <w:sz w:val="18"/>
          <w:szCs w:val="18"/>
          <w:color w:val="auto"/>
        </w:rPr>
      </w:pPr>
    </w:p>
    <w:p>
      <w:pPr>
        <w:jc w:val="both"/>
        <w:ind w:firstLine="8"/>
        <w:spacing w:after="0" w:line="251" w:lineRule="auto"/>
        <w:tabs>
          <w:tab w:leader="none" w:pos="24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Participant must satisfy all applicable federal, state, and local or other income 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or release from forfeiture of an Award or, if the Company so requires, at the same time as is payment of the exercise price unless the Company determines otherwise. If provided for in an Award or approved by the Board in its sole discretion, a Participant may satisfy such tax obligations in whole or in part by delivery of shares of Common Stock, including shares retained from the Award creating the tax obligation, valued at their Fair Market Value; provided, however,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surrendered to satisfy tax withholding requirements cannot be subject to any repurchase, forfeiture, unfulfilled vesting or other similar requirements.</w:t>
      </w:r>
    </w:p>
    <w:p>
      <w:pPr>
        <w:spacing w:after="0" w:line="132" w:lineRule="exact"/>
        <w:rPr>
          <w:rFonts w:ascii="Arial" w:cs="Arial" w:eastAsia="Arial" w:hAnsi="Arial"/>
          <w:sz w:val="17"/>
          <w:szCs w:val="17"/>
          <w:color w:val="auto"/>
        </w:rPr>
      </w:pPr>
    </w:p>
    <w:p>
      <w:pPr>
        <w:jc w:val="both"/>
        <w:ind w:firstLine="8"/>
        <w:spacing w:after="0" w:line="254" w:lineRule="auto"/>
        <w:tabs>
          <w:tab w:leader="none" w:pos="22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Amendment of Award</w:t>
      </w:r>
      <w:r>
        <w:rPr>
          <w:rFonts w:ascii="Arial" w:cs="Arial" w:eastAsia="Arial" w:hAnsi="Arial"/>
          <w:sz w:val="17"/>
          <w:szCs w:val="17"/>
          <w:color w:val="auto"/>
        </w:rPr>
        <w:t>. Except as otherwise provided in Sections 5(g) and 6(e) with respect to repricings, Sections 5(d), 6(d), 7(b) and 8 with respect to minimum vesting of Awards, Section 10(i) with respect to Performance Awards or Section 11(d) with respect to actions requiring stockholder approval, the Board may amend, modify or terminate any outstanding Award, including but not limited to, substituting therefor another Award of the same or a different type, changing the date of exercise or realization, and converting an Incentive Stock Option to a Nonstatutory Stock Option, provided either (i) that the Participant's consent to such action shall be required unless the Board determines that the action, taking into account any related action, would not materially and adversely affect the Participant or (ii) that the change is permitted under Section 9 hereof; provided further, notwithstanding anything to the contrary herein, the Board shall have no authority to amend, modify or terminate any outstanding Award that has the same effect of actions expressly prohibited by Section 5(g) and requires approval by the Company's stockholders.</w:t>
      </w:r>
    </w:p>
    <w:p>
      <w:pPr>
        <w:spacing w:after="0" w:line="127" w:lineRule="exact"/>
        <w:rPr>
          <w:rFonts w:ascii="Arial" w:cs="Arial" w:eastAsia="Arial" w:hAnsi="Arial"/>
          <w:sz w:val="17"/>
          <w:szCs w:val="17"/>
          <w:color w:val="auto"/>
        </w:rPr>
      </w:pPr>
    </w:p>
    <w:p>
      <w:pPr>
        <w:jc w:val="both"/>
        <w:ind w:firstLine="8"/>
        <w:spacing w:after="0" w:line="274" w:lineRule="auto"/>
        <w:tabs>
          <w:tab w:leader="none" w:pos="268"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w:t>
      </w:r>
    </w:p>
    <w:p>
      <w:pPr>
        <w:spacing w:after="0" w:line="1" w:lineRule="exact"/>
        <w:rPr>
          <w:rFonts w:ascii="Arial" w:cs="Arial" w:eastAsia="Arial" w:hAnsi="Arial"/>
          <w:sz w:val="16"/>
          <w:szCs w:val="16"/>
          <w:color w:val="auto"/>
        </w:rPr>
      </w:pPr>
    </w:p>
    <w:p>
      <w:pPr>
        <w:jc w:val="both"/>
        <w:ind w:firstLine="8"/>
        <w:spacing w:after="0" w:line="303" w:lineRule="auto"/>
        <w:tabs>
          <w:tab w:leader="none" w:pos="269"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w:t>
      </w:r>
    </w:p>
    <w:p>
      <w:pPr>
        <w:sectPr>
          <w:pgSz w:w="11900" w:h="16838" w:orient="portrait"/>
          <w:cols w:equalWidth="0" w:num="1">
            <w:col w:w="11420"/>
          </w:cols>
          <w:pgMar w:left="240" w:top="125" w:right="239" w:bottom="0" w:gutter="0" w:footer="0" w:header="0"/>
        </w:sectPr>
      </w:pPr>
    </w:p>
    <w:bookmarkStart w:id="12" w:name="page13"/>
    <w:bookmarkEnd w:id="12"/>
    <w:p>
      <w:pPr>
        <w:spacing w:after="0" w:line="262" w:lineRule="auto"/>
        <w:rPr>
          <w:sz w:val="20"/>
          <w:szCs w:val="20"/>
          <w:color w:val="auto"/>
        </w:rPr>
      </w:pPr>
      <w:r>
        <w:rPr>
          <w:rFonts w:ascii="Arial" w:cs="Arial" w:eastAsia="Arial" w:hAnsi="Arial"/>
          <w:sz w:val="18"/>
          <w:szCs w:val="18"/>
          <w:color w:val="auto"/>
        </w:rPr>
        <w:t>the Company such representations or agreements as the Company may consider appropriate to satisfy the requirements of any applicable laws, rules or regulations.</w:t>
      </w:r>
    </w:p>
    <w:p>
      <w:pPr>
        <w:spacing w:after="0" w:line="115" w:lineRule="exact"/>
        <w:rPr>
          <w:sz w:val="20"/>
          <w:szCs w:val="20"/>
          <w:color w:val="auto"/>
        </w:rPr>
      </w:pPr>
    </w:p>
    <w:p>
      <w:pPr>
        <w:ind w:firstLine="8"/>
        <w:spacing w:after="0" w:line="291" w:lineRule="auto"/>
        <w:tabs>
          <w:tab w:leader="none" w:pos="255"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Acceleration</w:t>
      </w:r>
      <w:r>
        <w:rPr>
          <w:rFonts w:ascii="Arial" w:cs="Arial" w:eastAsia="Arial" w:hAnsi="Arial"/>
          <w:sz w:val="17"/>
          <w:szCs w:val="17"/>
          <w:color w:val="auto"/>
        </w:rPr>
        <w:t>. Except as provided in Sections 5(d), 6(d), 7(b), 8 and 10(i), the Board may at any time provide that any Award shall become immediately exercisable in full or in part, free of some or all restrictions or conditions, or otherwise realizable in full or in part, as the case may be.</w:t>
      </w:r>
    </w:p>
    <w:p>
      <w:pPr>
        <w:spacing w:after="0" w:line="93" w:lineRule="exact"/>
        <w:rPr>
          <w:rFonts w:ascii="Arial" w:cs="Arial" w:eastAsia="Arial" w:hAnsi="Arial"/>
          <w:sz w:val="17"/>
          <w:szCs w:val="17"/>
          <w:color w:val="auto"/>
        </w:rPr>
      </w:pPr>
    </w:p>
    <w:p>
      <w:pPr>
        <w:ind w:left="220" w:hanging="212"/>
        <w:spacing w:after="0"/>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p>
    <w:p>
      <w:pPr>
        <w:spacing w:after="0" w:line="158" w:lineRule="exact"/>
        <w:rPr>
          <w:sz w:val="20"/>
          <w:szCs w:val="20"/>
          <w:color w:val="auto"/>
        </w:rPr>
      </w:pPr>
    </w:p>
    <w:p>
      <w:pPr>
        <w:jc w:val="both"/>
        <w:ind w:firstLine="8"/>
        <w:spacing w:after="0" w:line="241" w:lineRule="auto"/>
        <w:tabs>
          <w:tab w:leader="none" w:pos="21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Restricted Stock Awards and Other Stock Unit Awards under the Plan may be made subject to the achievement of performance goals pursuant to this Section 10(i) ("Performance Awards"), subject to the limit in Section 4(c) on shares covered by such grants. Performance Awards can also provide for cash payments of up to $2,000,000 per calendar year per individual. Performance Awards shall not vest prior to the first anniversary of the date of grant. If Dividends or Dividend Equivalents are granted in connection with a Performance Award, such Dividend or Dividend Equivalent shall be paid only if the performance goal or goals associated with such Performance Award are satisfied.</w:t>
      </w:r>
    </w:p>
    <w:p>
      <w:pPr>
        <w:spacing w:after="0" w:line="135" w:lineRule="exact"/>
        <w:rPr>
          <w:rFonts w:ascii="Arial" w:cs="Arial" w:eastAsia="Arial" w:hAnsi="Arial"/>
          <w:sz w:val="18"/>
          <w:szCs w:val="18"/>
          <w:color w:val="auto"/>
        </w:rPr>
      </w:pPr>
    </w:p>
    <w:p>
      <w:pPr>
        <w:jc w:val="both"/>
        <w:ind w:firstLine="8"/>
        <w:spacing w:after="0" w:line="259" w:lineRule="auto"/>
        <w:tabs>
          <w:tab w:leader="none" w:pos="26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Committee</w:t>
      </w:r>
      <w:r>
        <w:rPr>
          <w:rFonts w:ascii="Arial" w:cs="Arial" w:eastAsia="Arial" w:hAnsi="Arial"/>
          <w:sz w:val="17"/>
          <w:szCs w:val="17"/>
          <w:color w:val="auto"/>
        </w:rPr>
        <w:t>. Grants of Performance Awards to any Covered Employee intended to qualify as "performance-based compensation" under Section 162(m) ("Performance-Based Compensation") shall be made only by a Committee (or subcommittee of a Committee) comprised solely of two or more directors eligible to serve on a committee making Awards qualifying as "performance-based compensation" under Section 162(m). In the case of such Awards granted to Covered Employees, references to the Board or to a Committee shall be deemed to be references to such Committee or subcommittee. "Covered Employee" shall mean any person who is a "covered employee" under Section 162(m)(3) of the Code.</w:t>
      </w:r>
    </w:p>
    <w:p>
      <w:pPr>
        <w:spacing w:after="0" w:line="120" w:lineRule="exact"/>
        <w:rPr>
          <w:rFonts w:ascii="Arial" w:cs="Arial" w:eastAsia="Arial" w:hAnsi="Arial"/>
          <w:sz w:val="17"/>
          <w:szCs w:val="17"/>
          <w:color w:val="auto"/>
        </w:rPr>
      </w:pPr>
    </w:p>
    <w:p>
      <w:pPr>
        <w:jc w:val="both"/>
        <w:ind w:firstLine="8"/>
        <w:spacing w:after="0" w:line="243" w:lineRule="auto"/>
        <w:tabs>
          <w:tab w:leader="none" w:pos="31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Performance Measures</w:t>
      </w:r>
      <w:r>
        <w:rPr>
          <w:rFonts w:ascii="Arial" w:cs="Arial" w:eastAsia="Arial" w:hAnsi="Arial"/>
          <w:sz w:val="18"/>
          <w:szCs w:val="18"/>
          <w:color w:val="auto"/>
        </w:rPr>
        <w:t>. For any Award that is intended to qualify as Performance-Based Compensation, the Committee shall specify that the degree of granting, vesting and/or payout shall be subject to the achievement of one or more objective performance measures established by the Committee, which shall be based on the relative or absolute attainment of specified levels of one or any combination of the following, which may be determined in accordance with Generally Accepted Accounting Principles ("GAAP") or on a non-GAAP basis:</w:t>
      </w:r>
    </w:p>
    <w:p>
      <w:pPr>
        <w:spacing w:after="0" w:line="53" w:lineRule="exact"/>
        <w:rPr>
          <w:sz w:val="20"/>
          <w:szCs w:val="20"/>
          <w:color w:val="auto"/>
        </w:rPr>
      </w:pPr>
    </w:p>
    <w:p>
      <w:pPr>
        <w:jc w:val="both"/>
        <w:ind w:firstLine="8"/>
        <w:spacing w:after="0" w:line="248" w:lineRule="auto"/>
        <w:tabs>
          <w:tab w:leader="none" w:pos="29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Earnings or Profitability Measures</w:t>
      </w:r>
      <w:r>
        <w:rPr>
          <w:rFonts w:ascii="Arial" w:cs="Arial" w:eastAsia="Arial" w:hAnsi="Arial"/>
          <w:sz w:val="18"/>
          <w:szCs w:val="18"/>
          <w:color w:val="auto"/>
        </w:rPr>
        <w:t>, including but not limited to: (i) revenue (gross, operating or net); (ii) revenue growth; (iii) income (gross,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net or adjusted); (iv) earnings before interest and taxes ("EBIT"); (v) earnings before interest, taxes, depreciation and amortization ("EBITDA"); (vi) earnings growth, (vii) profit margins or contributions; and (viii) expense levels or ratios;</w:t>
      </w:r>
    </w:p>
    <w:p>
      <w:pPr>
        <w:spacing w:after="0" w:line="47" w:lineRule="exact"/>
        <w:rPr>
          <w:rFonts w:ascii="Arial" w:cs="Arial" w:eastAsia="Arial" w:hAnsi="Arial"/>
          <w:sz w:val="18"/>
          <w:szCs w:val="18"/>
          <w:color w:val="auto"/>
        </w:rPr>
      </w:pPr>
    </w:p>
    <w:p>
      <w:pPr>
        <w:ind w:left="300" w:hanging="29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Return Measures</w:t>
      </w:r>
      <w:r>
        <w:rPr>
          <w:rFonts w:ascii="Arial" w:cs="Arial" w:eastAsia="Arial" w:hAnsi="Arial"/>
          <w:sz w:val="18"/>
          <w:szCs w:val="18"/>
          <w:color w:val="auto"/>
        </w:rPr>
        <w:t>, including, but not limited to: return on (i) investment; (ii) assets; (iii) equity; or (iv) capital (total or invested);</w:t>
      </w:r>
    </w:p>
    <w:p>
      <w:pPr>
        <w:spacing w:after="0" w:line="76" w:lineRule="exact"/>
        <w:rPr>
          <w:rFonts w:ascii="Arial" w:cs="Arial" w:eastAsia="Arial" w:hAnsi="Arial"/>
          <w:sz w:val="18"/>
          <w:szCs w:val="18"/>
          <w:color w:val="auto"/>
        </w:rPr>
      </w:pPr>
    </w:p>
    <w:p>
      <w:pPr>
        <w:jc w:val="both"/>
        <w:ind w:firstLine="8"/>
        <w:spacing w:after="0" w:line="248" w:lineRule="auto"/>
        <w:tabs>
          <w:tab w:leader="none" w:pos="28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Cash Flow Measures, </w:t>
      </w:r>
      <w:r>
        <w:rPr>
          <w:rFonts w:ascii="Arial" w:cs="Arial" w:eastAsia="Arial" w:hAnsi="Arial"/>
          <w:sz w:val="18"/>
          <w:szCs w:val="18"/>
          <w:color w:val="auto"/>
        </w:rPr>
        <w:t>including but not limited to: (i) operating cash flow; (ii) cash flow sufficient to achieve financial ratios or a specified cash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(iii) free cash flow; (iv) cash flow return on capital; (v) net cash provided by operating activities; (vi) cash flow per share; and (vii) working capital or adjusted working capital;</w:t>
      </w:r>
    </w:p>
    <w:p>
      <w:pPr>
        <w:spacing w:after="0" w:line="47" w:lineRule="exact"/>
        <w:rPr>
          <w:rFonts w:ascii="Arial" w:cs="Arial" w:eastAsia="Arial" w:hAnsi="Arial"/>
          <w:sz w:val="18"/>
          <w:szCs w:val="18"/>
          <w:color w:val="auto"/>
        </w:rPr>
      </w:pPr>
    </w:p>
    <w:p>
      <w:pPr>
        <w:ind w:right="20" w:firstLine="8"/>
        <w:spacing w:after="0" w:line="291" w:lineRule="auto"/>
        <w:tabs>
          <w:tab w:leader="none" w:pos="295"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Stock Price and Equity Measures</w:t>
      </w:r>
      <w:r>
        <w:rPr>
          <w:rFonts w:ascii="Arial" w:cs="Arial" w:eastAsia="Arial" w:hAnsi="Arial"/>
          <w:sz w:val="17"/>
          <w:szCs w:val="17"/>
          <w:color w:val="auto"/>
        </w:rPr>
        <w:t>, including, but not limited to: (i) return on stockholders' equity; (ii) total stockholder return; (iii) stock price; (iv) stock</w:t>
      </w:r>
      <w:r>
        <w:rPr>
          <w:rFonts w:ascii="Arial" w:cs="Arial" w:eastAsia="Arial" w:hAnsi="Arial"/>
          <w:sz w:val="17"/>
          <w:szCs w:val="17"/>
          <w:i w:val="1"/>
          <w:iCs w:val="1"/>
          <w:color w:val="auto"/>
        </w:rPr>
        <w:t xml:space="preserve"> </w:t>
      </w:r>
      <w:r>
        <w:rPr>
          <w:rFonts w:ascii="Arial" w:cs="Arial" w:eastAsia="Arial" w:hAnsi="Arial"/>
          <w:sz w:val="17"/>
          <w:szCs w:val="17"/>
          <w:color w:val="auto"/>
        </w:rPr>
        <w:t>price appreciation; (v) market capitalization; (vi) earnings per share (basic or diluted) (before or after taxes); and (vii) price-to-earnings ratio;</w:t>
      </w:r>
    </w:p>
    <w:p>
      <w:pPr>
        <w:spacing w:after="0" w:line="12" w:lineRule="exact"/>
        <w:rPr>
          <w:rFonts w:ascii="Arial" w:cs="Arial" w:eastAsia="Arial" w:hAnsi="Arial"/>
          <w:sz w:val="17"/>
          <w:szCs w:val="17"/>
          <w:color w:val="auto"/>
        </w:rPr>
      </w:pPr>
    </w:p>
    <w:p>
      <w:pPr>
        <w:jc w:val="both"/>
        <w:ind w:firstLine="8"/>
        <w:spacing w:after="0" w:line="259" w:lineRule="auto"/>
        <w:tabs>
          <w:tab w:leader="none" w:pos="288"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Strategic Metrics</w:t>
      </w:r>
      <w:r>
        <w:rPr>
          <w:rFonts w:ascii="Arial" w:cs="Arial" w:eastAsia="Arial" w:hAnsi="Arial"/>
          <w:sz w:val="17"/>
          <w:szCs w:val="17"/>
          <w:color w:val="auto"/>
        </w:rPr>
        <w:t>, including, but not limited to: (i) acquisitions or divestitures; (ii) collaborations, licensing or joint ventures; (iii) product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(iv) clinical trials; (v) regulatory filings or approvals; (vi) patent application or issuance; (vii) manufacturing or process development; (viii) sales or net sales; (ix) sales growth, (x) market share; (xi) market penetration; (xii) inventory control; (xiii) growth in assets; (xiv) key hires; (xv) business expansion; (xvi) achievement of milestones under a third-party agreement; (xvii) financing; (xviii) resolution of significant litigation; (xix) legal compliance or risk reduction; (xx) improvement of financial ratings; or (xxi) achievement of balance sheet or income statement objectives,</w:t>
      </w:r>
    </w:p>
    <w:p>
      <w:pPr>
        <w:spacing w:after="0" w:line="39" w:lineRule="exact"/>
        <w:rPr>
          <w:rFonts w:ascii="Arial" w:cs="Arial" w:eastAsia="Arial" w:hAnsi="Arial"/>
          <w:sz w:val="17"/>
          <w:szCs w:val="17"/>
          <w:color w:val="auto"/>
        </w:rPr>
      </w:pPr>
    </w:p>
    <w:p>
      <w:pPr>
        <w:jc w:val="both"/>
        <w:ind w:firstLine="8"/>
        <w:spacing w:after="0" w:line="254" w:lineRule="auto"/>
        <w:tabs>
          <w:tab w:leader="none" w:pos="27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each case such performance measures may be adjusted to exclude any one or more of (i) extraordinary items, (ii) gains or losses on the dispositions of discontinued operations, (iii) the cumulative effects of changes in accounting principles, (iv) the impairment or writedown of any asset or assets, (v) charges for restructuring and rationalization programs or (vi) other extraordinary or non-recurring items, as specified by the Committee when establishing the performance measures. Such performance measures: (i) may vary by Participant and may be different for different Awards; (ii) may be particular to a Participant or the department, branch, line of business, subsidiary or other unit in which the Participant works and may cover such period as may be specified by the Committee; and (iii) shall be set by the Committee within the time period prescribed by, and shall otherwise comply with the requirements of, Section 162(m). Awards that are not intended to qualify as Performance-Based Compensation may be based on these or such other performance measures, may be subject to these or other adjustments, and may be set at the time, in each case, as the Board may determine.</w:t>
      </w:r>
    </w:p>
    <w:p>
      <w:pPr>
        <w:spacing w:after="0" w:line="128" w:lineRule="exact"/>
        <w:rPr>
          <w:sz w:val="20"/>
          <w:szCs w:val="20"/>
          <w:color w:val="auto"/>
        </w:rPr>
      </w:pPr>
    </w:p>
    <w:p>
      <w:pPr>
        <w:jc w:val="both"/>
        <w:ind w:firstLine="8"/>
        <w:spacing w:after="0" w:line="243" w:lineRule="auto"/>
        <w:tabs>
          <w:tab w:leader="none" w:pos="31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 provision of the Plan, with respect to any Performance Award that is intended to qualify as Performance-Based Compensation, the Committee may adjust downwards, but not upwards, the cash or number of Shares payable pursuant to such Award, and the Committee may not waive the achievement of the applicable performance measures except in the case of the death or disability of the Participant or a change in control of the Company.</w:t>
      </w:r>
    </w:p>
    <w:p>
      <w:pPr>
        <w:spacing w:after="0" w:line="147" w:lineRule="exact"/>
        <w:rPr>
          <w:rFonts w:ascii="Arial" w:cs="Arial" w:eastAsia="Arial" w:hAnsi="Arial"/>
          <w:sz w:val="18"/>
          <w:szCs w:val="18"/>
          <w:color w:val="auto"/>
        </w:rPr>
      </w:pPr>
    </w:p>
    <w:p>
      <w:pPr>
        <w:ind w:firstLine="8"/>
        <w:spacing w:after="0" w:line="262" w:lineRule="auto"/>
        <w:tabs>
          <w:tab w:leader="none" w:pos="25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The Committee shall have the power to impose such other restrictions on Performance Awards as it may deem necessary or appropriate to ensure that such Awards satisfy all requirements for Performance-Based Compensation.</w:t>
      </w:r>
    </w:p>
    <w:p>
      <w:pPr>
        <w:spacing w:after="0" w:line="223" w:lineRule="exact"/>
        <w:rPr>
          <w:sz w:val="20"/>
          <w:szCs w:val="20"/>
          <w:color w:val="auto"/>
        </w:rPr>
      </w:pPr>
    </w:p>
    <w:p>
      <w:pPr>
        <w:ind w:left="360" w:hanging="352"/>
        <w:spacing w:after="0"/>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77" w:lineRule="exact"/>
        <w:rPr>
          <w:sz w:val="20"/>
          <w:szCs w:val="20"/>
          <w:color w:val="auto"/>
        </w:rPr>
      </w:pPr>
    </w:p>
    <w:p>
      <w:pPr>
        <w:jc w:val="both"/>
        <w:ind w:firstLine="8"/>
        <w:spacing w:after="0" w:line="243" w:lineRule="auto"/>
        <w:tabs>
          <w:tab w:leader="none" w:pos="25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34" w:lineRule="exact"/>
        <w:rPr>
          <w:rFonts w:ascii="Arial" w:cs="Arial" w:eastAsia="Arial" w:hAnsi="Arial"/>
          <w:sz w:val="18"/>
          <w:szCs w:val="18"/>
          <w:color w:val="auto"/>
        </w:rPr>
      </w:pPr>
    </w:p>
    <w:p>
      <w:pPr>
        <w:ind w:firstLine="8"/>
        <w:spacing w:after="0" w:line="291" w:lineRule="auto"/>
        <w:tabs>
          <w:tab w:leader="none" w:pos="268"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spacing w:after="0" w:line="93" w:lineRule="exact"/>
        <w:rPr>
          <w:rFonts w:ascii="Arial" w:cs="Arial" w:eastAsia="Arial" w:hAnsi="Arial"/>
          <w:sz w:val="17"/>
          <w:szCs w:val="17"/>
          <w:color w:val="auto"/>
        </w:rPr>
      </w:pPr>
    </w:p>
    <w:p>
      <w:pPr>
        <w:jc w:val="both"/>
        <w:ind w:firstLine="8"/>
        <w:spacing w:after="0" w:line="248" w:lineRule="auto"/>
        <w:tabs>
          <w:tab w:leader="none" w:pos="24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shall become effective immediately prior to the closing of the Company's initial public offering. No Awards shall be granted prior to (i) the date on which the Plan was adopted by the Board or (ii) the date the Plan was approved by the Company's stockholders. The Plan shall expire on May 23, 2028.</w:t>
      </w:r>
    </w:p>
    <w:p>
      <w:pPr>
        <w:spacing w:after="0" w:line="128" w:lineRule="exact"/>
        <w:rPr>
          <w:rFonts w:ascii="Arial" w:cs="Arial" w:eastAsia="Arial" w:hAnsi="Arial"/>
          <w:sz w:val="18"/>
          <w:szCs w:val="18"/>
          <w:color w:val="auto"/>
        </w:rPr>
      </w:pPr>
    </w:p>
    <w:p>
      <w:pPr>
        <w:jc w:val="both"/>
        <w:ind w:firstLine="8"/>
        <w:spacing w:after="0" w:line="259" w:lineRule="auto"/>
        <w:tabs>
          <w:tab w:leader="none" w:pos="268"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Amendment of Plan</w:t>
      </w:r>
      <w:r>
        <w:rPr>
          <w:rFonts w:ascii="Arial" w:cs="Arial" w:eastAsia="Arial" w:hAnsi="Arial"/>
          <w:sz w:val="17"/>
          <w:szCs w:val="17"/>
          <w:color w:val="auto"/>
        </w:rPr>
        <w:t>. The Board may amend, suspend or terminate the Plan or any portion thereof at any time; provided, however, that, to the extent determined by the Board, no amendment requiring stockholder approval under any applicable legal, regulatory or listing requirement shall become effective until such stockholder approval is obtained; provided further, that stockholder approval shall be required for any amendment to the Plan that (i) materially increases the number of shares of Common Stock available for issuance under the Plan (other than an increase to reflect an adjustment described in Section 9) or (ii) materially expands the class of service providers eligible to participate in the Plan.</w:t>
      </w:r>
    </w:p>
    <w:p>
      <w:pPr>
        <w:spacing w:after="0" w:line="120" w:lineRule="exact"/>
        <w:rPr>
          <w:rFonts w:ascii="Arial" w:cs="Arial" w:eastAsia="Arial" w:hAnsi="Arial"/>
          <w:sz w:val="17"/>
          <w:szCs w:val="17"/>
          <w:color w:val="auto"/>
        </w:rPr>
      </w:pPr>
    </w:p>
    <w:p>
      <w:pPr>
        <w:jc w:val="both"/>
        <w:ind w:firstLine="8"/>
        <w:spacing w:after="0" w:line="257" w:lineRule="auto"/>
        <w:tabs>
          <w:tab w:leader="none" w:pos="245"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Authorization of Sub-Plans</w:t>
      </w:r>
      <w:r>
        <w:rPr>
          <w:rFonts w:ascii="Arial" w:cs="Arial" w:eastAsia="Arial" w:hAnsi="Arial"/>
          <w:sz w:val="17"/>
          <w:szCs w:val="17"/>
          <w:color w:val="auto"/>
        </w:rPr>
        <w:t>. The Board may from time to time establish one or more sub-plans under the Plan for purposes of satisfying applicable blue sky, securities or tax laws of various jurisdictions. The Board shall establish such sub-plans by adopting supplements to this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ectPr>
          <w:pgSz w:w="11900" w:h="16838" w:orient="portrait"/>
          <w:cols w:equalWidth="0" w:num="1">
            <w:col w:w="11420"/>
          </w:cols>
          <w:pgMar w:left="240" w:top="125" w:right="239" w:bottom="0" w:gutter="0" w:footer="0" w:header="0"/>
        </w:sectPr>
      </w:pPr>
    </w:p>
    <w:bookmarkStart w:id="13" w:name="page14"/>
    <w:bookmarkEnd w:id="13"/>
    <w:p>
      <w:pPr>
        <w:jc w:val="both"/>
        <w:ind w:firstLine="8"/>
        <w:spacing w:after="0" w:line="248" w:lineRule="auto"/>
        <w:tabs>
          <w:tab w:leader="none" w:pos="22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Board may modify Awards or Options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128" w:lineRule="exact"/>
        <w:rPr>
          <w:rFonts w:ascii="Arial" w:cs="Arial" w:eastAsia="Arial" w:hAnsi="Arial"/>
          <w:sz w:val="18"/>
          <w:szCs w:val="18"/>
          <w:color w:val="auto"/>
        </w:rPr>
      </w:pPr>
    </w:p>
    <w:p>
      <w:pPr>
        <w:jc w:val="both"/>
        <w:ind w:firstLine="8"/>
        <w:spacing w:after="0" w:line="251" w:lineRule="auto"/>
        <w:tabs>
          <w:tab w:leader="none" w:pos="255"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Compliance with Code Section 409A</w:t>
      </w:r>
      <w:r>
        <w:rPr>
          <w:rFonts w:ascii="Arial" w:cs="Arial" w:eastAsia="Arial" w:hAnsi="Arial"/>
          <w:sz w:val="17"/>
          <w:szCs w:val="17"/>
          <w:color w:val="auto"/>
        </w:rPr>
        <w:t>. Except as provided in individual Award agreements initially or by amendment, if and to the extent (i) any portion of any payment, compensation or other benefit provided to a Participant pursuant to the Plan in connection with his or her employment termination constitutes "nonqualified deferred compensation" within the meaning of Section 409A of the Code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of the Code) (the "New Payment Date"), except as Section 409A of the Code may then permit. The</w:t>
      </w:r>
    </w:p>
    <w:p>
      <w:pPr>
        <w:spacing w:after="0" w:line="3" w:lineRule="exact"/>
        <w:rPr>
          <w:rFonts w:ascii="Arial" w:cs="Arial" w:eastAsia="Arial" w:hAnsi="Arial"/>
          <w:sz w:val="17"/>
          <w:szCs w:val="17"/>
          <w:color w:val="auto"/>
        </w:rPr>
      </w:pPr>
    </w:p>
    <w:p>
      <w:pPr>
        <w:spacing w:after="0" w:line="303" w:lineRule="auto"/>
        <w:rPr>
          <w:rFonts w:ascii="Arial" w:cs="Arial" w:eastAsia="Arial" w:hAnsi="Arial"/>
          <w:sz w:val="17"/>
          <w:szCs w:val="17"/>
          <w:color w:val="auto"/>
        </w:rPr>
      </w:pPr>
      <w:r>
        <w:rPr>
          <w:rFonts w:ascii="Arial" w:cs="Arial" w:eastAsia="Arial" w:hAnsi="Arial"/>
          <w:sz w:val="16"/>
          <w:szCs w:val="16"/>
          <w:color w:val="auto"/>
        </w:rPr>
        <w:t>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w:t>
      </w:r>
    </w:p>
    <w:p>
      <w:pPr>
        <w:spacing w:after="0" w:line="128" w:lineRule="exact"/>
        <w:rPr>
          <w:sz w:val="20"/>
          <w:szCs w:val="20"/>
          <w:color w:val="auto"/>
        </w:rPr>
      </w:pPr>
    </w:p>
    <w:p>
      <w:pPr>
        <w:ind w:firstLine="8"/>
        <w:spacing w:after="0" w:line="324" w:lineRule="auto"/>
        <w:tabs>
          <w:tab w:leader="none" w:pos="25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Approved by the Board of Directors of Emergent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BioSolutions Inc. on March 22, 2018, subject to</w:t>
      </w:r>
    </w:p>
    <w:p>
      <w:pPr>
        <w:spacing w:after="0" w:line="219" w:lineRule="auto"/>
        <w:rPr>
          <w:sz w:val="20"/>
          <w:szCs w:val="20"/>
          <w:color w:val="auto"/>
        </w:rPr>
      </w:pPr>
      <w:r>
        <w:rPr>
          <w:rFonts w:ascii="Arial" w:cs="Arial" w:eastAsia="Arial" w:hAnsi="Arial"/>
          <w:sz w:val="18"/>
          <w:szCs w:val="18"/>
          <w:color w:val="auto"/>
        </w:rPr>
        <w:t>stockholder approval.</w:t>
      </w:r>
    </w:p>
    <w:p>
      <w:pPr>
        <w:spacing w:after="0"/>
        <w:rPr>
          <w:sz w:val="20"/>
          <w:szCs w:val="20"/>
          <w:color w:val="auto"/>
        </w:rPr>
      </w:pPr>
      <w:r>
        <w:rPr>
          <w:rFonts w:ascii="Arial" w:cs="Arial" w:eastAsia="Arial" w:hAnsi="Arial"/>
          <w:sz w:val="18"/>
          <w:szCs w:val="18"/>
          <w:color w:val="auto"/>
        </w:rPr>
        <w:t>Approved by the stockholders on May 24, 2018.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2"/>
    </w:lvl>
  </w:abstractNum>
  <w:abstractNum w:abstractNumId="5">
    <w:nsid w:val="4516DDE9"/>
    <w:multiLevelType w:val="hybridMultilevel"/>
    <w:lvl w:ilvl="0">
      <w:lvlJc w:val="left"/>
      <w:lvlText w:val="%1."/>
      <w:numFmt w:val="decimal"/>
      <w:start w:val="3"/>
    </w:lvl>
  </w:abstractNum>
  <w:abstractNum w:abstractNumId="6">
    <w:nsid w:val="3006C83E"/>
    <w:multiLevelType w:val="hybridMultilevel"/>
    <w:lvl w:ilvl="0">
      <w:lvlJc w:val="left"/>
      <w:lvlText w:val="(%1)"/>
      <w:numFmt w:val="lowerLetter"/>
      <w:start w:val="1"/>
    </w:lvl>
  </w:abstractNum>
  <w:abstractNum w:abstractNumId="7">
    <w:nsid w:val="614FD4A1"/>
    <w:multiLevelType w:val="hybridMultilevel"/>
    <w:lvl w:ilvl="0">
      <w:lvlJc w:val="left"/>
      <w:lvlText w:val="%1."/>
      <w:numFmt w:val="decimal"/>
      <w:start w:val="4"/>
    </w:lvl>
  </w:abstractNum>
  <w:abstractNum w:abstractNumId="8">
    <w:nsid w:val="419AC241"/>
    <w:multiLevelType w:val="hybridMultilevel"/>
    <w:lvl w:ilvl="0">
      <w:lvlJc w:val="left"/>
      <w:lvlText w:val="(%1)"/>
      <w:numFmt w:val="lowerLetter"/>
      <w:start w:val="1"/>
    </w:lvl>
  </w:abstractNum>
  <w:abstractNum w:abstractNumId="9">
    <w:nsid w:val="5577F8E1"/>
    <w:multiLevelType w:val="hybridMultilevel"/>
    <w:lvl w:ilvl="0">
      <w:lvlJc w:val="left"/>
      <w:lvlText w:val="(%1)"/>
      <w:numFmt w:val="lowerLetter"/>
      <w:start w:val="2"/>
    </w:lvl>
  </w:abstractNum>
  <w:abstractNum w:abstractNumId="10">
    <w:nsid w:val="440BADFC"/>
    <w:multiLevelType w:val="hybridMultilevel"/>
    <w:lvl w:ilvl="0">
      <w:lvlJc w:val="left"/>
      <w:lvlText w:val="(%1)"/>
      <w:numFmt w:val="lowerRoman"/>
      <w:start w:val="1"/>
    </w:lvl>
  </w:abstractNum>
  <w:abstractNum w:abstractNumId="11">
    <w:nsid w:val="5072367"/>
    <w:multiLevelType w:val="hybridMultilevel"/>
    <w:lvl w:ilvl="0">
      <w:lvlJc w:val="left"/>
      <w:lvlText w:val="(%1)"/>
      <w:numFmt w:val="lowerRoman"/>
      <w:start w:val="4"/>
    </w:lvl>
  </w:abstractNum>
  <w:abstractNum w:abstractNumId="12">
    <w:nsid w:val="3804823E"/>
    <w:multiLevelType w:val="hybridMultilevel"/>
    <w:lvl w:ilvl="0">
      <w:lvlJc w:val="left"/>
      <w:lvlText w:val="(%1)"/>
      <w:numFmt w:val="lowerLetter"/>
      <w:start w:val="3"/>
    </w:lvl>
  </w:abstractNum>
  <w:abstractNum w:abstractNumId="13">
    <w:nsid w:val="77465F01"/>
    <w:multiLevelType w:val="hybridMultilevel"/>
    <w:lvl w:ilvl="0">
      <w:lvlJc w:val="left"/>
      <w:lvlText w:val="(%1)"/>
      <w:numFmt w:val="lowerRoman"/>
      <w:start w:val="1"/>
    </w:lvl>
  </w:abstractNum>
  <w:abstractNum w:abstractNumId="14">
    <w:nsid w:val="7724C67E"/>
    <w:multiLevelType w:val="hybridMultilevel"/>
    <w:lvl w:ilvl="0">
      <w:lvlJc w:val="left"/>
      <w:lvlText w:val="(%1)"/>
      <w:numFmt w:val="lowerLetter"/>
      <w:start w:val="4"/>
    </w:lvl>
  </w:abstractNum>
  <w:abstractNum w:abstractNumId="15">
    <w:nsid w:val="5C482A97"/>
    <w:multiLevelType w:val="hybridMultilevel"/>
    <w:lvl w:ilvl="0">
      <w:lvlJc w:val="left"/>
      <w:lvlText w:val="%1."/>
      <w:numFmt w:val="decimal"/>
      <w:start w:val="5"/>
    </w:lvl>
  </w:abstractNum>
  <w:abstractNum w:abstractNumId="16">
    <w:nsid w:val="2463B9EA"/>
    <w:multiLevelType w:val="hybridMultilevel"/>
    <w:lvl w:ilvl="0">
      <w:lvlJc w:val="left"/>
      <w:lvlText w:val="(%1)"/>
      <w:numFmt w:val="lowerLetter"/>
      <w:start w:val="1"/>
    </w:lvl>
  </w:abstractNum>
  <w:abstractNum w:abstractNumId="17">
    <w:nsid w:val="5E884ADC"/>
    <w:multiLevelType w:val="hybridMultilevel"/>
    <w:lvl w:ilvl="0">
      <w:lvlJc w:val="left"/>
      <w:lvlText w:val="(%1)"/>
      <w:numFmt w:val="lowerRoman"/>
      <w:start w:val="1"/>
    </w:lvl>
  </w:abstractNum>
  <w:abstractNum w:abstractNumId="18">
    <w:nsid w:val="51EAD36B"/>
    <w:multiLevelType w:val="hybridMultilevel"/>
    <w:lvl w:ilvl="0">
      <w:lvlJc w:val="left"/>
      <w:lvlText w:val="(%1)"/>
      <w:numFmt w:val="lowerRoman"/>
      <w:start w:val="2"/>
    </w:lvl>
  </w:abstractNum>
  <w:abstractNum w:abstractNumId="19">
    <w:nsid w:val="2D517796"/>
    <w:multiLevelType w:val="hybridMultilevel"/>
    <w:lvl w:ilvl="0">
      <w:lvlJc w:val="left"/>
      <w:lvlText w:val="(%1)"/>
      <w:numFmt w:val="lowerRoman"/>
      <w:start w:val="4"/>
    </w:lvl>
  </w:abstractNum>
  <w:abstractNum w:abstractNumId="20">
    <w:nsid w:val="580BD78F"/>
    <w:multiLevelType w:val="hybridMultilevel"/>
    <w:lvl w:ilvl="0">
      <w:lvlJc w:val="left"/>
      <w:lvlText w:val="(%1)"/>
      <w:numFmt w:val="lowerRoman"/>
      <w:start w:val="1"/>
    </w:lvl>
  </w:abstractNum>
  <w:abstractNum w:abstractNumId="21">
    <w:nsid w:val="153EA438"/>
    <w:multiLevelType w:val="hybridMultilevel"/>
    <w:lvl w:ilvl="0">
      <w:lvlJc w:val="left"/>
      <w:lvlText w:val="(%1)"/>
      <w:numFmt w:val="lowerRoman"/>
      <w:start w:val="5"/>
    </w:lvl>
  </w:abstractNum>
  <w:abstractNum w:abstractNumId="22">
    <w:nsid w:val="3855585C"/>
    <w:multiLevelType w:val="hybridMultilevel"/>
    <w:lvl w:ilvl="0">
      <w:lvlJc w:val="left"/>
      <w:lvlText w:val="(%1)"/>
      <w:numFmt w:val="lowerLetter"/>
      <w:start w:val="7"/>
    </w:lvl>
  </w:abstractNum>
  <w:abstractNum w:abstractNumId="23">
    <w:nsid w:val="70A64E2A"/>
    <w:multiLevelType w:val="hybridMultilevel"/>
    <w:lvl w:ilvl="0">
      <w:lvlJc w:val="left"/>
      <w:lvlText w:val="%1."/>
      <w:numFmt w:val="decimal"/>
      <w:start w:val="6"/>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lowerRoman"/>
      <w:start w:val="1"/>
    </w:lvl>
  </w:abstractNum>
  <w:abstractNum w:abstractNumId="26">
    <w:nsid w:val="1D4ED43B"/>
    <w:multiLevelType w:val="hybridMultilevel"/>
    <w:lvl w:ilvl="0">
      <w:lvlJc w:val="left"/>
      <w:lvlText w:val="(%1)"/>
      <w:numFmt w:val="lowerRoman"/>
      <w:start w:val="2"/>
    </w:lvl>
  </w:abstractNum>
  <w:abstractNum w:abstractNumId="27">
    <w:nsid w:val="725A06FB"/>
    <w:multiLevelType w:val="hybridMultilevel"/>
    <w:lvl w:ilvl="0">
      <w:lvlJc w:val="left"/>
      <w:lvlText w:val="(%1)"/>
      <w:numFmt w:val="lowerLetter"/>
      <w:start w:val="3"/>
    </w:lvl>
  </w:abstractNum>
  <w:abstractNum w:abstractNumId="28">
    <w:nsid w:val="2CD89A32"/>
    <w:multiLevelType w:val="hybridMultilevel"/>
    <w:lvl w:ilvl="0">
      <w:lvlJc w:val="left"/>
      <w:lvlText w:val="(%1)"/>
      <w:numFmt w:val="lowerLetter"/>
      <w:start w:val="9"/>
    </w:lvl>
  </w:abstractNum>
  <w:abstractNum w:abstractNumId="29">
    <w:nsid w:val="57E4CCAF"/>
    <w:multiLevelType w:val="hybridMultilevel"/>
    <w:lvl w:ilvl="0">
      <w:lvlJc w:val="left"/>
      <w:lvlText w:val="(%1)"/>
      <w:numFmt w:val="lowerLetter"/>
      <w:start w:val="5"/>
    </w:lvl>
  </w:abstractNum>
  <w:abstractNum w:abstractNumId="30">
    <w:nsid w:val="7A6D8D3C"/>
    <w:multiLevelType w:val="hybridMultilevel"/>
    <w:lvl w:ilvl="0">
      <w:lvlJc w:val="left"/>
      <w:lvlText w:val="%1."/>
      <w:numFmt w:val="decimal"/>
      <w:start w:val="7"/>
    </w:lvl>
  </w:abstractNum>
  <w:abstractNum w:abstractNumId="31">
    <w:nsid w:val="4B588F54"/>
    <w:multiLevelType w:val="hybridMultilevel"/>
    <w:lvl w:ilvl="0">
      <w:lvlJc w:val="left"/>
      <w:lvlText w:val="(%1)"/>
      <w:numFmt w:val="lowerLetter"/>
      <w:start w:val="1"/>
    </w:lvl>
  </w:abstractNum>
  <w:abstractNum w:abstractNumId="32">
    <w:nsid w:val="542289EC"/>
    <w:multiLevelType w:val="hybridMultilevel"/>
    <w:lvl w:ilvl="0">
      <w:lvlJc w:val="left"/>
      <w:lvlText w:val="(%1)"/>
      <w:numFmt w:val="lowerLetter"/>
      <w:start w:val="3"/>
    </w:lvl>
  </w:abstractNum>
  <w:abstractNum w:abstractNumId="33">
    <w:nsid w:val="6DE91B18"/>
    <w:multiLevelType w:val="hybridMultilevel"/>
    <w:lvl w:ilvl="0">
      <w:lvlJc w:val="left"/>
      <w:lvlText w:val="(%1)"/>
      <w:numFmt w:val="lowerRoman"/>
      <w:start w:val="1"/>
    </w:lvl>
  </w:abstractNum>
  <w:abstractNum w:abstractNumId="34">
    <w:nsid w:val="38437FDB"/>
    <w:multiLevelType w:val="hybridMultilevel"/>
    <w:lvl w:ilvl="0">
      <w:lvlJc w:val="left"/>
      <w:lvlText w:val="(%1)"/>
      <w:numFmt w:val="lowerLetter"/>
      <w:start w:val="4"/>
    </w:lvl>
  </w:abstractNum>
  <w:abstractNum w:abstractNumId="35">
    <w:nsid w:val="7644A45C"/>
    <w:multiLevelType w:val="hybridMultilevel"/>
    <w:lvl w:ilvl="0">
      <w:lvlJc w:val="left"/>
      <w:lvlText w:val="(%1)"/>
      <w:numFmt w:val="lowerRoman"/>
      <w:start w:val="1"/>
    </w:lvl>
  </w:abstractNum>
  <w:abstractNum w:abstractNumId="36">
    <w:nsid w:val="32FFF902"/>
    <w:multiLevelType w:val="hybridMultilevel"/>
    <w:lvl w:ilvl="0">
      <w:lvlJc w:val="left"/>
      <w:lvlText w:val="%1."/>
      <w:numFmt w:val="decimal"/>
      <w:start w:val="8"/>
    </w:lvl>
  </w:abstractNum>
  <w:abstractNum w:abstractNumId="37">
    <w:nsid w:val="684A481A"/>
    <w:multiLevelType w:val="hybridMultilevel"/>
    <w:lvl w:ilvl="0">
      <w:lvlJc w:val="left"/>
      <w:lvlText w:val="%1."/>
      <w:numFmt w:val="decimal"/>
      <w:start w:val="9"/>
    </w:lvl>
  </w:abstractNum>
  <w:abstractNum w:abstractNumId="38">
    <w:nsid w:val="579478FE"/>
    <w:multiLevelType w:val="hybridMultilevel"/>
    <w:lvl w:ilvl="0">
      <w:lvlJc w:val="left"/>
      <w:lvlText w:val="(%1)"/>
      <w:numFmt w:val="lowerLetter"/>
      <w:start w:val="1"/>
    </w:lvl>
  </w:abstractNum>
  <w:abstractNum w:abstractNumId="39">
    <w:nsid w:val="749ABB43"/>
    <w:multiLevelType w:val="hybridMultilevel"/>
    <w:lvl w:ilvl="0">
      <w:lvlJc w:val="left"/>
      <w:lvlText w:val="(%1)"/>
      <w:numFmt w:val="lowerRoman"/>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upperLetter"/>
      <w:start w:val="3"/>
    </w:lvl>
  </w:abstractNum>
  <w:abstractNum w:abstractNumId="43">
    <w:nsid w:val="75C6C33A"/>
    <w:multiLevelType w:val="hybridMultilevel"/>
    <w:lvl w:ilvl="0">
      <w:lvlJc w:val="left"/>
      <w:lvlText w:val="(%1)"/>
      <w:numFmt w:val="lowerRoman"/>
      <w:start w:val="2"/>
    </w:lvl>
  </w:abstractNum>
  <w:abstractNum w:abstractNumId="44">
    <w:nsid w:val="12E685FB"/>
    <w:multiLevelType w:val="hybridMultilevel"/>
    <w:lvl w:ilvl="0">
      <w:lvlJc w:val="left"/>
      <w:lvlText w:val="(%1)"/>
      <w:numFmt w:val="upperLetter"/>
      <w:start w:val="1"/>
    </w:lvl>
  </w:abstractNum>
  <w:abstractNum w:abstractNumId="45">
    <w:nsid w:val="70C6A529"/>
    <w:multiLevelType w:val="hybridMultilevel"/>
    <w:lvl w:ilvl="0">
      <w:lvlJc w:val="left"/>
      <w:lvlText w:val="(%1)"/>
      <w:numFmt w:val="upperLetter"/>
      <w:start w:val="2"/>
    </w:lvl>
  </w:abstractNum>
  <w:abstractNum w:abstractNumId="46">
    <w:nsid w:val="520EEDD1"/>
    <w:multiLevelType w:val="hybridMultilevel"/>
    <w:lvl w:ilvl="0">
      <w:lvlJc w:val="left"/>
      <w:lvlText w:val="(%1)"/>
      <w:numFmt w:val="lowerRoman"/>
      <w:start w:val="3"/>
    </w:lvl>
  </w:abstractNum>
  <w:abstractNum w:abstractNumId="47">
    <w:nsid w:val="374A3FE6"/>
    <w:multiLevelType w:val="hybridMultilevel"/>
    <w:lvl w:ilvl="0">
      <w:lvlJc w:val="left"/>
      <w:lvlText w:val="(%1)"/>
      <w:numFmt w:val="upperLetter"/>
      <w:start w:val="1"/>
    </w:lvl>
  </w:abstractNum>
  <w:abstractNum w:abstractNumId="48">
    <w:nsid w:val="4F4EF005"/>
    <w:multiLevelType w:val="hybridMultilevel"/>
    <w:lvl w:ilvl="0">
      <w:lvlJc w:val="left"/>
      <w:lvlText w:val="(%1)"/>
      <w:numFmt w:val="lowerRoman"/>
      <w:start w:val="4"/>
    </w:lvl>
  </w:abstractNum>
  <w:abstractNum w:abstractNumId="49">
    <w:nsid w:val="23F9C13C"/>
    <w:multiLevelType w:val="hybridMultilevel"/>
    <w:lvl w:ilvl="0">
      <w:lvlJc w:val="left"/>
      <w:lvlText w:val="%1."/>
      <w:numFmt w:val="decimal"/>
      <w:start w:val="10"/>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1)"/>
      <w:numFmt w:val="lowerLetter"/>
      <w:start w:val="35"/>
    </w:lvl>
  </w:abstractNum>
  <w:abstractNum w:abstractNumId="52">
    <w:nsid w:val="39386575"/>
    <w:multiLevelType w:val="hybridMultilevel"/>
    <w:lvl w:ilvl="0">
      <w:lvlJc w:val="left"/>
      <w:lvlText w:val="(%1)"/>
      <w:numFmt w:val="lowerLetter"/>
      <w:start w:val="8"/>
    </w:lvl>
  </w:abstractNum>
  <w:abstractNum w:abstractNumId="53">
    <w:nsid w:val="1CF10FD8"/>
    <w:multiLevelType w:val="hybridMultilevel"/>
    <w:lvl w:ilvl="0">
      <w:lvlJc w:val="left"/>
      <w:lvlText w:val="(%1)"/>
      <w:numFmt w:val="lowerRoman"/>
      <w:start w:val="1"/>
    </w:lvl>
  </w:abstractNum>
  <w:abstractNum w:abstractNumId="54">
    <w:nsid w:val="180115BE"/>
    <w:multiLevelType w:val="hybridMultilevel"/>
    <w:lvl w:ilvl="0">
      <w:lvlJc w:val="left"/>
      <w:lvlText w:val="(%1)"/>
      <w:numFmt w:val="upperLetter"/>
      <w:start w:val="1"/>
    </w:lvl>
  </w:abstractNum>
  <w:abstractNum w:abstractNumId="55">
    <w:nsid w:val="235BA861"/>
    <w:multiLevelType w:val="hybridMultilevel"/>
    <w:lvl w:ilvl="0">
      <w:lvlJc w:val="left"/>
      <w:lvlText w:val="(%1)"/>
      <w:numFmt w:val="lowerRoman"/>
      <w:start w:val="4"/>
    </w:lvl>
  </w:abstractNum>
  <w:abstractNum w:abstractNumId="56">
    <w:nsid w:val="47398C89"/>
    <w:multiLevelType w:val="hybridMultilevel"/>
    <w:lvl w:ilvl="0">
      <w:lvlJc w:val="left"/>
      <w:lvlText w:val="%1."/>
      <w:numFmt w:val="decimal"/>
      <w:start w:val="11"/>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lowerLetter"/>
      <w:start w:val="6"/>
    </w:lvl>
  </w:abstractNum>
  <w:abstractNum w:abstractNumId="59">
    <w:nsid w:val="741226BB"/>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hyperlink" Target="http://www.sec.gov/Archives/edgar/data/1367644/000136764416000074/ex3.htm" TargetMode="External"/><Relationship Id="rId15" Type="http://schemas.openxmlformats.org/officeDocument/2006/relationships/hyperlink" Target="http://www.sec.gov/Archives/edgar/data/1367644/000136764412000042/exhibit3.htm" TargetMode="External"/><Relationship Id="rId16" Type="http://schemas.openxmlformats.org/officeDocument/2006/relationships/hyperlink" Target="http://www.sec.gov/Archives/edgar/data/1367644/000095013306004496/w20323a3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2019-12-07T05:12:06Z</dcterms:created>
  <dcterms:modified xsi:type="dcterms:W3CDTF">2019-12-07T05:12:06Z</dcterms:modified>
</cp:coreProperties>
</file>