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30061.xml.htm"/>
      <w:bookmarkStart w:id="1" w:name="kswkform4_1777930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Fowler Neal Franklin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PROFESSIONAL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Emergent BioSolutions Inc.</w:t>
              </w:r>
            </w:hyperlink>
            <w:r>
              <w:rPr/>
              <w:t xml:space="preserve"> [ </w:t>
            </w:r>
            <w:r>
              <w:rPr>
                <w:rFonts w:ascii="Times;serif" w:hAnsi="Times;serif"/>
                <w:color w:val="0000FF"/>
                <w:sz w:val="24"/>
                <w:shd w:fill="FFFFFF" w:val="clear"/>
              </w:rPr>
              <w:t>EBS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25,344</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160,847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11,296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options granted was determined by multiplying 25% of the total non-employee director compensation value, and then dividing by the Black-Scholes value of a single option calculated as of the date of the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S. Lindahl,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3692" TargetMode="External"/><Relationship Id="rId5" Type="http://schemas.openxmlformats.org/officeDocument/2006/relationships/hyperlink" Target="http://www.sec.gov/cgi-bin/browse-edgar?action=getcompany&amp;CIK=00013676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775</Words>
  <Characters>4192</Characters>
  <CharactersWithSpaces>4898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