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5, 2020</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EMERGENT BIOSOLUTIONS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20" w:type="dxa"/>
            <w:vAlign w:val="bottom"/>
          </w:tcPr>
          <w:p>
            <w:pPr>
              <w:jc w:val="center"/>
              <w:ind w:right="65"/>
              <w:spacing w:after="0"/>
              <w:rPr>
                <w:sz w:val="20"/>
                <w:szCs w:val="20"/>
                <w:color w:val="auto"/>
              </w:rPr>
            </w:pPr>
            <w:r>
              <w:rPr>
                <w:rFonts w:ascii="Times New Roman" w:cs="Times New Roman" w:eastAsia="Times New Roman" w:hAnsi="Times New Roman"/>
                <w:sz w:val="18"/>
                <w:szCs w:val="18"/>
                <w:b w:val="1"/>
                <w:bCs w:val="1"/>
                <w:color w:val="auto"/>
                <w:w w:val="99"/>
              </w:rPr>
              <w:t>001-33137</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14-1902018</w:t>
            </w:r>
          </w:p>
        </w:tc>
        <w:tc>
          <w:tcPr>
            <w:tcW w:w="0" w:type="dxa"/>
            <w:vAlign w:val="bottom"/>
          </w:tcPr>
          <w:p>
            <w:pPr>
              <w:spacing w:after="0"/>
              <w:rPr>
                <w:sz w:val="1"/>
                <w:szCs w:val="1"/>
                <w:color w:val="auto"/>
              </w:rPr>
            </w:pPr>
          </w:p>
        </w:tc>
      </w:tr>
      <w:tr>
        <w:trPr>
          <w:trHeight w:val="229"/>
        </w:trPr>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82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4820" w:type="dxa"/>
            <w:vAlign w:val="bottom"/>
            <w:vMerge w:val="restart"/>
          </w:tcPr>
          <w:p>
            <w:pPr>
              <w:ind w:left="820"/>
              <w:spacing w:after="0"/>
              <w:rPr>
                <w:sz w:val="20"/>
                <w:szCs w:val="20"/>
                <w:color w:val="auto"/>
              </w:rPr>
            </w:pPr>
            <w:r>
              <w:rPr>
                <w:rFonts w:ascii="Times New Roman" w:cs="Times New Roman" w:eastAsia="Times New Roman" w:hAnsi="Times New Roman"/>
                <w:sz w:val="22"/>
                <w:szCs w:val="22"/>
                <w:b w:val="1"/>
                <w:bCs w:val="1"/>
                <w:color w:val="auto"/>
              </w:rPr>
              <w:t>400 Professional Drive, Suite 400,</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39"/>
        </w:trPr>
        <w:tc>
          <w:tcPr>
            <w:tcW w:w="2100" w:type="dxa"/>
            <w:vAlign w:val="bottom"/>
          </w:tcPr>
          <w:p>
            <w:pPr>
              <w:spacing w:after="0"/>
              <w:rPr>
                <w:sz w:val="20"/>
                <w:szCs w:val="20"/>
                <w:color w:val="auto"/>
              </w:rPr>
            </w:pPr>
          </w:p>
        </w:tc>
        <w:tc>
          <w:tcPr>
            <w:tcW w:w="482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100" w:type="dxa"/>
            <w:vAlign w:val="bottom"/>
          </w:tcPr>
          <w:p>
            <w:pPr>
              <w:spacing w:after="0"/>
              <w:rPr>
                <w:sz w:val="24"/>
                <w:szCs w:val="24"/>
                <w:color w:val="auto"/>
              </w:rPr>
            </w:pPr>
          </w:p>
        </w:tc>
        <w:tc>
          <w:tcPr>
            <w:tcW w:w="4820" w:type="dxa"/>
            <w:vAlign w:val="bottom"/>
          </w:tcPr>
          <w:p>
            <w:pPr>
              <w:jc w:val="center"/>
              <w:ind w:right="45"/>
              <w:spacing w:after="0"/>
              <w:rPr>
                <w:sz w:val="20"/>
                <w:szCs w:val="20"/>
                <w:color w:val="auto"/>
              </w:rPr>
            </w:pPr>
            <w:r>
              <w:rPr>
                <w:rFonts w:ascii="Times New Roman" w:cs="Times New Roman" w:eastAsia="Times New Roman" w:hAnsi="Times New Roman"/>
                <w:sz w:val="22"/>
                <w:szCs w:val="22"/>
                <w:b w:val="1"/>
                <w:bCs w:val="1"/>
                <w:color w:val="auto"/>
                <w:w w:val="98"/>
              </w:rPr>
              <w:t>Gaithersburg, Maryland 20879</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100" w:type="dxa"/>
            <w:vAlign w:val="bottom"/>
          </w:tcPr>
          <w:p>
            <w:pPr>
              <w:spacing w:after="0"/>
              <w:rPr>
                <w:sz w:val="24"/>
                <w:szCs w:val="24"/>
                <w:color w:val="auto"/>
              </w:rPr>
            </w:pPr>
          </w:p>
        </w:tc>
        <w:tc>
          <w:tcPr>
            <w:tcW w:w="4820" w:type="dxa"/>
            <w:vAlign w:val="bottom"/>
          </w:tcPr>
          <w:p>
            <w:pPr>
              <w:jc w:val="center"/>
              <w:ind w:right="45"/>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100" w:type="dxa"/>
            <w:vAlign w:val="bottom"/>
          </w:tcPr>
          <w:p>
            <w:pPr>
              <w:spacing w:after="0"/>
              <w:rPr>
                <w:sz w:val="24"/>
                <w:szCs w:val="24"/>
                <w:color w:val="auto"/>
              </w:rPr>
            </w:pPr>
          </w:p>
        </w:tc>
        <w:tc>
          <w:tcPr>
            <w:tcW w:w="4820" w:type="dxa"/>
            <w:vAlign w:val="bottom"/>
          </w:tcPr>
          <w:p>
            <w:pPr>
              <w:jc w:val="center"/>
              <w:ind w:right="45"/>
              <w:spacing w:after="0"/>
              <w:rPr>
                <w:sz w:val="20"/>
                <w:szCs w:val="20"/>
                <w:color w:val="auto"/>
              </w:rPr>
            </w:pPr>
            <w:r>
              <w:rPr>
                <w:rFonts w:ascii="Times New Roman" w:cs="Times New Roman" w:eastAsia="Times New Roman" w:hAnsi="Times New Roman"/>
                <w:sz w:val="18"/>
                <w:szCs w:val="18"/>
                <w:b w:val="1"/>
                <w:bCs w:val="1"/>
                <w:color w:val="auto"/>
                <w:w w:val="99"/>
              </w:rPr>
              <w:t>(240) 631-3200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p>
        </w:tc>
        <w:tc>
          <w:tcPr>
            <w:tcW w:w="4820" w:type="dxa"/>
            <w:vAlign w:val="bottom"/>
          </w:tcPr>
          <w:p>
            <w:pPr>
              <w:jc w:val="center"/>
              <w:ind w:right="45"/>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6"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72" w:lineRule="exact"/>
        <w:rPr>
          <w:sz w:val="24"/>
          <w:szCs w:val="24"/>
          <w:color w:val="auto"/>
        </w:rPr>
      </w:pPr>
    </w:p>
    <w:tbl>
      <w:tblPr>
        <w:tblLayout w:type="fixed"/>
        <w:tblInd w:w="270" w:type="dxa"/>
        <w:tblCellMar>
          <w:top w:w="0" w:type="dxa"/>
          <w:left w:w="0" w:type="dxa"/>
          <w:bottom w:w="0" w:type="dxa"/>
          <w:right w:w="0" w:type="dxa"/>
        </w:tblCellMar>
      </w:tblPr>
      <w:tr>
        <w:trPr>
          <w:trHeight w:val="243"/>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5, 2020, Emergent BioSolutions Inc. announced financial and operating results for the quarter ended September 30, 2020. The full text of the press release issued in connection with the announcement is attached as Exhibit 99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92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rPr>
              <w:t>Exhibits.</w:t>
            </w:r>
          </w:p>
        </w:tc>
        <w:tc>
          <w:tcPr>
            <w:tcW w:w="8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192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828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Pr>
          <w:p>
            <w:pPr>
              <w:spacing w:after="0"/>
              <w:rPr>
                <w:sz w:val="18"/>
                <w:szCs w:val="18"/>
                <w:color w:val="auto"/>
              </w:rPr>
            </w:pPr>
          </w:p>
        </w:tc>
        <w:tc>
          <w:tcPr>
            <w:tcW w:w="8280" w:type="dxa"/>
            <w:vAlign w:val="bottom"/>
            <w:tcBorders>
              <w:top w:val="single" w:sz="8" w:color="auto"/>
            </w:tcBorders>
          </w:tcPr>
          <w:p>
            <w:pPr>
              <w:ind w:lef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Press release issued by the company on November</w:t>
              </w:r>
              <w:r>
                <w:rPr>
                  <w:rFonts w:ascii="Times New Roman" w:cs="Times New Roman" w:eastAsia="Times New Roman" w:hAnsi="Times New Roman"/>
                  <w:sz w:val="18"/>
                  <w:szCs w:val="18"/>
                  <w:color w:val="0000FF"/>
                </w:rPr>
                <w:t xml:space="preserve"> 5, </w:t>
              </w:r>
              <w:r>
                <w:rPr>
                  <w:rFonts w:ascii="Times New Roman" w:cs="Times New Roman" w:eastAsia="Times New Roman" w:hAnsi="Times New Roman"/>
                  <w:sz w:val="18"/>
                  <w:szCs w:val="18"/>
                  <w:u w:val="single" w:color="auto"/>
                  <w:color w:val="0000FF"/>
                </w:rPr>
                <w:t>2020</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5"/>
                <w:szCs w:val="15"/>
                <w:color w:val="auto"/>
              </w:rPr>
            </w:pPr>
          </w:p>
        </w:tc>
        <w:tc>
          <w:tcPr>
            <w:tcW w:w="82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Emergent BioSolutions Inc. Current Report on Form 8-K, dated November 5, 2020, formatted in XBRL</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(Extensible Business Reporting Language): Cover Page. The instance document does not appear in the Interactive</w:t>
            </w: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Dated: 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17145</wp:posOffset>
            </wp:positionV>
            <wp:extent cx="2872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Richard S. Lindahl</w:t>
      </w:r>
    </w:p>
    <w:p>
      <w:pPr>
        <w:ind w:left="6240"/>
        <w:spacing w:after="0" w:line="203" w:lineRule="auto"/>
        <w:rPr>
          <w:sz w:val="20"/>
          <w:szCs w:val="20"/>
          <w:color w:val="auto"/>
        </w:rPr>
      </w:pPr>
      <w:r>
        <w:rPr>
          <w:rFonts w:ascii="Times New Roman" w:cs="Times New Roman" w:eastAsia="Times New Roman" w:hAnsi="Times New Roman"/>
          <w:sz w:val="18"/>
          <w:szCs w:val="18"/>
          <w:color w:val="auto"/>
        </w:rPr>
        <w:t>Title: Executive Vice President, Chief Financial</w:t>
      </w:r>
    </w:p>
    <w:p>
      <w:pPr>
        <w:ind w:left="624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240"/>
          </w:cols>
          <w:pgMar w:left="320" w:top="941"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515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60"/>
        <w:spacing w:after="0" w:line="293" w:lineRule="auto"/>
        <w:rPr>
          <w:sz w:val="20"/>
          <w:szCs w:val="20"/>
          <w:color w:val="auto"/>
        </w:rPr>
      </w:pPr>
      <w:r>
        <w:rPr>
          <w:rFonts w:ascii="Arial" w:cs="Arial" w:eastAsia="Arial" w:hAnsi="Arial"/>
          <w:sz w:val="22"/>
          <w:szCs w:val="22"/>
          <w:b w:val="1"/>
          <w:bCs w:val="1"/>
          <w:color w:val="auto"/>
        </w:rPr>
        <w:t>EMERGENT BIOSOLUTIONS REPORTS FINANCIAL RESULTS FOR THIRD QUARTER AND NINE MONTHS ENDED SEPTEMBER 30, 2020 AND UPDATES FULL YEAR 2020 GUIDANCE</w:t>
      </w:r>
    </w:p>
    <w:p>
      <w:pPr>
        <w:spacing w:after="0" w:line="138"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Reports strong third quarter and record year to date performance</w:t>
      </w:r>
    </w:p>
    <w:p>
      <w:pPr>
        <w:spacing w:after="0" w:line="17"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Updates full year guidance — refines revenue ranges and raises profitability ranges</w:t>
      </w: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color w:val="auto"/>
        </w:rPr>
        <w:t>GAITHERSBURG, Md., November 5, 2020</w:t>
      </w:r>
      <w:r>
        <w:rPr>
          <w:rFonts w:ascii="Arial" w:cs="Arial" w:eastAsia="Arial" w:hAnsi="Arial"/>
          <w:sz w:val="18"/>
          <w:szCs w:val="18"/>
          <w:color w:val="auto"/>
        </w:rPr>
        <w:t>—Emergent BioSolutions Inc. (NYSE: EBS) today reported financial results 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2020 and updated its full year 2020 guidance.</w:t>
      </w:r>
    </w:p>
    <w:p>
      <w:pPr>
        <w:spacing w:after="0" w:line="170"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“Over the last 22 years, Emergent has built a solid business founded on demonstrable strengths in partnering, manufacturing, and integrating value-added M&amp;A,” said Robert G. Kramer, president and chief executive officer of Emergent BioSolutions. “The strength of our core business and the accelerated growth of our contract development and manufacturing unit validate our strategy to pursue leadership positions across the public health threat market. Our diverse product and service portfolio gives us continued confidence in executing our strategy, delivering on our commitments to our partners and customers, and creating value for our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57720" cy="189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189484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6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82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Q3 2020</w:t>
            </w:r>
          </w:p>
        </w:tc>
        <w:tc>
          <w:tcPr>
            <w:tcW w:w="186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Q3 2019</w:t>
            </w:r>
          </w:p>
        </w:tc>
        <w:tc>
          <w:tcPr>
            <w:tcW w:w="1820" w:type="dxa"/>
            <w:vAlign w:val="bottom"/>
            <w:shd w:val="clear" w:color="auto" w:fill="0F243E"/>
          </w:tcPr>
          <w:p>
            <w:pPr>
              <w:ind w:left="500"/>
              <w:spacing w:after="0"/>
              <w:rPr>
                <w:sz w:val="20"/>
                <w:szCs w:val="20"/>
                <w:color w:val="auto"/>
              </w:rPr>
            </w:pPr>
            <w:r>
              <w:rPr>
                <w:rFonts w:ascii="Arial" w:cs="Arial" w:eastAsia="Arial" w:hAnsi="Arial"/>
                <w:sz w:val="18"/>
                <w:szCs w:val="18"/>
                <w:b w:val="1"/>
                <w:bCs w:val="1"/>
                <w:color w:val="FFFFFF"/>
              </w:rPr>
              <w:t>$ Change</w:t>
            </w:r>
          </w:p>
        </w:tc>
        <w:tc>
          <w:tcPr>
            <w:tcW w:w="1880" w:type="dxa"/>
            <w:vAlign w:val="bottom"/>
            <w:shd w:val="clear" w:color="auto" w:fill="0F243E"/>
          </w:tcPr>
          <w:p>
            <w:pPr>
              <w:ind w:left="500"/>
              <w:spacing w:after="0"/>
              <w:rPr>
                <w:sz w:val="20"/>
                <w:szCs w:val="20"/>
                <w:color w:val="auto"/>
              </w:rPr>
            </w:pPr>
            <w:r>
              <w:rPr>
                <w:rFonts w:ascii="Arial" w:cs="Arial" w:eastAsia="Arial" w:hAnsi="Arial"/>
                <w:sz w:val="18"/>
                <w:szCs w:val="18"/>
                <w:b w:val="1"/>
                <w:bCs w:val="1"/>
                <w:color w:val="FFFFFF"/>
              </w:rPr>
              <w:t>% Change</w:t>
            </w:r>
          </w:p>
        </w:tc>
      </w:tr>
      <w:tr>
        <w:trPr>
          <w:trHeight w:val="243"/>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$385.2</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$311.8</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$73.4</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24%</w:t>
            </w:r>
          </w:p>
        </w:tc>
      </w:tr>
      <w:tr>
        <w:trPr>
          <w:trHeight w:val="247"/>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$39.5</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$43.2</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7"/>
              </w:rPr>
              <w:t>($3.7)</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(9)%</w:t>
            </w:r>
          </w:p>
        </w:tc>
      </w:tr>
      <w:tr>
        <w:trPr>
          <w:trHeight w:val="256"/>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8"/>
                <w:szCs w:val="18"/>
                <w:i w:val="1"/>
                <w:iCs w:val="1"/>
                <w:color w:val="auto"/>
              </w:rPr>
              <w:t>(1)</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$119.0</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$64.8</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$54.2</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84%</w:t>
            </w:r>
          </w:p>
        </w:tc>
      </w:tr>
      <w:tr>
        <w:trPr>
          <w:trHeight w:val="266"/>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$168.1</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$106.4</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$61.7</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58%</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6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82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YTD 2020</w:t>
            </w:r>
          </w:p>
        </w:tc>
        <w:tc>
          <w:tcPr>
            <w:tcW w:w="1860" w:type="dxa"/>
            <w:vAlign w:val="bottom"/>
            <w:shd w:val="clear" w:color="auto" w:fill="0F243E"/>
          </w:tcPr>
          <w:p>
            <w:pPr>
              <w:ind w:left="520"/>
              <w:spacing w:after="0"/>
              <w:rPr>
                <w:sz w:val="20"/>
                <w:szCs w:val="20"/>
                <w:color w:val="auto"/>
              </w:rPr>
            </w:pPr>
            <w:r>
              <w:rPr>
                <w:rFonts w:ascii="Arial" w:cs="Arial" w:eastAsia="Arial" w:hAnsi="Arial"/>
                <w:sz w:val="18"/>
                <w:szCs w:val="18"/>
                <w:b w:val="1"/>
                <w:bCs w:val="1"/>
                <w:color w:val="FFFFFF"/>
              </w:rPr>
              <w:t>YTD 2019</w:t>
            </w:r>
          </w:p>
        </w:tc>
        <w:tc>
          <w:tcPr>
            <w:tcW w:w="1820" w:type="dxa"/>
            <w:vAlign w:val="bottom"/>
            <w:shd w:val="clear" w:color="auto" w:fill="0F243E"/>
          </w:tcPr>
          <w:p>
            <w:pPr>
              <w:ind w:left="500"/>
              <w:spacing w:after="0"/>
              <w:rPr>
                <w:sz w:val="20"/>
                <w:szCs w:val="20"/>
                <w:color w:val="auto"/>
              </w:rPr>
            </w:pPr>
            <w:r>
              <w:rPr>
                <w:rFonts w:ascii="Arial" w:cs="Arial" w:eastAsia="Arial" w:hAnsi="Arial"/>
                <w:sz w:val="18"/>
                <w:szCs w:val="18"/>
                <w:b w:val="1"/>
                <w:bCs w:val="1"/>
                <w:color w:val="FFFFFF"/>
              </w:rPr>
              <w:t>$ Change</w:t>
            </w:r>
          </w:p>
        </w:tc>
        <w:tc>
          <w:tcPr>
            <w:tcW w:w="1880" w:type="dxa"/>
            <w:vAlign w:val="bottom"/>
            <w:shd w:val="clear" w:color="auto" w:fill="0F243E"/>
          </w:tcPr>
          <w:p>
            <w:pPr>
              <w:ind w:left="500"/>
              <w:spacing w:after="0"/>
              <w:rPr>
                <w:sz w:val="20"/>
                <w:szCs w:val="20"/>
                <w:color w:val="auto"/>
              </w:rPr>
            </w:pPr>
            <w:r>
              <w:rPr>
                <w:rFonts w:ascii="Arial" w:cs="Arial" w:eastAsia="Arial" w:hAnsi="Arial"/>
                <w:sz w:val="18"/>
                <w:szCs w:val="18"/>
                <w:b w:val="1"/>
                <w:bCs w:val="1"/>
                <w:color w:val="FFFFFF"/>
              </w:rPr>
              <w:t>% Change</w:t>
            </w:r>
          </w:p>
        </w:tc>
      </w:tr>
      <w:tr>
        <w:trPr>
          <w:trHeight w:val="243"/>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$972.4</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$745.7</w:t>
            </w:r>
          </w:p>
        </w:tc>
        <w:tc>
          <w:tcPr>
            <w:tcW w:w="1820" w:type="dxa"/>
            <w:vAlign w:val="bottom"/>
            <w:shd w:val="clear" w:color="auto" w:fill="CCCCCC"/>
          </w:tcPr>
          <w:p>
            <w:pPr>
              <w:ind w:left="640"/>
              <w:spacing w:after="0"/>
              <w:rPr>
                <w:sz w:val="20"/>
                <w:szCs w:val="20"/>
                <w:color w:val="auto"/>
              </w:rPr>
            </w:pPr>
            <w:r>
              <w:rPr>
                <w:rFonts w:ascii="Arial" w:cs="Arial" w:eastAsia="Arial" w:hAnsi="Arial"/>
                <w:sz w:val="18"/>
                <w:szCs w:val="18"/>
                <w:color w:val="auto"/>
              </w:rPr>
              <w:t>$226.7</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30%</w:t>
            </w:r>
          </w:p>
        </w:tc>
      </w:tr>
      <w:tr>
        <w:trPr>
          <w:trHeight w:val="247"/>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Income</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$119.7</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6"/>
              </w:rPr>
              <w:t>$7.6</w:t>
            </w:r>
          </w:p>
        </w:tc>
        <w:tc>
          <w:tcPr>
            <w:tcW w:w="1820" w:type="dxa"/>
            <w:vAlign w:val="bottom"/>
            <w:shd w:val="clear" w:color="auto" w:fill="CCCCCC"/>
          </w:tcPr>
          <w:p>
            <w:pPr>
              <w:ind w:left="640"/>
              <w:spacing w:after="0"/>
              <w:rPr>
                <w:sz w:val="20"/>
                <w:szCs w:val="20"/>
                <w:color w:val="auto"/>
              </w:rPr>
            </w:pPr>
            <w:r>
              <w:rPr>
                <w:rFonts w:ascii="Arial" w:cs="Arial" w:eastAsia="Arial" w:hAnsi="Arial"/>
                <w:sz w:val="18"/>
                <w:szCs w:val="18"/>
                <w:color w:val="auto"/>
              </w:rPr>
              <w:t>$112.1</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w:t>
            </w:r>
          </w:p>
        </w:tc>
      </w:tr>
      <w:tr>
        <w:trPr>
          <w:trHeight w:val="256"/>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8"/>
                <w:szCs w:val="18"/>
                <w:i w:val="1"/>
                <w:iCs w:val="1"/>
                <w:color w:val="auto"/>
              </w:rPr>
              <w:t>(1)</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$225.1</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$69.6</w:t>
            </w:r>
          </w:p>
        </w:tc>
        <w:tc>
          <w:tcPr>
            <w:tcW w:w="1820" w:type="dxa"/>
            <w:vAlign w:val="bottom"/>
            <w:shd w:val="clear" w:color="auto" w:fill="CCCCCC"/>
          </w:tcPr>
          <w:p>
            <w:pPr>
              <w:ind w:left="640"/>
              <w:spacing w:after="0"/>
              <w:rPr>
                <w:sz w:val="20"/>
                <w:szCs w:val="20"/>
                <w:color w:val="auto"/>
              </w:rPr>
            </w:pPr>
            <w:r>
              <w:rPr>
                <w:rFonts w:ascii="Arial" w:cs="Arial" w:eastAsia="Arial" w:hAnsi="Arial"/>
                <w:sz w:val="18"/>
                <w:szCs w:val="18"/>
                <w:color w:val="auto"/>
              </w:rPr>
              <w:t>$155.5</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w:t>
            </w:r>
          </w:p>
        </w:tc>
      </w:tr>
      <w:tr>
        <w:trPr>
          <w:trHeight w:val="253"/>
        </w:trPr>
        <w:tc>
          <w:tcPr>
            <w:tcW w:w="386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18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$339.5</w:t>
            </w:r>
          </w:p>
        </w:tc>
        <w:tc>
          <w:tcPr>
            <w:tcW w:w="186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$145.4</w:t>
            </w:r>
          </w:p>
        </w:tc>
        <w:tc>
          <w:tcPr>
            <w:tcW w:w="1820" w:type="dxa"/>
            <w:vAlign w:val="bottom"/>
            <w:shd w:val="clear" w:color="auto" w:fill="CCCCCC"/>
          </w:tcPr>
          <w:p>
            <w:pPr>
              <w:ind w:left="640"/>
              <w:spacing w:after="0"/>
              <w:rPr>
                <w:sz w:val="20"/>
                <w:szCs w:val="20"/>
                <w:color w:val="auto"/>
              </w:rPr>
            </w:pPr>
            <w:r>
              <w:rPr>
                <w:rFonts w:ascii="Arial" w:cs="Arial" w:eastAsia="Arial" w:hAnsi="Arial"/>
                <w:sz w:val="18"/>
                <w:szCs w:val="18"/>
                <w:color w:val="auto"/>
              </w:rPr>
              <w:t>$194.1</w:t>
            </w:r>
          </w:p>
        </w:tc>
        <w:tc>
          <w:tcPr>
            <w:tcW w:w="18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w:t>
            </w:r>
          </w:p>
        </w:tc>
      </w:tr>
    </w:tbl>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 change is greater than 100%</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Q3 2020 BUSINESS ACCOMPLISHMENTS</w:t>
      </w:r>
    </w:p>
    <w:p>
      <w:pPr>
        <w:spacing w:after="0" w:line="254" w:lineRule="exact"/>
        <w:rPr>
          <w:sz w:val="20"/>
          <w:szCs w:val="20"/>
          <w:color w:val="auto"/>
        </w:rPr>
      </w:pPr>
    </w:p>
    <w:p>
      <w:pPr>
        <w:jc w:val="both"/>
        <w:ind w:left="660" w:right="340" w:hanging="328"/>
        <w:spacing w:after="0" w:line="271" w:lineRule="auto"/>
        <w:tabs>
          <w:tab w:leader="none" w:pos="615" w:val="left"/>
        </w:tabs>
        <w:numPr>
          <w:ilvl w:val="0"/>
          <w:numId w:val="3"/>
        </w:numPr>
        <w:rPr>
          <w:rFonts w:ascii="Arial" w:cs="Arial" w:eastAsia="Arial" w:hAnsi="Arial"/>
          <w:sz w:val="18"/>
          <w:szCs w:val="18"/>
          <w:color w:val="2C2C2C"/>
        </w:rPr>
      </w:pPr>
      <w:r>
        <w:rPr>
          <w:rFonts w:ascii="Arial" w:cs="Arial" w:eastAsia="Arial" w:hAnsi="Arial"/>
          <w:sz w:val="18"/>
          <w:szCs w:val="18"/>
          <w:color w:val="2C2C2C"/>
        </w:rPr>
        <w:t>Completed an offering of $450 million in aggregate principal amount 3.875% Senior Unsecured Notes due in 2028. The Company utilized the proceeds from the offering to repay $353 million outstanding under its revolving credit facility with the remainder to be utilized for general corporate purposes.</w:t>
      </w:r>
    </w:p>
    <w:p>
      <w:pPr>
        <w:spacing w:after="0" w:line="189" w:lineRule="exact"/>
        <w:rPr>
          <w:rFonts w:ascii="Arial" w:cs="Arial" w:eastAsia="Arial" w:hAnsi="Arial"/>
          <w:sz w:val="18"/>
          <w:szCs w:val="18"/>
          <w:color w:val="2C2C2C"/>
        </w:rPr>
      </w:pPr>
    </w:p>
    <w:p>
      <w:pPr>
        <w:jc w:val="both"/>
        <w:ind w:left="660" w:right="340" w:hanging="328"/>
        <w:spacing w:after="0" w:line="271"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initiation of a Phase 3 clinical trial sponsored by the National Institutes of Health to evaluate the safety, tolerability, and efficacy of hyperimmune globulin products, including the Company's COVID-19 Human Immune Globulin (COVID-HIG), as a potential treatment in adult patients hospitalized with COVID-19.</w:t>
      </w:r>
    </w:p>
    <w:p>
      <w:pPr>
        <w:spacing w:after="0" w:line="189" w:lineRule="exact"/>
        <w:rPr>
          <w:rFonts w:ascii="Arial" w:cs="Arial" w:eastAsia="Arial" w:hAnsi="Arial"/>
          <w:sz w:val="18"/>
          <w:szCs w:val="18"/>
          <w:color w:val="auto"/>
        </w:rPr>
      </w:pPr>
    </w:p>
    <w:p>
      <w:pPr>
        <w:ind w:left="660" w:right="160" w:hanging="328"/>
        <w:spacing w:after="0" w:line="292"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U.S. Food and Drug Administration (FDA) approval of the shelf life extension of NARCAN® (naloxone HCl) Nasal Spray from 24 months to 36 months.</w:t>
      </w:r>
    </w:p>
    <w:p>
      <w:pPr>
        <w:spacing w:after="0" w:line="171" w:lineRule="exact"/>
        <w:rPr>
          <w:rFonts w:ascii="Arial" w:cs="Arial" w:eastAsia="Arial" w:hAnsi="Arial"/>
          <w:sz w:val="18"/>
          <w:szCs w:val="18"/>
          <w:color w:val="auto"/>
        </w:rPr>
      </w:pPr>
    </w:p>
    <w:p>
      <w:pPr>
        <w:ind w:left="660" w:right="100" w:hanging="328"/>
        <w:spacing w:after="0" w:line="323" w:lineRule="auto"/>
        <w:tabs>
          <w:tab w:leader="none" w:pos="61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Secured approximately $60 million in new business and existing project extensions across development services, drug substance manufacturing, and drug product manufacturing towards the Company's contract development and manufacturing (CDMO) portfolio.</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 of 15</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PERFORMANCE (unaudited)</w:t>
      </w:r>
    </w:p>
    <w:p>
      <w:pPr>
        <w:spacing w:after="0" w:line="252" w:lineRule="exact"/>
        <w:rPr>
          <w:sz w:val="20"/>
          <w:szCs w:val="20"/>
          <w:color w:val="auto"/>
        </w:rPr>
      </w:pPr>
    </w:p>
    <w:p>
      <w:pPr>
        <w:ind w:right="7600" w:firstLine="8"/>
        <w:spacing w:after="0" w:line="533" w:lineRule="auto"/>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 Ended September 30, 2020 (Q3) </w:t>
      </w:r>
      <w:r>
        <w:rPr>
          <w:rFonts w:ascii="Arial" w:cs="Arial" w:eastAsia="Arial" w:hAnsi="Arial"/>
          <w:sz w:val="18"/>
          <w:szCs w:val="18"/>
          <w:b w:val="1"/>
          <w:bCs w:val="1"/>
          <w:u w:val="single" w:color="auto"/>
          <w:color w:val="auto"/>
        </w:rPr>
        <w:t>Revenues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For Q3 2020, total revenues were $385.2 million, an increase of $73.4 million as compared to 2019</w:t>
      </w:r>
      <w:r>
        <w:rPr>
          <w:rFonts w:ascii="Arial" w:cs="Arial" w:eastAsia="Arial" w:hAnsi="Arial"/>
          <w:sz w:val="18"/>
          <w:szCs w:val="18"/>
          <w:b w:val="1"/>
          <w:bCs w:val="1"/>
          <w:color w:val="2C2C2C"/>
        </w:rPr>
        <w:t>.</w:t>
      </w:r>
      <w:r>
        <w:rPr>
          <w:rFonts w:ascii="Arial" w:cs="Arial" w:eastAsia="Arial" w:hAnsi="Arial"/>
          <w:sz w:val="18"/>
          <w:szCs w:val="18"/>
          <w:color w:val="auto"/>
        </w:rPr>
        <w:t xml:space="preserve"> </w:t>
      </w:r>
      <w:r>
        <w:rPr>
          <w:rFonts w:ascii="Arial" w:cs="Arial" w:eastAsia="Arial" w:hAnsi="Arial"/>
          <w:sz w:val="18"/>
          <w:szCs w:val="18"/>
          <w:color w:val="2C2C2C"/>
        </w:rPr>
        <w:t>Total revenues reflect an increase in</w:t>
      </w:r>
      <w:r>
        <w:rPr>
          <w:rFonts w:ascii="Arial" w:cs="Arial" w:eastAsia="Arial" w:hAnsi="Arial"/>
          <w:sz w:val="18"/>
          <w:szCs w:val="18"/>
          <w:color w:val="auto"/>
        </w:rPr>
        <w:t xml:space="preserve"> </w:t>
      </w:r>
      <w:r>
        <w:rPr>
          <w:rFonts w:ascii="Arial" w:cs="Arial" w:eastAsia="Arial" w:hAnsi="Arial"/>
          <w:sz w:val="18"/>
          <w:szCs w:val="18"/>
          <w:color w:val="2C2C2C"/>
        </w:rPr>
        <w:t>contract development and manufacturing services revenues partially offset by a decrease in product sales and contracts and grants revenues.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7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Q3 2020, product sales were $202.2 million, a decrease of $54.0 million or 21% as compared to 2019. Other product sales increased due to increased sales of BAT®[Botulism Antitoxin Heptavalent (A, B, C, D, E, F, G) - (Equine)] and VIGIV [Vaccinia Immune Globulin Intravenous (Human)] offset by a decline in sales of travel health vaccines.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2343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3257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340" w:type="dxa"/>
            <w:vAlign w:val="bottom"/>
            <w:shd w:val="clear" w:color="auto" w:fill="0F243E"/>
          </w:tcPr>
          <w:p>
            <w:pPr>
              <w:spacing w:after="0"/>
              <w:rPr>
                <w:sz w:val="22"/>
                <w:szCs w:val="22"/>
                <w:color w:val="auto"/>
              </w:rPr>
            </w:pPr>
          </w:p>
        </w:tc>
        <w:tc>
          <w:tcPr>
            <w:tcW w:w="5880" w:type="dxa"/>
            <w:vAlign w:val="bottom"/>
            <w:gridSpan w:val="3"/>
            <w:shd w:val="clear" w:color="auto" w:fill="0F243E"/>
          </w:tcPr>
          <w:p>
            <w:pPr>
              <w:jc w:val="right"/>
              <w:ind w:right="1330"/>
              <w:spacing w:after="0"/>
              <w:rPr>
                <w:sz w:val="20"/>
                <w:szCs w:val="20"/>
                <w:color w:val="auto"/>
              </w:rPr>
            </w:pPr>
            <w:r>
              <w:rPr>
                <w:rFonts w:ascii="Arial" w:cs="Arial" w:eastAsia="Arial" w:hAnsi="Arial"/>
                <w:sz w:val="18"/>
                <w:szCs w:val="18"/>
                <w:b w:val="1"/>
                <w:bCs w:val="1"/>
                <w:color w:val="FFFFFF"/>
              </w:rPr>
              <w:t>Three Months Ended September 30,</w:t>
            </w:r>
          </w:p>
        </w:tc>
      </w:tr>
      <w:tr>
        <w:trPr>
          <w:trHeight w:val="254"/>
        </w:trPr>
        <w:tc>
          <w:tcPr>
            <w:tcW w:w="534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960" w:type="dxa"/>
            <w:vAlign w:val="bottom"/>
            <w:shd w:val="clear" w:color="auto" w:fill="0F243E"/>
          </w:tcPr>
          <w:p>
            <w:pPr>
              <w:jc w:val="right"/>
              <w:ind w:right="690"/>
              <w:spacing w:after="0"/>
              <w:rPr>
                <w:sz w:val="20"/>
                <w:szCs w:val="20"/>
                <w:color w:val="auto"/>
              </w:rPr>
            </w:pPr>
            <w:r>
              <w:rPr>
                <w:rFonts w:ascii="Arial" w:cs="Arial" w:eastAsia="Arial" w:hAnsi="Arial"/>
                <w:sz w:val="18"/>
                <w:szCs w:val="18"/>
                <w:b w:val="1"/>
                <w:bCs w:val="1"/>
                <w:color w:val="FFFFFF"/>
              </w:rPr>
              <w:t>2020</w:t>
            </w:r>
          </w:p>
        </w:tc>
        <w:tc>
          <w:tcPr>
            <w:tcW w:w="1960" w:type="dxa"/>
            <w:vAlign w:val="bottom"/>
            <w:shd w:val="clear" w:color="auto" w:fill="0F243E"/>
          </w:tcPr>
          <w:p>
            <w:pPr>
              <w:jc w:val="right"/>
              <w:ind w:right="690"/>
              <w:spacing w:after="0"/>
              <w:rPr>
                <w:sz w:val="20"/>
                <w:szCs w:val="20"/>
                <w:color w:val="auto"/>
              </w:rPr>
            </w:pPr>
            <w:r>
              <w:rPr>
                <w:rFonts w:ascii="Arial" w:cs="Arial" w:eastAsia="Arial" w:hAnsi="Arial"/>
                <w:sz w:val="18"/>
                <w:szCs w:val="18"/>
                <w:b w:val="1"/>
                <w:bCs w:val="1"/>
                <w:color w:val="FFFFFF"/>
              </w:rPr>
              <w:t>2019</w:t>
            </w:r>
          </w:p>
        </w:tc>
        <w:tc>
          <w:tcPr>
            <w:tcW w:w="1960" w:type="dxa"/>
            <w:vAlign w:val="bottom"/>
            <w:shd w:val="clear" w:color="auto" w:fill="0F243E"/>
          </w:tcPr>
          <w:p>
            <w:pPr>
              <w:jc w:val="right"/>
              <w:ind w:right="470"/>
              <w:spacing w:after="0"/>
              <w:rPr>
                <w:sz w:val="20"/>
                <w:szCs w:val="20"/>
                <w:color w:val="auto"/>
              </w:rPr>
            </w:pPr>
            <w:r>
              <w:rPr>
                <w:rFonts w:ascii="Arial" w:cs="Arial" w:eastAsia="Arial" w:hAnsi="Arial"/>
                <w:sz w:val="18"/>
                <w:szCs w:val="18"/>
                <w:b w:val="1"/>
                <w:bCs w:val="1"/>
                <w:color w:val="FFFFFF"/>
              </w:rPr>
              <w:t>% Change</w:t>
            </w:r>
          </w:p>
        </w:tc>
      </w:tr>
      <w:tr>
        <w:trPr>
          <w:trHeight w:val="230"/>
        </w:trPr>
        <w:tc>
          <w:tcPr>
            <w:tcW w:w="534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Product Sales</w:t>
            </w:r>
          </w:p>
        </w:tc>
        <w:tc>
          <w:tcPr>
            <w:tcW w:w="1960" w:type="dxa"/>
            <w:vAlign w:val="bottom"/>
            <w:shd w:val="clear" w:color="auto" w:fill="CCCCCC"/>
          </w:tcPr>
          <w:p>
            <w:pPr>
              <w:spacing w:after="0"/>
              <w:rPr>
                <w:sz w:val="19"/>
                <w:szCs w:val="19"/>
                <w:color w:val="auto"/>
              </w:rPr>
            </w:pPr>
          </w:p>
        </w:tc>
        <w:tc>
          <w:tcPr>
            <w:tcW w:w="1960" w:type="dxa"/>
            <w:vAlign w:val="bottom"/>
            <w:shd w:val="clear" w:color="auto" w:fill="CCCCCC"/>
          </w:tcPr>
          <w:p>
            <w:pPr>
              <w:spacing w:after="0"/>
              <w:rPr>
                <w:sz w:val="19"/>
                <w:szCs w:val="19"/>
                <w:color w:val="auto"/>
              </w:rPr>
            </w:pPr>
          </w:p>
        </w:tc>
        <w:tc>
          <w:tcPr>
            <w:tcW w:w="1960" w:type="dxa"/>
            <w:vAlign w:val="bottom"/>
            <w:shd w:val="clear" w:color="auto" w:fill="CCCCCC"/>
          </w:tcPr>
          <w:p>
            <w:pPr>
              <w:spacing w:after="0"/>
              <w:rPr>
                <w:sz w:val="19"/>
                <w:szCs w:val="19"/>
                <w:color w:val="auto"/>
              </w:rPr>
            </w:pP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NARCAN® Nasal Spray</w:t>
            </w:r>
          </w:p>
        </w:tc>
        <w:tc>
          <w:tcPr>
            <w:tcW w:w="19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$88.8</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$75.0</w:t>
            </w:r>
          </w:p>
        </w:tc>
        <w:tc>
          <w:tcPr>
            <w:tcW w:w="196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18%</w:t>
            </w: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Anthrax vaccines</w:t>
            </w:r>
          </w:p>
        </w:tc>
        <w:tc>
          <w:tcPr>
            <w:tcW w:w="19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$73.9</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$40.3</w:t>
            </w:r>
          </w:p>
        </w:tc>
        <w:tc>
          <w:tcPr>
            <w:tcW w:w="196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83%</w:t>
            </w:r>
          </w:p>
        </w:tc>
      </w:tr>
      <w:tr>
        <w:trPr>
          <w:trHeight w:val="243"/>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ACAM2000</w:t>
            </w:r>
          </w:p>
        </w:tc>
        <w:tc>
          <w:tcPr>
            <w:tcW w:w="19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$1.0</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$112.1</w:t>
            </w:r>
          </w:p>
        </w:tc>
        <w:tc>
          <w:tcPr>
            <w:tcW w:w="1960" w:type="dxa"/>
            <w:vAlign w:val="bottom"/>
            <w:shd w:val="clear" w:color="auto" w:fill="CCCCCC"/>
          </w:tcPr>
          <w:p>
            <w:pPr>
              <w:jc w:val="right"/>
              <w:ind w:right="650"/>
              <w:spacing w:after="0"/>
              <w:rPr>
                <w:sz w:val="20"/>
                <w:szCs w:val="20"/>
                <w:color w:val="auto"/>
              </w:rPr>
            </w:pPr>
            <w:r>
              <w:rPr>
                <w:rFonts w:ascii="Arial" w:cs="Arial" w:eastAsia="Arial" w:hAnsi="Arial"/>
                <w:sz w:val="18"/>
                <w:szCs w:val="18"/>
                <w:color w:val="auto"/>
              </w:rPr>
              <w:t>(99)%</w:t>
            </w:r>
          </w:p>
        </w:tc>
      </w:tr>
      <w:tr>
        <w:trPr>
          <w:trHeight w:val="245"/>
        </w:trPr>
        <w:tc>
          <w:tcPr>
            <w:tcW w:w="5340" w:type="dxa"/>
            <w:vAlign w:val="bottom"/>
            <w:shd w:val="clear" w:color="auto" w:fill="CCCCCC"/>
          </w:tcPr>
          <w:p>
            <w:pPr>
              <w:ind w:left="26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$38.5</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$28.8</w:t>
            </w:r>
          </w:p>
        </w:tc>
        <w:tc>
          <w:tcPr>
            <w:tcW w:w="1960" w:type="dxa"/>
            <w:vAlign w:val="bottom"/>
            <w:shd w:val="clear" w:color="auto" w:fill="CCCCCC"/>
          </w:tcPr>
          <w:p>
            <w:pPr>
              <w:jc w:val="right"/>
              <w:ind w:right="710"/>
              <w:spacing w:after="0"/>
              <w:rPr>
                <w:sz w:val="20"/>
                <w:szCs w:val="20"/>
                <w:color w:val="auto"/>
              </w:rPr>
            </w:pPr>
            <w:r>
              <w:rPr>
                <w:rFonts w:ascii="Arial" w:cs="Arial" w:eastAsia="Arial" w:hAnsi="Arial"/>
                <w:sz w:val="18"/>
                <w:szCs w:val="18"/>
                <w:color w:val="auto"/>
              </w:rPr>
              <w:t>34%</w:t>
            </w:r>
          </w:p>
        </w:tc>
      </w:tr>
      <w:tr>
        <w:trPr>
          <w:trHeight w:val="241"/>
        </w:trPr>
        <w:tc>
          <w:tcPr>
            <w:tcW w:w="5340" w:type="dxa"/>
            <w:vAlign w:val="bottom"/>
            <w:shd w:val="clear" w:color="auto" w:fill="CCCCCC"/>
          </w:tcPr>
          <w:p>
            <w:pPr>
              <w:ind w:left="20"/>
              <w:spacing w:after="0"/>
              <w:rPr>
                <w:sz w:val="20"/>
                <w:szCs w:val="20"/>
                <w:color w:val="auto"/>
              </w:rPr>
            </w:pPr>
            <w:r>
              <w:rPr>
                <w:rFonts w:ascii="Arial" w:cs="Arial" w:eastAsia="Arial" w:hAnsi="Arial"/>
                <w:sz w:val="18"/>
                <w:szCs w:val="18"/>
                <w:b w:val="1"/>
                <w:bCs w:val="1"/>
                <w:color w:val="auto"/>
              </w:rPr>
              <w:t>Total Product Sales</w:t>
            </w:r>
          </w:p>
        </w:tc>
        <w:tc>
          <w:tcPr>
            <w:tcW w:w="19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$202.2</w:t>
            </w:r>
          </w:p>
        </w:tc>
        <w:tc>
          <w:tcPr>
            <w:tcW w:w="196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$256.2</w:t>
            </w:r>
          </w:p>
        </w:tc>
        <w:tc>
          <w:tcPr>
            <w:tcW w:w="1960" w:type="dxa"/>
            <w:vAlign w:val="bottom"/>
            <w:shd w:val="clear" w:color="auto" w:fill="CCCCCC"/>
          </w:tcPr>
          <w:p>
            <w:pPr>
              <w:jc w:val="right"/>
              <w:ind w:right="65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-770890</wp:posOffset>
            </wp:positionV>
            <wp:extent cx="7115175" cy="78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78041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 and Manufacturing (CDMO) Services</w:t>
      </w:r>
    </w:p>
    <w:p>
      <w:pPr>
        <w:spacing w:after="0" w:line="25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For Q3 2020, revenue from the Company’s contract development and manufacturing operations was $157.1 million, an increase of $137.1 million as compared to 2019. The increase i</w:t>
      </w:r>
      <w:r>
        <w:rPr>
          <w:rFonts w:ascii="Arial" w:cs="Arial" w:eastAsia="Arial" w:hAnsi="Arial"/>
          <w:sz w:val="18"/>
          <w:szCs w:val="18"/>
          <w:color w:val="2C2C2C"/>
        </w:rPr>
        <w:t>s largely due to the contribution of arrangements across development, drug substance</w:t>
      </w:r>
      <w:r>
        <w:rPr>
          <w:rFonts w:ascii="Arial" w:cs="Arial" w:eastAsia="Arial" w:hAnsi="Arial"/>
          <w:sz w:val="18"/>
          <w:szCs w:val="18"/>
          <w:color w:val="auto"/>
        </w:rPr>
        <w:t xml:space="preserve"> </w:t>
      </w:r>
      <w:r>
        <w:rPr>
          <w:rFonts w:ascii="Arial" w:cs="Arial" w:eastAsia="Arial" w:hAnsi="Arial"/>
          <w:sz w:val="18"/>
          <w:szCs w:val="18"/>
          <w:color w:val="2C2C2C"/>
        </w:rPr>
        <w:t>manufacturing, and drug product manufacturing services with industry and government customers.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C2C2C"/>
        </w:rPr>
        <w:t>Contracts and Grants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2C2C2C"/>
        </w:rPr>
        <w:t xml:space="preserve">For </w:t>
      </w:r>
      <w:r>
        <w:rPr>
          <w:rFonts w:ascii="Arial" w:cs="Arial" w:eastAsia="Arial" w:hAnsi="Arial"/>
          <w:sz w:val="18"/>
          <w:szCs w:val="18"/>
          <w:color w:val="000000"/>
        </w:rPr>
        <w:t>Q3</w:t>
      </w:r>
      <w:r>
        <w:rPr>
          <w:rFonts w:ascii="Arial" w:cs="Arial" w:eastAsia="Arial" w:hAnsi="Arial"/>
          <w:sz w:val="18"/>
          <w:szCs w:val="18"/>
          <w:color w:val="2C2C2C"/>
        </w:rPr>
        <w:t xml:space="preserve"> 2020, revenue from the Company’s development-based contracts and grants was $</w:t>
      </w:r>
      <w:r>
        <w:rPr>
          <w:rFonts w:ascii="Arial" w:cs="Arial" w:eastAsia="Arial" w:hAnsi="Arial"/>
          <w:sz w:val="18"/>
          <w:szCs w:val="18"/>
          <w:color w:val="000000"/>
        </w:rPr>
        <w:t>25.9 million, a decrease of $9.7 million as</w:t>
      </w:r>
      <w:r>
        <w:rPr>
          <w:rFonts w:ascii="Arial" w:cs="Arial" w:eastAsia="Arial" w:hAnsi="Arial"/>
          <w:sz w:val="18"/>
          <w:szCs w:val="18"/>
          <w:color w:val="2C2C2C"/>
        </w:rPr>
        <w:t xml:space="preserve"> </w:t>
      </w:r>
      <w:r>
        <w:rPr>
          <w:rFonts w:ascii="Arial" w:cs="Arial" w:eastAsia="Arial" w:hAnsi="Arial"/>
          <w:sz w:val="18"/>
          <w:szCs w:val="18"/>
          <w:color w:val="000000"/>
        </w:rPr>
        <w:t xml:space="preserve">compared to 2019. The decrease primarily reflects </w:t>
      </w:r>
      <w:r>
        <w:rPr>
          <w:rFonts w:ascii="Arial" w:cs="Arial" w:eastAsia="Arial" w:hAnsi="Arial"/>
          <w:sz w:val="18"/>
          <w:szCs w:val="18"/>
          <w:color w:val="2C2C2C"/>
        </w:rPr>
        <w:t>the completion of development activities associated with the AV7909 product candidate in</w:t>
      </w:r>
      <w:r>
        <w:rPr>
          <w:rFonts w:ascii="Arial" w:cs="Arial" w:eastAsia="Arial" w:hAnsi="Arial"/>
          <w:sz w:val="18"/>
          <w:szCs w:val="18"/>
          <w:color w:val="000000"/>
        </w:rPr>
        <w:t xml:space="preserve"> </w:t>
      </w:r>
      <w:r>
        <w:rPr>
          <w:rFonts w:ascii="Arial" w:cs="Arial" w:eastAsia="Arial" w:hAnsi="Arial"/>
          <w:sz w:val="18"/>
          <w:szCs w:val="18"/>
          <w:color w:val="2C2C2C"/>
        </w:rPr>
        <w:t xml:space="preserve">2019, </w:t>
      </w:r>
      <w:r>
        <w:rPr>
          <w:rFonts w:ascii="Arial" w:cs="Arial" w:eastAsia="Arial" w:hAnsi="Arial"/>
          <w:sz w:val="18"/>
          <w:szCs w:val="18"/>
          <w:color w:val="000000"/>
        </w:rPr>
        <w:t>partially offset by recent new development awards related to the Company's COVID-19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Development and Manufacturing (CDMO) Services</w:t>
      </w:r>
    </w:p>
    <w:p>
      <w:pPr>
        <w:spacing w:after="0" w:line="1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For Q3 2020, cost of product sales and contract development and manufacturing services was $ 149.0 million, an increase of $41.0 million or 38% as compared to 2019. The increase is pr</w:t>
      </w:r>
      <w:r>
        <w:rPr>
          <w:rFonts w:ascii="Arial" w:cs="Arial" w:eastAsia="Arial" w:hAnsi="Arial"/>
          <w:sz w:val="18"/>
          <w:szCs w:val="18"/>
          <w:color w:val="2C2C2C"/>
        </w:rPr>
        <w:t>imarily due to a charge of $29.9 million associated with contingent consideration liabilities due</w:t>
      </w:r>
      <w:r>
        <w:rPr>
          <w:rFonts w:ascii="Arial" w:cs="Arial" w:eastAsia="Arial" w:hAnsi="Arial"/>
          <w:sz w:val="18"/>
          <w:szCs w:val="18"/>
          <w:color w:val="auto"/>
        </w:rPr>
        <w:t xml:space="preserve"> </w:t>
      </w:r>
      <w:r>
        <w:rPr>
          <w:rFonts w:ascii="Arial" w:cs="Arial" w:eastAsia="Arial" w:hAnsi="Arial"/>
          <w:sz w:val="18"/>
          <w:szCs w:val="18"/>
          <w:color w:val="2C2C2C"/>
        </w:rPr>
        <w:t>to the increased expectation that the Company will meet its final sales milestone for NARCAN</w:t>
      </w:r>
      <w:r>
        <w:rPr>
          <w:rFonts w:ascii="Arial" w:cs="Arial" w:eastAsia="Arial" w:hAnsi="Arial"/>
          <w:sz w:val="18"/>
          <w:szCs w:val="18"/>
          <w:color w:val="000000"/>
        </w:rPr>
        <w:t>®</w:t>
      </w:r>
      <w:r>
        <w:rPr>
          <w:rFonts w:ascii="Arial" w:cs="Arial" w:eastAsia="Arial" w:hAnsi="Arial"/>
          <w:sz w:val="18"/>
          <w:szCs w:val="18"/>
          <w:color w:val="2C2C2C"/>
        </w:rPr>
        <w:t xml:space="preserve"> Nasal Spray, </w:t>
      </w:r>
      <w:r>
        <w:rPr>
          <w:rFonts w:ascii="Arial" w:cs="Arial" w:eastAsia="Arial" w:hAnsi="Arial"/>
          <w:sz w:val="18"/>
          <w:szCs w:val="18"/>
          <w:color w:val="000000"/>
        </w:rPr>
        <w:t>a charge of $13.8 million</w:t>
      </w:r>
      <w:r>
        <w:rPr>
          <w:rFonts w:ascii="Arial" w:cs="Arial" w:eastAsia="Arial" w:hAnsi="Arial"/>
          <w:sz w:val="18"/>
          <w:szCs w:val="18"/>
          <w:color w:val="2C2C2C"/>
        </w:rPr>
        <w:t xml:space="preserve"> </w:t>
      </w:r>
      <w:r>
        <w:rPr>
          <w:rFonts w:ascii="Arial" w:cs="Arial" w:eastAsia="Arial" w:hAnsi="Arial"/>
          <w:sz w:val="18"/>
          <w:szCs w:val="18"/>
          <w:color w:val="000000"/>
        </w:rPr>
        <w:t xml:space="preserve">related to a write-down of inventory balances due to the expected expiration of a portion of the Company's travel health vaccines, and </w:t>
      </w:r>
      <w:r>
        <w:rPr>
          <w:rFonts w:ascii="Arial" w:cs="Arial" w:eastAsia="Arial" w:hAnsi="Arial"/>
          <w:sz w:val="18"/>
          <w:szCs w:val="18"/>
          <w:color w:val="2C2C2C"/>
        </w:rPr>
        <w:t>an</w:t>
      </w:r>
      <w:r>
        <w:rPr>
          <w:rFonts w:ascii="Arial" w:cs="Arial" w:eastAsia="Arial" w:hAnsi="Arial"/>
          <w:sz w:val="18"/>
          <w:szCs w:val="18"/>
          <w:color w:val="000000"/>
        </w:rPr>
        <w:t xml:space="preserve"> </w:t>
      </w:r>
      <w:r>
        <w:rPr>
          <w:rFonts w:ascii="Arial" w:cs="Arial" w:eastAsia="Arial" w:hAnsi="Arial"/>
          <w:sz w:val="18"/>
          <w:szCs w:val="18"/>
          <w:color w:val="2C2C2C"/>
        </w:rPr>
        <w:t xml:space="preserve">increase in volume in </w:t>
      </w:r>
      <w:r>
        <w:rPr>
          <w:rFonts w:ascii="Arial" w:cs="Arial" w:eastAsia="Arial" w:hAnsi="Arial"/>
          <w:sz w:val="18"/>
          <w:szCs w:val="18"/>
          <w:color w:val="000000"/>
        </w:rPr>
        <w:t>CDMO services offset by a decline in volume of product sales</w:t>
      </w:r>
      <w:r>
        <w:rPr>
          <w:rFonts w:ascii="Arial" w:cs="Arial" w:eastAsia="Arial" w:hAnsi="Arial"/>
          <w:sz w:val="18"/>
          <w:szCs w:val="18"/>
          <w:color w:val="2C2C2C"/>
        </w:rPr>
        <w: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 of 15</w:t>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7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For Q3 2020, gross R&amp;D expenses were $84.4 million, an increase of $31.0 million or 58% as compared to 2019. The increase primarily reflects the impairment of the Company's in-process research and development (IPR&amp;D) intangible asset of $ 29.0 million. Excluding this item, research and development expenses were consistent reflecting an increase in costs associated with the Company's COVID-19 therapeutic product candidates offset by a decrease in costs due to the completion of development activities associated with the Company's AV7909 product candidate.</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For Q3 2020, net R&amp;D expense, which reflects investments made in development programs that are not currently funded in whole or in part by third-party partners and is calculated as gross research and development expenses minus contracts and grants revenue and the impact of the IPR&amp;D intangible asset impairment, was $ 29.5 million, an increase of $11.7 million or 66% as compared to 2019. The increase is attributable to an increase in costs associated with the Company's COVID-19 product candidates. The Q3 2020 and Q3 2019 net R&amp;D expense was 8% and 6%, respectively, of adjusted revenue (total revenue less contracts &amp;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23430" cy="1611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61163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320" w:type="dxa"/>
            <w:vAlign w:val="bottom"/>
            <w:shd w:val="clear" w:color="auto" w:fill="0F243E"/>
          </w:tcPr>
          <w:p>
            <w:pPr>
              <w:spacing w:after="0"/>
              <w:rPr>
                <w:sz w:val="24"/>
                <w:szCs w:val="24"/>
                <w:color w:val="auto"/>
              </w:rPr>
            </w:pPr>
          </w:p>
        </w:tc>
        <w:tc>
          <w:tcPr>
            <w:tcW w:w="4900" w:type="dxa"/>
            <w:vAlign w:val="bottom"/>
            <w:gridSpan w:val="3"/>
            <w:shd w:val="clear" w:color="auto" w:fill="0F243E"/>
          </w:tcPr>
          <w:p>
            <w:pPr>
              <w:jc w:val="right"/>
              <w:ind w:right="830"/>
              <w:spacing w:after="0"/>
              <w:rPr>
                <w:sz w:val="20"/>
                <w:szCs w:val="20"/>
                <w:color w:val="auto"/>
              </w:rPr>
            </w:pPr>
            <w:r>
              <w:rPr>
                <w:rFonts w:ascii="Arial" w:cs="Arial" w:eastAsia="Arial" w:hAnsi="Arial"/>
                <w:sz w:val="18"/>
                <w:szCs w:val="18"/>
                <w:b w:val="1"/>
                <w:bCs w:val="1"/>
                <w:color w:val="FFFFFF"/>
              </w:rPr>
              <w:t>Three Months Ended September 30,</w:t>
            </w:r>
          </w:p>
        </w:tc>
        <w:tc>
          <w:tcPr>
            <w:tcW w:w="0" w:type="dxa"/>
            <w:vAlign w:val="bottom"/>
          </w:tcPr>
          <w:p>
            <w:pPr>
              <w:spacing w:after="0"/>
              <w:rPr>
                <w:sz w:val="1"/>
                <w:szCs w:val="1"/>
                <w:color w:val="auto"/>
              </w:rPr>
            </w:pPr>
          </w:p>
        </w:tc>
      </w:tr>
      <w:tr>
        <w:trPr>
          <w:trHeight w:val="353"/>
        </w:trPr>
        <w:tc>
          <w:tcPr>
            <w:tcW w:w="632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620" w:type="dxa"/>
            <w:vAlign w:val="bottom"/>
            <w:shd w:val="clear" w:color="auto" w:fill="0F243E"/>
          </w:tcPr>
          <w:p>
            <w:pPr>
              <w:jc w:val="right"/>
              <w:ind w:right="510"/>
              <w:spacing w:after="0"/>
              <w:rPr>
                <w:sz w:val="20"/>
                <w:szCs w:val="20"/>
                <w:color w:val="auto"/>
              </w:rPr>
            </w:pPr>
            <w:r>
              <w:rPr>
                <w:rFonts w:ascii="Arial" w:cs="Arial" w:eastAsia="Arial" w:hAnsi="Arial"/>
                <w:sz w:val="18"/>
                <w:szCs w:val="18"/>
                <w:b w:val="1"/>
                <w:bCs w:val="1"/>
                <w:color w:val="FFFFFF"/>
              </w:rPr>
              <w:t>2020</w:t>
            </w:r>
          </w:p>
        </w:tc>
        <w:tc>
          <w:tcPr>
            <w:tcW w:w="1640" w:type="dxa"/>
            <w:vAlign w:val="bottom"/>
            <w:shd w:val="clear" w:color="auto" w:fill="0F243E"/>
          </w:tcPr>
          <w:p>
            <w:pPr>
              <w:jc w:val="right"/>
              <w:ind w:right="530"/>
              <w:spacing w:after="0"/>
              <w:rPr>
                <w:sz w:val="20"/>
                <w:szCs w:val="20"/>
                <w:color w:val="auto"/>
              </w:rPr>
            </w:pPr>
            <w:r>
              <w:rPr>
                <w:rFonts w:ascii="Arial" w:cs="Arial" w:eastAsia="Arial" w:hAnsi="Arial"/>
                <w:sz w:val="18"/>
                <w:szCs w:val="18"/>
                <w:b w:val="1"/>
                <w:bCs w:val="1"/>
                <w:color w:val="FFFFFF"/>
              </w:rPr>
              <w:t>2019</w:t>
            </w:r>
          </w:p>
        </w:tc>
        <w:tc>
          <w:tcPr>
            <w:tcW w:w="1640" w:type="dxa"/>
            <w:vAlign w:val="bottom"/>
            <w:shd w:val="clear" w:color="auto" w:fill="0F243E"/>
          </w:tcPr>
          <w:p>
            <w:pPr>
              <w:jc w:val="right"/>
              <w:ind w:right="29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47"/>
        </w:trPr>
        <w:tc>
          <w:tcPr>
            <w:tcW w:w="6320" w:type="dxa"/>
            <w:vAlign w:val="bottom"/>
            <w:shd w:val="clear" w:color="auto" w:fill="CCCCCC"/>
          </w:tcPr>
          <w:p>
            <w:pPr>
              <w:ind w:left="20"/>
              <w:spacing w:after="0"/>
              <w:rPr>
                <w:sz w:val="20"/>
                <w:szCs w:val="20"/>
                <w:color w:val="auto"/>
              </w:rPr>
            </w:pPr>
            <w:r>
              <w:rPr>
                <w:rFonts w:ascii="Arial" w:cs="Arial" w:eastAsia="Arial" w:hAnsi="Arial"/>
                <w:sz w:val="18"/>
                <w:szCs w:val="18"/>
                <w:color w:val="auto"/>
              </w:rPr>
              <w:t>Research and Development Expenses</w:t>
            </w:r>
          </w:p>
        </w:tc>
        <w:tc>
          <w:tcPr>
            <w:tcW w:w="162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$84.4</w:t>
            </w:r>
          </w:p>
        </w:tc>
        <w:tc>
          <w:tcPr>
            <w:tcW w:w="164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$53.4</w:t>
            </w:r>
          </w:p>
        </w:tc>
        <w:tc>
          <w:tcPr>
            <w:tcW w:w="1640" w:type="dxa"/>
            <w:vAlign w:val="bottom"/>
            <w:shd w:val="clear" w:color="auto" w:fill="CCCCCC"/>
          </w:tcPr>
          <w:p>
            <w:pPr>
              <w:jc w:val="right"/>
              <w:ind w:right="5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9"/>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62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164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CCCCC"/>
          </w:tcPr>
          <w:p>
            <w:pPr>
              <w:ind w:left="280"/>
              <w:spacing w:after="0"/>
              <w:rPr>
                <w:sz w:val="20"/>
                <w:szCs w:val="20"/>
                <w:color w:val="auto"/>
              </w:rPr>
            </w:pPr>
            <w:r>
              <w:rPr>
                <w:rFonts w:ascii="Arial" w:cs="Arial" w:eastAsia="Arial" w:hAnsi="Arial"/>
                <w:sz w:val="18"/>
                <w:szCs w:val="18"/>
                <w:color w:val="auto"/>
              </w:rPr>
              <w:t>Less Contracts and Grants Revenue</w:t>
            </w:r>
          </w:p>
        </w:tc>
        <w:tc>
          <w:tcPr>
            <w:tcW w:w="162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$25.9</w:t>
            </w:r>
          </w:p>
        </w:tc>
        <w:tc>
          <w:tcPr>
            <w:tcW w:w="164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$35.6</w:t>
            </w:r>
          </w:p>
        </w:tc>
        <w:tc>
          <w:tcPr>
            <w:tcW w:w="1640" w:type="dxa"/>
            <w:vAlign w:val="bottom"/>
            <w:shd w:val="clear" w:color="auto" w:fill="CCCCCC"/>
          </w:tcPr>
          <w:p>
            <w:pPr>
              <w:jc w:val="right"/>
              <w:ind w:right="4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320" w:type="dxa"/>
            <w:vAlign w:val="bottom"/>
            <w:shd w:val="clear" w:color="auto" w:fill="CCCCCC"/>
          </w:tcPr>
          <w:p>
            <w:pPr>
              <w:ind w:left="260"/>
              <w:spacing w:after="0"/>
              <w:rPr>
                <w:sz w:val="20"/>
                <w:szCs w:val="20"/>
                <w:color w:val="auto"/>
              </w:rPr>
            </w:pPr>
            <w:r>
              <w:rPr>
                <w:rFonts w:ascii="Arial" w:cs="Arial" w:eastAsia="Arial" w:hAnsi="Arial"/>
                <w:sz w:val="18"/>
                <w:szCs w:val="18"/>
                <w:color w:val="auto"/>
              </w:rPr>
              <w:t>Less Impairment of IPR&amp;D intangible asset</w:t>
            </w:r>
          </w:p>
        </w:tc>
        <w:tc>
          <w:tcPr>
            <w:tcW w:w="162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$29.0</w:t>
            </w:r>
          </w:p>
        </w:tc>
        <w:tc>
          <w:tcPr>
            <w:tcW w:w="164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CCCC"/>
          </w:tcPr>
          <w:p>
            <w:pPr>
              <w:jc w:val="right"/>
              <w:ind w:right="6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Research and Development Expenses</w:t>
            </w:r>
          </w:p>
        </w:tc>
        <w:tc>
          <w:tcPr>
            <w:tcW w:w="162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$29.5</w:t>
            </w:r>
          </w:p>
        </w:tc>
        <w:tc>
          <w:tcPr>
            <w:tcW w:w="164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$17.8</w:t>
            </w:r>
          </w:p>
        </w:tc>
        <w:tc>
          <w:tcPr>
            <w:tcW w:w="1640" w:type="dxa"/>
            <w:vAlign w:val="bottom"/>
            <w:shd w:val="clear" w:color="auto" w:fill="CCCCCC"/>
          </w:tcPr>
          <w:p>
            <w:pPr>
              <w:jc w:val="right"/>
              <w:ind w:right="55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9"/>
        </w:trPr>
        <w:tc>
          <w:tcPr>
            <w:tcW w:w="6320" w:type="dxa"/>
            <w:vAlign w:val="bottom"/>
            <w:shd w:val="clear" w:color="auto" w:fill="CCCCCC"/>
          </w:tcPr>
          <w:p>
            <w:pPr>
              <w:ind w:left="40"/>
              <w:spacing w:after="0" w:line="189" w:lineRule="exact"/>
              <w:rPr>
                <w:sz w:val="20"/>
                <w:szCs w:val="20"/>
                <w:color w:val="auto"/>
              </w:rPr>
            </w:pPr>
            <w:r>
              <w:rPr>
                <w:rFonts w:ascii="Arial" w:cs="Arial" w:eastAsia="Arial" w:hAnsi="Arial"/>
                <w:sz w:val="18"/>
                <w:szCs w:val="18"/>
                <w:color w:val="auto"/>
              </w:rPr>
              <w:t>Adjusted Revenue</w:t>
            </w:r>
          </w:p>
        </w:tc>
        <w:tc>
          <w:tcPr>
            <w:tcW w:w="162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$359.3</w:t>
            </w:r>
          </w:p>
        </w:tc>
        <w:tc>
          <w:tcPr>
            <w:tcW w:w="164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$276.2</w:t>
            </w:r>
          </w:p>
        </w:tc>
        <w:tc>
          <w:tcPr>
            <w:tcW w:w="1640" w:type="dxa"/>
            <w:vAlign w:val="bottom"/>
            <w:vMerge w:val="restart"/>
            <w:shd w:val="clear" w:color="auto" w:fill="CCCCCC"/>
          </w:tcPr>
          <w:p>
            <w:pPr>
              <w:jc w:val="right"/>
              <w:ind w:right="5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39"/>
        </w:trPr>
        <w:tc>
          <w:tcPr>
            <w:tcW w:w="632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620" w:type="dxa"/>
            <w:vAlign w:val="bottom"/>
            <w:vMerge w:val="continue"/>
            <w:shd w:val="clear" w:color="auto" w:fill="CCCCCC"/>
          </w:tcPr>
          <w:p>
            <w:pPr>
              <w:spacing w:after="0"/>
              <w:rPr>
                <w:sz w:val="12"/>
                <w:szCs w:val="12"/>
                <w:color w:val="auto"/>
              </w:rPr>
            </w:pPr>
          </w:p>
        </w:tc>
        <w:tc>
          <w:tcPr>
            <w:tcW w:w="1640" w:type="dxa"/>
            <w:vAlign w:val="bottom"/>
            <w:vMerge w:val="continue"/>
            <w:shd w:val="clear" w:color="auto" w:fill="CCCCCC"/>
          </w:tcPr>
          <w:p>
            <w:pPr>
              <w:spacing w:after="0"/>
              <w:rPr>
                <w:sz w:val="12"/>
                <w:szCs w:val="12"/>
                <w:color w:val="auto"/>
              </w:rPr>
            </w:pPr>
          </w:p>
        </w:tc>
        <w:tc>
          <w:tcPr>
            <w:tcW w:w="1640" w:type="dxa"/>
            <w:vAlign w:val="bottom"/>
            <w:vMerge w:val="continue"/>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320" w:type="dxa"/>
            <w:vAlign w:val="bottom"/>
            <w:vMerge w:val="continue"/>
            <w:shd w:val="clear" w:color="auto" w:fill="CCCCCC"/>
          </w:tcPr>
          <w:p>
            <w:pPr>
              <w:spacing w:after="0"/>
              <w:rPr>
                <w:sz w:val="8"/>
                <w:szCs w:val="8"/>
                <w:color w:val="auto"/>
              </w:rPr>
            </w:pPr>
          </w:p>
        </w:tc>
        <w:tc>
          <w:tcPr>
            <w:tcW w:w="1620" w:type="dxa"/>
            <w:vAlign w:val="bottom"/>
            <w:shd w:val="clear" w:color="auto" w:fill="CCCCCC"/>
          </w:tcPr>
          <w:p>
            <w:pPr>
              <w:spacing w:after="0"/>
              <w:rPr>
                <w:sz w:val="8"/>
                <w:szCs w:val="8"/>
                <w:color w:val="auto"/>
              </w:rPr>
            </w:pPr>
          </w:p>
        </w:tc>
        <w:tc>
          <w:tcPr>
            <w:tcW w:w="1640" w:type="dxa"/>
            <w:vAlign w:val="bottom"/>
            <w:shd w:val="clear" w:color="auto" w:fill="CCCCCC"/>
          </w:tcPr>
          <w:p>
            <w:pPr>
              <w:spacing w:after="0"/>
              <w:rPr>
                <w:sz w:val="8"/>
                <w:szCs w:val="8"/>
                <w:color w:val="auto"/>
              </w:rPr>
            </w:pPr>
          </w:p>
        </w:tc>
        <w:tc>
          <w:tcPr>
            <w:tcW w:w="164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R&amp;D as % of Adjusted Revenue (Net R&amp;D Margin)</w:t>
            </w:r>
          </w:p>
        </w:tc>
        <w:tc>
          <w:tcPr>
            <w:tcW w:w="162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8%</w:t>
            </w:r>
          </w:p>
        </w:tc>
        <w:tc>
          <w:tcPr>
            <w:tcW w:w="164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6%</w:t>
            </w:r>
          </w:p>
        </w:tc>
        <w:tc>
          <w:tcPr>
            <w:tcW w:w="1640" w:type="dxa"/>
            <w:vAlign w:val="bottom"/>
            <w:shd w:val="clear" w:color="auto" w:fill="CCCCCC"/>
          </w:tcPr>
          <w:p>
            <w:pPr>
              <w:jc w:val="right"/>
              <w:ind w:right="6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Q3 2020, selling, general and administrative expenses were $75.5 million, an increase of $10.5 million or 16% as compared to Q3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increase primarily reflects </w:t>
      </w:r>
      <w:r>
        <w:rPr>
          <w:rFonts w:ascii="Arial" w:cs="Arial" w:eastAsia="Arial" w:hAnsi="Arial"/>
          <w:sz w:val="18"/>
          <w:szCs w:val="18"/>
          <w:color w:val="2C2C2C"/>
        </w:rPr>
        <w:t>an increase in staffing costs to support the Company's growth.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52"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For Q3 2020, amortization of intangible assets was $15.0 million, which was consistent with amortization of intangible assets of $14.7 million in Q3 2019.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Q3 2020, the income tax provision was $15.5 million as compared to $15.7 million in Q3 2019. The decrease is due to a decrease in income before the provision for income taxes of $3.9 million, an increase in discrete tax benefits of $3.5 million, offset by the impact of non-deductible contingent consideration expense. The Company's effective quarterly tax rate, excluding discrete adjustments, was 34% and 26%, for Q3 2020 and Q3 2019, respectively. The effective quarterly tax rate, excluding the impact of non-deductible contingent consideration expense was 22% and 26%, for Q3 2020 and Q3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 of 15</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&amp; Adjusted Net Income</w:t>
      </w:r>
    </w:p>
    <w:p>
      <w:pPr>
        <w:spacing w:after="0" w:line="25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For Q3 2020, the Company recorded net income of $39.5 million, or $0.73 per diluted share, versus net income of $43.2 million, or $0.83 per diluted share, in 2019.</w:t>
      </w:r>
    </w:p>
    <w:p>
      <w:pPr>
        <w:spacing w:after="0" w:line="171"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 xml:space="preserve">For Q3 2020, the Company recorded adjusted net income of $119.0 million, or $2.19 per diluted share, versus adjusted net income of $64.8 million, or $1.24 per diluted share, in 2019. </w:t>
      </w:r>
      <w:r>
        <w:rPr>
          <w:rFonts w:ascii="Arial" w:cs="Arial" w:eastAsia="Arial" w:hAnsi="Arial"/>
          <w:sz w:val="18"/>
          <w:szCs w:val="18"/>
          <w:i w:val="1"/>
          <w:iCs w:val="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Q3 2020, the Company recorded adjusted EBITDA of $168.1 million versus $106.4 million in 2019. </w:t>
      </w:r>
      <w:r>
        <w:rPr>
          <w:rFonts w:ascii="Arial" w:cs="Arial" w:eastAsia="Arial" w:hAnsi="Arial"/>
          <w:sz w:val="18"/>
          <w:szCs w:val="18"/>
          <w:i w:val="1"/>
          <w:iCs w:val="1"/>
          <w:color w:val="auto"/>
        </w:rPr>
        <w:t>(1)</w:t>
      </w:r>
    </w:p>
    <w:p>
      <w:pPr>
        <w:spacing w:after="0" w:line="250" w:lineRule="exact"/>
        <w:rPr>
          <w:sz w:val="20"/>
          <w:szCs w:val="20"/>
          <w:color w:val="auto"/>
        </w:rPr>
      </w:pPr>
    </w:p>
    <w:p>
      <w:pPr>
        <w:ind w:right="6520" w:firstLine="8"/>
        <w:spacing w:after="0" w:line="533"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Nine months ended September 30, 2020 (unaudited) </w:t>
      </w:r>
      <w:r>
        <w:rPr>
          <w:rFonts w:ascii="Arial" w:cs="Arial" w:eastAsia="Arial" w:hAnsi="Arial"/>
          <w:sz w:val="18"/>
          <w:szCs w:val="18"/>
          <w:b w:val="1"/>
          <w:bCs w:val="1"/>
          <w:u w:val="single" w:color="auto"/>
          <w:color w:val="auto"/>
        </w:rPr>
        <w:t>Revenues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For the nine months ended September 30, 2020, total revenues were $ 972.4 million, an increase of 30% over 2019. Total revenues reflect an increase in product sales and contract development and manufacturing services offset by a decrease in contracts and grants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nine months ended September 30, 2020, product sales were $648.9 million, an increase of $56.2 million or 9% as compared to 2019. Other product sales decreased due to a decline in sales of raxibacumab and travel health vaccines slightly offset by an increase in sales of BAT and VIGIV.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6669405" cy="1337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9405" cy="133731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080" w:type="dxa"/>
            <w:vAlign w:val="bottom"/>
            <w:shd w:val="clear" w:color="auto" w:fill="0F243E"/>
          </w:tcPr>
          <w:p>
            <w:pPr>
              <w:spacing w:after="0"/>
              <w:rPr>
                <w:sz w:val="24"/>
                <w:szCs w:val="24"/>
                <w:color w:val="auto"/>
              </w:rPr>
            </w:pPr>
          </w:p>
        </w:tc>
        <w:tc>
          <w:tcPr>
            <w:tcW w:w="4420" w:type="dxa"/>
            <w:vAlign w:val="bottom"/>
            <w:gridSpan w:val="3"/>
            <w:shd w:val="clear" w:color="auto" w:fill="0F243E"/>
          </w:tcPr>
          <w:p>
            <w:pPr>
              <w:ind w:left="740"/>
              <w:spacing w:after="0"/>
              <w:rPr>
                <w:sz w:val="20"/>
                <w:szCs w:val="20"/>
                <w:color w:val="auto"/>
              </w:rPr>
            </w:pPr>
            <w:r>
              <w:rPr>
                <w:rFonts w:ascii="Arial" w:cs="Arial" w:eastAsia="Arial" w:hAnsi="Arial"/>
                <w:sz w:val="18"/>
                <w:szCs w:val="18"/>
                <w:b w:val="1"/>
                <w:bCs w:val="1"/>
                <w:color w:val="FFFFFF"/>
              </w:rPr>
              <w:t>Nine Months Ended September 30,</w:t>
            </w:r>
          </w:p>
        </w:tc>
      </w:tr>
      <w:tr>
        <w:trPr>
          <w:trHeight w:val="353"/>
        </w:trPr>
        <w:tc>
          <w:tcPr>
            <w:tcW w:w="608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480" w:type="dxa"/>
            <w:vAlign w:val="bottom"/>
            <w:shd w:val="clear" w:color="auto" w:fill="0F243E"/>
          </w:tcPr>
          <w:p>
            <w:pPr>
              <w:jc w:val="right"/>
              <w:ind w:right="450"/>
              <w:spacing w:after="0"/>
              <w:rPr>
                <w:sz w:val="20"/>
                <w:szCs w:val="20"/>
                <w:color w:val="auto"/>
              </w:rPr>
            </w:pPr>
            <w:r>
              <w:rPr>
                <w:rFonts w:ascii="Arial" w:cs="Arial" w:eastAsia="Arial" w:hAnsi="Arial"/>
                <w:sz w:val="18"/>
                <w:szCs w:val="18"/>
                <w:b w:val="1"/>
                <w:bCs w:val="1"/>
                <w:color w:val="FFFFFF"/>
              </w:rPr>
              <w:t>2020</w:t>
            </w:r>
          </w:p>
        </w:tc>
        <w:tc>
          <w:tcPr>
            <w:tcW w:w="1460" w:type="dxa"/>
            <w:vAlign w:val="bottom"/>
            <w:shd w:val="clear" w:color="auto" w:fill="0F243E"/>
          </w:tcPr>
          <w:p>
            <w:pPr>
              <w:jc w:val="right"/>
              <w:ind w:right="430"/>
              <w:spacing w:after="0"/>
              <w:rPr>
                <w:sz w:val="20"/>
                <w:szCs w:val="20"/>
                <w:color w:val="auto"/>
              </w:rPr>
            </w:pPr>
            <w:r>
              <w:rPr>
                <w:rFonts w:ascii="Arial" w:cs="Arial" w:eastAsia="Arial" w:hAnsi="Arial"/>
                <w:sz w:val="18"/>
                <w:szCs w:val="18"/>
                <w:b w:val="1"/>
                <w:bCs w:val="1"/>
                <w:color w:val="FFFFFF"/>
              </w:rPr>
              <w:t>2019</w:t>
            </w:r>
          </w:p>
        </w:tc>
        <w:tc>
          <w:tcPr>
            <w:tcW w:w="148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 Change</w:t>
            </w:r>
          </w:p>
        </w:tc>
      </w:tr>
      <w:tr>
        <w:trPr>
          <w:trHeight w:val="230"/>
        </w:trPr>
        <w:tc>
          <w:tcPr>
            <w:tcW w:w="608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Product Sales</w:t>
            </w:r>
          </w:p>
        </w:tc>
        <w:tc>
          <w:tcPr>
            <w:tcW w:w="1480" w:type="dxa"/>
            <w:vAlign w:val="bottom"/>
            <w:shd w:val="clear" w:color="auto" w:fill="CCCCCC"/>
          </w:tcPr>
          <w:p>
            <w:pPr>
              <w:spacing w:after="0"/>
              <w:rPr>
                <w:sz w:val="19"/>
                <w:szCs w:val="19"/>
                <w:color w:val="auto"/>
              </w:rPr>
            </w:pPr>
          </w:p>
        </w:tc>
        <w:tc>
          <w:tcPr>
            <w:tcW w:w="1460" w:type="dxa"/>
            <w:vAlign w:val="bottom"/>
            <w:shd w:val="clear" w:color="auto" w:fill="CCCCCC"/>
          </w:tcPr>
          <w:p>
            <w:pPr>
              <w:spacing w:after="0"/>
              <w:rPr>
                <w:sz w:val="19"/>
                <w:szCs w:val="19"/>
                <w:color w:val="auto"/>
              </w:rPr>
            </w:pPr>
          </w:p>
        </w:tc>
        <w:tc>
          <w:tcPr>
            <w:tcW w:w="1480" w:type="dxa"/>
            <w:vAlign w:val="bottom"/>
            <w:shd w:val="clear" w:color="auto" w:fill="CCCCCC"/>
          </w:tcPr>
          <w:p>
            <w:pPr>
              <w:spacing w:after="0"/>
              <w:rPr>
                <w:sz w:val="19"/>
                <w:szCs w:val="19"/>
                <w:color w:val="auto"/>
              </w:rPr>
            </w:pPr>
          </w:p>
        </w:tc>
      </w:tr>
      <w:tr>
        <w:trPr>
          <w:trHeight w:val="243"/>
        </w:trPr>
        <w:tc>
          <w:tcPr>
            <w:tcW w:w="60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Anthrax vaccines</w:t>
            </w:r>
          </w:p>
        </w:tc>
        <w:tc>
          <w:tcPr>
            <w:tcW w:w="148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$258.1</w:t>
            </w:r>
          </w:p>
        </w:tc>
        <w:tc>
          <w:tcPr>
            <w:tcW w:w="14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$79.9</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NM</w:t>
            </w:r>
          </w:p>
        </w:tc>
      </w:tr>
      <w:tr>
        <w:trPr>
          <w:trHeight w:val="243"/>
        </w:trPr>
        <w:tc>
          <w:tcPr>
            <w:tcW w:w="60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NARCAN® Nasal Spray</w:t>
            </w:r>
          </w:p>
        </w:tc>
        <w:tc>
          <w:tcPr>
            <w:tcW w:w="148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$233.8</w:t>
            </w:r>
          </w:p>
        </w:tc>
        <w:tc>
          <w:tcPr>
            <w:tcW w:w="14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$213.5</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10%</w:t>
            </w:r>
          </w:p>
        </w:tc>
      </w:tr>
      <w:tr>
        <w:trPr>
          <w:trHeight w:val="243"/>
        </w:trPr>
        <w:tc>
          <w:tcPr>
            <w:tcW w:w="6080" w:type="dxa"/>
            <w:vAlign w:val="bottom"/>
            <w:shd w:val="clear" w:color="auto" w:fill="CCCCCC"/>
          </w:tcPr>
          <w:p>
            <w:pPr>
              <w:ind w:left="260"/>
              <w:spacing w:after="0"/>
              <w:rPr>
                <w:sz w:val="20"/>
                <w:szCs w:val="20"/>
                <w:color w:val="auto"/>
              </w:rPr>
            </w:pPr>
            <w:r>
              <w:rPr>
                <w:rFonts w:ascii="Arial" w:cs="Arial" w:eastAsia="Arial" w:hAnsi="Arial"/>
                <w:sz w:val="18"/>
                <w:szCs w:val="18"/>
                <w:color w:val="auto"/>
              </w:rPr>
              <w:t>ACAM2000</w:t>
            </w:r>
          </w:p>
        </w:tc>
        <w:tc>
          <w:tcPr>
            <w:tcW w:w="148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$71.0</w:t>
            </w:r>
          </w:p>
        </w:tc>
        <w:tc>
          <w:tcPr>
            <w:tcW w:w="14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$164.1</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(57)%</w:t>
            </w:r>
          </w:p>
        </w:tc>
      </w:tr>
      <w:tr>
        <w:trPr>
          <w:trHeight w:val="245"/>
        </w:trPr>
        <w:tc>
          <w:tcPr>
            <w:tcW w:w="6080" w:type="dxa"/>
            <w:vAlign w:val="bottom"/>
            <w:shd w:val="clear" w:color="auto" w:fill="CCCCCC"/>
          </w:tcPr>
          <w:p>
            <w:pPr>
              <w:ind w:left="28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$86.0</w:t>
            </w:r>
          </w:p>
        </w:tc>
        <w:tc>
          <w:tcPr>
            <w:tcW w:w="14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$135.2</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(36)%</w:t>
            </w:r>
          </w:p>
        </w:tc>
      </w:tr>
      <w:tr>
        <w:trPr>
          <w:trHeight w:val="241"/>
        </w:trPr>
        <w:tc>
          <w:tcPr>
            <w:tcW w:w="608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1480" w:type="dxa"/>
            <w:vAlign w:val="bottom"/>
            <w:shd w:val="clear" w:color="auto" w:fill="CCCCCC"/>
          </w:tcPr>
          <w:p>
            <w:pPr>
              <w:jc w:val="right"/>
              <w:ind w:right="30"/>
              <w:spacing w:after="0"/>
              <w:rPr>
                <w:sz w:val="20"/>
                <w:szCs w:val="20"/>
                <w:color w:val="auto"/>
              </w:rPr>
            </w:pPr>
            <w:r>
              <w:rPr>
                <w:rFonts w:ascii="Arial" w:cs="Arial" w:eastAsia="Arial" w:hAnsi="Arial"/>
                <w:sz w:val="18"/>
                <w:szCs w:val="18"/>
                <w:color w:val="auto"/>
              </w:rPr>
              <w:t>$648.9</w:t>
            </w:r>
          </w:p>
        </w:tc>
        <w:tc>
          <w:tcPr>
            <w:tcW w:w="14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$592.7</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9%</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 and Manufacturing (CDMO) Services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For the nine months ended September 30, 2020, revenue from the Company’s contract development and manufacturing services operations was $251.4 million, an increase of $196.8 million as compared to 2019. The increase i</w:t>
      </w:r>
      <w:r>
        <w:rPr>
          <w:rFonts w:ascii="Arial" w:cs="Arial" w:eastAsia="Arial" w:hAnsi="Arial"/>
          <w:sz w:val="18"/>
          <w:szCs w:val="18"/>
          <w:color w:val="2C2C2C"/>
        </w:rPr>
        <w:t>s largely due to the contribution of arrangements</w:t>
      </w:r>
      <w:r>
        <w:rPr>
          <w:rFonts w:ascii="Arial" w:cs="Arial" w:eastAsia="Arial" w:hAnsi="Arial"/>
          <w:sz w:val="18"/>
          <w:szCs w:val="18"/>
          <w:color w:val="auto"/>
        </w:rPr>
        <w:t xml:space="preserve"> </w:t>
      </w:r>
      <w:r>
        <w:rPr>
          <w:rFonts w:ascii="Arial" w:cs="Arial" w:eastAsia="Arial" w:hAnsi="Arial"/>
          <w:sz w:val="18"/>
          <w:szCs w:val="18"/>
          <w:color w:val="2C2C2C"/>
        </w:rPr>
        <w:t>across development, drug substance manufacturing, and drug product manufacturing services with industry and government customers.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For the nine months ended September 30, 2020, revenue from the Company’s development-based contracts and grants was $72.1 million, a decrease of $26.3 million or 27% as compared to 2019. The decrease primarily reflects </w:t>
      </w:r>
      <w:r>
        <w:rPr>
          <w:rFonts w:ascii="Arial" w:cs="Arial" w:eastAsia="Arial" w:hAnsi="Arial"/>
          <w:sz w:val="18"/>
          <w:szCs w:val="18"/>
          <w:color w:val="2C2C2C"/>
        </w:rPr>
        <w:t>the completion of development activities associated</w:t>
      </w:r>
      <w:r>
        <w:rPr>
          <w:rFonts w:ascii="Arial" w:cs="Arial" w:eastAsia="Arial" w:hAnsi="Arial"/>
          <w:sz w:val="18"/>
          <w:szCs w:val="18"/>
          <w:color w:val="auto"/>
        </w:rPr>
        <w:t xml:space="preserve"> </w:t>
      </w:r>
      <w:r>
        <w:rPr>
          <w:rFonts w:ascii="Arial" w:cs="Arial" w:eastAsia="Arial" w:hAnsi="Arial"/>
          <w:sz w:val="18"/>
          <w:szCs w:val="18"/>
          <w:color w:val="2C2C2C"/>
        </w:rPr>
        <w:t>with the AV7909 product candidate in 2019, offset by recent new development awards related to the Company's COVID-19 product candidates</w:t>
      </w:r>
      <w:r>
        <w:rPr>
          <w:rFonts w:ascii="Arial" w:cs="Arial" w:eastAsia="Arial" w:hAnsi="Arial"/>
          <w:sz w:val="18"/>
          <w:szCs w:val="18"/>
          <w:color w:val="000000"/>
        </w:rPr>
        <w:t>.</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 of 15</w:t>
      </w:r>
    </w:p>
    <w:p>
      <w:pPr>
        <w:sectPr>
          <w:pgSz w:w="11900" w:h="16838" w:orient="portrait"/>
          <w:cols w:equalWidth="0" w:num="1">
            <w:col w:w="11220"/>
          </w:cols>
          <w:pgMar w:left="320" w:top="1440" w:right="35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Development and Manufacturing Services</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the nine months ended September 30, 2020, cost of product sales and contract development and manufacturing services was $355.7 million, an increase of $55.0 million or 18% as compared to 2019. The increase is due pr</w:t>
      </w:r>
      <w:r>
        <w:rPr>
          <w:rFonts w:ascii="Arial" w:cs="Arial" w:eastAsia="Arial" w:hAnsi="Arial"/>
          <w:sz w:val="18"/>
          <w:szCs w:val="18"/>
          <w:color w:val="2C2C2C"/>
        </w:rPr>
        <w:t>imarily to</w:t>
      </w:r>
      <w:r>
        <w:rPr>
          <w:rFonts w:ascii="Arial" w:cs="Arial" w:eastAsia="Arial" w:hAnsi="Arial"/>
          <w:sz w:val="18"/>
          <w:szCs w:val="18"/>
          <w:color w:val="auto"/>
        </w:rPr>
        <w:t xml:space="preserve"> an increase </w:t>
      </w:r>
      <w:r>
        <w:rPr>
          <w:rFonts w:ascii="Arial" w:cs="Arial" w:eastAsia="Arial" w:hAnsi="Arial"/>
          <w:sz w:val="18"/>
          <w:szCs w:val="18"/>
          <w:color w:val="2C2C2C"/>
        </w:rPr>
        <w:t>in volume of product sales and</w:t>
      </w:r>
      <w:r>
        <w:rPr>
          <w:rFonts w:ascii="Arial" w:cs="Arial" w:eastAsia="Arial" w:hAnsi="Arial"/>
          <w:sz w:val="18"/>
          <w:szCs w:val="18"/>
          <w:color w:val="auto"/>
        </w:rPr>
        <w:t xml:space="preserve"> </w:t>
      </w:r>
      <w:r>
        <w:rPr>
          <w:rFonts w:ascii="Arial" w:cs="Arial" w:eastAsia="Arial" w:hAnsi="Arial"/>
          <w:sz w:val="18"/>
          <w:szCs w:val="18"/>
          <w:color w:val="2C2C2C"/>
        </w:rPr>
        <w:t xml:space="preserve">CDMO services, charges of $31.3 million related to the Company's contingent consideration liabilities, </w:t>
      </w:r>
      <w:r>
        <w:rPr>
          <w:rFonts w:ascii="Arial" w:cs="Arial" w:eastAsia="Arial" w:hAnsi="Arial"/>
          <w:sz w:val="18"/>
          <w:szCs w:val="18"/>
          <w:color w:val="000000"/>
        </w:rPr>
        <w:t>a charge of $13.8 million related to a</w:t>
      </w:r>
      <w:r>
        <w:rPr>
          <w:rFonts w:ascii="Arial" w:cs="Arial" w:eastAsia="Arial" w:hAnsi="Arial"/>
          <w:sz w:val="18"/>
          <w:szCs w:val="18"/>
          <w:color w:val="2C2C2C"/>
        </w:rPr>
        <w:t xml:space="preserve"> </w:t>
      </w:r>
      <w:r>
        <w:rPr>
          <w:rFonts w:ascii="Arial" w:cs="Arial" w:eastAsia="Arial" w:hAnsi="Arial"/>
          <w:sz w:val="18"/>
          <w:szCs w:val="18"/>
          <w:color w:val="000000"/>
        </w:rPr>
        <w:t xml:space="preserve">write-down of inventory balances due to the expected expiration of a portion of the Company's travel health vaccines, </w:t>
      </w:r>
      <w:r>
        <w:rPr>
          <w:rFonts w:ascii="Arial" w:cs="Arial" w:eastAsia="Arial" w:hAnsi="Arial"/>
          <w:sz w:val="18"/>
          <w:szCs w:val="18"/>
          <w:color w:val="2C2C2C"/>
        </w:rPr>
        <w:t>and an increase in</w:t>
      </w:r>
      <w:r>
        <w:rPr>
          <w:rFonts w:ascii="Arial" w:cs="Arial" w:eastAsia="Arial" w:hAnsi="Arial"/>
          <w:sz w:val="18"/>
          <w:szCs w:val="18"/>
          <w:color w:val="000000"/>
        </w:rPr>
        <w:t xml:space="preserve"> </w:t>
      </w:r>
      <w:r>
        <w:rPr>
          <w:rFonts w:ascii="Arial" w:cs="Arial" w:eastAsia="Arial" w:hAnsi="Arial"/>
          <w:sz w:val="18"/>
          <w:szCs w:val="18"/>
          <w:color w:val="2C2C2C"/>
        </w:rPr>
        <w:t>share-based compensation expense due to a one-time special broad-based, immediately vested equity award to employees.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1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For the nine months ended September 30, 2020, gross R&amp;D expenses were $175.0 million, an increase of $11.6 million compared to 2019. The increase primarily reflects the impact of impairment of the Company's IPR&amp;D intangible asset of $29.0 million. Excluding this item, gross R&amp;D expense decreased $17.4 million compared to 2019. The decrease primarily reflects a decrease </w:t>
      </w:r>
      <w:r>
        <w:rPr>
          <w:rFonts w:ascii="Arial" w:cs="Arial" w:eastAsia="Arial" w:hAnsi="Arial"/>
          <w:sz w:val="18"/>
          <w:szCs w:val="18"/>
          <w:color w:val="2C2C2C"/>
        </w:rPr>
        <w:t>in costs in 2020 due to the completion</w:t>
      </w:r>
      <w:r>
        <w:rPr>
          <w:rFonts w:ascii="Arial" w:cs="Arial" w:eastAsia="Arial" w:hAnsi="Arial"/>
          <w:sz w:val="18"/>
          <w:szCs w:val="18"/>
          <w:color w:val="auto"/>
        </w:rPr>
        <w:t xml:space="preserve"> </w:t>
      </w:r>
      <w:r>
        <w:rPr>
          <w:rFonts w:ascii="Arial" w:cs="Arial" w:eastAsia="Arial" w:hAnsi="Arial"/>
          <w:sz w:val="18"/>
          <w:szCs w:val="18"/>
          <w:color w:val="2C2C2C"/>
        </w:rPr>
        <w:t xml:space="preserve">of </w:t>
      </w:r>
      <w:r>
        <w:rPr>
          <w:rFonts w:ascii="Arial" w:cs="Arial" w:eastAsia="Arial" w:hAnsi="Arial"/>
          <w:sz w:val="18"/>
          <w:szCs w:val="18"/>
          <w:color w:val="000000"/>
        </w:rPr>
        <w:t>development activities associated with the Company's</w:t>
      </w:r>
      <w:r>
        <w:rPr>
          <w:rFonts w:ascii="Arial" w:cs="Arial" w:eastAsia="Arial" w:hAnsi="Arial"/>
          <w:sz w:val="18"/>
          <w:szCs w:val="18"/>
          <w:color w:val="2C2C2C"/>
        </w:rPr>
        <w:t xml:space="preserve"> AV7909 product candidate </w:t>
      </w:r>
      <w:r>
        <w:rPr>
          <w:rFonts w:ascii="Arial" w:cs="Arial" w:eastAsia="Arial" w:hAnsi="Arial"/>
          <w:sz w:val="18"/>
          <w:szCs w:val="18"/>
          <w:color w:val="000000"/>
        </w:rPr>
        <w:t>in 2019</w:t>
      </w:r>
      <w:r>
        <w:rPr>
          <w:rFonts w:ascii="Arial" w:cs="Arial" w:eastAsia="Arial" w:hAnsi="Arial"/>
          <w:sz w:val="18"/>
          <w:szCs w:val="18"/>
          <w:color w:val="2C2C2C"/>
        </w:rPr>
        <w:t>. The decrease has been partially offset by an increase in costs associated with the Company's chikungunya and COVID-19 product candidates.</w:t>
      </w:r>
    </w:p>
    <w:p>
      <w:pPr>
        <w:spacing w:after="0" w:line="20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For the nine months ended September 30, 2020, net R&amp;D expense, which reflects investments made in development programs that are not currently funded in whole or in part by third-party partners and is calculated as gross research and development expenses minus contracts and grants revenue and the impact of the IPR&amp;D intangible asset impairment, was $73.9 million, an increase of $8.9 million or 14% as compared to 2019. The increase primarily reflects an increase in costs associated with the Company's chikungunya and COVID-19 product candidates offset by a decline in costs associated with the FLU-IGIV product candidate. The 2020 and 2019 net R&amp;D expense was 8% and 10%, respectively, of adjusted revenue (total revenue less contracts &amp;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66675</wp:posOffset>
            </wp:positionV>
            <wp:extent cx="6600825" cy="1611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0825" cy="1611630"/>
                    </a:xfrm>
                    <a:prstGeom prst="rect">
                      <a:avLst/>
                    </a:prstGeom>
                    <a:noFill/>
                  </pic:spPr>
                </pic:pic>
              </a:graphicData>
            </a:graphic>
          </wp:anchor>
        </w:drawing>
      </w:r>
    </w:p>
    <w:p>
      <w:pPr>
        <w:spacing w:after="0" w:line="85" w:lineRule="exact"/>
        <w:rPr>
          <w:sz w:val="20"/>
          <w:szCs w:val="20"/>
          <w:color w:val="auto"/>
        </w:rPr>
      </w:pPr>
    </w:p>
    <w:tbl>
      <w:tblPr>
        <w:tblLayout w:type="fixed"/>
        <w:tblInd w:w="80" w:type="dxa"/>
        <w:tblCellMar>
          <w:top w:w="0" w:type="dxa"/>
          <w:left w:w="0" w:type="dxa"/>
          <w:bottom w:w="0" w:type="dxa"/>
          <w:right w:w="0" w:type="dxa"/>
        </w:tblCellMar>
      </w:tblPr>
      <w:tr>
        <w:trPr>
          <w:trHeight w:val="295"/>
        </w:trPr>
        <w:tc>
          <w:tcPr>
            <w:tcW w:w="6300" w:type="dxa"/>
            <w:vAlign w:val="bottom"/>
            <w:shd w:val="clear" w:color="auto" w:fill="0F243E"/>
          </w:tcPr>
          <w:p>
            <w:pPr>
              <w:spacing w:after="0"/>
              <w:rPr>
                <w:sz w:val="24"/>
                <w:szCs w:val="24"/>
                <w:color w:val="auto"/>
              </w:rPr>
            </w:pPr>
          </w:p>
        </w:tc>
        <w:tc>
          <w:tcPr>
            <w:tcW w:w="4100" w:type="dxa"/>
            <w:vAlign w:val="bottom"/>
            <w:gridSpan w:val="3"/>
            <w:shd w:val="clear" w:color="auto" w:fill="0F243E"/>
          </w:tcPr>
          <w:p>
            <w:pPr>
              <w:jc w:val="right"/>
              <w:ind w:right="490"/>
              <w:spacing w:after="0"/>
              <w:rPr>
                <w:sz w:val="20"/>
                <w:szCs w:val="20"/>
                <w:color w:val="auto"/>
              </w:rPr>
            </w:pPr>
            <w:r>
              <w:rPr>
                <w:rFonts w:ascii="Arial" w:cs="Arial" w:eastAsia="Arial" w:hAnsi="Arial"/>
                <w:sz w:val="18"/>
                <w:szCs w:val="18"/>
                <w:b w:val="1"/>
                <w:bCs w:val="1"/>
                <w:color w:val="FFFFFF"/>
              </w:rPr>
              <w:t>Nine Months Ended September 30,</w:t>
            </w:r>
          </w:p>
        </w:tc>
        <w:tc>
          <w:tcPr>
            <w:tcW w:w="0" w:type="dxa"/>
            <w:vAlign w:val="bottom"/>
          </w:tcPr>
          <w:p>
            <w:pPr>
              <w:spacing w:after="0"/>
              <w:rPr>
                <w:sz w:val="1"/>
                <w:szCs w:val="1"/>
                <w:color w:val="auto"/>
              </w:rPr>
            </w:pPr>
          </w:p>
        </w:tc>
      </w:tr>
      <w:tr>
        <w:trPr>
          <w:trHeight w:val="353"/>
        </w:trPr>
        <w:tc>
          <w:tcPr>
            <w:tcW w:w="630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360" w:type="dxa"/>
            <w:vAlign w:val="bottom"/>
            <w:shd w:val="clear" w:color="auto" w:fill="0F243E"/>
          </w:tcPr>
          <w:p>
            <w:pPr>
              <w:jc w:val="right"/>
              <w:ind w:right="390"/>
              <w:spacing w:after="0"/>
              <w:rPr>
                <w:sz w:val="20"/>
                <w:szCs w:val="20"/>
                <w:color w:val="auto"/>
              </w:rPr>
            </w:pPr>
            <w:r>
              <w:rPr>
                <w:rFonts w:ascii="Arial" w:cs="Arial" w:eastAsia="Arial" w:hAnsi="Arial"/>
                <w:sz w:val="18"/>
                <w:szCs w:val="18"/>
                <w:b w:val="1"/>
                <w:bCs w:val="1"/>
                <w:color w:val="FFFFFF"/>
              </w:rPr>
              <w:t>2020</w:t>
            </w:r>
          </w:p>
        </w:tc>
        <w:tc>
          <w:tcPr>
            <w:tcW w:w="1360" w:type="dxa"/>
            <w:vAlign w:val="bottom"/>
            <w:shd w:val="clear" w:color="auto" w:fill="0F243E"/>
          </w:tcPr>
          <w:p>
            <w:pPr>
              <w:jc w:val="right"/>
              <w:ind w:right="370"/>
              <w:spacing w:after="0"/>
              <w:rPr>
                <w:sz w:val="20"/>
                <w:szCs w:val="20"/>
                <w:color w:val="auto"/>
              </w:rPr>
            </w:pPr>
            <w:r>
              <w:rPr>
                <w:rFonts w:ascii="Arial" w:cs="Arial" w:eastAsia="Arial" w:hAnsi="Arial"/>
                <w:sz w:val="18"/>
                <w:szCs w:val="18"/>
                <w:b w:val="1"/>
                <w:bCs w:val="1"/>
                <w:color w:val="FFFFFF"/>
              </w:rPr>
              <w:t>2019</w:t>
            </w:r>
          </w:p>
        </w:tc>
        <w:tc>
          <w:tcPr>
            <w:tcW w:w="138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 Change</w:t>
            </w:r>
          </w:p>
        </w:tc>
        <w:tc>
          <w:tcPr>
            <w:tcW w:w="0" w:type="dxa"/>
            <w:vAlign w:val="bottom"/>
          </w:tcPr>
          <w:p>
            <w:pPr>
              <w:spacing w:after="0"/>
              <w:rPr>
                <w:sz w:val="1"/>
                <w:szCs w:val="1"/>
                <w:color w:val="auto"/>
              </w:rPr>
            </w:pPr>
          </w:p>
        </w:tc>
      </w:tr>
      <w:tr>
        <w:trPr>
          <w:trHeight w:val="247"/>
        </w:trPr>
        <w:tc>
          <w:tcPr>
            <w:tcW w:w="6300" w:type="dxa"/>
            <w:vAlign w:val="bottom"/>
            <w:shd w:val="clear" w:color="auto" w:fill="CCCCCC"/>
          </w:tcPr>
          <w:p>
            <w:pPr>
              <w:ind w:left="2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$175.0</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$163.4</w:t>
            </w:r>
          </w:p>
        </w:tc>
        <w:tc>
          <w:tcPr>
            <w:tcW w:w="13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9"/>
        </w:trPr>
        <w:tc>
          <w:tcPr>
            <w:tcW w:w="630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360" w:type="dxa"/>
            <w:vAlign w:val="bottom"/>
            <w:shd w:val="clear" w:color="auto" w:fill="CCCCCC"/>
          </w:tcPr>
          <w:p>
            <w:pPr>
              <w:spacing w:after="0"/>
              <w:rPr>
                <w:sz w:val="20"/>
                <w:szCs w:val="20"/>
                <w:color w:val="auto"/>
              </w:rPr>
            </w:pPr>
          </w:p>
        </w:tc>
        <w:tc>
          <w:tcPr>
            <w:tcW w:w="1360" w:type="dxa"/>
            <w:vAlign w:val="bottom"/>
            <w:shd w:val="clear" w:color="auto" w:fill="CCCCCC"/>
          </w:tcPr>
          <w:p>
            <w:pPr>
              <w:spacing w:after="0"/>
              <w:rPr>
                <w:sz w:val="20"/>
                <w:szCs w:val="20"/>
                <w:color w:val="auto"/>
              </w:rPr>
            </w:pPr>
          </w:p>
        </w:tc>
        <w:tc>
          <w:tcPr>
            <w:tcW w:w="138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80"/>
              <w:spacing w:after="0"/>
              <w:rPr>
                <w:sz w:val="20"/>
                <w:szCs w:val="20"/>
                <w:color w:val="auto"/>
              </w:rPr>
            </w:pPr>
            <w:r>
              <w:rPr>
                <w:rFonts w:ascii="Arial" w:cs="Arial" w:eastAsia="Arial" w:hAnsi="Arial"/>
                <w:sz w:val="18"/>
                <w:szCs w:val="18"/>
                <w:color w:val="auto"/>
              </w:rPr>
              <w:t>Less Contracts and Grants Revenue</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$72.1</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$98.4</w:t>
            </w:r>
          </w:p>
        </w:tc>
        <w:tc>
          <w:tcPr>
            <w:tcW w:w="1380" w:type="dxa"/>
            <w:vAlign w:val="bottom"/>
            <w:shd w:val="clear" w:color="auto" w:fill="CCCCCC"/>
          </w:tcPr>
          <w:p>
            <w:pPr>
              <w:jc w:val="right"/>
              <w:ind w:right="3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260"/>
              <w:spacing w:after="0"/>
              <w:rPr>
                <w:sz w:val="20"/>
                <w:szCs w:val="20"/>
                <w:color w:val="auto"/>
              </w:rPr>
            </w:pPr>
            <w:r>
              <w:rPr>
                <w:rFonts w:ascii="Arial" w:cs="Arial" w:eastAsia="Arial" w:hAnsi="Arial"/>
                <w:sz w:val="18"/>
                <w:szCs w:val="18"/>
                <w:color w:val="auto"/>
              </w:rPr>
              <w:t>Less Impairment of IPR&amp;D intangible asset</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$29.0</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30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Research and Development Expenses</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$73.9</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$65.0</w:t>
            </w:r>
          </w:p>
        </w:tc>
        <w:tc>
          <w:tcPr>
            <w:tcW w:w="1380" w:type="dxa"/>
            <w:vAlign w:val="bottom"/>
            <w:shd w:val="clear" w:color="auto" w:fill="CCCCCC"/>
          </w:tcPr>
          <w:p>
            <w:pPr>
              <w:jc w:val="right"/>
              <w:ind w:right="4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6300" w:type="dxa"/>
            <w:vAlign w:val="bottom"/>
            <w:shd w:val="clear" w:color="auto" w:fill="CCCCCC"/>
          </w:tcPr>
          <w:p>
            <w:pPr>
              <w:ind w:left="40"/>
              <w:spacing w:after="0" w:line="189" w:lineRule="exact"/>
              <w:rPr>
                <w:sz w:val="20"/>
                <w:szCs w:val="20"/>
                <w:color w:val="auto"/>
              </w:rPr>
            </w:pPr>
            <w:r>
              <w:rPr>
                <w:rFonts w:ascii="Arial" w:cs="Arial" w:eastAsia="Arial" w:hAnsi="Arial"/>
                <w:sz w:val="18"/>
                <w:szCs w:val="18"/>
                <w:color w:val="auto"/>
              </w:rPr>
              <w:t>Adjusted Revenue</w:t>
            </w:r>
          </w:p>
        </w:tc>
        <w:tc>
          <w:tcPr>
            <w:tcW w:w="136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$900.3</w:t>
            </w:r>
          </w:p>
        </w:tc>
        <w:tc>
          <w:tcPr>
            <w:tcW w:w="1360" w:type="dxa"/>
            <w:vAlign w:val="bottom"/>
            <w:vMerge w:val="restart"/>
            <w:shd w:val="clear" w:color="auto" w:fill="CCCCCC"/>
          </w:tcPr>
          <w:p>
            <w:pPr>
              <w:jc w:val="right"/>
              <w:ind w:right="10"/>
              <w:spacing w:after="0"/>
              <w:rPr>
                <w:sz w:val="20"/>
                <w:szCs w:val="20"/>
                <w:color w:val="auto"/>
              </w:rPr>
            </w:pPr>
            <w:r>
              <w:rPr>
                <w:rFonts w:ascii="Arial" w:cs="Arial" w:eastAsia="Arial" w:hAnsi="Arial"/>
                <w:sz w:val="18"/>
                <w:szCs w:val="18"/>
                <w:color w:val="auto"/>
              </w:rPr>
              <w:t>$647.3</w:t>
            </w:r>
          </w:p>
        </w:tc>
        <w:tc>
          <w:tcPr>
            <w:tcW w:w="1380" w:type="dxa"/>
            <w:vAlign w:val="bottom"/>
            <w:vMerge w:val="restart"/>
            <w:shd w:val="clear" w:color="auto" w:fill="CCCCCC"/>
          </w:tcPr>
          <w:p>
            <w:pPr>
              <w:jc w:val="right"/>
              <w:ind w:right="4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39"/>
        </w:trPr>
        <w:tc>
          <w:tcPr>
            <w:tcW w:w="630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360" w:type="dxa"/>
            <w:vAlign w:val="bottom"/>
            <w:vMerge w:val="continue"/>
            <w:shd w:val="clear" w:color="auto" w:fill="CCCCCC"/>
          </w:tcPr>
          <w:p>
            <w:pPr>
              <w:spacing w:after="0"/>
              <w:rPr>
                <w:sz w:val="12"/>
                <w:szCs w:val="12"/>
                <w:color w:val="auto"/>
              </w:rPr>
            </w:pPr>
          </w:p>
        </w:tc>
        <w:tc>
          <w:tcPr>
            <w:tcW w:w="1360" w:type="dxa"/>
            <w:vAlign w:val="bottom"/>
            <w:vMerge w:val="continue"/>
            <w:shd w:val="clear" w:color="auto" w:fill="CCCCCC"/>
          </w:tcPr>
          <w:p>
            <w:pPr>
              <w:spacing w:after="0"/>
              <w:rPr>
                <w:sz w:val="12"/>
                <w:szCs w:val="12"/>
                <w:color w:val="auto"/>
              </w:rPr>
            </w:pPr>
          </w:p>
        </w:tc>
        <w:tc>
          <w:tcPr>
            <w:tcW w:w="1380" w:type="dxa"/>
            <w:vAlign w:val="bottom"/>
            <w:vMerge w:val="continue"/>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shd w:val="clear" w:color="auto" w:fill="CCCCCC"/>
          </w:tcPr>
          <w:p>
            <w:pPr>
              <w:spacing w:after="0"/>
              <w:rPr>
                <w:sz w:val="8"/>
                <w:szCs w:val="8"/>
                <w:color w:val="auto"/>
              </w:rPr>
            </w:pPr>
          </w:p>
        </w:tc>
        <w:tc>
          <w:tcPr>
            <w:tcW w:w="1360" w:type="dxa"/>
            <w:vAlign w:val="bottom"/>
            <w:shd w:val="clear" w:color="auto" w:fill="CCCCCC"/>
          </w:tcPr>
          <w:p>
            <w:pPr>
              <w:spacing w:after="0"/>
              <w:rPr>
                <w:sz w:val="8"/>
                <w:szCs w:val="8"/>
                <w:color w:val="auto"/>
              </w:rPr>
            </w:pPr>
          </w:p>
        </w:tc>
        <w:tc>
          <w:tcPr>
            <w:tcW w:w="1360" w:type="dxa"/>
            <w:vAlign w:val="bottom"/>
            <w:shd w:val="clear" w:color="auto" w:fill="CCCCCC"/>
          </w:tcPr>
          <w:p>
            <w:pPr>
              <w:spacing w:after="0"/>
              <w:rPr>
                <w:sz w:val="8"/>
                <w:szCs w:val="8"/>
                <w:color w:val="auto"/>
              </w:rPr>
            </w:pPr>
          </w:p>
        </w:tc>
        <w:tc>
          <w:tcPr>
            <w:tcW w:w="1380" w:type="dxa"/>
            <w:vAlign w:val="bottom"/>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30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R&amp;D as % of Adjusted Revenue (Net R&amp;D Margin)</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CCCC"/>
          </w:tcPr>
          <w:p>
            <w:pPr>
              <w:jc w:val="right"/>
              <w:ind w:right="10"/>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For the nine months ended September 30, 2020, selling, general and administrative expenses were $221.2 million, an increase of $19.9 million or 10% as compared to 2019. The increase primarily reflects </w:t>
      </w:r>
      <w:r>
        <w:rPr>
          <w:rFonts w:ascii="Arial" w:cs="Arial" w:eastAsia="Arial" w:hAnsi="Arial"/>
          <w:sz w:val="18"/>
          <w:szCs w:val="18"/>
          <w:color w:val="2C2C2C"/>
        </w:rPr>
        <w:t>an increase in staffing costs to support the Company's growth and share-based compensation due to a special broad-based, immediately vested equity award to employees during the second quarter of 2020</w:t>
      </w:r>
      <w:r>
        <w:rPr>
          <w:rFonts w:ascii="Arial" w:cs="Arial" w:eastAsia="Arial" w:hAnsi="Arial"/>
          <w:sz w:val="18"/>
          <w:szCs w:val="18"/>
          <w:color w:val="000000"/>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amortization of intangible assets of $44.8 million was consistent with $43.9 million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 of 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For the nine months ended September 30, 2020, the income tax provision of $34.7 million increased $36.4 million when compared to 2019. The increase is due to an increase in income before the provision for income taxes of $148.5 million, offset by an increase in discrete tax benefits of $7.0 million in 2020. The Company's effective tax rate, excluding discrete adjustments, was 29% and 27%, for the nine months ended September 30, 2020 and 2019, respectively. The effective tax rate, excluding the impact of non-deductible contingent consideration expense was 25% and 24%, for the nine months ended September 30,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&amp; Adjusted Net Income</w:t>
      </w:r>
    </w:p>
    <w:p>
      <w:pPr>
        <w:spacing w:after="0" w:line="11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For the nine months ended September 30, 2020, the Company recorded net income of $119.7 million, or $2.23 per diluted share, versus net income of $7.6 million, or $0.15 per diluted share, in 2019.</w:t>
      </w:r>
    </w:p>
    <w:p>
      <w:pPr>
        <w:spacing w:after="0" w:line="17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 xml:space="preserve">For the nine months ended September 30, 2020, the Company recorded adjusted net income of $225.1 million, or $4.20 per diluted share, versus adjusted net income of $69.6 million, or $1.33 per diluted share, in 2019. </w:t>
      </w:r>
      <w:r>
        <w:rPr>
          <w:rFonts w:ascii="Arial" w:cs="Arial" w:eastAsia="Arial" w:hAnsi="Arial"/>
          <w:sz w:val="18"/>
          <w:szCs w:val="18"/>
          <w:i w:val="1"/>
          <w:iCs w:val="1"/>
          <w:color w:val="auto"/>
        </w:rPr>
        <w:t>(1)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2020, the Company recorded adjusted EBITDA of $339.5 million versus $145.4 million in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FINANCIAL FORECAST</w:t>
      </w:r>
    </w:p>
    <w:p>
      <w:pPr>
        <w:spacing w:after="0" w:line="251" w:lineRule="exact"/>
        <w:rPr>
          <w:sz w:val="20"/>
          <w:szCs w:val="20"/>
          <w:color w:val="auto"/>
        </w:rPr>
      </w:pPr>
    </w:p>
    <w:p>
      <w:pPr>
        <w:ind w:right="520"/>
        <w:spacing w:after="0" w:line="323" w:lineRule="auto"/>
        <w:rPr>
          <w:sz w:val="20"/>
          <w:szCs w:val="20"/>
          <w:color w:val="auto"/>
        </w:rPr>
      </w:pPr>
      <w:r>
        <w:rPr>
          <w:rFonts w:ascii="Arial" w:cs="Arial" w:eastAsia="Arial" w:hAnsi="Arial"/>
          <w:sz w:val="17"/>
          <w:szCs w:val="17"/>
          <w:color w:val="auto"/>
        </w:rPr>
        <w:t>Based upon the Company's financial performance year to date as well as expectations for the remainder of the year, the Company has updated its full year 2020 financial forecast reflected by the following financial metrics and accompanying operational considerations: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40575" cy="1346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34620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vMerge w:val="restart"/>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3320" w:type="dxa"/>
            <w:vAlign w:val="bottom"/>
            <w:gridSpan w:val="2"/>
            <w:shd w:val="clear" w:color="auto" w:fill="0F243E"/>
          </w:tcPr>
          <w:p>
            <w:pPr>
              <w:jc w:val="center"/>
              <w:spacing w:after="0"/>
              <w:rPr>
                <w:sz w:val="20"/>
                <w:szCs w:val="20"/>
                <w:color w:val="auto"/>
              </w:rPr>
            </w:pPr>
            <w:r>
              <w:rPr>
                <w:rFonts w:ascii="Arial" w:cs="Arial" w:eastAsia="Arial" w:hAnsi="Arial"/>
                <w:sz w:val="18"/>
                <w:szCs w:val="18"/>
                <w:color w:val="FFFFFF"/>
                <w:w w:val="99"/>
              </w:rPr>
              <w:t>Updated 2020 FORECAST</w:t>
            </w:r>
          </w:p>
        </w:tc>
        <w:tc>
          <w:tcPr>
            <w:tcW w:w="3320" w:type="dxa"/>
            <w:vAlign w:val="bottom"/>
            <w:gridSpan w:val="2"/>
            <w:shd w:val="clear" w:color="auto" w:fill="0F243E"/>
          </w:tcPr>
          <w:p>
            <w:pPr>
              <w:jc w:val="center"/>
              <w:spacing w:after="0"/>
              <w:rPr>
                <w:sz w:val="20"/>
                <w:szCs w:val="20"/>
                <w:color w:val="auto"/>
              </w:rPr>
            </w:pPr>
            <w:r>
              <w:rPr>
                <w:rFonts w:ascii="Arial" w:cs="Arial" w:eastAsia="Arial" w:hAnsi="Arial"/>
                <w:sz w:val="18"/>
                <w:szCs w:val="18"/>
                <w:color w:val="FFFFFF"/>
                <w:w w:val="99"/>
              </w:rPr>
              <w:t>Previous 2020 forecast</w:t>
            </w:r>
          </w:p>
        </w:tc>
        <w:tc>
          <w:tcPr>
            <w:tcW w:w="0" w:type="dxa"/>
            <w:vAlign w:val="bottom"/>
          </w:tcPr>
          <w:p>
            <w:pPr>
              <w:spacing w:after="0"/>
              <w:rPr>
                <w:sz w:val="1"/>
                <w:szCs w:val="1"/>
                <w:color w:val="auto"/>
              </w:rPr>
            </w:pPr>
          </w:p>
        </w:tc>
      </w:tr>
      <w:tr>
        <w:trPr>
          <w:trHeight w:val="230"/>
        </w:trPr>
        <w:tc>
          <w:tcPr>
            <w:tcW w:w="4580" w:type="dxa"/>
            <w:vAlign w:val="bottom"/>
            <w:vMerge w:val="continue"/>
            <w:shd w:val="clear" w:color="auto" w:fill="0F243E"/>
          </w:tcPr>
          <w:p>
            <w:pPr>
              <w:spacing w:after="0"/>
              <w:rPr>
                <w:sz w:val="19"/>
                <w:szCs w:val="19"/>
                <w:color w:val="auto"/>
              </w:rPr>
            </w:pPr>
          </w:p>
        </w:tc>
        <w:tc>
          <w:tcPr>
            <w:tcW w:w="3320" w:type="dxa"/>
            <w:vAlign w:val="bottom"/>
            <w:gridSpan w:val="2"/>
            <w:shd w:val="clear" w:color="auto" w:fill="0F243E"/>
          </w:tcPr>
          <w:p>
            <w:pPr>
              <w:jc w:val="center"/>
              <w:spacing w:after="0"/>
              <w:rPr>
                <w:sz w:val="20"/>
                <w:szCs w:val="20"/>
                <w:color w:val="auto"/>
              </w:rPr>
            </w:pPr>
            <w:r>
              <w:rPr>
                <w:rFonts w:ascii="Arial" w:cs="Arial" w:eastAsia="Arial" w:hAnsi="Arial"/>
                <w:sz w:val="18"/>
                <w:szCs w:val="18"/>
                <w:color w:val="FFFFFF"/>
                <w:w w:val="98"/>
              </w:rPr>
              <w:t>(</w:t>
            </w:r>
            <w:r>
              <w:rPr>
                <w:rFonts w:ascii="Arial" w:cs="Arial" w:eastAsia="Arial" w:hAnsi="Arial"/>
                <w:sz w:val="18"/>
                <w:szCs w:val="18"/>
                <w:i w:val="1"/>
                <w:iCs w:val="1"/>
                <w:color w:val="FFFFFF"/>
                <w:w w:val="98"/>
              </w:rPr>
              <w:t>As of 11/5/2020)</w:t>
            </w:r>
          </w:p>
        </w:tc>
        <w:tc>
          <w:tcPr>
            <w:tcW w:w="3320" w:type="dxa"/>
            <w:vAlign w:val="bottom"/>
            <w:gridSpan w:val="2"/>
            <w:shd w:val="clear" w:color="auto" w:fill="0F243E"/>
          </w:tcPr>
          <w:p>
            <w:pPr>
              <w:jc w:val="center"/>
              <w:spacing w:after="0"/>
              <w:rPr>
                <w:sz w:val="20"/>
                <w:szCs w:val="20"/>
                <w:color w:val="auto"/>
              </w:rPr>
            </w:pPr>
            <w:r>
              <w:rPr>
                <w:rFonts w:ascii="Arial" w:cs="Arial" w:eastAsia="Arial" w:hAnsi="Arial"/>
                <w:sz w:val="18"/>
                <w:szCs w:val="18"/>
                <w:color w:val="FFFFFF"/>
                <w:w w:val="99"/>
              </w:rPr>
              <w:t>(</w:t>
            </w:r>
            <w:r>
              <w:rPr>
                <w:rFonts w:ascii="Arial" w:cs="Arial" w:eastAsia="Arial" w:hAnsi="Arial"/>
                <w:sz w:val="18"/>
                <w:szCs w:val="18"/>
                <w:i w:val="1"/>
                <w:iCs w:val="1"/>
                <w:color w:val="FFFFFF"/>
                <w:w w:val="99"/>
              </w:rPr>
              <w:t>As of 7/30/2020)</w:t>
            </w:r>
          </w:p>
        </w:tc>
        <w:tc>
          <w:tcPr>
            <w:tcW w:w="0" w:type="dxa"/>
            <w:vAlign w:val="bottom"/>
          </w:tcPr>
          <w:p>
            <w:pPr>
              <w:spacing w:after="0"/>
              <w:rPr>
                <w:sz w:val="1"/>
                <w:szCs w:val="1"/>
                <w:color w:val="auto"/>
              </w:rPr>
            </w:pPr>
          </w:p>
        </w:tc>
      </w:tr>
      <w:tr>
        <w:trPr>
          <w:trHeight w:val="229"/>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$1,520</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$1,580</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$1,500</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$1,600</w:t>
            </w: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NARCAN® Nasal Spray</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$295</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$315</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$285</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$315</w:t>
            </w:r>
          </w:p>
        </w:tc>
        <w:tc>
          <w:tcPr>
            <w:tcW w:w="0" w:type="dxa"/>
            <w:vAlign w:val="bottom"/>
          </w:tcPr>
          <w:p>
            <w:pPr>
              <w:spacing w:after="0"/>
              <w:rPr>
                <w:sz w:val="1"/>
                <w:szCs w:val="1"/>
                <w:color w:val="auto"/>
              </w:rPr>
            </w:pPr>
          </w:p>
        </w:tc>
      </w:tr>
      <w:tr>
        <w:trPr>
          <w:trHeight w:val="247"/>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Anthrax vaccines</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$350</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$370</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$320</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$350</w:t>
            </w: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ACAM2000</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$160</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$200</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$180</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$200</w:t>
            </w: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CDMO</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$450</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$470</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$440</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$460</w:t>
            </w:r>
          </w:p>
        </w:tc>
        <w:tc>
          <w:tcPr>
            <w:tcW w:w="0" w:type="dxa"/>
            <w:vAlign w:val="bottom"/>
          </w:tcPr>
          <w:p>
            <w:pPr>
              <w:spacing w:after="0"/>
              <w:rPr>
                <w:sz w:val="1"/>
                <w:szCs w:val="1"/>
                <w:color w:val="auto"/>
              </w:rPr>
            </w:pPr>
          </w:p>
        </w:tc>
      </w:tr>
      <w:tr>
        <w:trPr>
          <w:trHeight w:val="243"/>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8"/>
                <w:szCs w:val="18"/>
                <w:i w:val="1"/>
                <w:iCs w:val="1"/>
                <w:color w:val="auto"/>
              </w:rPr>
              <w:t>(1)</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$375</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$405</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$340</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$390</w:t>
            </w:r>
          </w:p>
        </w:tc>
        <w:tc>
          <w:tcPr>
            <w:tcW w:w="0" w:type="dxa"/>
            <w:vAlign w:val="bottom"/>
          </w:tcPr>
          <w:p>
            <w:pPr>
              <w:spacing w:after="0"/>
              <w:rPr>
                <w:sz w:val="1"/>
                <w:szCs w:val="1"/>
                <w:color w:val="auto"/>
              </w:rPr>
            </w:pPr>
          </w:p>
        </w:tc>
      </w:tr>
      <w:tr>
        <w:trPr>
          <w:trHeight w:val="239"/>
        </w:trPr>
        <w:tc>
          <w:tcPr>
            <w:tcW w:w="458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160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$575</w:t>
            </w:r>
          </w:p>
        </w:tc>
        <w:tc>
          <w:tcPr>
            <w:tcW w:w="1720" w:type="dxa"/>
            <w:vAlign w:val="bottom"/>
            <w:shd w:val="clear" w:color="auto" w:fill="CCCCCC"/>
          </w:tcPr>
          <w:p>
            <w:pPr>
              <w:ind w:left="20"/>
              <w:spacing w:after="0"/>
              <w:rPr>
                <w:sz w:val="20"/>
                <w:szCs w:val="20"/>
                <w:color w:val="auto"/>
              </w:rPr>
            </w:pPr>
            <w:r>
              <w:rPr>
                <w:rFonts w:ascii="Arial" w:cs="Arial" w:eastAsia="Arial" w:hAnsi="Arial"/>
                <w:sz w:val="18"/>
                <w:szCs w:val="18"/>
                <w:color w:val="auto"/>
              </w:rPr>
              <w:t>- $615</w:t>
            </w:r>
          </w:p>
        </w:tc>
        <w:tc>
          <w:tcPr>
            <w:tcW w:w="1620" w:type="dxa"/>
            <w:vAlign w:val="bottom"/>
            <w:shd w:val="clear" w:color="auto" w:fill="CCCCCC"/>
          </w:tcPr>
          <w:p>
            <w:pPr>
              <w:jc w:val="right"/>
              <w:spacing w:after="0"/>
              <w:rPr>
                <w:sz w:val="20"/>
                <w:szCs w:val="20"/>
                <w:color w:val="auto"/>
              </w:rPr>
            </w:pPr>
            <w:r>
              <w:rPr>
                <w:rFonts w:ascii="Arial" w:cs="Arial" w:eastAsia="Arial" w:hAnsi="Arial"/>
                <w:sz w:val="18"/>
                <w:szCs w:val="18"/>
                <w:color w:val="auto"/>
              </w:rPr>
              <w:t>$535</w:t>
            </w:r>
          </w:p>
        </w:tc>
        <w:tc>
          <w:tcPr>
            <w:tcW w:w="1700" w:type="dxa"/>
            <w:vAlign w:val="bottom"/>
            <w:shd w:val="clear" w:color="auto" w:fill="CCCCCC"/>
          </w:tcPr>
          <w:p>
            <w:pPr>
              <w:ind w:left="20"/>
              <w:spacing w:after="0"/>
              <w:rPr>
                <w:sz w:val="20"/>
                <w:szCs w:val="20"/>
                <w:color w:val="auto"/>
              </w:rPr>
            </w:pPr>
            <w:r>
              <w:rPr>
                <w:rFonts w:ascii="Arial" w:cs="Arial" w:eastAsia="Arial" w:hAnsi="Arial"/>
                <w:sz w:val="18"/>
                <w:szCs w:val="18"/>
                <w:color w:val="auto"/>
              </w:rPr>
              <w:t>- $600</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operational considerations are incorporated in the Company's forecast and remain consistent with the previous forecast:</w:t>
      </w:r>
    </w:p>
    <w:p>
      <w:pPr>
        <w:spacing w:after="0" w:line="252" w:lineRule="exact"/>
        <w:rPr>
          <w:sz w:val="20"/>
          <w:szCs w:val="20"/>
          <w:color w:val="auto"/>
        </w:rPr>
      </w:pPr>
    </w:p>
    <w:p>
      <w:pPr>
        <w:ind w:left="660" w:right="360" w:hanging="328"/>
        <w:spacing w:after="0" w:line="263"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Year over year improvement in gross margin of 400 - 600 basis points driven by improved product mix and increased contribution from the Company's CDMO business;</w:t>
      </w:r>
    </w:p>
    <w:p>
      <w:pPr>
        <w:ind w:left="660" w:right="28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previously announced delay into 2021 of the launch of the Phase 3 clinical study for CHIKV-VLP, the Company's chikungunya virus virus-like particle vaccine, due to the timing of certain operational factors;</w:t>
      </w:r>
    </w:p>
    <w:p>
      <w:pPr>
        <w:jc w:val="both"/>
        <w:ind w:left="660" w:right="44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deferral into 2021 of a follow-on procurement contract with the U.S. government for raxibacumab, the Company's FDA-approved anthrax monoclonal antibody therapeutic, due to the impact of the prioritization of Operation Warp Speed on the Company's technology transfer activities for the product;</w:t>
      </w:r>
    </w:p>
    <w:p>
      <w:pPr>
        <w:spacing w:after="0" w:line="1" w:lineRule="exact"/>
        <w:rPr>
          <w:rFonts w:ascii="Arial" w:cs="Arial" w:eastAsia="Arial" w:hAnsi="Arial"/>
          <w:sz w:val="18"/>
          <w:szCs w:val="18"/>
          <w:color w:val="auto"/>
        </w:rPr>
      </w:pPr>
    </w:p>
    <w:p>
      <w:pPr>
        <w:ind w:left="660" w:right="340" w:hanging="328"/>
        <w:spacing w:after="0" w:line="250"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challenges through the end of 2020 in the Company's travel health business and revenues associated with Vaxchora® (Cholera Vaccine, Live, Oral) and Vivotif® (Typhoid Vaccine Live Oral Ty21a);</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generic competition in 2020 for NARCAN® Nasal Spray.</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 of 15</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has assessed the risks to its business associated with the COVID-19 pandemic and has adopted measures to mitigate those risks as they are understood today and accordingly is providing this outlook for 2020. Despite the lack of expected material disruption to the business, the Company's executive management continues to assess the business and operational implications associated with the pandemic and market conditions on its employees, patients, and customers.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 outlook for 2020 does not include estimates for potential new corporate development or other M&amp;A transactions.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6" w:lineRule="exact"/>
        <w:rPr>
          <w:sz w:val="20"/>
          <w:szCs w:val="20"/>
          <w:color w:val="auto"/>
        </w:rPr>
      </w:pPr>
    </w:p>
    <w:p>
      <w:pPr>
        <w:ind w:right="340" w:firstLine="8"/>
        <w:spacing w:after="0" w:line="289" w:lineRule="auto"/>
        <w:tabs>
          <w:tab w:leader="none" w:pos="27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See "Reconciliation of Net Income to Adjusted Net Income and Adjusted EBITDA and Gross Margin and Adjusted Gross Margin" for a definition of terms and the reconciliation tables.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PRESENTATION SUPPLEMENT, AND WEBCAST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Company management will host a conference call at 5:00 pm (Eastern Time) today, November 5, 2020, to discuss these financial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and presentation supplement can be accessed from the Company's website or through the following:</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Teleconference Information:</w:t>
      </w:r>
    </w:p>
    <w:p>
      <w:pPr>
        <w:ind w:left="520"/>
        <w:spacing w:after="0" w:line="203" w:lineRule="auto"/>
        <w:rPr>
          <w:sz w:val="20"/>
          <w:szCs w:val="20"/>
          <w:color w:val="auto"/>
        </w:rPr>
      </w:pPr>
      <w:r>
        <w:rPr>
          <w:rFonts w:ascii="Arial" w:cs="Arial" w:eastAsia="Arial" w:hAnsi="Arial"/>
          <w:sz w:val="18"/>
          <w:szCs w:val="18"/>
          <w:color w:val="auto"/>
        </w:rPr>
        <w:t>Dial in: [US] (855) 766-6521; [International] (262) 912-6157</w:t>
      </w:r>
    </w:p>
    <w:p>
      <w:pPr>
        <w:ind w:left="520"/>
        <w:spacing w:after="0"/>
        <w:rPr>
          <w:sz w:val="20"/>
          <w:szCs w:val="20"/>
          <w:color w:val="auto"/>
        </w:rPr>
      </w:pPr>
      <w:r>
        <w:rPr>
          <w:rFonts w:ascii="Arial" w:cs="Arial" w:eastAsia="Arial" w:hAnsi="Arial"/>
          <w:sz w:val="18"/>
          <w:szCs w:val="18"/>
          <w:color w:val="auto"/>
        </w:rPr>
        <w:t>Conference ID: 3549944</w:t>
      </w:r>
    </w:p>
    <w:p>
      <w:pPr>
        <w:ind w:left="520"/>
        <w:spacing w:after="0" w:line="229" w:lineRule="auto"/>
        <w:rPr>
          <w:sz w:val="20"/>
          <w:szCs w:val="20"/>
          <w:color w:val="auto"/>
        </w:rPr>
      </w:pPr>
      <w:r>
        <w:rPr>
          <w:rFonts w:ascii="Arial" w:cs="Arial" w:eastAsia="Arial" w:hAnsi="Arial"/>
          <w:sz w:val="18"/>
          <w:szCs w:val="18"/>
          <w:u w:val="single" w:color="auto"/>
          <w:color w:val="auto"/>
        </w:rPr>
        <w:t>Live Webcast Information:</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Visit https://edge.media-server.com/mmc/p/7c8i4shm for the live webcast feed.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at www.emergentbiosolutions.com under “Investors.”</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EMERGENT BIOSOLUTIONS INC.</w:t>
      </w:r>
    </w:p>
    <w:p>
      <w:pPr>
        <w:spacing w:after="0" w:line="11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 For more information visit www.emergentbiosolutions.com. Find us on LinkedIn and follow us on Twitter @emergentbiosolu and Instagram @life_at_emergent.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statements regarding executing our strategy; delivering on our commitments to our partners and customers; creating value for our shareholders; our ability to develop safe and effective vaccines against the novel strain of coronavirus (SARS-CoV-2) causing COVID-19 and implement measures to mitigate the risks to our business posed by COVID-19; total contract and related option value; annual improvement in gross margin driven by improved product and services mix; the lack of generic competition for NARCAN® Nasal Spray for the remainder of 2020; the expectation that the Company will meet its final sales milestone for NARCAN® Nasal Spray; the entry into a follow-on procurement contract for raxibacumab in 2021; the launch of a Phase 3 clinical study for CHIKV-VLP; the annual impact on our revenues from declines in sales of our vaccine products that target travelers due to the reduction of international travel caused by the COVID-19 pandemic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 of 15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5822950</wp:posOffset>
            </wp:positionH>
            <wp:positionV relativeFrom="page">
              <wp:posOffset>243205</wp:posOffset>
            </wp:positionV>
            <wp:extent cx="151701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17015" cy="6343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procurement contracts or awards, government appropriations, manufacturing capabilities, and the timing of certain regulatory approvals or expenditures are forward-looking statements. These forward-looking statements are based on our current intentions, beliefs and expectations regarding future events. We cannot guarantee that any forward-looking statement will be accurate.</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statements speak only as of the date of this press release, and, except as required by law, we do not undertake to update any forward-looking statement to reflect new information, events or circumstances. There are a number of important factors that could cause our actual results to differ materially from those indicated by such forward-looking statements, including the impact of global economic conditions and public health crises and epidemics, such as the impact from the global pandemic that arose from COVID-19, on the markets, our operations, and employees as well as those of our customers and suppliers; our ability to obtain or maintain FDA approval or authorization for emergency or broader patient use of our COVID-19 treatments and their actual safety and effectiveness; availability of U.S. government funding for procurement for our products and certain product candidates and the future exercise of options under contracts related to such procurement; the negotiation of further commitments or contracts related to the collaboration and deployment of capacity toward future commercial manufacturing under our CDMO contracts; our ability to perform under our contracts with the U.S. government and our CDMO clients, including the timing of and specifications relating to deliveries; the continued exercise of discretion by BARDA to procure additional doses of AV7909 (Anthrax Vaccine Adsorbed, Adjuvanted) prior to approval by the FDA; our ability to secure licensure of AV7909 from the FDA within the anticipated timeframe, if at all; our ability to secure follow-on procurement contracts for our solutions to public health threats that are under procurement contracts that have expired or will be expiring; our ability to successfully appeal the patent litigation decision related to NARCAN® Nasal Spray 4mg/spray; our ability and the ability of our collaborators to enforce patents related to NARCAN® Nasal Spray against potential generic entrants; our ability to identify and acquire companies, businesses, products or product candidates that satisfy our selection criteria; our ability and the ability of our contractors and suppliers to maintain compliance with Current Good Manufacturing Practices and other regulatory obligations; our ability to comply with the operating and financial covenants required by our senior secured credit facilities and the indenture governing our senior unsecured notes due 2028; our ability to obtain and maintain regulatory approvals for our other product candidates and the timing of any such approvals; the procurement by government entities outside of the United States under regulatory exemptions prior to approval by the corresponding regulatory authorities in the applicable country; the success of our commercialization, marketing and manufacturing capabilities and strategy; and the accuracy of our estimates regarding future revenues, expenses, and capital requirements and needs for additional financing.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240"/>
          </w:cols>
          <w:pgMar w:left="320" w:top="1440" w:right="339" w:bottom="1440" w:gutter="0" w:footer="0" w:header="0"/>
        </w:sectPr>
      </w:pP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Contact</w:t>
      </w:r>
    </w:p>
    <w:p>
      <w:pPr>
        <w:ind w:left="20"/>
        <w:spacing w:after="0" w:line="203" w:lineRule="auto"/>
        <w:rPr>
          <w:sz w:val="20"/>
          <w:szCs w:val="20"/>
          <w:color w:val="auto"/>
        </w:rPr>
      </w:pPr>
      <w:r>
        <w:rPr>
          <w:rFonts w:ascii="Arial" w:cs="Arial" w:eastAsia="Arial" w:hAnsi="Arial"/>
          <w:sz w:val="18"/>
          <w:szCs w:val="18"/>
          <w:color w:val="auto"/>
        </w:rPr>
        <w:t>Robert Burrows</w:t>
      </w:r>
    </w:p>
    <w:p>
      <w:pPr>
        <w:ind w:left="20"/>
        <w:spacing w:after="0" w:line="203" w:lineRule="auto"/>
        <w:rPr>
          <w:sz w:val="20"/>
          <w:szCs w:val="20"/>
          <w:color w:val="auto"/>
        </w:rPr>
      </w:pPr>
      <w:r>
        <w:rPr>
          <w:rFonts w:ascii="Arial" w:cs="Arial" w:eastAsia="Arial" w:hAnsi="Arial"/>
          <w:sz w:val="18"/>
          <w:szCs w:val="18"/>
          <w:color w:val="auto"/>
        </w:rPr>
        <w:t>Vice President, Investor Relations</w:t>
      </w:r>
    </w:p>
    <w:p>
      <w:pPr>
        <w:ind w:left="20"/>
        <w:spacing w:after="0" w:line="204" w:lineRule="auto"/>
        <w:rPr>
          <w:sz w:val="20"/>
          <w:szCs w:val="20"/>
          <w:color w:val="auto"/>
        </w:rPr>
      </w:pPr>
      <w:r>
        <w:rPr>
          <w:rFonts w:ascii="Arial" w:cs="Arial" w:eastAsia="Arial" w:hAnsi="Arial"/>
          <w:sz w:val="18"/>
          <w:szCs w:val="18"/>
          <w:color w:val="auto"/>
        </w:rPr>
        <w:t>(o) 240/631-3280; (m) 240/413-1917</w:t>
      </w:r>
    </w:p>
    <w:p>
      <w:pPr>
        <w:ind w:left="20"/>
        <w:spacing w:after="0"/>
        <w:rPr>
          <w:sz w:val="20"/>
          <w:szCs w:val="20"/>
          <w:color w:val="auto"/>
        </w:rPr>
      </w:pPr>
      <w:r>
        <w:rPr>
          <w:rFonts w:ascii="Arial" w:cs="Arial" w:eastAsia="Arial" w:hAnsi="Arial"/>
          <w:sz w:val="18"/>
          <w:szCs w:val="18"/>
          <w:color w:val="auto"/>
        </w:rPr>
        <w:t>burrowsr@ebsi.com</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203" w:lineRule="auto"/>
        <w:rPr>
          <w:sz w:val="20"/>
          <w:szCs w:val="20"/>
          <w:color w:val="auto"/>
        </w:rPr>
      </w:pPr>
      <w:r>
        <w:rPr>
          <w:rFonts w:ascii="Arial" w:cs="Arial" w:eastAsia="Arial" w:hAnsi="Arial"/>
          <w:sz w:val="18"/>
          <w:szCs w:val="18"/>
          <w:color w:val="auto"/>
        </w:rPr>
        <w:t>Miko B. Neri</w:t>
      </w:r>
    </w:p>
    <w:p>
      <w:pPr>
        <w:spacing w:after="0" w:line="215" w:lineRule="auto"/>
        <w:rPr>
          <w:sz w:val="20"/>
          <w:szCs w:val="20"/>
          <w:color w:val="auto"/>
        </w:rPr>
      </w:pPr>
      <w:r>
        <w:rPr>
          <w:rFonts w:ascii="Arial" w:cs="Arial" w:eastAsia="Arial" w:hAnsi="Arial"/>
          <w:sz w:val="17"/>
          <w:szCs w:val="17"/>
          <w:color w:val="auto"/>
        </w:rPr>
        <w:t>Senior Director, Global Communications &amp; Public Affairs</w:t>
      </w:r>
    </w:p>
    <w:p>
      <w:pPr>
        <w:spacing w:after="0" w:line="204" w:lineRule="auto"/>
        <w:rPr>
          <w:sz w:val="20"/>
          <w:szCs w:val="20"/>
          <w:color w:val="auto"/>
        </w:rPr>
      </w:pPr>
      <w:r>
        <w:rPr>
          <w:rFonts w:ascii="Arial" w:cs="Arial" w:eastAsia="Arial" w:hAnsi="Arial"/>
          <w:sz w:val="18"/>
          <w:szCs w:val="18"/>
          <w:color w:val="auto"/>
        </w:rPr>
        <w:t>(o) 240/631-3392</w:t>
      </w:r>
    </w:p>
    <w:p>
      <w:pPr>
        <w:spacing w:after="0"/>
        <w:rPr>
          <w:sz w:val="20"/>
          <w:szCs w:val="20"/>
          <w:color w:val="auto"/>
        </w:rPr>
      </w:pPr>
      <w:r>
        <w:rPr>
          <w:rFonts w:ascii="Arial" w:cs="Arial" w:eastAsia="Arial" w:hAnsi="Arial"/>
          <w:sz w:val="18"/>
          <w:szCs w:val="18"/>
          <w:color w:val="auto"/>
        </w:rPr>
        <w:t>nerim@ebsi.com</w:t>
      </w:r>
    </w:p>
    <w:p>
      <w:pPr>
        <w:spacing w:after="0" w:line="200"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 of 15</w:t>
      </w:r>
    </w:p>
    <w:p>
      <w:pPr>
        <w:sectPr>
          <w:pgSz w:w="11900" w:h="16838" w:orient="portrait"/>
          <w:cols w:equalWidth="0" w:num="1">
            <w:col w:w="11240"/>
          </w:cols>
          <w:pgMar w:left="320" w:top="1440" w:right="33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4"/>
          <w:szCs w:val="14"/>
          <w:b w:val="1"/>
          <w:bCs w:val="1"/>
          <w:color w:val="auto"/>
        </w:rPr>
        <w:t>Emergent BioSolutions Inc.</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8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260" w:type="dxa"/>
            <w:vAlign w:val="bottom"/>
          </w:tcPr>
          <w:p>
            <w:pPr>
              <w:spacing w:after="0"/>
              <w:rPr>
                <w:sz w:val="16"/>
                <w:szCs w:val="16"/>
                <w:color w:val="auto"/>
              </w:rPr>
            </w:pPr>
          </w:p>
        </w:tc>
        <w:tc>
          <w:tcPr>
            <w:tcW w:w="2020" w:type="dxa"/>
            <w:vAlign w:val="bottom"/>
            <w:gridSpan w:val="2"/>
          </w:tcPr>
          <w:p>
            <w:pPr>
              <w:ind w:left="180"/>
              <w:spacing w:after="0"/>
              <w:rPr>
                <w:sz w:val="20"/>
                <w:szCs w:val="20"/>
                <w:color w:val="auto"/>
              </w:rPr>
            </w:pPr>
            <w:r>
              <w:rPr>
                <w:rFonts w:ascii="Arial" w:cs="Arial" w:eastAsia="Arial" w:hAnsi="Arial"/>
                <w:sz w:val="14"/>
                <w:szCs w:val="14"/>
                <w:color w:val="auto"/>
              </w:rPr>
              <w:t>September 30, 2020</w:t>
            </w:r>
          </w:p>
        </w:tc>
        <w:tc>
          <w:tcPr>
            <w:tcW w:w="260" w:type="dxa"/>
            <w:vAlign w:val="bottom"/>
          </w:tcPr>
          <w:p>
            <w:pPr>
              <w:spacing w:after="0"/>
              <w:rPr>
                <w:sz w:val="16"/>
                <w:szCs w:val="16"/>
                <w:color w:val="auto"/>
              </w:rPr>
            </w:pPr>
          </w:p>
        </w:tc>
        <w:tc>
          <w:tcPr>
            <w:tcW w:w="1900" w:type="dxa"/>
            <w:vAlign w:val="bottom"/>
          </w:tcPr>
          <w:p>
            <w:pPr>
              <w:jc w:val="right"/>
              <w:ind w:right="368"/>
              <w:spacing w:after="0"/>
              <w:rPr>
                <w:sz w:val="20"/>
                <w:szCs w:val="20"/>
                <w:color w:val="auto"/>
              </w:rPr>
            </w:pPr>
            <w:r>
              <w:rPr>
                <w:rFonts w:ascii="Arial" w:cs="Arial" w:eastAsia="Arial" w:hAnsi="Arial"/>
                <w:sz w:val="14"/>
                <w:szCs w:val="14"/>
                <w:color w:val="auto"/>
              </w:rPr>
              <w:t>December 31, 2019</w:t>
            </w:r>
          </w:p>
        </w:tc>
        <w:tc>
          <w:tcPr>
            <w:tcW w:w="0" w:type="dxa"/>
            <w:vAlign w:val="bottom"/>
          </w:tcPr>
          <w:p>
            <w:pPr>
              <w:spacing w:after="0"/>
              <w:rPr>
                <w:sz w:val="1"/>
                <w:szCs w:val="1"/>
                <w:color w:val="auto"/>
              </w:rPr>
            </w:pPr>
          </w:p>
        </w:tc>
      </w:tr>
      <w:tr>
        <w:trPr>
          <w:trHeight w:val="184"/>
        </w:trPr>
        <w:tc>
          <w:tcPr>
            <w:tcW w:w="6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8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415.0</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196.1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Inventories, net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270.1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222.5</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8"/>
        </w:trPr>
        <w:tc>
          <w:tcPr>
            <w:tcW w:w="6580" w:type="dxa"/>
            <w:vAlign w:val="bottom"/>
          </w:tcPr>
          <w:p>
            <w:pPr>
              <w:ind w:left="180"/>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958.8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686.2</w:t>
            </w:r>
          </w:p>
        </w:tc>
        <w:tc>
          <w:tcPr>
            <w:tcW w:w="0" w:type="dxa"/>
            <w:vAlign w:val="bottom"/>
          </w:tcPr>
          <w:p>
            <w:pPr>
              <w:spacing w:after="0"/>
              <w:rPr>
                <w:sz w:val="1"/>
                <w:szCs w:val="1"/>
                <w:color w:val="auto"/>
              </w:rPr>
            </w:pPr>
          </w:p>
        </w:tc>
      </w:tr>
      <w:tr>
        <w:trPr>
          <w:trHeight w:val="400"/>
        </w:trPr>
        <w:tc>
          <w:tcPr>
            <w:tcW w:w="6580" w:type="dxa"/>
            <w:vAlign w:val="bottom"/>
          </w:tcPr>
          <w:p>
            <w:pPr>
              <w:ind w:left="10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606.5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542.3</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678.1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712.9</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In-process research and development</w:t>
            </w:r>
          </w:p>
        </w:tc>
        <w:tc>
          <w:tcPr>
            <w:tcW w:w="260" w:type="dxa"/>
            <w:vAlign w:val="bottom"/>
          </w:tcPr>
          <w:p>
            <w:pPr>
              <w:spacing w:after="0"/>
              <w:rPr>
                <w:sz w:val="16"/>
                <w:szCs w:val="16"/>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266.5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266.6</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3"/>
        </w:trPr>
        <w:tc>
          <w:tcPr>
            <w:tcW w:w="658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2,616.3</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385"/>
        </w:trPr>
        <w:tc>
          <w:tcPr>
            <w:tcW w:w="6580" w:type="dxa"/>
            <w:vAlign w:val="bottom"/>
          </w:tcPr>
          <w:p>
            <w:pPr>
              <w:spacing w:after="0"/>
              <w:rPr>
                <w:sz w:val="20"/>
                <w:szCs w:val="20"/>
                <w:color w:val="auto"/>
              </w:rPr>
            </w:pPr>
            <w:r>
              <w:rPr>
                <w:rFonts w:ascii="Arial" w:cs="Arial" w:eastAsia="Arial" w:hAnsi="Arial"/>
                <w:sz w:val="14"/>
                <w:szCs w:val="14"/>
                <w:color w:val="auto"/>
              </w:rPr>
              <w:t>LIABILITIES AND STOCKHOLDERS' EQUITY</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58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Debt, current portion</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8"/>
        </w:trPr>
        <w:tc>
          <w:tcPr>
            <w:tcW w:w="6580" w:type="dxa"/>
            <w:vAlign w:val="bottom"/>
          </w:tcPr>
          <w:p>
            <w:pPr>
              <w:ind w:left="18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299.3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400"/>
        </w:trPr>
        <w:tc>
          <w:tcPr>
            <w:tcW w:w="6580" w:type="dxa"/>
            <w:vAlign w:val="bottom"/>
          </w:tcPr>
          <w:p>
            <w:pPr>
              <w:ind w:left="100"/>
              <w:spacing w:after="0"/>
              <w:rPr>
                <w:sz w:val="20"/>
                <w:szCs w:val="20"/>
                <w:color w:val="auto"/>
              </w:rPr>
            </w:pPr>
            <w:r>
              <w:rPr>
                <w:rFonts w:ascii="Arial" w:cs="Arial" w:eastAsia="Arial" w:hAnsi="Arial"/>
                <w:sz w:val="14"/>
                <w:szCs w:val="14"/>
                <w:color w:val="auto"/>
              </w:rPr>
              <w:t>Contingent consideration, net of current portion</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Debt, net of current portion</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848.5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798.4</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Deferred tax liability</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Contract liabilities, net of current portion</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83"/>
        </w:trPr>
        <w:tc>
          <w:tcPr>
            <w:tcW w:w="658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1,364.8</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1,238.8</w:t>
            </w:r>
          </w:p>
        </w:tc>
        <w:tc>
          <w:tcPr>
            <w:tcW w:w="0" w:type="dxa"/>
            <w:vAlign w:val="bottom"/>
          </w:tcPr>
          <w:p>
            <w:pPr>
              <w:spacing w:after="0"/>
              <w:rPr>
                <w:sz w:val="1"/>
                <w:szCs w:val="1"/>
                <w:color w:val="auto"/>
              </w:rPr>
            </w:pPr>
          </w:p>
        </w:tc>
      </w:tr>
      <w:tr>
        <w:trPr>
          <w:trHeight w:val="426"/>
        </w:trPr>
        <w:tc>
          <w:tcPr>
            <w:tcW w:w="6580" w:type="dxa"/>
            <w:vAlign w:val="bottom"/>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Preferred stock, $0.001 par value; 15.0 shares authorized, no shares issued or outstanding</w:t>
            </w:r>
          </w:p>
        </w:tc>
        <w:tc>
          <w:tcPr>
            <w:tcW w:w="260" w:type="dxa"/>
            <w:vAlign w:val="bottom"/>
          </w:tcPr>
          <w:p>
            <w:pPr>
              <w:spacing w:after="0"/>
              <w:rPr>
                <w:sz w:val="16"/>
                <w:szCs w:val="16"/>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580" w:type="dxa"/>
            <w:vAlign w:val="bottom"/>
          </w:tcPr>
          <w:p>
            <w:pPr>
              <w:ind w:left="100"/>
              <w:spacing w:after="0" w:line="148" w:lineRule="exact"/>
              <w:rPr>
                <w:sz w:val="20"/>
                <w:szCs w:val="20"/>
                <w:color w:val="auto"/>
              </w:rPr>
            </w:pPr>
            <w:r>
              <w:rPr>
                <w:rFonts w:ascii="Arial" w:cs="Arial" w:eastAsia="Arial" w:hAnsi="Arial"/>
                <w:sz w:val="14"/>
                <w:szCs w:val="14"/>
                <w:color w:val="auto"/>
              </w:rPr>
              <w:t>Common stock, $0.001 par value; 200.0 shares authorized, 54.2 and 53.0 shares issued; 53.0 and</w:t>
            </w:r>
          </w:p>
        </w:tc>
        <w:tc>
          <w:tcPr>
            <w:tcW w:w="260" w:type="dxa"/>
            <w:vAlign w:val="bottom"/>
          </w:tcPr>
          <w:p>
            <w:pPr>
              <w:spacing w:after="0"/>
              <w:rPr>
                <w:sz w:val="12"/>
                <w:szCs w:val="12"/>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6"/>
        </w:trPr>
        <w:tc>
          <w:tcPr>
            <w:tcW w:w="6580" w:type="dxa"/>
            <w:vAlign w:val="bottom"/>
          </w:tcPr>
          <w:p>
            <w:pPr>
              <w:ind w:left="100"/>
              <w:spacing w:after="0"/>
              <w:rPr>
                <w:sz w:val="20"/>
                <w:szCs w:val="20"/>
                <w:color w:val="auto"/>
              </w:rPr>
            </w:pPr>
            <w:r>
              <w:rPr>
                <w:rFonts w:ascii="Arial" w:cs="Arial" w:eastAsia="Arial" w:hAnsi="Arial"/>
                <w:sz w:val="14"/>
                <w:szCs w:val="14"/>
                <w:color w:val="auto"/>
              </w:rPr>
              <w:t>51.7 shares outstanding, respectively</w:t>
            </w:r>
          </w:p>
        </w:tc>
        <w:tc>
          <w:tcPr>
            <w:tcW w:w="2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Treasury stock, at cost, 1.2 common shares</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770.9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716.1</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Accumulated other comprehensive loss, net</w:t>
            </w: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9"/>
        </w:trPr>
        <w:tc>
          <w:tcPr>
            <w:tcW w:w="6580" w:type="dxa"/>
            <w:vAlign w:val="bottom"/>
          </w:tcPr>
          <w:p>
            <w:pPr>
              <w:ind w:left="10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w:t>
            </w:r>
          </w:p>
        </w:tc>
        <w:tc>
          <w:tcPr>
            <w:tcW w:w="0" w:type="dxa"/>
            <w:vAlign w:val="bottom"/>
          </w:tcPr>
          <w:p>
            <w:pPr>
              <w:spacing w:after="0"/>
              <w:rPr>
                <w:sz w:val="1"/>
                <w:szCs w:val="1"/>
                <w:color w:val="auto"/>
              </w:rPr>
            </w:pPr>
          </w:p>
        </w:tc>
      </w:tr>
      <w:tr>
        <w:trPr>
          <w:trHeight w:val="183"/>
        </w:trPr>
        <w:tc>
          <w:tcPr>
            <w:tcW w:w="6580" w:type="dxa"/>
            <w:vAlign w:val="bottom"/>
          </w:tcPr>
          <w:p>
            <w:pPr>
              <w:ind w:left="10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1,088.5</w:t>
            </w:r>
          </w:p>
        </w:tc>
        <w:tc>
          <w:tcPr>
            <w:tcW w:w="0" w:type="dxa"/>
            <w:vAlign w:val="bottom"/>
          </w:tcPr>
          <w:p>
            <w:pPr>
              <w:spacing w:after="0"/>
              <w:rPr>
                <w:sz w:val="1"/>
                <w:szCs w:val="1"/>
                <w:color w:val="auto"/>
              </w:rPr>
            </w:pPr>
          </w:p>
        </w:tc>
      </w:tr>
      <w:tr>
        <w:trPr>
          <w:trHeight w:val="183"/>
        </w:trPr>
        <w:tc>
          <w:tcPr>
            <w:tcW w:w="658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2,616.3</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 of 15</w:t>
      </w:r>
    </w:p>
    <w:p>
      <w:pPr>
        <w:sectPr>
          <w:pgSz w:w="11900" w:h="16838" w:orient="portrait"/>
          <w:cols w:equalWidth="0" w:num="1">
            <w:col w:w="11020"/>
          </w:cols>
          <w:pgMar w:left="440" w:top="1029"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4"/>
          <w:szCs w:val="14"/>
          <w:b w:val="1"/>
          <w:bCs w:val="1"/>
          <w:color w:val="auto"/>
        </w:rPr>
        <w:t>Emergent BioSolutions Inc.</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32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85"/>
        </w:trPr>
        <w:tc>
          <w:tcPr>
            <w:tcW w:w="3580" w:type="dxa"/>
            <w:vAlign w:val="bottom"/>
          </w:tcPr>
          <w:p>
            <w:pPr>
              <w:spacing w:after="0"/>
              <w:rPr>
                <w:sz w:val="20"/>
                <w:szCs w:val="20"/>
                <w:color w:val="auto"/>
              </w:rPr>
            </w:pPr>
            <w:r>
              <w:rPr>
                <w:rFonts w:ascii="Arial" w:cs="Arial" w:eastAsia="Arial" w:hAnsi="Arial"/>
                <w:sz w:val="14"/>
                <w:szCs w:val="14"/>
                <w:color w:val="auto"/>
              </w:rPr>
              <w:t>Revenues:</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Product sales, net</w:t>
            </w:r>
          </w:p>
        </w:tc>
        <w:tc>
          <w:tcPr>
            <w:tcW w:w="132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202.2</w:t>
            </w:r>
          </w:p>
        </w:tc>
        <w:tc>
          <w:tcPr>
            <w:tcW w:w="134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256.2</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648.9</w:t>
            </w:r>
          </w:p>
        </w:tc>
        <w:tc>
          <w:tcPr>
            <w:tcW w:w="500" w:type="dxa"/>
            <w:vAlign w:val="bottom"/>
          </w:tcPr>
          <w:p>
            <w:pPr>
              <w:jc w:val="center"/>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592.7</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Contract development and manufacturing services</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157.1</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251.4</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Contracts and grants</w:t>
            </w: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Arial" w:cs="Arial" w:eastAsia="Arial" w:hAnsi="Arial"/>
                <w:sz w:val="14"/>
                <w:szCs w:val="14"/>
                <w:color w:val="auto"/>
              </w:rPr>
              <w:t>Total revenues</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385.2</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311.8</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972.4</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745.7</w:t>
            </w:r>
          </w:p>
        </w:tc>
        <w:tc>
          <w:tcPr>
            <w:tcW w:w="0" w:type="dxa"/>
            <w:vAlign w:val="bottom"/>
          </w:tcPr>
          <w:p>
            <w:pPr>
              <w:spacing w:after="0"/>
              <w:rPr>
                <w:sz w:val="1"/>
                <w:szCs w:val="1"/>
                <w:color w:val="auto"/>
              </w:rPr>
            </w:pPr>
          </w:p>
        </w:tc>
      </w:tr>
      <w:tr>
        <w:trPr>
          <w:trHeight w:val="386"/>
        </w:trPr>
        <w:tc>
          <w:tcPr>
            <w:tcW w:w="3580" w:type="dxa"/>
            <w:vAlign w:val="bottom"/>
          </w:tcPr>
          <w:p>
            <w:pPr>
              <w:spacing w:after="0"/>
              <w:rPr>
                <w:sz w:val="20"/>
                <w:szCs w:val="20"/>
                <w:color w:val="auto"/>
              </w:rPr>
            </w:pPr>
            <w:r>
              <w:rPr>
                <w:rFonts w:ascii="Arial" w:cs="Arial" w:eastAsia="Arial" w:hAnsi="Arial"/>
                <w:sz w:val="14"/>
                <w:szCs w:val="14"/>
                <w:color w:val="auto"/>
              </w:rPr>
              <w:t>Operating expenses:</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8" w:lineRule="exact"/>
              <w:rPr>
                <w:sz w:val="20"/>
                <w:szCs w:val="20"/>
                <w:color w:val="auto"/>
              </w:rPr>
            </w:pPr>
            <w:r>
              <w:rPr>
                <w:rFonts w:ascii="Arial" w:cs="Arial" w:eastAsia="Arial" w:hAnsi="Arial"/>
                <w:sz w:val="14"/>
                <w:szCs w:val="14"/>
                <w:color w:val="auto"/>
              </w:rPr>
              <w:t>Cost of product sales and contract development and</w:t>
            </w:r>
          </w:p>
        </w:tc>
        <w:tc>
          <w:tcPr>
            <w:tcW w:w="13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149.0</w:t>
            </w:r>
          </w:p>
        </w:tc>
        <w:tc>
          <w:tcPr>
            <w:tcW w:w="13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108.0</w:t>
            </w:r>
          </w:p>
        </w:tc>
        <w:tc>
          <w:tcPr>
            <w:tcW w:w="4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355.7</w:t>
            </w:r>
          </w:p>
        </w:tc>
        <w:tc>
          <w:tcPr>
            <w:tcW w:w="5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300.7</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20"/>
                <w:szCs w:val="20"/>
                <w:color w:val="auto"/>
              </w:rPr>
            </w:pPr>
            <w:r>
              <w:rPr>
                <w:rFonts w:ascii="Arial" w:cs="Arial" w:eastAsia="Arial" w:hAnsi="Arial"/>
                <w:sz w:val="14"/>
                <w:szCs w:val="14"/>
                <w:color w:val="auto"/>
              </w:rPr>
              <w:t>manufacturing services</w:t>
            </w:r>
          </w:p>
        </w:tc>
        <w:tc>
          <w:tcPr>
            <w:tcW w:w="13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84.4</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53.4</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175.0</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75.5</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65.0</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221.2</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Amortization of intangible assets</w:t>
            </w: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323.9</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241.1</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796.7</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392"/>
        </w:trPr>
        <w:tc>
          <w:tcPr>
            <w:tcW w:w="3580" w:type="dxa"/>
            <w:vAlign w:val="bottom"/>
          </w:tcPr>
          <w:p>
            <w:pPr>
              <w:spacing w:after="0"/>
              <w:rPr>
                <w:sz w:val="20"/>
                <w:szCs w:val="20"/>
                <w:color w:val="auto"/>
              </w:rPr>
            </w:pPr>
            <w:r>
              <w:rPr>
                <w:rFonts w:ascii="Arial" w:cs="Arial" w:eastAsia="Arial" w:hAnsi="Arial"/>
                <w:sz w:val="14"/>
                <w:szCs w:val="14"/>
                <w:color w:val="auto"/>
              </w:rPr>
              <w:t>Income from operations</w:t>
            </w:r>
          </w:p>
        </w:tc>
        <w:tc>
          <w:tcPr>
            <w:tcW w:w="1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61.3</w:t>
            </w:r>
          </w:p>
        </w:tc>
        <w:tc>
          <w:tcPr>
            <w:tcW w:w="1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70.7</w:t>
            </w: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175.7</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386"/>
        </w:trPr>
        <w:tc>
          <w:tcPr>
            <w:tcW w:w="3580" w:type="dxa"/>
            <w:vAlign w:val="bottom"/>
          </w:tcPr>
          <w:p>
            <w:pPr>
              <w:spacing w:after="0"/>
              <w:rPr>
                <w:sz w:val="20"/>
                <w:szCs w:val="20"/>
                <w:color w:val="auto"/>
              </w:rPr>
            </w:pPr>
            <w:r>
              <w:rPr>
                <w:rFonts w:ascii="Arial" w:cs="Arial" w:eastAsia="Arial" w:hAnsi="Arial"/>
                <w:sz w:val="14"/>
                <w:szCs w:val="14"/>
                <w:color w:val="auto"/>
              </w:rPr>
              <w:t>Other income (expense):</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Interest expense</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(22.6)</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Other, net</w:t>
            </w: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20"/>
                <w:szCs w:val="20"/>
                <w:color w:val="auto"/>
              </w:rPr>
            </w:pPr>
            <w:r>
              <w:rPr>
                <w:rFonts w:ascii="Arial" w:cs="Arial" w:eastAsia="Arial" w:hAnsi="Arial"/>
                <w:sz w:val="14"/>
                <w:szCs w:val="14"/>
                <w:color w:val="auto"/>
              </w:rPr>
              <w:t>Total other income (expense), net</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386"/>
        </w:trPr>
        <w:tc>
          <w:tcPr>
            <w:tcW w:w="3580" w:type="dxa"/>
            <w:vAlign w:val="bottom"/>
          </w:tcPr>
          <w:p>
            <w:pPr>
              <w:spacing w:after="0"/>
              <w:rPr>
                <w:sz w:val="20"/>
                <w:szCs w:val="20"/>
                <w:color w:val="auto"/>
              </w:rPr>
            </w:pPr>
            <w:r>
              <w:rPr>
                <w:rFonts w:ascii="Arial" w:cs="Arial" w:eastAsia="Arial" w:hAnsi="Arial"/>
                <w:sz w:val="14"/>
                <w:szCs w:val="14"/>
                <w:color w:val="auto"/>
              </w:rPr>
              <w:t>Income before provision (benefit) for income taxes</w:t>
            </w:r>
          </w:p>
        </w:tc>
        <w:tc>
          <w:tcPr>
            <w:tcW w:w="1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55.0</w:t>
            </w:r>
          </w:p>
        </w:tc>
        <w:tc>
          <w:tcPr>
            <w:tcW w:w="1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58.9</w:t>
            </w: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154.4</w:t>
            </w:r>
          </w:p>
        </w:tc>
        <w:tc>
          <w:tcPr>
            <w:tcW w:w="5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20"/>
                <w:szCs w:val="20"/>
                <w:color w:val="auto"/>
              </w:rPr>
            </w:pPr>
            <w:r>
              <w:rPr>
                <w:rFonts w:ascii="Arial" w:cs="Arial" w:eastAsia="Arial" w:hAnsi="Arial"/>
                <w:sz w:val="14"/>
                <w:szCs w:val="14"/>
                <w:color w:val="auto"/>
              </w:rPr>
              <w:t>Income tax provision (benefit)</w:t>
            </w:r>
          </w:p>
        </w:tc>
        <w:tc>
          <w:tcPr>
            <w:tcW w:w="1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20"/>
                <w:szCs w:val="20"/>
                <w:color w:val="auto"/>
              </w:rPr>
            </w:pPr>
            <w:r>
              <w:rPr>
                <w:rFonts w:ascii="Arial" w:cs="Arial" w:eastAsia="Arial" w:hAnsi="Arial"/>
                <w:sz w:val="14"/>
                <w:szCs w:val="14"/>
                <w:color w:val="auto"/>
              </w:rPr>
              <w:t>Net income</w:t>
            </w:r>
          </w:p>
        </w:tc>
        <w:tc>
          <w:tcPr>
            <w:tcW w:w="132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c>
          <w:tcPr>
            <w:tcW w:w="134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119.7</w:t>
            </w:r>
          </w:p>
        </w:tc>
        <w:tc>
          <w:tcPr>
            <w:tcW w:w="5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1"/>
        </w:trPr>
        <w:tc>
          <w:tcPr>
            <w:tcW w:w="3580" w:type="dxa"/>
            <w:vAlign w:val="bottom"/>
            <w:vMerge w:val="restart"/>
          </w:tcPr>
          <w:p>
            <w:pPr>
              <w:spacing w:after="0"/>
              <w:rPr>
                <w:sz w:val="20"/>
                <w:szCs w:val="20"/>
                <w:color w:val="auto"/>
              </w:rPr>
            </w:pPr>
            <w:r>
              <w:rPr>
                <w:rFonts w:ascii="Arial" w:cs="Arial" w:eastAsia="Arial" w:hAnsi="Arial"/>
                <w:sz w:val="14"/>
                <w:szCs w:val="14"/>
                <w:color w:val="auto"/>
              </w:rPr>
              <w:t>Net income per common share</w:t>
            </w: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5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100"/>
              <w:spacing w:after="0"/>
              <w:rPr>
                <w:sz w:val="20"/>
                <w:szCs w:val="20"/>
                <w:color w:val="auto"/>
              </w:rPr>
            </w:pPr>
            <w:r>
              <w:rPr>
                <w:rFonts w:ascii="Arial" w:cs="Arial" w:eastAsia="Arial" w:hAnsi="Arial"/>
                <w:sz w:val="14"/>
                <w:szCs w:val="14"/>
                <w:color w:val="auto"/>
              </w:rPr>
              <w:t>Basic</w:t>
            </w:r>
          </w:p>
        </w:tc>
        <w:tc>
          <w:tcPr>
            <w:tcW w:w="132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0.75</w:t>
            </w:r>
          </w:p>
        </w:tc>
        <w:tc>
          <w:tcPr>
            <w:tcW w:w="134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0.84</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2.28</w:t>
            </w:r>
          </w:p>
        </w:tc>
        <w:tc>
          <w:tcPr>
            <w:tcW w:w="500" w:type="dxa"/>
            <w:vAlign w:val="bottom"/>
          </w:tcPr>
          <w:p>
            <w:pPr>
              <w:jc w:val="center"/>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94"/>
        </w:trPr>
        <w:tc>
          <w:tcPr>
            <w:tcW w:w="3580" w:type="dxa"/>
            <w:vAlign w:val="bottom"/>
          </w:tcPr>
          <w:p>
            <w:pPr>
              <w:ind w:left="100"/>
              <w:spacing w:after="0"/>
              <w:rPr>
                <w:sz w:val="20"/>
                <w:szCs w:val="20"/>
                <w:color w:val="auto"/>
              </w:rPr>
            </w:pPr>
            <w:r>
              <w:rPr>
                <w:rFonts w:ascii="Arial" w:cs="Arial" w:eastAsia="Arial" w:hAnsi="Arial"/>
                <w:sz w:val="14"/>
                <w:szCs w:val="14"/>
                <w:color w:val="auto"/>
              </w:rPr>
              <w:t>Diluted</w:t>
            </w:r>
          </w:p>
        </w:tc>
        <w:tc>
          <w:tcPr>
            <w:tcW w:w="132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0.73</w:t>
            </w:r>
          </w:p>
        </w:tc>
        <w:tc>
          <w:tcPr>
            <w:tcW w:w="1340" w:type="dxa"/>
            <w:vAlign w:val="bottom"/>
          </w:tcPr>
          <w:p>
            <w:pPr>
              <w:jc w:val="right"/>
              <w:ind w:right="11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0.83</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2.23</w:t>
            </w:r>
          </w:p>
        </w:tc>
        <w:tc>
          <w:tcPr>
            <w:tcW w:w="500" w:type="dxa"/>
            <w:vAlign w:val="bottom"/>
          </w:tcPr>
          <w:p>
            <w:pPr>
              <w:jc w:val="center"/>
              <w:ind w:right="2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386"/>
        </w:trPr>
        <w:tc>
          <w:tcPr>
            <w:tcW w:w="3580" w:type="dxa"/>
            <w:vAlign w:val="bottom"/>
          </w:tcPr>
          <w:p>
            <w:pPr>
              <w:spacing w:after="0"/>
              <w:rPr>
                <w:sz w:val="20"/>
                <w:szCs w:val="20"/>
                <w:color w:val="auto"/>
              </w:rPr>
            </w:pPr>
            <w:r>
              <w:rPr>
                <w:rFonts w:ascii="Arial" w:cs="Arial" w:eastAsia="Arial" w:hAnsi="Arial"/>
                <w:sz w:val="14"/>
                <w:szCs w:val="14"/>
                <w:color w:val="auto"/>
              </w:rPr>
              <w:t>Shares used in computing income per share</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100"/>
              <w:spacing w:after="0"/>
              <w:rPr>
                <w:sz w:val="20"/>
                <w:szCs w:val="20"/>
                <w:color w:val="auto"/>
              </w:rPr>
            </w:pPr>
            <w:r>
              <w:rPr>
                <w:rFonts w:ascii="Arial" w:cs="Arial" w:eastAsia="Arial" w:hAnsi="Arial"/>
                <w:sz w:val="14"/>
                <w:szCs w:val="14"/>
                <w:color w:val="auto"/>
              </w:rPr>
              <w:t>Basic</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53.0</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51.6</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52.5</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94"/>
        </w:trPr>
        <w:tc>
          <w:tcPr>
            <w:tcW w:w="3580" w:type="dxa"/>
            <w:vAlign w:val="bottom"/>
          </w:tcPr>
          <w:p>
            <w:pPr>
              <w:ind w:left="100"/>
              <w:spacing w:after="0"/>
              <w:rPr>
                <w:sz w:val="20"/>
                <w:szCs w:val="20"/>
                <w:color w:val="auto"/>
              </w:rPr>
            </w:pPr>
            <w:r>
              <w:rPr>
                <w:rFonts w:ascii="Arial" w:cs="Arial" w:eastAsia="Arial" w:hAnsi="Arial"/>
                <w:sz w:val="14"/>
                <w:szCs w:val="14"/>
                <w:color w:val="auto"/>
              </w:rPr>
              <w:t>Diluted</w:t>
            </w: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54.3</w:t>
            </w:r>
          </w:p>
        </w:tc>
        <w:tc>
          <w:tcPr>
            <w:tcW w:w="1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52.3</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53.6</w:t>
            </w:r>
          </w:p>
        </w:tc>
        <w:tc>
          <w:tcPr>
            <w:tcW w:w="5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 of 15</w:t>
      </w:r>
    </w:p>
    <w:p>
      <w:pPr>
        <w:sectPr>
          <w:pgSz w:w="11900" w:h="16838" w:orient="portrait"/>
          <w:cols w:equalWidth="0" w:num="1">
            <w:col w:w="11200"/>
          </w:cols>
          <w:pgMar w:left="340" w:top="1029" w:right="35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4"/>
          <w:szCs w:val="14"/>
          <w:b w:val="1"/>
          <w:bCs w:val="1"/>
          <w:color w:val="auto"/>
        </w:rPr>
        <w:t>Emergent BioSolutions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 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98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7860" w:type="dxa"/>
            <w:vAlign w:val="bottom"/>
            <w:vMerge w:val="restart"/>
          </w:tcPr>
          <w:p>
            <w:pPr>
              <w:spacing w:after="0"/>
              <w:rPr>
                <w:sz w:val="20"/>
                <w:szCs w:val="20"/>
                <w:color w:val="auto"/>
              </w:rPr>
            </w:pPr>
            <w:r>
              <w:rPr>
                <w:rFonts w:ascii="Arial" w:cs="Arial" w:eastAsia="Arial" w:hAnsi="Arial"/>
                <w:sz w:val="14"/>
                <w:szCs w:val="14"/>
                <w:color w:val="auto"/>
              </w:rPr>
              <w:t>Cash flows provided by operating activities: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78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Stock-based compensation expense</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Impairment of IPR&amp;D intangible asset</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Change in fair value of contingent consideration, net</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Amortization of deferred financing costs</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Deferred income taxes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Other</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Accounts receivable</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Prepaid expenses and other assets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Accrued expenses</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Accrued compensation</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7860" w:type="dxa"/>
            <w:vAlign w:val="bottom"/>
          </w:tcPr>
          <w:p>
            <w:pPr>
              <w:ind w:left="420"/>
              <w:spacing w:after="0"/>
              <w:rPr>
                <w:sz w:val="20"/>
                <w:szCs w:val="20"/>
                <w:color w:val="auto"/>
              </w:rPr>
            </w:pPr>
            <w:r>
              <w:rPr>
                <w:rFonts w:ascii="Arial" w:cs="Arial" w:eastAsia="Arial" w:hAnsi="Arial"/>
                <w:sz w:val="14"/>
                <w:szCs w:val="14"/>
                <w:color w:val="auto"/>
              </w:rPr>
              <w:t>Contract liabilities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3"/>
        </w:trPr>
        <w:tc>
          <w:tcPr>
            <w:tcW w:w="7860" w:type="dxa"/>
            <w:vAlign w:val="bottom"/>
          </w:tcPr>
          <w:p>
            <w:pPr>
              <w:ind w:left="64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4"/>
                <w:szCs w:val="14"/>
                <w:color w:val="auto"/>
              </w:rPr>
              <w:t>Cash flows used in investing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Purchases of property, plant and equipment and other</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Milestone payment from prior asset acquisition</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3"/>
        </w:trPr>
        <w:tc>
          <w:tcPr>
            <w:tcW w:w="7860" w:type="dxa"/>
            <w:vAlign w:val="bottom"/>
          </w:tcPr>
          <w:p>
            <w:pPr>
              <w:ind w:left="64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89"/>
        </w:trPr>
        <w:tc>
          <w:tcPr>
            <w:tcW w:w="7860" w:type="dxa"/>
            <w:vAlign w:val="bottom"/>
          </w:tcPr>
          <w:p>
            <w:pPr>
              <w:spacing w:after="0"/>
              <w:rPr>
                <w:sz w:val="20"/>
                <w:szCs w:val="20"/>
                <w:color w:val="auto"/>
              </w:rPr>
            </w:pPr>
            <w:r>
              <w:rPr>
                <w:rFonts w:ascii="Arial" w:cs="Arial" w:eastAsia="Arial" w:hAnsi="Arial"/>
                <w:sz w:val="14"/>
                <w:szCs w:val="14"/>
                <w:color w:val="auto"/>
              </w:rPr>
              <w:t>Cash flows provided by financing activities: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Proceeds from revolving credit facility</w:t>
            </w:r>
          </w:p>
        </w:tc>
        <w:tc>
          <w:tcPr>
            <w:tcW w:w="90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Principal payments on revolving credit facility</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Proceeds from senior unsecured notes</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Principal payments on term loan facility</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Debt issuance costs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Proceeds from exercise of stock options</w:t>
            </w:r>
          </w:p>
        </w:tc>
        <w:tc>
          <w:tcPr>
            <w:tcW w:w="900" w:type="dxa"/>
            <w:vAlign w:val="bottom"/>
          </w:tcPr>
          <w:p>
            <w:pPr>
              <w:spacing w:after="0"/>
              <w:rPr>
                <w:sz w:val="16"/>
                <w:szCs w:val="16"/>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Taxes paid for share-based compensation activity</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Contingent consideration payments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7860" w:type="dxa"/>
            <w:vAlign w:val="bottom"/>
          </w:tcPr>
          <w:p>
            <w:pPr>
              <w:ind w:left="640"/>
              <w:spacing w:after="0"/>
              <w:rPr>
                <w:sz w:val="20"/>
                <w:szCs w:val="20"/>
                <w:color w:val="auto"/>
              </w:rPr>
            </w:pPr>
            <w:r>
              <w:rPr>
                <w:rFonts w:ascii="Arial" w:cs="Arial" w:eastAsia="Arial" w:hAnsi="Arial"/>
                <w:sz w:val="14"/>
                <w:szCs w:val="14"/>
                <w:color w:val="auto"/>
              </w:rPr>
              <w:t>Net cash provided by financing activities:</w:t>
            </w:r>
          </w:p>
        </w:tc>
        <w:tc>
          <w:tcPr>
            <w:tcW w:w="9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3"/>
        </w:trPr>
        <w:tc>
          <w:tcPr>
            <w:tcW w:w="7860" w:type="dxa"/>
            <w:vAlign w:val="bottom"/>
          </w:tcPr>
          <w:p>
            <w:pPr>
              <w:ind w:left="100"/>
              <w:spacing w:after="0"/>
              <w:rPr>
                <w:sz w:val="20"/>
                <w:szCs w:val="20"/>
                <w:color w:val="auto"/>
              </w:rPr>
            </w:pPr>
            <w:r>
              <w:rPr>
                <w:rFonts w:ascii="Arial" w:cs="Arial" w:eastAsia="Arial" w:hAnsi="Arial"/>
                <w:sz w:val="14"/>
                <w:szCs w:val="14"/>
                <w:color w:val="auto"/>
              </w:rPr>
              <w:t>Net increase in cash, cash equivalents and restricted cash</w:t>
            </w:r>
          </w:p>
        </w:tc>
        <w:tc>
          <w:tcPr>
            <w:tcW w:w="9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247.2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89"/>
        </w:trPr>
        <w:tc>
          <w:tcPr>
            <w:tcW w:w="7860" w:type="dxa"/>
            <w:vAlign w:val="bottom"/>
          </w:tcPr>
          <w:p>
            <w:pPr>
              <w:ind w:left="10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112.4</w:t>
            </w:r>
          </w:p>
        </w:tc>
        <w:tc>
          <w:tcPr>
            <w:tcW w:w="0" w:type="dxa"/>
            <w:vAlign w:val="bottom"/>
          </w:tcPr>
          <w:p>
            <w:pPr>
              <w:spacing w:after="0"/>
              <w:rPr>
                <w:sz w:val="1"/>
                <w:szCs w:val="1"/>
                <w:color w:val="auto"/>
              </w:rPr>
            </w:pPr>
          </w:p>
        </w:tc>
      </w:tr>
      <w:tr>
        <w:trPr>
          <w:trHeight w:val="183"/>
        </w:trPr>
        <w:tc>
          <w:tcPr>
            <w:tcW w:w="7860" w:type="dxa"/>
            <w:vAlign w:val="bottom"/>
          </w:tcPr>
          <w:p>
            <w:pPr>
              <w:ind w:left="100"/>
              <w:spacing w:after="0"/>
              <w:rPr>
                <w:sz w:val="20"/>
                <w:szCs w:val="20"/>
                <w:color w:val="auto"/>
              </w:rPr>
            </w:pPr>
            <w:r>
              <w:rPr>
                <w:rFonts w:ascii="Arial" w:cs="Arial" w:eastAsia="Arial" w:hAnsi="Arial"/>
                <w:sz w:val="14"/>
                <w:szCs w:val="14"/>
                <w:color w:val="auto"/>
              </w:rPr>
              <w:t>Cash, cash equivalents and restricted cash at end of period</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 of 15</w:t>
      </w:r>
    </w:p>
    <w:p>
      <w:pPr>
        <w:sectPr>
          <w:pgSz w:w="11900" w:h="16838" w:orient="portrait"/>
          <w:cols w:equalWidth="0" w:num="1">
            <w:col w:w="10840"/>
          </w:cols>
          <w:pgMar w:left="540" w:top="894" w:right="519" w:bottom="1440" w:gutter="0" w:footer="0" w:header="0"/>
        </w:sectPr>
      </w:pPr>
    </w:p>
    <w:bookmarkStart w:id="13" w:name="page14"/>
    <w:bookmarkEnd w:id="13"/>
    <w:p>
      <w:pPr>
        <w:ind w:right="240"/>
        <w:spacing w:after="0" w:line="303" w:lineRule="auto"/>
        <w:rPr>
          <w:sz w:val="20"/>
          <w:szCs w:val="20"/>
          <w:color w:val="auto"/>
        </w:rPr>
      </w:pPr>
      <w:r>
        <w:rPr>
          <w:rFonts w:ascii="Arial" w:cs="Arial" w:eastAsia="Arial" w:hAnsi="Arial"/>
          <w:sz w:val="18"/>
          <w:szCs w:val="18"/>
          <w:b w:val="1"/>
          <w:bCs w:val="1"/>
          <w:color w:val="auto"/>
        </w:rPr>
        <w:t>RECONCILIATION OF NET INCOME TO ADJUSTED NET INCOME AND ADJUSTED EBITDA and GROSS MARGIN AND ADJUSTED GROSS MARGIN (unaudited)</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This press release contains four financial measures </w:t>
      </w:r>
      <w:r>
        <w:rPr>
          <w:rFonts w:ascii="Arial" w:cs="Arial" w:eastAsia="Arial" w:hAnsi="Arial"/>
          <w:sz w:val="18"/>
          <w:szCs w:val="18"/>
          <w:b w:val="1"/>
          <w:bCs w:val="1"/>
          <w:color w:val="auto"/>
        </w:rPr>
        <w:t>(Adjusted Net Income, Adjusted EBITDA (Earnings Before Depreciation 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Amortization, Interest and Taxes, Gross Margin and Adjusted Gross Margin)) </w:t>
      </w:r>
      <w:r>
        <w:rPr>
          <w:rFonts w:ascii="Arial" w:cs="Arial" w:eastAsia="Arial" w:hAnsi="Arial"/>
          <w:sz w:val="18"/>
          <w:szCs w:val="18"/>
          <w:color w:val="auto"/>
        </w:rPr>
        <w:t>that are considered “non-GAAP” financial measures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All adjustments are tax effected utilizing the federal statutory tax rate for the US, except for changes in the fair value of contingent consideration as the vast majority is non-deductible for tax purposes. Adjusted net income margin is defined as adjusted net income divided by total revenues. Adjusted EBITDA reflects net income excluding the impact of depreciation, amortization, interest expense and income tax provision (benefit), excluding specified items that can be highly variable and the non-cash impact of certain accounting adjustments. Adjusted EBITDA margin is defined as Adjusted EBITDA divided by total revenues. Gross margin reflects adjusted revenues minus cost of product sales and contract development and manufacturing services (COGS). Adjusted revenues is calculated as total revenues minus contracts and grants revenues. Gross margin percentage is calculated as gross margin divided by adjusted revenues. Adjusted gross margin adjusts COGS for specified items that can be highly variable or difficult to predict, or to reflect the non-cash impacts of charges (Adjusted COGS). Adjusted gross margin is calculated as adjusted revenues minus adjusted COGS. Adjusted gross margin percentage is calculated as adjusted gross margin divided by adjusted revenues.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21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Adjusted Net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40575" cy="2503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250317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240" w:type="dxa"/>
            <w:vAlign w:val="bottom"/>
            <w:shd w:val="clear" w:color="auto" w:fill="0F243E"/>
          </w:tcPr>
          <w:p>
            <w:pPr>
              <w:spacing w:after="0"/>
              <w:rPr>
                <w:sz w:val="24"/>
                <w:szCs w:val="24"/>
                <w:color w:val="auto"/>
              </w:rPr>
            </w:pPr>
          </w:p>
        </w:tc>
        <w:tc>
          <w:tcPr>
            <w:tcW w:w="5000" w:type="dxa"/>
            <w:vAlign w:val="bottom"/>
            <w:gridSpan w:val="3"/>
            <w:shd w:val="clear" w:color="auto" w:fill="0F243E"/>
          </w:tcPr>
          <w:p>
            <w:pPr>
              <w:ind w:left="1120"/>
              <w:spacing w:after="0"/>
              <w:rPr>
                <w:sz w:val="20"/>
                <w:szCs w:val="20"/>
                <w:color w:val="auto"/>
              </w:rPr>
            </w:pPr>
            <w:r>
              <w:rPr>
                <w:rFonts w:ascii="Arial" w:cs="Arial" w:eastAsia="Arial" w:hAnsi="Arial"/>
                <w:sz w:val="16"/>
                <w:szCs w:val="16"/>
                <w:b w:val="1"/>
                <w:bCs w:val="1"/>
                <w:color w:val="FFFFFF"/>
              </w:rPr>
              <w:t>Three Months Ended September 30,</w:t>
            </w:r>
          </w:p>
        </w:tc>
        <w:tc>
          <w:tcPr>
            <w:tcW w:w="0" w:type="dxa"/>
            <w:vAlign w:val="bottom"/>
          </w:tcPr>
          <w:p>
            <w:pPr>
              <w:spacing w:after="0"/>
              <w:rPr>
                <w:sz w:val="1"/>
                <w:szCs w:val="1"/>
                <w:color w:val="auto"/>
              </w:rPr>
            </w:pPr>
          </w:p>
        </w:tc>
      </w:tr>
      <w:tr>
        <w:trPr>
          <w:trHeight w:val="372"/>
        </w:trPr>
        <w:tc>
          <w:tcPr>
            <w:tcW w:w="624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1680" w:type="dxa"/>
            <w:vAlign w:val="bottom"/>
            <w:shd w:val="clear" w:color="auto" w:fill="0F243E"/>
          </w:tcPr>
          <w:p>
            <w:pPr>
              <w:jc w:val="right"/>
              <w:ind w:right="579"/>
              <w:spacing w:after="0"/>
              <w:rPr>
                <w:sz w:val="20"/>
                <w:szCs w:val="20"/>
                <w:color w:val="auto"/>
              </w:rPr>
            </w:pPr>
            <w:r>
              <w:rPr>
                <w:rFonts w:ascii="Arial" w:cs="Arial" w:eastAsia="Arial" w:hAnsi="Arial"/>
                <w:sz w:val="16"/>
                <w:szCs w:val="16"/>
                <w:b w:val="1"/>
                <w:bCs w:val="1"/>
                <w:color w:val="FFFFFF"/>
              </w:rPr>
              <w:t>2020</w:t>
            </w:r>
          </w:p>
        </w:tc>
        <w:tc>
          <w:tcPr>
            <w:tcW w:w="1520" w:type="dxa"/>
            <w:vAlign w:val="bottom"/>
            <w:shd w:val="clear" w:color="auto" w:fill="0F243E"/>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80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rPr>
              <w:t>Source</w:t>
            </w:r>
          </w:p>
        </w:tc>
        <w:tc>
          <w:tcPr>
            <w:tcW w:w="0" w:type="dxa"/>
            <w:vAlign w:val="bottom"/>
          </w:tcPr>
          <w:p>
            <w:pPr>
              <w:spacing w:after="0"/>
              <w:rPr>
                <w:sz w:val="1"/>
                <w:szCs w:val="1"/>
                <w:color w:val="auto"/>
              </w:rPr>
            </w:pPr>
          </w:p>
        </w:tc>
      </w:tr>
      <w:tr>
        <w:trPr>
          <w:trHeight w:val="228"/>
        </w:trPr>
        <w:tc>
          <w:tcPr>
            <w:tcW w:w="6240" w:type="dxa"/>
            <w:vAlign w:val="bottom"/>
            <w:shd w:val="clear" w:color="auto" w:fill="CCCCCC"/>
          </w:tcPr>
          <w:p>
            <w:pPr>
              <w:ind w:left="20"/>
              <w:spacing w:after="0"/>
              <w:rPr>
                <w:sz w:val="20"/>
                <w:szCs w:val="20"/>
                <w:color w:val="auto"/>
              </w:rPr>
            </w:pPr>
            <w:r>
              <w:rPr>
                <w:rFonts w:ascii="Arial" w:cs="Arial" w:eastAsia="Arial" w:hAnsi="Arial"/>
                <w:sz w:val="16"/>
                <w:szCs w:val="16"/>
                <w:color w:val="auto"/>
              </w:rPr>
              <w:t>Net income</w:t>
            </w:r>
          </w:p>
        </w:tc>
        <w:tc>
          <w:tcPr>
            <w:tcW w:w="16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$39.5</w:t>
            </w:r>
          </w:p>
        </w:tc>
        <w:tc>
          <w:tcPr>
            <w:tcW w:w="152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$43.2</w:t>
            </w:r>
          </w:p>
        </w:tc>
        <w:tc>
          <w:tcPr>
            <w:tcW w:w="18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1680" w:type="dxa"/>
            <w:vAlign w:val="bottom"/>
            <w:shd w:val="clear" w:color="auto" w:fill="CCCCCC"/>
          </w:tcPr>
          <w:p>
            <w:pPr>
              <w:spacing w:after="0"/>
              <w:rPr>
                <w:sz w:val="19"/>
                <w:szCs w:val="19"/>
                <w:color w:val="auto"/>
              </w:rPr>
            </w:pPr>
          </w:p>
        </w:tc>
        <w:tc>
          <w:tcPr>
            <w:tcW w:w="1520" w:type="dxa"/>
            <w:vAlign w:val="bottom"/>
            <w:shd w:val="clear" w:color="auto" w:fill="CCCCCC"/>
          </w:tcPr>
          <w:p>
            <w:pPr>
              <w:spacing w:after="0"/>
              <w:rPr>
                <w:sz w:val="19"/>
                <w:szCs w:val="19"/>
                <w:color w:val="auto"/>
              </w:rPr>
            </w:pPr>
          </w:p>
        </w:tc>
        <w:tc>
          <w:tcPr>
            <w:tcW w:w="18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Changes in fair value of contingent consideration</w:t>
            </w:r>
          </w:p>
        </w:tc>
        <w:tc>
          <w:tcPr>
            <w:tcW w:w="16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30.2</w:t>
            </w:r>
          </w:p>
        </w:tc>
        <w:tc>
          <w:tcPr>
            <w:tcW w:w="152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6.9</w:t>
            </w:r>
          </w:p>
        </w:tc>
        <w:tc>
          <w:tcPr>
            <w:tcW w:w="18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230"/>
        </w:trPr>
        <w:tc>
          <w:tcPr>
            <w:tcW w:w="624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Impairment of IPR&amp;D intangible asset</w:t>
            </w:r>
          </w:p>
        </w:tc>
        <w:tc>
          <w:tcPr>
            <w:tcW w:w="16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29.0</w:t>
            </w:r>
          </w:p>
        </w:tc>
        <w:tc>
          <w:tcPr>
            <w:tcW w:w="152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178"/>
        </w:trPr>
        <w:tc>
          <w:tcPr>
            <w:tcW w:w="6240" w:type="dxa"/>
            <w:vAlign w:val="bottom"/>
            <w:vMerge w:val="restart"/>
            <w:shd w:val="clear" w:color="auto" w:fill="CCCCCC"/>
          </w:tcPr>
          <w:p>
            <w:pPr>
              <w:ind w:left="260"/>
              <w:spacing w:after="0"/>
              <w:rPr>
                <w:sz w:val="20"/>
                <w:szCs w:val="20"/>
                <w:color w:val="auto"/>
              </w:rPr>
            </w:pPr>
            <w:r>
              <w:rPr>
                <w:rFonts w:ascii="Arial" w:cs="Arial" w:eastAsia="Arial" w:hAnsi="Arial"/>
                <w:sz w:val="16"/>
                <w:szCs w:val="16"/>
                <w:color w:val="auto"/>
              </w:rPr>
              <w:t>+ Exit and disposal costs*</w:t>
            </w:r>
          </w:p>
        </w:tc>
        <w:tc>
          <w:tcPr>
            <w:tcW w:w="1680" w:type="dxa"/>
            <w:vAlign w:val="bottom"/>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17.1</w:t>
            </w:r>
          </w:p>
        </w:tc>
        <w:tc>
          <w:tcPr>
            <w:tcW w:w="1520" w:type="dxa"/>
            <w:vAlign w:val="bottom"/>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CCCC"/>
          </w:tcPr>
          <w:p>
            <w:pPr>
              <w:jc w:val="center"/>
              <w:spacing w:after="0" w:line="178" w:lineRule="exact"/>
              <w:rPr>
                <w:sz w:val="20"/>
                <w:szCs w:val="20"/>
                <w:color w:val="auto"/>
              </w:rPr>
            </w:pPr>
            <w:r>
              <w:rPr>
                <w:rFonts w:ascii="Arial" w:cs="Arial" w:eastAsia="Arial" w:hAnsi="Arial"/>
                <w:sz w:val="16"/>
                <w:szCs w:val="16"/>
                <w:color w:val="auto"/>
              </w:rPr>
              <w:t>COGS, SG&amp;A, Other</w:t>
            </w:r>
          </w:p>
        </w:tc>
        <w:tc>
          <w:tcPr>
            <w:tcW w:w="0" w:type="dxa"/>
            <w:vAlign w:val="bottom"/>
          </w:tcPr>
          <w:p>
            <w:pPr>
              <w:spacing w:after="0"/>
              <w:rPr>
                <w:sz w:val="1"/>
                <w:szCs w:val="1"/>
                <w:color w:val="auto"/>
              </w:rPr>
            </w:pPr>
          </w:p>
        </w:tc>
      </w:tr>
      <w:tr>
        <w:trPr>
          <w:trHeight w:val="133"/>
        </w:trPr>
        <w:tc>
          <w:tcPr>
            <w:tcW w:w="6240" w:type="dxa"/>
            <w:vAlign w:val="bottom"/>
            <w:vMerge w:val="continue"/>
            <w:shd w:val="clear" w:color="auto" w:fill="CCCCCC"/>
          </w:tcPr>
          <w:p>
            <w:pPr>
              <w:spacing w:after="0"/>
              <w:rPr>
                <w:sz w:val="11"/>
                <w:szCs w:val="11"/>
                <w:color w:val="auto"/>
              </w:rPr>
            </w:pPr>
          </w:p>
        </w:tc>
        <w:tc>
          <w:tcPr>
            <w:tcW w:w="1680" w:type="dxa"/>
            <w:vAlign w:val="bottom"/>
            <w:vMerge w:val="continue"/>
            <w:shd w:val="clear" w:color="auto" w:fill="CCCCCC"/>
          </w:tcPr>
          <w:p>
            <w:pPr>
              <w:spacing w:after="0"/>
              <w:rPr>
                <w:sz w:val="11"/>
                <w:szCs w:val="11"/>
                <w:color w:val="auto"/>
              </w:rPr>
            </w:pPr>
          </w:p>
        </w:tc>
        <w:tc>
          <w:tcPr>
            <w:tcW w:w="1520" w:type="dxa"/>
            <w:vAlign w:val="bottom"/>
            <w:vMerge w:val="continue"/>
            <w:shd w:val="clear" w:color="auto" w:fill="CCCCCC"/>
          </w:tcPr>
          <w:p>
            <w:pPr>
              <w:spacing w:after="0"/>
              <w:rPr>
                <w:sz w:val="11"/>
                <w:szCs w:val="11"/>
                <w:color w:val="auto"/>
              </w:rPr>
            </w:pPr>
          </w:p>
        </w:tc>
        <w:tc>
          <w:tcPr>
            <w:tcW w:w="180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w w:val="99"/>
              </w:rPr>
              <w:t>Income</w:t>
            </w:r>
          </w:p>
        </w:tc>
        <w:tc>
          <w:tcPr>
            <w:tcW w:w="0" w:type="dxa"/>
            <w:vAlign w:val="bottom"/>
          </w:tcPr>
          <w:p>
            <w:pPr>
              <w:spacing w:after="0"/>
              <w:rPr>
                <w:sz w:val="1"/>
                <w:szCs w:val="1"/>
                <w:color w:val="auto"/>
              </w:rPr>
            </w:pPr>
          </w:p>
        </w:tc>
      </w:tr>
      <w:tr>
        <w:trPr>
          <w:trHeight w:val="83"/>
        </w:trPr>
        <w:tc>
          <w:tcPr>
            <w:tcW w:w="6240" w:type="dxa"/>
            <w:vAlign w:val="bottom"/>
            <w:shd w:val="clear" w:color="auto" w:fill="CCCCCC"/>
          </w:tcPr>
          <w:p>
            <w:pPr>
              <w:spacing w:after="0"/>
              <w:rPr>
                <w:sz w:val="7"/>
                <w:szCs w:val="7"/>
                <w:color w:val="auto"/>
              </w:rPr>
            </w:pPr>
          </w:p>
        </w:tc>
        <w:tc>
          <w:tcPr>
            <w:tcW w:w="1680" w:type="dxa"/>
            <w:vAlign w:val="bottom"/>
            <w:shd w:val="clear" w:color="auto" w:fill="CCCCCC"/>
          </w:tcPr>
          <w:p>
            <w:pPr>
              <w:spacing w:after="0"/>
              <w:rPr>
                <w:sz w:val="7"/>
                <w:szCs w:val="7"/>
                <w:color w:val="auto"/>
              </w:rPr>
            </w:pPr>
          </w:p>
        </w:tc>
        <w:tc>
          <w:tcPr>
            <w:tcW w:w="1520" w:type="dxa"/>
            <w:vAlign w:val="bottom"/>
            <w:shd w:val="clear" w:color="auto" w:fill="CCCCCC"/>
          </w:tcPr>
          <w:p>
            <w:pPr>
              <w:spacing w:after="0"/>
              <w:rPr>
                <w:sz w:val="7"/>
                <w:szCs w:val="7"/>
                <w:color w:val="auto"/>
              </w:rPr>
            </w:pPr>
          </w:p>
        </w:tc>
        <w:tc>
          <w:tcPr>
            <w:tcW w:w="180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240" w:type="dxa"/>
            <w:vAlign w:val="bottom"/>
            <w:vMerge w:val="restart"/>
            <w:shd w:val="clear" w:color="auto" w:fill="CCCCCC"/>
          </w:tcPr>
          <w:p>
            <w:pPr>
              <w:ind w:left="260"/>
              <w:spacing w:after="0"/>
              <w:rPr>
                <w:sz w:val="20"/>
                <w:szCs w:val="20"/>
                <w:color w:val="auto"/>
              </w:rPr>
            </w:pPr>
            <w:r>
              <w:rPr>
                <w:rFonts w:ascii="Arial" w:cs="Arial" w:eastAsia="Arial" w:hAnsi="Arial"/>
                <w:sz w:val="16"/>
                <w:szCs w:val="16"/>
                <w:color w:val="auto"/>
              </w:rPr>
              <w:t>+ Non-cash amortization charges</w:t>
            </w:r>
          </w:p>
        </w:tc>
        <w:tc>
          <w:tcPr>
            <w:tcW w:w="1680" w:type="dxa"/>
            <w:vAlign w:val="bottom"/>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15.9</w:t>
            </w:r>
          </w:p>
        </w:tc>
        <w:tc>
          <w:tcPr>
            <w:tcW w:w="1520" w:type="dxa"/>
            <w:vAlign w:val="bottom"/>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15.4</w:t>
            </w:r>
          </w:p>
        </w:tc>
        <w:tc>
          <w:tcPr>
            <w:tcW w:w="1800" w:type="dxa"/>
            <w:vAlign w:val="bottom"/>
            <w:shd w:val="clear" w:color="auto" w:fill="CCCCCC"/>
          </w:tcPr>
          <w:p>
            <w:pPr>
              <w:jc w:val="center"/>
              <w:spacing w:after="0" w:line="175" w:lineRule="exact"/>
              <w:rPr>
                <w:sz w:val="20"/>
                <w:szCs w:val="20"/>
                <w:color w:val="auto"/>
              </w:rPr>
            </w:pPr>
            <w:r>
              <w:rPr>
                <w:rFonts w:ascii="Arial" w:cs="Arial" w:eastAsia="Arial" w:hAnsi="Arial"/>
                <w:sz w:val="16"/>
                <w:szCs w:val="16"/>
                <w:color w:val="auto"/>
              </w:rPr>
              <w:t>Intangible Asset</w:t>
            </w:r>
          </w:p>
        </w:tc>
        <w:tc>
          <w:tcPr>
            <w:tcW w:w="0" w:type="dxa"/>
            <w:vAlign w:val="bottom"/>
          </w:tcPr>
          <w:p>
            <w:pPr>
              <w:spacing w:after="0"/>
              <w:rPr>
                <w:sz w:val="1"/>
                <w:szCs w:val="1"/>
                <w:color w:val="auto"/>
              </w:rPr>
            </w:pPr>
          </w:p>
        </w:tc>
      </w:tr>
      <w:tr>
        <w:trPr>
          <w:trHeight w:val="162"/>
        </w:trPr>
        <w:tc>
          <w:tcPr>
            <w:tcW w:w="6240" w:type="dxa"/>
            <w:vAlign w:val="bottom"/>
            <w:vMerge w:val="continue"/>
            <w:shd w:val="clear" w:color="auto" w:fill="CCCCCC"/>
          </w:tcPr>
          <w:p>
            <w:pPr>
              <w:spacing w:after="0"/>
              <w:rPr>
                <w:sz w:val="14"/>
                <w:szCs w:val="14"/>
                <w:color w:val="auto"/>
              </w:rPr>
            </w:pPr>
          </w:p>
        </w:tc>
        <w:tc>
          <w:tcPr>
            <w:tcW w:w="1680" w:type="dxa"/>
            <w:vAlign w:val="bottom"/>
            <w:vMerge w:val="continue"/>
            <w:shd w:val="clear" w:color="auto" w:fill="CCCCCC"/>
          </w:tcPr>
          <w:p>
            <w:pPr>
              <w:spacing w:after="0"/>
              <w:rPr>
                <w:sz w:val="14"/>
                <w:szCs w:val="14"/>
                <w:color w:val="auto"/>
              </w:rPr>
            </w:pPr>
          </w:p>
        </w:tc>
        <w:tc>
          <w:tcPr>
            <w:tcW w:w="1520" w:type="dxa"/>
            <w:vAlign w:val="bottom"/>
            <w:vMerge w:val="continue"/>
            <w:shd w:val="clear" w:color="auto" w:fill="CCCCCC"/>
          </w:tcPr>
          <w:p>
            <w:pPr>
              <w:spacing w:after="0"/>
              <w:rPr>
                <w:sz w:val="14"/>
                <w:szCs w:val="14"/>
                <w:color w:val="auto"/>
              </w:rPr>
            </w:pPr>
          </w:p>
        </w:tc>
        <w:tc>
          <w:tcPr>
            <w:tcW w:w="1800" w:type="dxa"/>
            <w:vAlign w:val="bottom"/>
            <w:shd w:val="clear" w:color="auto" w:fill="CCCCCC"/>
          </w:tcPr>
          <w:p>
            <w:pPr>
              <w:jc w:val="center"/>
              <w:spacing w:after="0" w:line="162" w:lineRule="exact"/>
              <w:rPr>
                <w:sz w:val="20"/>
                <w:szCs w:val="20"/>
                <w:color w:val="auto"/>
              </w:rPr>
            </w:pPr>
            <w:r>
              <w:rPr>
                <w:rFonts w:ascii="Arial" w:cs="Arial" w:eastAsia="Arial" w:hAnsi="Arial"/>
                <w:sz w:val="16"/>
                <w:szCs w:val="16"/>
                <w:color w:val="auto"/>
              </w:rPr>
              <w:t>Amortization, Other</w:t>
            </w:r>
          </w:p>
        </w:tc>
        <w:tc>
          <w:tcPr>
            <w:tcW w:w="0" w:type="dxa"/>
            <w:vAlign w:val="bottom"/>
          </w:tcPr>
          <w:p>
            <w:pPr>
              <w:spacing w:after="0"/>
              <w:rPr>
                <w:sz w:val="1"/>
                <w:szCs w:val="1"/>
                <w:color w:val="auto"/>
              </w:rPr>
            </w:pPr>
          </w:p>
        </w:tc>
      </w:tr>
      <w:tr>
        <w:trPr>
          <w:trHeight w:val="219"/>
        </w:trPr>
        <w:tc>
          <w:tcPr>
            <w:tcW w:w="6240" w:type="dxa"/>
            <w:vAlign w:val="bottom"/>
            <w:shd w:val="clear" w:color="auto" w:fill="CCCCCC"/>
          </w:tcPr>
          <w:p>
            <w:pPr>
              <w:spacing w:after="0"/>
              <w:rPr>
                <w:sz w:val="19"/>
                <w:szCs w:val="19"/>
                <w:color w:val="auto"/>
              </w:rPr>
            </w:pPr>
          </w:p>
        </w:tc>
        <w:tc>
          <w:tcPr>
            <w:tcW w:w="1680" w:type="dxa"/>
            <w:vAlign w:val="bottom"/>
            <w:shd w:val="clear" w:color="auto" w:fill="CCCCCC"/>
          </w:tcPr>
          <w:p>
            <w:pPr>
              <w:spacing w:after="0"/>
              <w:rPr>
                <w:sz w:val="19"/>
                <w:szCs w:val="19"/>
                <w:color w:val="auto"/>
              </w:rPr>
            </w:pPr>
          </w:p>
        </w:tc>
        <w:tc>
          <w:tcPr>
            <w:tcW w:w="1520" w:type="dxa"/>
            <w:vAlign w:val="bottom"/>
            <w:shd w:val="clear" w:color="auto" w:fill="CCCCCC"/>
          </w:tcPr>
          <w:p>
            <w:pPr>
              <w:spacing w:after="0"/>
              <w:rPr>
                <w:sz w:val="19"/>
                <w:szCs w:val="19"/>
                <w:color w:val="auto"/>
              </w:rPr>
            </w:pPr>
          </w:p>
        </w:tc>
        <w:tc>
          <w:tcPr>
            <w:tcW w:w="180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Income</w:t>
            </w:r>
          </w:p>
        </w:tc>
        <w:tc>
          <w:tcPr>
            <w:tcW w:w="0" w:type="dxa"/>
            <w:vAlign w:val="bottom"/>
          </w:tcPr>
          <w:p>
            <w:pPr>
              <w:spacing w:after="0"/>
              <w:rPr>
                <w:sz w:val="1"/>
                <w:szCs w:val="1"/>
                <w:color w:val="auto"/>
              </w:rPr>
            </w:pPr>
          </w:p>
        </w:tc>
      </w:tr>
      <w:tr>
        <w:trPr>
          <w:trHeight w:val="225"/>
        </w:trPr>
        <w:tc>
          <w:tcPr>
            <w:tcW w:w="624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&amp; integration)</w:t>
            </w:r>
          </w:p>
        </w:tc>
        <w:tc>
          <w:tcPr>
            <w:tcW w:w="16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0.5</w:t>
            </w:r>
          </w:p>
        </w:tc>
        <w:tc>
          <w:tcPr>
            <w:tcW w:w="152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3.2</w:t>
            </w:r>
          </w:p>
        </w:tc>
        <w:tc>
          <w:tcPr>
            <w:tcW w:w="180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8"/>
              </w:rPr>
              <w:t>SG&amp;A</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168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(13.2)</w:t>
            </w:r>
          </w:p>
        </w:tc>
        <w:tc>
          <w:tcPr>
            <w:tcW w:w="1520" w:type="dxa"/>
            <w:vAlign w:val="bottom"/>
            <w:tcBorders>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(3.9)</w:t>
            </w:r>
          </w:p>
        </w:tc>
        <w:tc>
          <w:tcPr>
            <w:tcW w:w="1800" w:type="dxa"/>
            <w:vAlign w:val="bottom"/>
            <w:tcBorders>
              <w:bottom w:val="single" w:sz="8" w:color="CCCCCC"/>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Total adjustments:</w:t>
            </w:r>
          </w:p>
        </w:tc>
        <w:tc>
          <w:tcPr>
            <w:tcW w:w="168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$79.5</w:t>
            </w:r>
          </w:p>
        </w:tc>
        <w:tc>
          <w:tcPr>
            <w:tcW w:w="1520" w:type="dxa"/>
            <w:vAlign w:val="bottom"/>
            <w:tcBorders>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$21.6</w:t>
            </w:r>
          </w:p>
        </w:tc>
        <w:tc>
          <w:tcPr>
            <w:tcW w:w="1800" w:type="dxa"/>
            <w:vAlign w:val="bottom"/>
            <w:tcBorders>
              <w:bottom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Adjusted net income</w:t>
            </w:r>
          </w:p>
        </w:tc>
        <w:tc>
          <w:tcPr>
            <w:tcW w:w="168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$119.0</w:t>
            </w:r>
          </w:p>
        </w:tc>
        <w:tc>
          <w:tcPr>
            <w:tcW w:w="1520" w:type="dxa"/>
            <w:vAlign w:val="bottom"/>
            <w:tcBorders>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$64.8</w:t>
            </w:r>
          </w:p>
        </w:tc>
        <w:tc>
          <w:tcPr>
            <w:tcW w:w="1800" w:type="dxa"/>
            <w:vAlign w:val="bottom"/>
            <w:tcBorders>
              <w:bottom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net income per diluted share</w:t>
            </w:r>
          </w:p>
        </w:tc>
        <w:tc>
          <w:tcPr>
            <w:tcW w:w="16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$2.19</w:t>
            </w:r>
          </w:p>
        </w:tc>
        <w:tc>
          <w:tcPr>
            <w:tcW w:w="152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$1.24</w:t>
            </w:r>
          </w:p>
        </w:tc>
        <w:tc>
          <w:tcPr>
            <w:tcW w:w="18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0" w:hanging="114"/>
        <w:spacing w:after="0"/>
        <w:tabs>
          <w:tab w:leader="none" w:pos="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incorporates $13.8 million of inventory reserves associated with the Company's travel health vaccines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4" w:lineRule="exact"/>
        <w:rPr>
          <w:rFonts w:ascii="Arial" w:cs="Arial" w:eastAsia="Arial" w:hAnsi="Arial"/>
          <w:sz w:val="16"/>
          <w:szCs w:val="16"/>
          <w:color w:val="auto"/>
        </w:rPr>
      </w:pPr>
    </w:p>
    <w:p>
      <w:pPr>
        <w:ind w:left="5360"/>
        <w:spacing w:after="0"/>
        <w:rPr>
          <w:rFonts w:ascii="Arial" w:cs="Arial" w:eastAsia="Arial" w:hAnsi="Arial"/>
          <w:sz w:val="16"/>
          <w:szCs w:val="16"/>
          <w:color w:val="auto"/>
        </w:rPr>
      </w:pPr>
      <w:r>
        <w:rPr>
          <w:rFonts w:ascii="Times New Roman" w:cs="Times New Roman" w:eastAsia="Times New Roman" w:hAnsi="Times New Roman"/>
          <w:sz w:val="16"/>
          <w:szCs w:val="16"/>
          <w:color w:val="auto"/>
        </w:rPr>
        <w:t>12 of 15</w:t>
      </w:r>
    </w:p>
    <w:p>
      <w:pPr>
        <w:sectPr>
          <w:pgSz w:w="11900" w:h="16838" w:orient="portrait"/>
          <w:cols w:equalWidth="0" w:num="1">
            <w:col w:w="11240"/>
          </w:cols>
          <w:pgMar w:left="320" w:top="992"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76"/>
        </w:trPr>
        <w:tc>
          <w:tcPr>
            <w:tcW w:w="6120" w:type="dxa"/>
            <w:vAlign w:val="bottom"/>
            <w:shd w:val="clear" w:color="auto" w:fill="0F243E"/>
          </w:tcPr>
          <w:p>
            <w:pPr>
              <w:spacing w:after="0"/>
              <w:rPr>
                <w:sz w:val="24"/>
                <w:szCs w:val="24"/>
                <w:color w:val="auto"/>
              </w:rPr>
            </w:pPr>
          </w:p>
        </w:tc>
        <w:tc>
          <w:tcPr>
            <w:tcW w:w="20" w:type="dxa"/>
            <w:vAlign w:val="bottom"/>
            <w:shd w:val="clear" w:color="auto" w:fill="0F243E"/>
          </w:tcPr>
          <w:p>
            <w:pPr>
              <w:spacing w:after="0"/>
              <w:rPr>
                <w:sz w:val="24"/>
                <w:szCs w:val="24"/>
                <w:color w:val="auto"/>
              </w:rPr>
            </w:pPr>
          </w:p>
        </w:tc>
        <w:tc>
          <w:tcPr>
            <w:tcW w:w="4900" w:type="dxa"/>
            <w:vAlign w:val="bottom"/>
            <w:gridSpan w:val="4"/>
            <w:shd w:val="clear" w:color="auto" w:fill="0F243E"/>
          </w:tcPr>
          <w:p>
            <w:pPr>
              <w:ind w:left="1100"/>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372"/>
        </w:trPr>
        <w:tc>
          <w:tcPr>
            <w:tcW w:w="612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1640" w:type="dxa"/>
            <w:vAlign w:val="bottom"/>
            <w:gridSpan w:val="2"/>
            <w:shd w:val="clear" w:color="auto" w:fill="0F243E"/>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420" w:type="dxa"/>
            <w:vAlign w:val="bottom"/>
            <w:shd w:val="clear" w:color="auto" w:fill="0F243E"/>
          </w:tcPr>
          <w:p>
            <w:pPr>
              <w:spacing w:after="0"/>
              <w:rPr>
                <w:sz w:val="24"/>
                <w:szCs w:val="24"/>
                <w:color w:val="auto"/>
              </w:rPr>
            </w:pPr>
          </w:p>
        </w:tc>
        <w:tc>
          <w:tcPr>
            <w:tcW w:w="1100" w:type="dxa"/>
            <w:vAlign w:val="bottom"/>
            <w:shd w:val="clear" w:color="auto" w:fill="0F243E"/>
          </w:tcPr>
          <w:p>
            <w:pPr>
              <w:jc w:val="right"/>
              <w:ind w:right="499"/>
              <w:spacing w:after="0"/>
              <w:rPr>
                <w:sz w:val="20"/>
                <w:szCs w:val="20"/>
                <w:color w:val="auto"/>
              </w:rPr>
            </w:pPr>
            <w:r>
              <w:rPr>
                <w:rFonts w:ascii="Arial" w:cs="Arial" w:eastAsia="Arial" w:hAnsi="Arial"/>
                <w:sz w:val="16"/>
                <w:szCs w:val="16"/>
                <w:b w:val="1"/>
                <w:bCs w:val="1"/>
                <w:color w:val="FFFFFF"/>
              </w:rPr>
              <w:t>2019</w:t>
            </w:r>
          </w:p>
        </w:tc>
        <w:tc>
          <w:tcPr>
            <w:tcW w:w="176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Source</w:t>
            </w:r>
          </w:p>
        </w:tc>
        <w:tc>
          <w:tcPr>
            <w:tcW w:w="0" w:type="dxa"/>
            <w:vAlign w:val="bottom"/>
          </w:tcPr>
          <w:p>
            <w:pPr>
              <w:spacing w:after="0"/>
              <w:rPr>
                <w:sz w:val="1"/>
                <w:szCs w:val="1"/>
                <w:color w:val="auto"/>
              </w:rPr>
            </w:pPr>
          </w:p>
        </w:tc>
      </w:tr>
      <w:tr>
        <w:trPr>
          <w:trHeight w:val="228"/>
        </w:trPr>
        <w:tc>
          <w:tcPr>
            <w:tcW w:w="6120" w:type="dxa"/>
            <w:vAlign w:val="bottom"/>
            <w:shd w:val="clear" w:color="auto" w:fill="CCCCCC"/>
          </w:tcPr>
          <w:p>
            <w:pPr>
              <w:ind w:left="20"/>
              <w:spacing w:after="0"/>
              <w:rPr>
                <w:sz w:val="20"/>
                <w:szCs w:val="20"/>
                <w:color w:val="auto"/>
              </w:rPr>
            </w:pPr>
            <w:r>
              <w:rPr>
                <w:rFonts w:ascii="Arial" w:cs="Arial" w:eastAsia="Arial" w:hAnsi="Arial"/>
                <w:sz w:val="16"/>
                <w:szCs w:val="16"/>
                <w:color w:val="auto"/>
              </w:rPr>
              <w:t>Net income</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$119.7</w:t>
            </w: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$7.6</w:t>
            </w:r>
          </w:p>
        </w:tc>
        <w:tc>
          <w:tcPr>
            <w:tcW w:w="176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20" w:type="dxa"/>
            <w:vAlign w:val="bottom"/>
            <w:shd w:val="clear" w:color="auto" w:fill="CCCCCC"/>
          </w:tcPr>
          <w:p>
            <w:pPr>
              <w:spacing w:after="0"/>
              <w:rPr>
                <w:sz w:val="19"/>
                <w:szCs w:val="19"/>
                <w:color w:val="auto"/>
              </w:rPr>
            </w:pPr>
          </w:p>
        </w:tc>
        <w:tc>
          <w:tcPr>
            <w:tcW w:w="1620" w:type="dxa"/>
            <w:vAlign w:val="bottom"/>
            <w:shd w:val="clear" w:color="auto" w:fill="CCCCCC"/>
          </w:tcPr>
          <w:p>
            <w:pPr>
              <w:spacing w:after="0"/>
              <w:rPr>
                <w:sz w:val="19"/>
                <w:szCs w:val="19"/>
                <w:color w:val="auto"/>
              </w:rPr>
            </w:pP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spacing w:after="0"/>
              <w:rPr>
                <w:sz w:val="19"/>
                <w:szCs w:val="19"/>
                <w:color w:val="auto"/>
              </w:rPr>
            </w:pPr>
          </w:p>
        </w:tc>
        <w:tc>
          <w:tcPr>
            <w:tcW w:w="176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120" w:type="dxa"/>
            <w:vAlign w:val="bottom"/>
            <w:vMerge w:val="restart"/>
            <w:shd w:val="clear" w:color="auto" w:fill="CCCCCC"/>
          </w:tcPr>
          <w:p>
            <w:pPr>
              <w:ind w:left="260"/>
              <w:spacing w:after="0"/>
              <w:rPr>
                <w:sz w:val="20"/>
                <w:szCs w:val="20"/>
                <w:color w:val="auto"/>
              </w:rPr>
            </w:pPr>
            <w:r>
              <w:rPr>
                <w:rFonts w:ascii="Arial" w:cs="Arial" w:eastAsia="Arial" w:hAnsi="Arial"/>
                <w:sz w:val="16"/>
                <w:szCs w:val="16"/>
                <w:color w:val="auto"/>
              </w:rPr>
              <w:t>+ Non-cash amortization charges</w:t>
            </w:r>
          </w:p>
        </w:tc>
        <w:tc>
          <w:tcPr>
            <w:tcW w:w="164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47.2</w:t>
            </w:r>
          </w:p>
        </w:tc>
        <w:tc>
          <w:tcPr>
            <w:tcW w:w="420" w:type="dxa"/>
            <w:vAlign w:val="bottom"/>
            <w:shd w:val="clear" w:color="auto" w:fill="CCCCCC"/>
          </w:tcPr>
          <w:p>
            <w:pPr>
              <w:spacing w:after="0"/>
              <w:rPr>
                <w:sz w:val="15"/>
                <w:szCs w:val="15"/>
                <w:color w:val="auto"/>
              </w:rPr>
            </w:pPr>
          </w:p>
        </w:tc>
        <w:tc>
          <w:tcPr>
            <w:tcW w:w="1100" w:type="dxa"/>
            <w:vAlign w:val="bottom"/>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46.1</w:t>
            </w:r>
          </w:p>
        </w:tc>
        <w:tc>
          <w:tcPr>
            <w:tcW w:w="1760" w:type="dxa"/>
            <w:vAlign w:val="bottom"/>
            <w:shd w:val="clear" w:color="auto" w:fill="CCCCCC"/>
          </w:tcPr>
          <w:p>
            <w:pPr>
              <w:jc w:val="center"/>
              <w:spacing w:after="0" w:line="178" w:lineRule="exact"/>
              <w:rPr>
                <w:sz w:val="20"/>
                <w:szCs w:val="20"/>
                <w:color w:val="auto"/>
              </w:rPr>
            </w:pPr>
            <w:r>
              <w:rPr>
                <w:rFonts w:ascii="Arial" w:cs="Arial" w:eastAsia="Arial" w:hAnsi="Arial"/>
                <w:sz w:val="16"/>
                <w:szCs w:val="16"/>
                <w:color w:val="auto"/>
              </w:rPr>
              <w:t>Intangible Asset</w:t>
            </w:r>
          </w:p>
        </w:tc>
        <w:tc>
          <w:tcPr>
            <w:tcW w:w="0" w:type="dxa"/>
            <w:vAlign w:val="bottom"/>
          </w:tcPr>
          <w:p>
            <w:pPr>
              <w:spacing w:after="0"/>
              <w:rPr>
                <w:sz w:val="1"/>
                <w:szCs w:val="1"/>
                <w:color w:val="auto"/>
              </w:rPr>
            </w:pPr>
          </w:p>
        </w:tc>
      </w:tr>
      <w:tr>
        <w:trPr>
          <w:trHeight w:val="162"/>
        </w:trPr>
        <w:tc>
          <w:tcPr>
            <w:tcW w:w="6120" w:type="dxa"/>
            <w:vAlign w:val="bottom"/>
            <w:vMerge w:val="continue"/>
            <w:shd w:val="clear" w:color="auto" w:fill="CCCCCC"/>
          </w:tcPr>
          <w:p>
            <w:pPr>
              <w:spacing w:after="0"/>
              <w:rPr>
                <w:sz w:val="14"/>
                <w:szCs w:val="14"/>
                <w:color w:val="auto"/>
              </w:rPr>
            </w:pPr>
          </w:p>
        </w:tc>
        <w:tc>
          <w:tcPr>
            <w:tcW w:w="1640" w:type="dxa"/>
            <w:vAlign w:val="bottom"/>
            <w:gridSpan w:val="2"/>
            <w:vMerge w:val="continue"/>
            <w:shd w:val="clear" w:color="auto" w:fill="CCCCCC"/>
          </w:tcPr>
          <w:p>
            <w:pPr>
              <w:spacing w:after="0"/>
              <w:rPr>
                <w:sz w:val="14"/>
                <w:szCs w:val="14"/>
                <w:color w:val="auto"/>
              </w:rPr>
            </w:pPr>
          </w:p>
        </w:tc>
        <w:tc>
          <w:tcPr>
            <w:tcW w:w="420" w:type="dxa"/>
            <w:vAlign w:val="bottom"/>
            <w:shd w:val="clear" w:color="auto" w:fill="CCCCCC"/>
          </w:tcPr>
          <w:p>
            <w:pPr>
              <w:spacing w:after="0"/>
              <w:rPr>
                <w:sz w:val="14"/>
                <w:szCs w:val="14"/>
                <w:color w:val="auto"/>
              </w:rPr>
            </w:pPr>
          </w:p>
        </w:tc>
        <w:tc>
          <w:tcPr>
            <w:tcW w:w="1100" w:type="dxa"/>
            <w:vAlign w:val="bottom"/>
            <w:vMerge w:val="continue"/>
            <w:shd w:val="clear" w:color="auto" w:fill="CCCCCC"/>
          </w:tcPr>
          <w:p>
            <w:pPr>
              <w:spacing w:after="0"/>
              <w:rPr>
                <w:sz w:val="14"/>
                <w:szCs w:val="14"/>
                <w:color w:val="auto"/>
              </w:rPr>
            </w:pPr>
          </w:p>
        </w:tc>
        <w:tc>
          <w:tcPr>
            <w:tcW w:w="1760" w:type="dxa"/>
            <w:vAlign w:val="bottom"/>
            <w:shd w:val="clear" w:color="auto" w:fill="CCCCCC"/>
          </w:tcPr>
          <w:p>
            <w:pPr>
              <w:jc w:val="center"/>
              <w:spacing w:after="0" w:line="162" w:lineRule="exact"/>
              <w:rPr>
                <w:sz w:val="20"/>
                <w:szCs w:val="20"/>
                <w:color w:val="auto"/>
              </w:rPr>
            </w:pPr>
            <w:r>
              <w:rPr>
                <w:rFonts w:ascii="Arial" w:cs="Arial" w:eastAsia="Arial" w:hAnsi="Arial"/>
                <w:sz w:val="16"/>
                <w:szCs w:val="16"/>
                <w:color w:val="auto"/>
              </w:rPr>
              <w:t>Amortization, Other</w:t>
            </w:r>
          </w:p>
        </w:tc>
        <w:tc>
          <w:tcPr>
            <w:tcW w:w="0" w:type="dxa"/>
            <w:vAlign w:val="bottom"/>
          </w:tcPr>
          <w:p>
            <w:pPr>
              <w:spacing w:after="0"/>
              <w:rPr>
                <w:sz w:val="1"/>
                <w:szCs w:val="1"/>
                <w:color w:val="auto"/>
              </w:rPr>
            </w:pPr>
          </w:p>
        </w:tc>
      </w:tr>
      <w:tr>
        <w:trPr>
          <w:trHeight w:val="216"/>
        </w:trPr>
        <w:tc>
          <w:tcPr>
            <w:tcW w:w="6120" w:type="dxa"/>
            <w:vAlign w:val="bottom"/>
            <w:shd w:val="clear" w:color="auto" w:fill="CCCCCC"/>
          </w:tcPr>
          <w:p>
            <w:pPr>
              <w:spacing w:after="0"/>
              <w:rPr>
                <w:sz w:val="18"/>
                <w:szCs w:val="18"/>
                <w:color w:val="auto"/>
              </w:rPr>
            </w:pPr>
          </w:p>
        </w:tc>
        <w:tc>
          <w:tcPr>
            <w:tcW w:w="20" w:type="dxa"/>
            <w:vAlign w:val="bottom"/>
            <w:shd w:val="clear" w:color="auto" w:fill="CCCCCC"/>
          </w:tcPr>
          <w:p>
            <w:pPr>
              <w:spacing w:after="0"/>
              <w:rPr>
                <w:sz w:val="18"/>
                <w:szCs w:val="18"/>
                <w:color w:val="auto"/>
              </w:rPr>
            </w:pPr>
          </w:p>
        </w:tc>
        <w:tc>
          <w:tcPr>
            <w:tcW w:w="1620" w:type="dxa"/>
            <w:vAlign w:val="bottom"/>
            <w:shd w:val="clear" w:color="auto" w:fill="CCCCCC"/>
          </w:tcPr>
          <w:p>
            <w:pPr>
              <w:spacing w:after="0"/>
              <w:rPr>
                <w:sz w:val="18"/>
                <w:szCs w:val="18"/>
                <w:color w:val="auto"/>
              </w:rPr>
            </w:pPr>
          </w:p>
        </w:tc>
        <w:tc>
          <w:tcPr>
            <w:tcW w:w="420" w:type="dxa"/>
            <w:vAlign w:val="bottom"/>
            <w:shd w:val="clear" w:color="auto" w:fill="CCCCCC"/>
          </w:tcPr>
          <w:p>
            <w:pPr>
              <w:spacing w:after="0"/>
              <w:rPr>
                <w:sz w:val="18"/>
                <w:szCs w:val="18"/>
                <w:color w:val="auto"/>
              </w:rPr>
            </w:pPr>
          </w:p>
        </w:tc>
        <w:tc>
          <w:tcPr>
            <w:tcW w:w="1100" w:type="dxa"/>
            <w:vAlign w:val="bottom"/>
            <w:shd w:val="clear" w:color="auto" w:fill="CCCCCC"/>
          </w:tcPr>
          <w:p>
            <w:pPr>
              <w:spacing w:after="0"/>
              <w:rPr>
                <w:sz w:val="18"/>
                <w:szCs w:val="18"/>
                <w:color w:val="auto"/>
              </w:rPr>
            </w:pPr>
          </w:p>
        </w:tc>
        <w:tc>
          <w:tcPr>
            <w:tcW w:w="17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228"/>
        </w:trPr>
        <w:tc>
          <w:tcPr>
            <w:tcW w:w="61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Changes in fair value of contingent consideration</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31.3</w:t>
            </w: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12.4</w:t>
            </w:r>
          </w:p>
        </w:tc>
        <w:tc>
          <w:tcPr>
            <w:tcW w:w="17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229"/>
        </w:trPr>
        <w:tc>
          <w:tcPr>
            <w:tcW w:w="61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Impairment of IPR&amp;D intangible asset</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29.0</w:t>
            </w: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178"/>
        </w:trPr>
        <w:tc>
          <w:tcPr>
            <w:tcW w:w="6120" w:type="dxa"/>
            <w:vAlign w:val="bottom"/>
            <w:vMerge w:val="restart"/>
            <w:shd w:val="clear" w:color="auto" w:fill="CCCCCC"/>
          </w:tcPr>
          <w:p>
            <w:pPr>
              <w:ind w:left="260"/>
              <w:spacing w:after="0"/>
              <w:rPr>
                <w:sz w:val="20"/>
                <w:szCs w:val="20"/>
                <w:color w:val="auto"/>
              </w:rPr>
            </w:pPr>
            <w:r>
              <w:rPr>
                <w:rFonts w:ascii="Arial" w:cs="Arial" w:eastAsia="Arial" w:hAnsi="Arial"/>
                <w:sz w:val="16"/>
                <w:szCs w:val="16"/>
                <w:color w:val="auto"/>
              </w:rPr>
              <w:t>+ Exit and disposal costs*</w:t>
            </w:r>
          </w:p>
        </w:tc>
        <w:tc>
          <w:tcPr>
            <w:tcW w:w="164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17.1</w:t>
            </w:r>
          </w:p>
        </w:tc>
        <w:tc>
          <w:tcPr>
            <w:tcW w:w="420" w:type="dxa"/>
            <w:vAlign w:val="bottom"/>
            <w:shd w:val="clear" w:color="auto" w:fill="CCCCCC"/>
          </w:tcPr>
          <w:p>
            <w:pPr>
              <w:spacing w:after="0"/>
              <w:rPr>
                <w:sz w:val="15"/>
                <w:szCs w:val="15"/>
                <w:color w:val="auto"/>
              </w:rPr>
            </w:pPr>
          </w:p>
        </w:tc>
        <w:tc>
          <w:tcPr>
            <w:tcW w:w="1100" w:type="dxa"/>
            <w:vAlign w:val="bottom"/>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CCCC"/>
          </w:tcPr>
          <w:p>
            <w:pPr>
              <w:jc w:val="center"/>
              <w:spacing w:after="0" w:line="178" w:lineRule="exact"/>
              <w:rPr>
                <w:sz w:val="20"/>
                <w:szCs w:val="20"/>
                <w:color w:val="auto"/>
              </w:rPr>
            </w:pPr>
            <w:r>
              <w:rPr>
                <w:rFonts w:ascii="Arial" w:cs="Arial" w:eastAsia="Arial" w:hAnsi="Arial"/>
                <w:sz w:val="16"/>
                <w:szCs w:val="16"/>
                <w:color w:val="auto"/>
              </w:rPr>
              <w:t>COGS, SG&amp;A, Other</w:t>
            </w:r>
          </w:p>
        </w:tc>
        <w:tc>
          <w:tcPr>
            <w:tcW w:w="0" w:type="dxa"/>
            <w:vAlign w:val="bottom"/>
          </w:tcPr>
          <w:p>
            <w:pPr>
              <w:spacing w:after="0"/>
              <w:rPr>
                <w:sz w:val="1"/>
                <w:szCs w:val="1"/>
                <w:color w:val="auto"/>
              </w:rPr>
            </w:pPr>
          </w:p>
        </w:tc>
      </w:tr>
      <w:tr>
        <w:trPr>
          <w:trHeight w:val="133"/>
        </w:trPr>
        <w:tc>
          <w:tcPr>
            <w:tcW w:w="6120" w:type="dxa"/>
            <w:vAlign w:val="bottom"/>
            <w:vMerge w:val="continue"/>
            <w:shd w:val="clear" w:color="auto" w:fill="CCCCCC"/>
          </w:tcPr>
          <w:p>
            <w:pPr>
              <w:spacing w:after="0"/>
              <w:rPr>
                <w:sz w:val="11"/>
                <w:szCs w:val="11"/>
                <w:color w:val="auto"/>
              </w:rPr>
            </w:pPr>
          </w:p>
        </w:tc>
        <w:tc>
          <w:tcPr>
            <w:tcW w:w="1640" w:type="dxa"/>
            <w:vAlign w:val="bottom"/>
            <w:gridSpan w:val="2"/>
            <w:vMerge w:val="continue"/>
            <w:shd w:val="clear" w:color="auto" w:fill="CCCCCC"/>
          </w:tcPr>
          <w:p>
            <w:pPr>
              <w:spacing w:after="0"/>
              <w:rPr>
                <w:sz w:val="11"/>
                <w:szCs w:val="11"/>
                <w:color w:val="auto"/>
              </w:rPr>
            </w:pPr>
          </w:p>
        </w:tc>
        <w:tc>
          <w:tcPr>
            <w:tcW w:w="420" w:type="dxa"/>
            <w:vAlign w:val="bottom"/>
            <w:shd w:val="clear" w:color="auto" w:fill="CCCCCC"/>
          </w:tcPr>
          <w:p>
            <w:pPr>
              <w:spacing w:after="0"/>
              <w:rPr>
                <w:sz w:val="11"/>
                <w:szCs w:val="11"/>
                <w:color w:val="auto"/>
              </w:rPr>
            </w:pPr>
          </w:p>
        </w:tc>
        <w:tc>
          <w:tcPr>
            <w:tcW w:w="1100" w:type="dxa"/>
            <w:vAlign w:val="bottom"/>
            <w:vMerge w:val="continue"/>
            <w:shd w:val="clear" w:color="auto" w:fill="CCCCCC"/>
          </w:tcPr>
          <w:p>
            <w:pPr>
              <w:spacing w:after="0"/>
              <w:rPr>
                <w:sz w:val="11"/>
                <w:szCs w:val="11"/>
                <w:color w:val="auto"/>
              </w:rPr>
            </w:pPr>
          </w:p>
        </w:tc>
        <w:tc>
          <w:tcPr>
            <w:tcW w:w="176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86"/>
        </w:trPr>
        <w:tc>
          <w:tcPr>
            <w:tcW w:w="612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20" w:type="dxa"/>
            <w:vAlign w:val="bottom"/>
            <w:shd w:val="clear" w:color="auto" w:fill="CCCCCC"/>
          </w:tcPr>
          <w:p>
            <w:pPr>
              <w:spacing w:after="0"/>
              <w:rPr>
                <w:sz w:val="7"/>
                <w:szCs w:val="7"/>
                <w:color w:val="auto"/>
              </w:rPr>
            </w:pPr>
          </w:p>
        </w:tc>
        <w:tc>
          <w:tcPr>
            <w:tcW w:w="420" w:type="dxa"/>
            <w:vAlign w:val="bottom"/>
            <w:shd w:val="clear" w:color="auto" w:fill="CCCCCC"/>
          </w:tcPr>
          <w:p>
            <w:pPr>
              <w:spacing w:after="0"/>
              <w:rPr>
                <w:sz w:val="7"/>
                <w:szCs w:val="7"/>
                <w:color w:val="auto"/>
              </w:rPr>
            </w:pPr>
          </w:p>
        </w:tc>
        <w:tc>
          <w:tcPr>
            <w:tcW w:w="1100" w:type="dxa"/>
            <w:vAlign w:val="bottom"/>
            <w:shd w:val="clear" w:color="auto" w:fill="CCCCCC"/>
          </w:tcPr>
          <w:p>
            <w:pPr>
              <w:spacing w:after="0"/>
              <w:rPr>
                <w:sz w:val="7"/>
                <w:szCs w:val="7"/>
                <w:color w:val="auto"/>
              </w:rPr>
            </w:pPr>
          </w:p>
        </w:tc>
        <w:tc>
          <w:tcPr>
            <w:tcW w:w="176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&amp; integration)</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0.5</w:t>
            </w: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10.6</w:t>
            </w:r>
          </w:p>
        </w:tc>
        <w:tc>
          <w:tcPr>
            <w:tcW w:w="17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230"/>
        </w:trPr>
        <w:tc>
          <w:tcPr>
            <w:tcW w:w="61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Impact of purchase accounting on inventory step-up</w:t>
            </w:r>
          </w:p>
        </w:tc>
        <w:tc>
          <w:tcPr>
            <w:tcW w:w="20" w:type="dxa"/>
            <w:vAlign w:val="bottom"/>
            <w:shd w:val="clear" w:color="auto" w:fill="CCCCCC"/>
          </w:tcPr>
          <w:p>
            <w:pPr>
              <w:spacing w:after="0"/>
              <w:rPr>
                <w:sz w:val="19"/>
                <w:szCs w:val="19"/>
                <w:color w:val="auto"/>
              </w:rPr>
            </w:pPr>
          </w:p>
        </w:tc>
        <w:tc>
          <w:tcPr>
            <w:tcW w:w="16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6.1</w:t>
            </w:r>
          </w:p>
        </w:tc>
        <w:tc>
          <w:tcPr>
            <w:tcW w:w="17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229"/>
        </w:trPr>
        <w:tc>
          <w:tcPr>
            <w:tcW w:w="61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Tax effect</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(19.7)</w:t>
            </w:r>
          </w:p>
        </w:tc>
        <w:tc>
          <w:tcPr>
            <w:tcW w:w="420" w:type="dxa"/>
            <w:vAlign w:val="bottom"/>
            <w:shd w:val="clear" w:color="auto" w:fill="CCCCCC"/>
          </w:tcPr>
          <w:p>
            <w:pPr>
              <w:spacing w:after="0"/>
              <w:rPr>
                <w:sz w:val="19"/>
                <w:szCs w:val="19"/>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(13.2)</w:t>
            </w:r>
          </w:p>
        </w:tc>
        <w:tc>
          <w:tcPr>
            <w:tcW w:w="176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20" w:type="dxa"/>
            <w:vAlign w:val="bottom"/>
            <w:tcBorders>
              <w:top w:val="single" w:sz="8" w:color="CCCCCC"/>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Total adjustments:</w:t>
            </w:r>
          </w:p>
        </w:tc>
        <w:tc>
          <w:tcPr>
            <w:tcW w:w="20" w:type="dxa"/>
            <w:vAlign w:val="bottom"/>
            <w:tcBorders>
              <w:top w:val="single" w:sz="8" w:color="CCCCCC"/>
              <w:bottom w:val="single" w:sz="8" w:color="CCCCCC"/>
            </w:tcBorders>
            <w:shd w:val="clear" w:color="auto" w:fill="CCCCCC"/>
          </w:tcPr>
          <w:p>
            <w:pPr>
              <w:spacing w:after="0"/>
              <w:rPr>
                <w:sz w:val="18"/>
                <w:szCs w:val="18"/>
                <w:color w:val="auto"/>
              </w:rPr>
            </w:pPr>
          </w:p>
        </w:tc>
        <w:tc>
          <w:tcPr>
            <w:tcW w:w="1620" w:type="dxa"/>
            <w:vAlign w:val="bottom"/>
            <w:tcBorders>
              <w:top w:val="single" w:sz="8" w:color="auto"/>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$105.4</w:t>
            </w:r>
          </w:p>
        </w:tc>
        <w:tc>
          <w:tcPr>
            <w:tcW w:w="420" w:type="dxa"/>
            <w:vAlign w:val="bottom"/>
            <w:tcBorders>
              <w:top w:val="single" w:sz="8" w:color="auto"/>
              <w:bottom w:val="single" w:sz="8" w:color="auto"/>
            </w:tcBorders>
            <w:shd w:val="clear" w:color="auto" w:fill="CCCCCC"/>
          </w:tcPr>
          <w:p>
            <w:pPr>
              <w:spacing w:after="0"/>
              <w:rPr>
                <w:sz w:val="18"/>
                <w:szCs w:val="18"/>
                <w:color w:val="auto"/>
              </w:rPr>
            </w:pPr>
          </w:p>
        </w:tc>
        <w:tc>
          <w:tcPr>
            <w:tcW w:w="1100" w:type="dxa"/>
            <w:vAlign w:val="bottom"/>
            <w:tcBorders>
              <w:top w:val="single" w:sz="8" w:color="auto"/>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$62.0</w:t>
            </w:r>
          </w:p>
        </w:tc>
        <w:tc>
          <w:tcPr>
            <w:tcW w:w="1760" w:type="dxa"/>
            <w:vAlign w:val="bottom"/>
            <w:tcBorders>
              <w:top w:val="single" w:sz="8" w:color="CCCCCC"/>
              <w:bottom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Adjusted net income</w:t>
            </w:r>
          </w:p>
        </w:tc>
        <w:tc>
          <w:tcPr>
            <w:tcW w:w="20" w:type="dxa"/>
            <w:vAlign w:val="bottom"/>
            <w:tcBorders>
              <w:bottom w:val="single" w:sz="8" w:color="CCCCCC"/>
            </w:tcBorders>
            <w:shd w:val="clear" w:color="auto" w:fill="CCCCCC"/>
          </w:tcPr>
          <w:p>
            <w:pPr>
              <w:spacing w:after="0"/>
              <w:rPr>
                <w:sz w:val="18"/>
                <w:szCs w:val="18"/>
                <w:color w:val="auto"/>
              </w:rPr>
            </w:pPr>
          </w:p>
        </w:tc>
        <w:tc>
          <w:tcPr>
            <w:tcW w:w="162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$225.1</w:t>
            </w:r>
          </w:p>
        </w:tc>
        <w:tc>
          <w:tcPr>
            <w:tcW w:w="420" w:type="dxa"/>
            <w:vAlign w:val="bottom"/>
            <w:tcBorders>
              <w:bottom w:val="single" w:sz="8" w:color="auto"/>
            </w:tcBorders>
            <w:shd w:val="clear" w:color="auto" w:fill="CCCCCC"/>
          </w:tcPr>
          <w:p>
            <w:pPr>
              <w:spacing w:after="0"/>
              <w:rPr>
                <w:sz w:val="18"/>
                <w:szCs w:val="18"/>
                <w:color w:val="auto"/>
              </w:rPr>
            </w:pPr>
          </w:p>
        </w:tc>
        <w:tc>
          <w:tcPr>
            <w:tcW w:w="1100" w:type="dxa"/>
            <w:vAlign w:val="bottom"/>
            <w:tcBorders>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$69.6</w:t>
            </w:r>
          </w:p>
        </w:tc>
        <w:tc>
          <w:tcPr>
            <w:tcW w:w="1760" w:type="dxa"/>
            <w:vAlign w:val="bottom"/>
            <w:tcBorders>
              <w:bottom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net income per diluted share</w:t>
            </w:r>
          </w:p>
        </w:tc>
        <w:tc>
          <w:tcPr>
            <w:tcW w:w="20" w:type="dxa"/>
            <w:vAlign w:val="bottom"/>
            <w:shd w:val="clear" w:color="auto" w:fill="CCCCCC"/>
          </w:tcPr>
          <w:p>
            <w:pPr>
              <w:spacing w:after="0"/>
              <w:rPr>
                <w:sz w:val="18"/>
                <w:szCs w:val="18"/>
                <w:color w:val="auto"/>
              </w:rPr>
            </w:pPr>
          </w:p>
        </w:tc>
        <w:tc>
          <w:tcPr>
            <w:tcW w:w="16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$4.20</w:t>
            </w:r>
          </w:p>
        </w:tc>
        <w:tc>
          <w:tcPr>
            <w:tcW w:w="420" w:type="dxa"/>
            <w:vAlign w:val="bottom"/>
            <w:shd w:val="clear" w:color="auto" w:fill="CCCCCC"/>
          </w:tcPr>
          <w:p>
            <w:pPr>
              <w:spacing w:after="0"/>
              <w:rPr>
                <w:sz w:val="18"/>
                <w:szCs w:val="18"/>
                <w:color w:val="auto"/>
              </w:rPr>
            </w:pPr>
          </w:p>
        </w:tc>
        <w:tc>
          <w:tcPr>
            <w:tcW w:w="110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$1.33</w:t>
            </w:r>
          </w:p>
        </w:tc>
        <w:tc>
          <w:tcPr>
            <w:tcW w:w="17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140" w:type="dxa"/>
            <w:vAlign w:val="bottom"/>
            <w:gridSpan w:val="2"/>
          </w:tcPr>
          <w:p>
            <w:pPr>
              <w:spacing w:after="0"/>
              <w:rPr>
                <w:sz w:val="4"/>
                <w:szCs w:val="4"/>
                <w:color w:val="auto"/>
              </w:rPr>
            </w:pPr>
          </w:p>
        </w:tc>
        <w:tc>
          <w:tcPr>
            <w:tcW w:w="204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180" w:type="dxa"/>
            <w:vAlign w:val="bottom"/>
            <w:gridSpan w:val="4"/>
            <w:shd w:val="clear" w:color="auto" w:fill="CCCCCC"/>
          </w:tcPr>
          <w:p>
            <w:pPr>
              <w:ind w:left="20"/>
              <w:spacing w:after="0"/>
              <w:rPr>
                <w:sz w:val="20"/>
                <w:szCs w:val="20"/>
                <w:color w:val="auto"/>
              </w:rPr>
            </w:pPr>
            <w:r>
              <w:rPr>
                <w:rFonts w:ascii="Arial" w:cs="Arial" w:eastAsia="Arial" w:hAnsi="Arial"/>
                <w:sz w:val="16"/>
                <w:szCs w:val="16"/>
                <w:color w:val="auto"/>
              </w:rPr>
              <w:t>* Amount incorporates $13.8 million of inventory reserves associated with the Company's travel health vaccines</w:t>
            </w:r>
          </w:p>
        </w:tc>
        <w:tc>
          <w:tcPr>
            <w:tcW w:w="1100" w:type="dxa"/>
            <w:vAlign w:val="bottom"/>
            <w:shd w:val="clear" w:color="auto" w:fill="CCCCCC"/>
          </w:tcPr>
          <w:p>
            <w:pPr>
              <w:spacing w:after="0"/>
              <w:rPr>
                <w:sz w:val="19"/>
                <w:szCs w:val="19"/>
                <w:color w:val="auto"/>
              </w:rPr>
            </w:pPr>
          </w:p>
        </w:tc>
        <w:tc>
          <w:tcPr>
            <w:tcW w:w="176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654685</wp:posOffset>
            </wp:positionV>
            <wp:extent cx="7020560" cy="251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0560" cy="25114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283210</wp:posOffset>
            </wp:positionV>
            <wp:extent cx="7003415" cy="2014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3415" cy="20142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shd w:val="clear" w:color="auto" w:fill="0F243E"/>
          </w:tcPr>
          <w:p>
            <w:pPr>
              <w:spacing w:after="0"/>
              <w:rPr>
                <w:sz w:val="16"/>
                <w:szCs w:val="16"/>
                <w:color w:val="auto"/>
              </w:rPr>
            </w:pPr>
          </w:p>
        </w:tc>
        <w:tc>
          <w:tcPr>
            <w:tcW w:w="4940" w:type="dxa"/>
            <w:vAlign w:val="bottom"/>
            <w:gridSpan w:val="2"/>
            <w:shd w:val="clear" w:color="auto" w:fill="0F243E"/>
          </w:tcPr>
          <w:p>
            <w:pPr>
              <w:jc w:val="center"/>
              <w:spacing w:after="0"/>
              <w:rPr>
                <w:sz w:val="20"/>
                <w:szCs w:val="20"/>
                <w:color w:val="auto"/>
              </w:rPr>
            </w:pPr>
            <w:r>
              <w:rPr>
                <w:rFonts w:ascii="Arial" w:cs="Arial" w:eastAsia="Arial" w:hAnsi="Arial"/>
                <w:sz w:val="16"/>
                <w:szCs w:val="16"/>
                <w:b w:val="1"/>
                <w:bCs w:val="1"/>
                <w:color w:val="FFFFFF"/>
              </w:rPr>
              <w:t>Updated 2020 Full Year</w:t>
            </w:r>
          </w:p>
        </w:tc>
        <w:tc>
          <w:tcPr>
            <w:tcW w:w="0" w:type="dxa"/>
            <w:vAlign w:val="bottom"/>
          </w:tcPr>
          <w:p>
            <w:pPr>
              <w:spacing w:after="0"/>
              <w:rPr>
                <w:sz w:val="1"/>
                <w:szCs w:val="1"/>
                <w:color w:val="auto"/>
              </w:rPr>
            </w:pPr>
          </w:p>
        </w:tc>
      </w:tr>
      <w:tr>
        <w:trPr>
          <w:trHeight w:val="229"/>
        </w:trPr>
        <w:tc>
          <w:tcPr>
            <w:tcW w:w="6080" w:type="dxa"/>
            <w:vAlign w:val="bottom"/>
            <w:shd w:val="clear" w:color="auto" w:fill="0F243E"/>
          </w:tcPr>
          <w:p>
            <w:pPr>
              <w:spacing w:after="0"/>
              <w:rPr>
                <w:sz w:val="19"/>
                <w:szCs w:val="19"/>
                <w:color w:val="auto"/>
              </w:rPr>
            </w:pPr>
          </w:p>
        </w:tc>
        <w:tc>
          <w:tcPr>
            <w:tcW w:w="4940" w:type="dxa"/>
            <w:vAlign w:val="bottom"/>
            <w:gridSpan w:val="2"/>
            <w:shd w:val="clear" w:color="auto" w:fill="0F243E"/>
          </w:tcPr>
          <w:p>
            <w:pPr>
              <w:jc w:val="center"/>
              <w:spacing w:after="0"/>
              <w:rPr>
                <w:sz w:val="20"/>
                <w:szCs w:val="20"/>
                <w:color w:val="auto"/>
              </w:rPr>
            </w:pPr>
            <w:r>
              <w:rPr>
                <w:rFonts w:ascii="Arial" w:cs="Arial" w:eastAsia="Arial" w:hAnsi="Arial"/>
                <w:sz w:val="16"/>
                <w:szCs w:val="16"/>
                <w:b w:val="1"/>
                <w:bCs w:val="1"/>
                <w:color w:val="FFFFFF"/>
              </w:rPr>
              <w:t>Forecast</w:t>
            </w:r>
          </w:p>
        </w:tc>
        <w:tc>
          <w:tcPr>
            <w:tcW w:w="0" w:type="dxa"/>
            <w:vAlign w:val="bottom"/>
          </w:tcPr>
          <w:p>
            <w:pPr>
              <w:spacing w:after="0"/>
              <w:rPr>
                <w:sz w:val="1"/>
                <w:szCs w:val="1"/>
                <w:color w:val="auto"/>
              </w:rPr>
            </w:pPr>
          </w:p>
        </w:tc>
      </w:tr>
      <w:tr>
        <w:trPr>
          <w:trHeight w:val="284"/>
        </w:trPr>
        <w:tc>
          <w:tcPr>
            <w:tcW w:w="608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2540" w:type="dxa"/>
            <w:vAlign w:val="bottom"/>
            <w:shd w:val="clear" w:color="auto" w:fill="0F243E"/>
          </w:tcPr>
          <w:p>
            <w:pPr>
              <w:jc w:val="right"/>
              <w:ind w:right="959"/>
              <w:spacing w:after="0"/>
              <w:rPr>
                <w:sz w:val="20"/>
                <w:szCs w:val="20"/>
                <w:color w:val="auto"/>
              </w:rPr>
            </w:pPr>
            <w:r>
              <w:rPr>
                <w:rFonts w:ascii="Arial" w:cs="Arial" w:eastAsia="Arial" w:hAnsi="Arial"/>
                <w:sz w:val="16"/>
                <w:szCs w:val="16"/>
                <w:b w:val="1"/>
                <w:bCs w:val="1"/>
                <w:color w:val="FFFFFF"/>
              </w:rPr>
              <w:t>2020F</w:t>
            </w:r>
          </w:p>
        </w:tc>
        <w:tc>
          <w:tcPr>
            <w:tcW w:w="240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rPr>
              <w:t>Source</w:t>
            </w:r>
          </w:p>
        </w:tc>
        <w:tc>
          <w:tcPr>
            <w:tcW w:w="0" w:type="dxa"/>
            <w:vAlign w:val="bottom"/>
          </w:tcPr>
          <w:p>
            <w:pPr>
              <w:spacing w:after="0"/>
              <w:rPr>
                <w:sz w:val="1"/>
                <w:szCs w:val="1"/>
                <w:color w:val="auto"/>
              </w:rPr>
            </w:pPr>
          </w:p>
        </w:tc>
      </w:tr>
      <w:tr>
        <w:trPr>
          <w:trHeight w:val="228"/>
        </w:trPr>
        <w:tc>
          <w:tcPr>
            <w:tcW w:w="6080" w:type="dxa"/>
            <w:vAlign w:val="bottom"/>
            <w:shd w:val="clear" w:color="auto" w:fill="CCCCCC"/>
          </w:tcPr>
          <w:p>
            <w:pPr>
              <w:ind w:left="40"/>
              <w:spacing w:after="0"/>
              <w:rPr>
                <w:sz w:val="20"/>
                <w:szCs w:val="20"/>
                <w:color w:val="auto"/>
              </w:rPr>
            </w:pPr>
            <w:r>
              <w:rPr>
                <w:rFonts w:ascii="Arial" w:cs="Arial" w:eastAsia="Arial" w:hAnsi="Arial"/>
                <w:sz w:val="16"/>
                <w:szCs w:val="16"/>
                <w:color w:val="auto"/>
              </w:rPr>
              <w:t>Net income</w:t>
            </w:r>
          </w:p>
        </w:tc>
        <w:tc>
          <w:tcPr>
            <w:tcW w:w="25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$255 - $285</w:t>
            </w:r>
          </w:p>
        </w:tc>
        <w:tc>
          <w:tcPr>
            <w:tcW w:w="24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CCCC"/>
          </w:tcPr>
          <w:p>
            <w:pPr>
              <w:ind w:left="140"/>
              <w:spacing w:after="0"/>
              <w:rPr>
                <w:sz w:val="20"/>
                <w:szCs w:val="20"/>
                <w:color w:val="auto"/>
              </w:rPr>
            </w:pPr>
            <w:r>
              <w:rPr>
                <w:rFonts w:ascii="Arial" w:cs="Arial" w:eastAsia="Arial" w:hAnsi="Arial"/>
                <w:sz w:val="16"/>
                <w:szCs w:val="16"/>
                <w:color w:val="auto"/>
              </w:rPr>
              <w:t>Adjustments:</w:t>
            </w:r>
          </w:p>
        </w:tc>
        <w:tc>
          <w:tcPr>
            <w:tcW w:w="2540" w:type="dxa"/>
            <w:vAlign w:val="bottom"/>
            <w:shd w:val="clear" w:color="auto" w:fill="CCCCCC"/>
          </w:tcPr>
          <w:p>
            <w:pPr>
              <w:spacing w:after="0"/>
              <w:rPr>
                <w:sz w:val="19"/>
                <w:szCs w:val="19"/>
                <w:color w:val="auto"/>
              </w:rPr>
            </w:pPr>
          </w:p>
        </w:tc>
        <w:tc>
          <w:tcPr>
            <w:tcW w:w="2400" w:type="dxa"/>
            <w:vAlign w:val="bottom"/>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080" w:type="dxa"/>
            <w:vAlign w:val="bottom"/>
            <w:vMerge w:val="restart"/>
            <w:shd w:val="clear" w:color="auto" w:fill="CCCCCC"/>
          </w:tcPr>
          <w:p>
            <w:pPr>
              <w:ind w:left="280"/>
              <w:spacing w:after="0"/>
              <w:rPr>
                <w:sz w:val="20"/>
                <w:szCs w:val="20"/>
                <w:color w:val="auto"/>
              </w:rPr>
            </w:pPr>
            <w:r>
              <w:rPr>
                <w:rFonts w:ascii="Arial" w:cs="Arial" w:eastAsia="Arial" w:hAnsi="Arial"/>
                <w:sz w:val="16"/>
                <w:szCs w:val="16"/>
                <w:color w:val="auto"/>
              </w:rPr>
              <w:t>+ Non-cash amortization charges</w:t>
            </w:r>
          </w:p>
        </w:tc>
        <w:tc>
          <w:tcPr>
            <w:tcW w:w="2540" w:type="dxa"/>
            <w:vAlign w:val="bottom"/>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63</w:t>
            </w:r>
          </w:p>
        </w:tc>
        <w:tc>
          <w:tcPr>
            <w:tcW w:w="2400" w:type="dxa"/>
            <w:vAlign w:val="bottom"/>
            <w:shd w:val="clear" w:color="auto" w:fill="CCCCCC"/>
          </w:tcPr>
          <w:p>
            <w:pPr>
              <w:jc w:val="center"/>
              <w:spacing w:after="0" w:line="178" w:lineRule="exact"/>
              <w:rPr>
                <w:sz w:val="20"/>
                <w:szCs w:val="20"/>
                <w:color w:val="auto"/>
              </w:rPr>
            </w:pPr>
            <w:r>
              <w:rPr>
                <w:rFonts w:ascii="Arial" w:cs="Arial" w:eastAsia="Arial" w:hAnsi="Arial"/>
                <w:sz w:val="16"/>
                <w:szCs w:val="16"/>
                <w:color w:val="auto"/>
              </w:rPr>
              <w:t>Intangible Asset Amortization,</w:t>
            </w:r>
          </w:p>
        </w:tc>
        <w:tc>
          <w:tcPr>
            <w:tcW w:w="0" w:type="dxa"/>
            <w:vAlign w:val="bottom"/>
          </w:tcPr>
          <w:p>
            <w:pPr>
              <w:spacing w:after="0"/>
              <w:rPr>
                <w:sz w:val="1"/>
                <w:szCs w:val="1"/>
                <w:color w:val="auto"/>
              </w:rPr>
            </w:pPr>
          </w:p>
        </w:tc>
      </w:tr>
      <w:tr>
        <w:trPr>
          <w:trHeight w:val="133"/>
        </w:trPr>
        <w:tc>
          <w:tcPr>
            <w:tcW w:w="6080" w:type="dxa"/>
            <w:vAlign w:val="bottom"/>
            <w:vMerge w:val="continue"/>
            <w:shd w:val="clear" w:color="auto" w:fill="CCCCCC"/>
          </w:tcPr>
          <w:p>
            <w:pPr>
              <w:spacing w:after="0"/>
              <w:rPr>
                <w:sz w:val="11"/>
                <w:szCs w:val="11"/>
                <w:color w:val="auto"/>
              </w:rPr>
            </w:pPr>
          </w:p>
        </w:tc>
        <w:tc>
          <w:tcPr>
            <w:tcW w:w="2540" w:type="dxa"/>
            <w:vAlign w:val="bottom"/>
            <w:vMerge w:val="continue"/>
            <w:shd w:val="clear" w:color="auto" w:fill="CCCCCC"/>
          </w:tcPr>
          <w:p>
            <w:pPr>
              <w:spacing w:after="0"/>
              <w:rPr>
                <w:sz w:val="11"/>
                <w:szCs w:val="11"/>
                <w:color w:val="auto"/>
              </w:rPr>
            </w:pPr>
          </w:p>
        </w:tc>
        <w:tc>
          <w:tcPr>
            <w:tcW w:w="2400" w:type="dxa"/>
            <w:vAlign w:val="bottom"/>
            <w:vMerge w:val="restart"/>
            <w:shd w:val="clear" w:color="auto" w:fill="CCCCCC"/>
          </w:tcPr>
          <w:p>
            <w:pPr>
              <w:jc w:val="center"/>
              <w:spacing w:after="0"/>
              <w:rPr>
                <w:sz w:val="20"/>
                <w:szCs w:val="20"/>
                <w:color w:val="auto"/>
              </w:rPr>
            </w:pPr>
            <w:r>
              <w:rPr>
                <w:rFonts w:ascii="Arial" w:cs="Arial" w:eastAsia="Arial" w:hAnsi="Arial"/>
                <w:sz w:val="16"/>
                <w:szCs w:val="16"/>
                <w:color w:val="auto"/>
              </w:rPr>
              <w:t>Other Income</w:t>
            </w:r>
          </w:p>
        </w:tc>
        <w:tc>
          <w:tcPr>
            <w:tcW w:w="0" w:type="dxa"/>
            <w:vAlign w:val="bottom"/>
          </w:tcPr>
          <w:p>
            <w:pPr>
              <w:spacing w:after="0"/>
              <w:rPr>
                <w:sz w:val="1"/>
                <w:szCs w:val="1"/>
                <w:color w:val="auto"/>
              </w:rPr>
            </w:pPr>
          </w:p>
        </w:tc>
      </w:tr>
      <w:tr>
        <w:trPr>
          <w:trHeight w:val="83"/>
        </w:trPr>
        <w:tc>
          <w:tcPr>
            <w:tcW w:w="6080" w:type="dxa"/>
            <w:vAlign w:val="bottom"/>
            <w:shd w:val="clear" w:color="auto" w:fill="CCCCCC"/>
          </w:tcPr>
          <w:p>
            <w:pPr>
              <w:spacing w:after="0"/>
              <w:rPr>
                <w:sz w:val="7"/>
                <w:szCs w:val="7"/>
                <w:color w:val="auto"/>
              </w:rPr>
            </w:pPr>
          </w:p>
        </w:tc>
        <w:tc>
          <w:tcPr>
            <w:tcW w:w="2540" w:type="dxa"/>
            <w:vAlign w:val="bottom"/>
            <w:shd w:val="clear" w:color="auto" w:fill="CCCCCC"/>
          </w:tcPr>
          <w:p>
            <w:pPr>
              <w:spacing w:after="0"/>
              <w:rPr>
                <w:sz w:val="7"/>
                <w:szCs w:val="7"/>
                <w:color w:val="auto"/>
              </w:rPr>
            </w:pPr>
          </w:p>
        </w:tc>
        <w:tc>
          <w:tcPr>
            <w:tcW w:w="2400" w:type="dxa"/>
            <w:vAlign w:val="bottom"/>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0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Changes in fair value of contingent consideration</w:t>
            </w:r>
          </w:p>
        </w:tc>
        <w:tc>
          <w:tcPr>
            <w:tcW w:w="25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32</w:t>
            </w:r>
          </w:p>
        </w:tc>
        <w:tc>
          <w:tcPr>
            <w:tcW w:w="24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230"/>
        </w:trPr>
        <w:tc>
          <w:tcPr>
            <w:tcW w:w="60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Impairment of IPR&amp;D intangible asset</w:t>
            </w:r>
          </w:p>
        </w:tc>
        <w:tc>
          <w:tcPr>
            <w:tcW w:w="25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29</w:t>
            </w:r>
          </w:p>
        </w:tc>
        <w:tc>
          <w:tcPr>
            <w:tcW w:w="24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R&amp;D</w:t>
            </w:r>
          </w:p>
        </w:tc>
        <w:tc>
          <w:tcPr>
            <w:tcW w:w="0" w:type="dxa"/>
            <w:vAlign w:val="bottom"/>
          </w:tcPr>
          <w:p>
            <w:pPr>
              <w:spacing w:after="0"/>
              <w:rPr>
                <w:sz w:val="1"/>
                <w:szCs w:val="1"/>
                <w:color w:val="auto"/>
              </w:rPr>
            </w:pPr>
          </w:p>
        </w:tc>
      </w:tr>
      <w:tr>
        <w:trPr>
          <w:trHeight w:val="230"/>
        </w:trPr>
        <w:tc>
          <w:tcPr>
            <w:tcW w:w="60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Exit and disposal costs</w:t>
            </w:r>
          </w:p>
        </w:tc>
        <w:tc>
          <w:tcPr>
            <w:tcW w:w="25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17</w:t>
            </w:r>
          </w:p>
        </w:tc>
        <w:tc>
          <w:tcPr>
            <w:tcW w:w="240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COGS, SG&amp;A, Other Income</w:t>
            </w:r>
          </w:p>
        </w:tc>
        <w:tc>
          <w:tcPr>
            <w:tcW w:w="0" w:type="dxa"/>
            <w:vAlign w:val="bottom"/>
          </w:tcPr>
          <w:p>
            <w:pPr>
              <w:spacing w:after="0"/>
              <w:rPr>
                <w:sz w:val="1"/>
                <w:szCs w:val="1"/>
                <w:color w:val="auto"/>
              </w:rPr>
            </w:pPr>
          </w:p>
        </w:tc>
      </w:tr>
      <w:tr>
        <w:trPr>
          <w:trHeight w:val="229"/>
        </w:trPr>
        <w:tc>
          <w:tcPr>
            <w:tcW w:w="60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&amp; integration)</w:t>
            </w:r>
          </w:p>
        </w:tc>
        <w:tc>
          <w:tcPr>
            <w:tcW w:w="25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1</w:t>
            </w:r>
          </w:p>
        </w:tc>
        <w:tc>
          <w:tcPr>
            <w:tcW w:w="240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8"/>
              </w:rPr>
              <w:t>SG&amp;A</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2540" w:type="dxa"/>
            <w:vAlign w:val="bottom"/>
            <w:tcBorders>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(22)</w:t>
            </w:r>
          </w:p>
        </w:tc>
        <w:tc>
          <w:tcPr>
            <w:tcW w:w="2400" w:type="dxa"/>
            <w:vAlign w:val="bottom"/>
            <w:tcBorders>
              <w:bottom w:val="single" w:sz="8" w:color="CCCCCC"/>
            </w:tcBorders>
            <w:shd w:val="clear" w:color="auto" w:fill="CCCCC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08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Total adjustments:</w:t>
            </w:r>
          </w:p>
        </w:tc>
        <w:tc>
          <w:tcPr>
            <w:tcW w:w="2540" w:type="dxa"/>
            <w:vAlign w:val="bottom"/>
            <w:tcBorders>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$120</w:t>
            </w:r>
          </w:p>
        </w:tc>
        <w:tc>
          <w:tcPr>
            <w:tcW w:w="2400" w:type="dxa"/>
            <w:vAlign w:val="bottom"/>
            <w:tcBorders>
              <w:bottom w:val="single" w:sz="8" w:color="CCCCCC"/>
            </w:tcBorders>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net income</w:t>
            </w:r>
          </w:p>
        </w:tc>
        <w:tc>
          <w:tcPr>
            <w:tcW w:w="254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$375 - $405</w:t>
            </w:r>
          </w:p>
        </w:tc>
        <w:tc>
          <w:tcPr>
            <w:tcW w:w="240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 of 15</w:t>
      </w:r>
    </w:p>
    <w:p>
      <w:pPr>
        <w:sectPr>
          <w:pgSz w:w="11900" w:h="16838" w:orient="portrait"/>
          <w:cols w:equalWidth="0" w:num="1">
            <w:col w:w="11060"/>
          </w:cols>
          <w:pgMar w:left="400" w:top="1031"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Reconciliation of Net Income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97155</wp:posOffset>
            </wp:positionV>
            <wp:extent cx="7012305" cy="2117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2305" cy="2117090"/>
                    </a:xfrm>
                    <a:prstGeom prst="rect">
                      <a:avLst/>
                    </a:prstGeom>
                    <a:noFill/>
                  </pic:spPr>
                </pic:pic>
              </a:graphicData>
            </a:graphic>
          </wp:anchor>
        </w:drawing>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249"/>
        </w:trPr>
        <w:tc>
          <w:tcPr>
            <w:tcW w:w="6560" w:type="dxa"/>
            <w:vAlign w:val="bottom"/>
            <w:shd w:val="clear" w:color="auto" w:fill="0F243E"/>
          </w:tcPr>
          <w:p>
            <w:pPr>
              <w:spacing w:after="0"/>
              <w:rPr>
                <w:sz w:val="21"/>
                <w:szCs w:val="21"/>
                <w:color w:val="auto"/>
              </w:rPr>
            </w:pPr>
          </w:p>
        </w:tc>
        <w:tc>
          <w:tcPr>
            <w:tcW w:w="20" w:type="dxa"/>
            <w:vAlign w:val="bottom"/>
            <w:shd w:val="clear" w:color="auto" w:fill="0F243E"/>
          </w:tcPr>
          <w:p>
            <w:pPr>
              <w:spacing w:after="0"/>
              <w:rPr>
                <w:sz w:val="21"/>
                <w:szCs w:val="21"/>
                <w:color w:val="auto"/>
              </w:rPr>
            </w:pPr>
          </w:p>
        </w:tc>
        <w:tc>
          <w:tcPr>
            <w:tcW w:w="4460" w:type="dxa"/>
            <w:vAlign w:val="bottom"/>
            <w:gridSpan w:val="2"/>
            <w:shd w:val="clear" w:color="auto" w:fill="0F243E"/>
          </w:tcPr>
          <w:p>
            <w:pPr>
              <w:jc w:val="right"/>
              <w:ind w:right="779"/>
              <w:spacing w:after="0"/>
              <w:rPr>
                <w:sz w:val="20"/>
                <w:szCs w:val="20"/>
                <w:color w:val="auto"/>
              </w:rPr>
            </w:pPr>
            <w:r>
              <w:rPr>
                <w:rFonts w:ascii="Arial" w:cs="Arial" w:eastAsia="Arial" w:hAnsi="Arial"/>
                <w:sz w:val="16"/>
                <w:szCs w:val="16"/>
                <w:b w:val="1"/>
                <w:bCs w:val="1"/>
                <w:color w:val="FFFFFF"/>
              </w:rPr>
              <w:t>Three Months Ended September 30,</w:t>
            </w:r>
          </w:p>
        </w:tc>
      </w:tr>
      <w:tr>
        <w:trPr>
          <w:trHeight w:val="291"/>
        </w:trPr>
        <w:tc>
          <w:tcPr>
            <w:tcW w:w="656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2300" w:type="dxa"/>
            <w:vAlign w:val="bottom"/>
            <w:gridSpan w:val="2"/>
            <w:shd w:val="clear" w:color="auto" w:fill="0F243E"/>
          </w:tcPr>
          <w:p>
            <w:pPr>
              <w:jc w:val="right"/>
              <w:ind w:right="879"/>
              <w:spacing w:after="0"/>
              <w:rPr>
                <w:sz w:val="20"/>
                <w:szCs w:val="20"/>
                <w:color w:val="auto"/>
              </w:rPr>
            </w:pPr>
            <w:r>
              <w:rPr>
                <w:rFonts w:ascii="Arial" w:cs="Arial" w:eastAsia="Arial" w:hAnsi="Arial"/>
                <w:sz w:val="16"/>
                <w:szCs w:val="16"/>
                <w:b w:val="1"/>
                <w:bCs w:val="1"/>
                <w:color w:val="FFFFFF"/>
              </w:rPr>
              <w:t>2020</w:t>
            </w:r>
          </w:p>
        </w:tc>
        <w:tc>
          <w:tcPr>
            <w:tcW w:w="2180" w:type="dxa"/>
            <w:vAlign w:val="bottom"/>
            <w:shd w:val="clear" w:color="auto" w:fill="0F243E"/>
          </w:tcPr>
          <w:p>
            <w:pPr>
              <w:jc w:val="right"/>
              <w:ind w:right="839"/>
              <w:spacing w:after="0"/>
              <w:rPr>
                <w:sz w:val="20"/>
                <w:szCs w:val="20"/>
                <w:color w:val="auto"/>
              </w:rPr>
            </w:pPr>
            <w:r>
              <w:rPr>
                <w:rFonts w:ascii="Arial" w:cs="Arial" w:eastAsia="Arial" w:hAnsi="Arial"/>
                <w:sz w:val="16"/>
                <w:szCs w:val="16"/>
                <w:b w:val="1"/>
                <w:bCs w:val="1"/>
                <w:color w:val="FFFFFF"/>
              </w:rPr>
              <w:t>2019</w:t>
            </w:r>
          </w:p>
        </w:tc>
      </w:tr>
      <w:tr>
        <w:trPr>
          <w:trHeight w:val="228"/>
        </w:trPr>
        <w:tc>
          <w:tcPr>
            <w:tcW w:w="6560" w:type="dxa"/>
            <w:vAlign w:val="bottom"/>
            <w:shd w:val="clear" w:color="auto" w:fill="CCCCCC"/>
          </w:tcPr>
          <w:p>
            <w:pPr>
              <w:ind w:left="20"/>
              <w:spacing w:after="0"/>
              <w:rPr>
                <w:sz w:val="20"/>
                <w:szCs w:val="20"/>
                <w:color w:val="auto"/>
              </w:rPr>
            </w:pPr>
            <w:r>
              <w:rPr>
                <w:rFonts w:ascii="Arial" w:cs="Arial" w:eastAsia="Arial" w:hAnsi="Arial"/>
                <w:sz w:val="16"/>
                <w:szCs w:val="16"/>
                <w:color w:val="auto"/>
              </w:rPr>
              <w:t>Net income</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$39.5</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$43.2</w:t>
            </w:r>
          </w:p>
        </w:tc>
      </w:tr>
      <w:tr>
        <w:trPr>
          <w:trHeight w:val="229"/>
        </w:trPr>
        <w:tc>
          <w:tcPr>
            <w:tcW w:w="6560" w:type="dxa"/>
            <w:vAlign w:val="bottom"/>
            <w:shd w:val="clear" w:color="auto" w:fill="CCCCCC"/>
          </w:tcPr>
          <w:p>
            <w:pPr>
              <w:ind w:left="200"/>
              <w:spacing w:after="0"/>
              <w:rPr>
                <w:sz w:val="20"/>
                <w:szCs w:val="20"/>
                <w:color w:val="auto"/>
              </w:rPr>
            </w:pPr>
            <w:r>
              <w:rPr>
                <w:rFonts w:ascii="Arial" w:cs="Arial" w:eastAsia="Arial" w:hAnsi="Arial"/>
                <w:sz w:val="16"/>
                <w:szCs w:val="16"/>
                <w:color w:val="auto"/>
              </w:rPr>
              <w:t>Adjustments:</w:t>
            </w:r>
          </w:p>
        </w:tc>
        <w:tc>
          <w:tcPr>
            <w:tcW w:w="20" w:type="dxa"/>
            <w:vAlign w:val="bottom"/>
            <w:shd w:val="clear" w:color="auto" w:fill="CCCCCC"/>
          </w:tcPr>
          <w:p>
            <w:pPr>
              <w:spacing w:after="0"/>
              <w:rPr>
                <w:sz w:val="19"/>
                <w:szCs w:val="19"/>
                <w:color w:val="auto"/>
              </w:rPr>
            </w:pPr>
          </w:p>
        </w:tc>
        <w:tc>
          <w:tcPr>
            <w:tcW w:w="2280" w:type="dxa"/>
            <w:vAlign w:val="bottom"/>
            <w:shd w:val="clear" w:color="auto" w:fill="CCCCCC"/>
          </w:tcPr>
          <w:p>
            <w:pPr>
              <w:spacing w:after="0"/>
              <w:rPr>
                <w:sz w:val="19"/>
                <w:szCs w:val="19"/>
                <w:color w:val="auto"/>
              </w:rPr>
            </w:pPr>
          </w:p>
        </w:tc>
        <w:tc>
          <w:tcPr>
            <w:tcW w:w="2180" w:type="dxa"/>
            <w:vAlign w:val="bottom"/>
            <w:shd w:val="clear" w:color="auto" w:fill="CCCCCC"/>
          </w:tcPr>
          <w:p>
            <w:pPr>
              <w:spacing w:after="0"/>
              <w:rPr>
                <w:sz w:val="19"/>
                <w:szCs w:val="19"/>
                <w:color w:val="auto"/>
              </w:rPr>
            </w:pPr>
          </w:p>
        </w:tc>
      </w:tr>
      <w:tr>
        <w:trPr>
          <w:trHeight w:val="230"/>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Depreciation &amp; amortization</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28.8</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27.7</w:t>
            </w:r>
          </w:p>
        </w:tc>
      </w:tr>
      <w:tr>
        <w:trPr>
          <w:trHeight w:val="229"/>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Provision for income taxes</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15.5</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15.7</w:t>
            </w:r>
          </w:p>
        </w:tc>
      </w:tr>
      <w:tr>
        <w:trPr>
          <w:trHeight w:val="229"/>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Total interest expense, net*</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7.5</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9.7</w:t>
            </w:r>
          </w:p>
        </w:tc>
      </w:tr>
      <w:tr>
        <w:trPr>
          <w:trHeight w:val="230"/>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Changes in fair value of contingent consideration</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30.2</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6.9</w:t>
            </w:r>
          </w:p>
        </w:tc>
      </w:tr>
      <w:tr>
        <w:trPr>
          <w:trHeight w:val="229"/>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Impairment of IPR&amp;D intangible asset</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29.0</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Exit and disposal costs**</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17.1</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r>
      <w:tr>
        <w:trPr>
          <w:trHeight w:val="229"/>
        </w:trPr>
        <w:tc>
          <w:tcPr>
            <w:tcW w:w="656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&amp; integration)</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0.5</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3.2</w:t>
            </w:r>
          </w:p>
        </w:tc>
      </w:tr>
      <w:tr>
        <w:trPr>
          <w:trHeight w:val="212"/>
        </w:trPr>
        <w:tc>
          <w:tcPr>
            <w:tcW w:w="6560" w:type="dxa"/>
            <w:vAlign w:val="bottom"/>
            <w:tcBorders>
              <w:top w:val="single" w:sz="8" w:color="CCCCCC"/>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Total adjustments</w:t>
            </w:r>
          </w:p>
        </w:tc>
        <w:tc>
          <w:tcPr>
            <w:tcW w:w="20" w:type="dxa"/>
            <w:vAlign w:val="bottom"/>
            <w:tcBorders>
              <w:top w:val="single" w:sz="8" w:color="CCCCCC"/>
              <w:bottom w:val="single" w:sz="8" w:color="auto"/>
            </w:tcBorders>
            <w:shd w:val="clear" w:color="auto" w:fill="CCCCCC"/>
          </w:tcPr>
          <w:p>
            <w:pPr>
              <w:spacing w:after="0"/>
              <w:rPr>
                <w:sz w:val="18"/>
                <w:szCs w:val="18"/>
                <w:color w:val="auto"/>
              </w:rPr>
            </w:pPr>
          </w:p>
        </w:tc>
        <w:tc>
          <w:tcPr>
            <w:tcW w:w="2280" w:type="dxa"/>
            <w:vAlign w:val="bottom"/>
            <w:tcBorders>
              <w:top w:val="single" w:sz="8" w:color="auto"/>
              <w:bottom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$128.6</w:t>
            </w:r>
          </w:p>
        </w:tc>
        <w:tc>
          <w:tcPr>
            <w:tcW w:w="2180" w:type="dxa"/>
            <w:vAlign w:val="bottom"/>
            <w:tcBorders>
              <w:top w:val="single" w:sz="8" w:color="auto"/>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$63.2</w:t>
            </w:r>
          </w:p>
        </w:tc>
      </w:tr>
      <w:tr>
        <w:trPr>
          <w:trHeight w:val="210"/>
        </w:trPr>
        <w:tc>
          <w:tcPr>
            <w:tcW w:w="656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EBITDA</w:t>
            </w:r>
          </w:p>
        </w:tc>
        <w:tc>
          <w:tcPr>
            <w:tcW w:w="230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$168.1</w:t>
            </w:r>
          </w:p>
        </w:tc>
        <w:tc>
          <w:tcPr>
            <w:tcW w:w="21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$106.4</w:t>
            </w:r>
          </w:p>
        </w:tc>
      </w:tr>
      <w:tr>
        <w:trPr>
          <w:trHeight w:val="54"/>
        </w:trPr>
        <w:tc>
          <w:tcPr>
            <w:tcW w:w="65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180" w:type="dxa"/>
            <w:vAlign w:val="bottom"/>
          </w:tcPr>
          <w:p>
            <w:pPr>
              <w:spacing w:after="0"/>
              <w:rPr>
                <w:sz w:val="4"/>
                <w:szCs w:val="4"/>
                <w:color w:val="auto"/>
              </w:rPr>
            </w:pPr>
          </w:p>
        </w:tc>
      </w:tr>
      <w:tr>
        <w:trPr>
          <w:trHeight w:val="211"/>
        </w:trPr>
        <w:tc>
          <w:tcPr>
            <w:tcW w:w="6560" w:type="dxa"/>
            <w:vAlign w:val="bottom"/>
            <w:shd w:val="clear" w:color="auto" w:fill="CCCCCC"/>
          </w:tcPr>
          <w:p>
            <w:pPr>
              <w:ind w:left="40"/>
              <w:spacing w:after="0"/>
              <w:rPr>
                <w:sz w:val="20"/>
                <w:szCs w:val="20"/>
                <w:color w:val="auto"/>
              </w:rPr>
            </w:pPr>
            <w:r>
              <w:rPr>
                <w:rFonts w:ascii="Arial" w:cs="Arial" w:eastAsia="Arial" w:hAnsi="Arial"/>
                <w:sz w:val="16"/>
                <w:szCs w:val="16"/>
                <w:color w:val="auto"/>
              </w:rPr>
              <w:t>* Includes interest income of $0.1 million in 2020 and $0.6 million in 2019</w:t>
            </w:r>
          </w:p>
        </w:tc>
        <w:tc>
          <w:tcPr>
            <w:tcW w:w="20" w:type="dxa"/>
            <w:vAlign w:val="bottom"/>
            <w:shd w:val="clear" w:color="auto" w:fill="CCCCCC"/>
          </w:tcPr>
          <w:p>
            <w:pPr>
              <w:spacing w:after="0"/>
              <w:rPr>
                <w:sz w:val="18"/>
                <w:szCs w:val="18"/>
                <w:color w:val="auto"/>
              </w:rPr>
            </w:pPr>
          </w:p>
        </w:tc>
        <w:tc>
          <w:tcPr>
            <w:tcW w:w="2280" w:type="dxa"/>
            <w:vAlign w:val="bottom"/>
            <w:shd w:val="clear" w:color="auto" w:fill="CCCCCC"/>
          </w:tcPr>
          <w:p>
            <w:pPr>
              <w:spacing w:after="0"/>
              <w:rPr>
                <w:sz w:val="18"/>
                <w:szCs w:val="18"/>
                <w:color w:val="auto"/>
              </w:rPr>
            </w:pPr>
          </w:p>
        </w:tc>
        <w:tc>
          <w:tcPr>
            <w:tcW w:w="2180" w:type="dxa"/>
            <w:vAlign w:val="bottom"/>
            <w:shd w:val="clear" w:color="auto" w:fill="CCCCCC"/>
          </w:tcPr>
          <w:p>
            <w:pPr>
              <w:spacing w:after="0"/>
              <w:rPr>
                <w:sz w:val="18"/>
                <w:szCs w:val="18"/>
                <w:color w:val="auto"/>
              </w:rPr>
            </w:pPr>
          </w:p>
        </w:tc>
      </w:tr>
      <w:tr>
        <w:trPr>
          <w:trHeight w:val="221"/>
        </w:trPr>
        <w:tc>
          <w:tcPr>
            <w:tcW w:w="8860" w:type="dxa"/>
            <w:vAlign w:val="bottom"/>
            <w:gridSpan w:val="3"/>
            <w:shd w:val="clear" w:color="auto" w:fill="CCCCCC"/>
          </w:tcPr>
          <w:p>
            <w:pPr>
              <w:ind w:left="20"/>
              <w:spacing w:after="0"/>
              <w:rPr>
                <w:sz w:val="20"/>
                <w:szCs w:val="20"/>
                <w:color w:val="auto"/>
              </w:rPr>
            </w:pPr>
            <w:r>
              <w:rPr>
                <w:rFonts w:ascii="Arial" w:cs="Arial" w:eastAsia="Arial" w:hAnsi="Arial"/>
                <w:sz w:val="16"/>
                <w:szCs w:val="16"/>
                <w:color w:val="auto"/>
              </w:rPr>
              <w:t>** Amount incorporates $13.8 million of inventory reserves associated with the Company's travel health vaccines</w:t>
            </w:r>
          </w:p>
        </w:tc>
        <w:tc>
          <w:tcPr>
            <w:tcW w:w="2180" w:type="dxa"/>
            <w:vAlign w:val="bottom"/>
            <w:shd w:val="clear" w:color="auto" w:fill="CCCCC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291465</wp:posOffset>
            </wp:positionV>
            <wp:extent cx="6986905" cy="2400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6905" cy="24003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6480" w:type="dxa"/>
            <w:vAlign w:val="bottom"/>
            <w:shd w:val="clear" w:color="auto" w:fill="0F243E"/>
          </w:tcPr>
          <w:p>
            <w:pPr>
              <w:spacing w:after="0"/>
              <w:rPr>
                <w:sz w:val="21"/>
                <w:szCs w:val="21"/>
                <w:color w:val="auto"/>
              </w:rPr>
            </w:pPr>
          </w:p>
        </w:tc>
        <w:tc>
          <w:tcPr>
            <w:tcW w:w="20" w:type="dxa"/>
            <w:vAlign w:val="bottom"/>
            <w:shd w:val="clear" w:color="auto" w:fill="0F243E"/>
          </w:tcPr>
          <w:p>
            <w:pPr>
              <w:spacing w:after="0"/>
              <w:rPr>
                <w:sz w:val="21"/>
                <w:szCs w:val="21"/>
                <w:color w:val="auto"/>
              </w:rPr>
            </w:pPr>
          </w:p>
        </w:tc>
        <w:tc>
          <w:tcPr>
            <w:tcW w:w="500" w:type="dxa"/>
            <w:vAlign w:val="bottom"/>
            <w:shd w:val="clear" w:color="auto" w:fill="0F243E"/>
          </w:tcPr>
          <w:p>
            <w:pPr>
              <w:spacing w:after="0"/>
              <w:rPr>
                <w:sz w:val="21"/>
                <w:szCs w:val="21"/>
                <w:color w:val="auto"/>
              </w:rPr>
            </w:pPr>
          </w:p>
        </w:tc>
        <w:tc>
          <w:tcPr>
            <w:tcW w:w="4000" w:type="dxa"/>
            <w:vAlign w:val="bottom"/>
            <w:gridSpan w:val="3"/>
            <w:shd w:val="clear" w:color="auto" w:fill="0F243E"/>
          </w:tcPr>
          <w:p>
            <w:pPr>
              <w:jc w:val="right"/>
              <w:ind w:right="839"/>
              <w:spacing w:after="0"/>
              <w:rPr>
                <w:sz w:val="20"/>
                <w:szCs w:val="20"/>
                <w:color w:val="auto"/>
              </w:rPr>
            </w:pPr>
            <w:r>
              <w:rPr>
                <w:rFonts w:ascii="Arial" w:cs="Arial" w:eastAsia="Arial" w:hAnsi="Arial"/>
                <w:sz w:val="16"/>
                <w:szCs w:val="16"/>
                <w:b w:val="1"/>
                <w:bCs w:val="1"/>
                <w:color w:val="FFFFFF"/>
              </w:rPr>
              <w:t>Nine Months Ended September 30,</w:t>
            </w:r>
          </w:p>
        </w:tc>
        <w:tc>
          <w:tcPr>
            <w:tcW w:w="20" w:type="dxa"/>
            <w:vAlign w:val="bottom"/>
          </w:tcPr>
          <w:p>
            <w:pPr>
              <w:spacing w:after="0"/>
              <w:rPr>
                <w:sz w:val="21"/>
                <w:szCs w:val="21"/>
                <w:color w:val="auto"/>
              </w:rPr>
            </w:pPr>
          </w:p>
        </w:tc>
      </w:tr>
      <w:tr>
        <w:trPr>
          <w:trHeight w:val="291"/>
        </w:trPr>
        <w:tc>
          <w:tcPr>
            <w:tcW w:w="6500" w:type="dxa"/>
            <w:vAlign w:val="bottom"/>
            <w:gridSpan w:val="2"/>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500" w:type="dxa"/>
            <w:vAlign w:val="bottom"/>
            <w:shd w:val="clear" w:color="auto" w:fill="0F243E"/>
          </w:tcPr>
          <w:p>
            <w:pPr>
              <w:spacing w:after="0"/>
              <w:rPr>
                <w:sz w:val="24"/>
                <w:szCs w:val="24"/>
                <w:color w:val="auto"/>
              </w:rPr>
            </w:pPr>
          </w:p>
        </w:tc>
        <w:tc>
          <w:tcPr>
            <w:tcW w:w="1780" w:type="dxa"/>
            <w:vAlign w:val="bottom"/>
            <w:shd w:val="clear" w:color="auto" w:fill="0F243E"/>
          </w:tcPr>
          <w:p>
            <w:pPr>
              <w:jc w:val="right"/>
              <w:ind w:right="879"/>
              <w:spacing w:after="0"/>
              <w:rPr>
                <w:sz w:val="20"/>
                <w:szCs w:val="20"/>
                <w:color w:val="auto"/>
              </w:rPr>
            </w:pPr>
            <w:r>
              <w:rPr>
                <w:rFonts w:ascii="Arial" w:cs="Arial" w:eastAsia="Arial" w:hAnsi="Arial"/>
                <w:sz w:val="16"/>
                <w:szCs w:val="16"/>
                <w:b w:val="1"/>
                <w:bCs w:val="1"/>
                <w:color w:val="FFFFFF"/>
              </w:rPr>
              <w:t>2020</w:t>
            </w:r>
          </w:p>
        </w:tc>
        <w:tc>
          <w:tcPr>
            <w:tcW w:w="520" w:type="dxa"/>
            <w:vAlign w:val="bottom"/>
            <w:shd w:val="clear" w:color="auto" w:fill="0F243E"/>
          </w:tcPr>
          <w:p>
            <w:pPr>
              <w:spacing w:after="0"/>
              <w:rPr>
                <w:sz w:val="24"/>
                <w:szCs w:val="24"/>
                <w:color w:val="auto"/>
              </w:rPr>
            </w:pPr>
          </w:p>
        </w:tc>
        <w:tc>
          <w:tcPr>
            <w:tcW w:w="1700" w:type="dxa"/>
            <w:vAlign w:val="bottom"/>
            <w:shd w:val="clear" w:color="auto" w:fill="0F243E"/>
          </w:tcPr>
          <w:p>
            <w:pPr>
              <w:jc w:val="right"/>
              <w:ind w:right="839"/>
              <w:spacing w:after="0"/>
              <w:rPr>
                <w:sz w:val="20"/>
                <w:szCs w:val="20"/>
                <w:color w:val="auto"/>
              </w:rPr>
            </w:pPr>
            <w:r>
              <w:rPr>
                <w:rFonts w:ascii="Arial" w:cs="Arial" w:eastAsia="Arial" w:hAnsi="Arial"/>
                <w:sz w:val="16"/>
                <w:szCs w:val="16"/>
                <w:b w:val="1"/>
                <w:bCs w:val="1"/>
                <w:color w:val="FFFFFF"/>
              </w:rPr>
              <w:t>2019</w:t>
            </w:r>
          </w:p>
        </w:tc>
        <w:tc>
          <w:tcPr>
            <w:tcW w:w="20" w:type="dxa"/>
            <w:vAlign w:val="bottom"/>
          </w:tcPr>
          <w:p>
            <w:pPr>
              <w:spacing w:after="0"/>
              <w:rPr>
                <w:sz w:val="24"/>
                <w:szCs w:val="24"/>
                <w:color w:val="auto"/>
              </w:rPr>
            </w:pPr>
          </w:p>
        </w:tc>
      </w:tr>
      <w:tr>
        <w:trPr>
          <w:trHeight w:val="228"/>
        </w:trPr>
        <w:tc>
          <w:tcPr>
            <w:tcW w:w="6500" w:type="dxa"/>
            <w:vAlign w:val="bottom"/>
            <w:gridSpan w:val="2"/>
            <w:shd w:val="clear" w:color="auto" w:fill="CCCCCC"/>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$119.7</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9"/>
                <w:szCs w:val="19"/>
                <w:color w:val="auto"/>
              </w:rPr>
            </w:pPr>
          </w:p>
        </w:tc>
      </w:tr>
      <w:tr>
        <w:trPr>
          <w:trHeight w:val="229"/>
        </w:trPr>
        <w:tc>
          <w:tcPr>
            <w:tcW w:w="6500" w:type="dxa"/>
            <w:vAlign w:val="bottom"/>
            <w:gridSpan w:val="2"/>
            <w:shd w:val="clear" w:color="auto" w:fill="CCCCCC"/>
          </w:tcPr>
          <w:p>
            <w:pPr>
              <w:ind w:left="200"/>
              <w:spacing w:after="0"/>
              <w:rPr>
                <w:sz w:val="20"/>
                <w:szCs w:val="20"/>
                <w:color w:val="auto"/>
              </w:rPr>
            </w:pPr>
            <w:r>
              <w:rPr>
                <w:rFonts w:ascii="Arial" w:cs="Arial" w:eastAsia="Arial" w:hAnsi="Arial"/>
                <w:sz w:val="16"/>
                <w:szCs w:val="16"/>
                <w:color w:val="auto"/>
              </w:rPr>
              <w:t>Adjustments:</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spacing w:after="0"/>
              <w:rPr>
                <w:sz w:val="19"/>
                <w:szCs w:val="19"/>
                <w:color w:val="auto"/>
              </w:rPr>
            </w:pP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Depreciation &amp; amortization</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85.6</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82.8</w:t>
            </w: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Provision (benefit) for (from) income taxes</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34.7</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Total interest expense, net*</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21.6</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Changes in fair value of contingent consideration</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31.3</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9"/>
                <w:szCs w:val="19"/>
                <w:color w:val="auto"/>
              </w:rPr>
            </w:pPr>
          </w:p>
        </w:tc>
      </w:tr>
      <w:tr>
        <w:trPr>
          <w:trHeight w:val="229"/>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Impairment of IPR&amp;D intangible asset</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29.0</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Exit and disposal costs**</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17.1</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&amp; integration)</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0.5</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9"/>
                <w:szCs w:val="19"/>
                <w:color w:val="auto"/>
              </w:rPr>
            </w:pPr>
          </w:p>
        </w:tc>
      </w:tr>
      <w:tr>
        <w:trPr>
          <w:trHeight w:val="230"/>
        </w:trPr>
        <w:tc>
          <w:tcPr>
            <w:tcW w:w="6500" w:type="dxa"/>
            <w:vAlign w:val="bottom"/>
            <w:gridSpan w:val="2"/>
            <w:shd w:val="clear" w:color="auto" w:fill="CCCCCC"/>
          </w:tcPr>
          <w:p>
            <w:pPr>
              <w:ind w:left="260"/>
              <w:spacing w:after="0"/>
              <w:rPr>
                <w:sz w:val="20"/>
                <w:szCs w:val="20"/>
                <w:color w:val="auto"/>
              </w:rPr>
            </w:pPr>
            <w:r>
              <w:rPr>
                <w:rFonts w:ascii="Arial" w:cs="Arial" w:eastAsia="Arial" w:hAnsi="Arial"/>
                <w:sz w:val="16"/>
                <w:szCs w:val="16"/>
                <w:color w:val="auto"/>
              </w:rPr>
              <w:t>+ Impact of purchase accounting on inventory step-up</w:t>
            </w:r>
          </w:p>
        </w:tc>
        <w:tc>
          <w:tcPr>
            <w:tcW w:w="500" w:type="dxa"/>
            <w:vAlign w:val="bottom"/>
            <w:shd w:val="clear" w:color="auto" w:fill="CCCCCC"/>
          </w:tcPr>
          <w:p>
            <w:pPr>
              <w:spacing w:after="0"/>
              <w:rPr>
                <w:sz w:val="19"/>
                <w:szCs w:val="19"/>
                <w:color w:val="auto"/>
              </w:rPr>
            </w:pPr>
          </w:p>
        </w:tc>
        <w:tc>
          <w:tcPr>
            <w:tcW w:w="178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CCCC"/>
          </w:tcPr>
          <w:p>
            <w:pPr>
              <w:spacing w:after="0"/>
              <w:rPr>
                <w:sz w:val="19"/>
                <w:szCs w:val="19"/>
                <w:color w:val="auto"/>
              </w:rPr>
            </w:pPr>
          </w:p>
        </w:tc>
        <w:tc>
          <w:tcPr>
            <w:tcW w:w="170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9"/>
                <w:szCs w:val="19"/>
                <w:color w:val="auto"/>
              </w:rPr>
            </w:pPr>
          </w:p>
        </w:tc>
      </w:tr>
      <w:tr>
        <w:trPr>
          <w:trHeight w:val="211"/>
        </w:trPr>
        <w:tc>
          <w:tcPr>
            <w:tcW w:w="6480" w:type="dxa"/>
            <w:vAlign w:val="bottom"/>
            <w:tcBorders>
              <w:top w:val="single" w:sz="8" w:color="CCCCCC"/>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Total adjustments</w:t>
            </w:r>
          </w:p>
        </w:tc>
        <w:tc>
          <w:tcPr>
            <w:tcW w:w="20" w:type="dxa"/>
            <w:vAlign w:val="bottom"/>
            <w:tcBorders>
              <w:top w:val="single" w:sz="8" w:color="auto"/>
              <w:bottom w:val="single" w:sz="8" w:color="CCCCCC"/>
            </w:tcBorders>
            <w:shd w:val="clear" w:color="auto" w:fill="CCCCCC"/>
          </w:tcPr>
          <w:p>
            <w:pPr>
              <w:spacing w:after="0"/>
              <w:rPr>
                <w:sz w:val="18"/>
                <w:szCs w:val="18"/>
                <w:color w:val="auto"/>
              </w:rPr>
            </w:pPr>
          </w:p>
        </w:tc>
        <w:tc>
          <w:tcPr>
            <w:tcW w:w="500" w:type="dxa"/>
            <w:vAlign w:val="bottom"/>
            <w:tcBorders>
              <w:top w:val="single" w:sz="8" w:color="auto"/>
              <w:bottom w:val="single" w:sz="8" w:color="auto"/>
            </w:tcBorders>
            <w:shd w:val="clear" w:color="auto" w:fill="CCCCCC"/>
          </w:tcPr>
          <w:p>
            <w:pPr>
              <w:jc w:val="right"/>
              <w:ind w:right="2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6"/>
                <w:szCs w:val="16"/>
                <w:color w:val="auto"/>
              </w:rPr>
              <w:t>219.8</w:t>
            </w:r>
          </w:p>
        </w:tc>
        <w:tc>
          <w:tcPr>
            <w:tcW w:w="520" w:type="dxa"/>
            <w:vAlign w:val="bottom"/>
            <w:tcBorders>
              <w:top w:val="single" w:sz="8" w:color="auto"/>
              <w:bottom w:val="single" w:sz="8" w:color="auto"/>
            </w:tcBorders>
            <w:shd w:val="clear" w:color="auto" w:fill="CCCCCC"/>
          </w:tcPr>
          <w:p>
            <w:pPr>
              <w:jc w:val="right"/>
              <w:ind w:right="3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shd w:val="clear" w:color="auto" w:fill="CCCCCC"/>
          </w:tcPr>
          <w:p>
            <w:pPr>
              <w:jc w:val="right"/>
              <w:spacing w:after="0"/>
              <w:rPr>
                <w:sz w:val="20"/>
                <w:szCs w:val="20"/>
                <w:color w:val="auto"/>
              </w:rPr>
            </w:pPr>
            <w:r>
              <w:rPr>
                <w:rFonts w:ascii="Arial" w:cs="Arial" w:eastAsia="Arial" w:hAnsi="Arial"/>
                <w:sz w:val="16"/>
                <w:szCs w:val="16"/>
                <w:color w:val="auto"/>
              </w:rPr>
              <w:t>137.8</w:t>
            </w:r>
          </w:p>
        </w:tc>
        <w:tc>
          <w:tcPr>
            <w:tcW w:w="20" w:type="dxa"/>
            <w:vAlign w:val="bottom"/>
            <w:tcBorders>
              <w:top w:val="single" w:sz="8" w:color="auto"/>
              <w:bottom w:val="single" w:sz="8" w:color="auto"/>
            </w:tcBorders>
          </w:tcPr>
          <w:p>
            <w:pPr>
              <w:spacing w:after="0"/>
              <w:rPr>
                <w:sz w:val="18"/>
                <w:szCs w:val="18"/>
                <w:color w:val="auto"/>
              </w:rPr>
            </w:pPr>
          </w:p>
        </w:tc>
      </w:tr>
      <w:tr>
        <w:trPr>
          <w:trHeight w:val="210"/>
        </w:trPr>
        <w:tc>
          <w:tcPr>
            <w:tcW w:w="6500" w:type="dxa"/>
            <w:vAlign w:val="bottom"/>
            <w:gridSpan w:val="2"/>
            <w:shd w:val="clear" w:color="auto" w:fill="CCCCCC"/>
          </w:tcPr>
          <w:p>
            <w:pPr>
              <w:ind w:left="40"/>
              <w:spacing w:after="0"/>
              <w:rPr>
                <w:sz w:val="20"/>
                <w:szCs w:val="20"/>
                <w:color w:val="auto"/>
              </w:rPr>
            </w:pPr>
            <w:r>
              <w:rPr>
                <w:rFonts w:ascii="Arial" w:cs="Arial" w:eastAsia="Arial" w:hAnsi="Arial"/>
                <w:sz w:val="16"/>
                <w:szCs w:val="16"/>
                <w:color w:val="auto"/>
              </w:rPr>
              <w:t>Adjusted EBITDA</w:t>
            </w:r>
          </w:p>
        </w:tc>
        <w:tc>
          <w:tcPr>
            <w:tcW w:w="500" w:type="dxa"/>
            <w:vAlign w:val="bottom"/>
            <w:shd w:val="clear" w:color="auto" w:fill="CCCCCC"/>
          </w:tcPr>
          <w:p>
            <w:pPr>
              <w:spacing w:after="0"/>
              <w:rPr>
                <w:sz w:val="18"/>
                <w:szCs w:val="18"/>
                <w:color w:val="auto"/>
              </w:rPr>
            </w:pP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$339.5</w:t>
            </w:r>
          </w:p>
        </w:tc>
        <w:tc>
          <w:tcPr>
            <w:tcW w:w="520" w:type="dxa"/>
            <w:vAlign w:val="bottom"/>
            <w:shd w:val="clear" w:color="auto" w:fill="CCCCCC"/>
          </w:tcPr>
          <w:p>
            <w:pPr>
              <w:spacing w:after="0"/>
              <w:rPr>
                <w:sz w:val="18"/>
                <w:szCs w:val="18"/>
                <w:color w:val="auto"/>
              </w:rPr>
            </w:pPr>
          </w:p>
        </w:tc>
        <w:tc>
          <w:tcPr>
            <w:tcW w:w="1700" w:type="dxa"/>
            <w:vAlign w:val="bottom"/>
            <w:shd w:val="clear" w:color="auto" w:fill="CCCCCC"/>
          </w:tcPr>
          <w:p>
            <w:pPr>
              <w:jc w:val="right"/>
              <w:spacing w:after="0"/>
              <w:rPr>
                <w:sz w:val="20"/>
                <w:szCs w:val="20"/>
                <w:color w:val="auto"/>
              </w:rPr>
            </w:pPr>
            <w:r>
              <w:rPr>
                <w:rFonts w:ascii="Arial" w:cs="Arial" w:eastAsia="Arial" w:hAnsi="Arial"/>
                <w:sz w:val="16"/>
                <w:szCs w:val="16"/>
                <w:color w:val="auto"/>
              </w:rPr>
              <w:t>$145.4</w:t>
            </w:r>
          </w:p>
        </w:tc>
        <w:tc>
          <w:tcPr>
            <w:tcW w:w="20" w:type="dxa"/>
            <w:vAlign w:val="bottom"/>
          </w:tcPr>
          <w:p>
            <w:pPr>
              <w:spacing w:after="0"/>
              <w:rPr>
                <w:sz w:val="18"/>
                <w:szCs w:val="18"/>
                <w:color w:val="auto"/>
              </w:rPr>
            </w:pPr>
          </w:p>
        </w:tc>
      </w:tr>
      <w:tr>
        <w:trPr>
          <w:trHeight w:val="268"/>
        </w:trPr>
        <w:tc>
          <w:tcPr>
            <w:tcW w:w="6500" w:type="dxa"/>
            <w:vAlign w:val="bottom"/>
            <w:gridSpan w:val="2"/>
          </w:tcPr>
          <w:p>
            <w:pPr>
              <w:ind w:left="40"/>
              <w:spacing w:after="0"/>
              <w:rPr>
                <w:sz w:val="20"/>
                <w:szCs w:val="20"/>
                <w:color w:val="auto"/>
              </w:rPr>
            </w:pPr>
            <w:r>
              <w:rPr>
                <w:rFonts w:ascii="Arial" w:cs="Arial" w:eastAsia="Arial" w:hAnsi="Arial"/>
                <w:sz w:val="16"/>
                <w:szCs w:val="16"/>
                <w:color w:val="auto"/>
              </w:rPr>
              <w:t>* Includes interest income of $1.0 million in 2020 and $1.7 million in 2019</w:t>
            </w:r>
          </w:p>
        </w:tc>
        <w:tc>
          <w:tcPr>
            <w:tcW w:w="5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ind w:left="360" w:hanging="172"/>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 incorporates $13.8 million of inventory reserves associated with the Company's travel health vaccines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ind w:left="5360"/>
        <w:spacing w:after="0"/>
        <w:rPr>
          <w:rFonts w:ascii="Arial" w:cs="Arial" w:eastAsia="Arial" w:hAnsi="Arial"/>
          <w:sz w:val="16"/>
          <w:szCs w:val="16"/>
          <w:color w:val="auto"/>
        </w:rPr>
      </w:pPr>
      <w:r>
        <w:rPr>
          <w:rFonts w:ascii="Times New Roman" w:cs="Times New Roman" w:eastAsia="Times New Roman" w:hAnsi="Times New Roman"/>
          <w:sz w:val="16"/>
          <w:szCs w:val="16"/>
          <w:color w:val="auto"/>
        </w:rPr>
        <w:t>14 of 15</w:t>
      </w:r>
    </w:p>
    <w:p>
      <w:pPr>
        <w:sectPr>
          <w:pgSz w:w="11900" w:h="16838" w:orient="portrait"/>
          <w:cols w:equalWidth="0" w:num="1">
            <w:col w:w="11180"/>
          </w:cols>
          <w:pgMar w:left="320" w:top="1129" w:right="399" w:bottom="1440" w:gutter="0" w:footer="0" w:header="0"/>
        </w:sectPr>
      </w:pPr>
    </w:p>
    <w:bookmarkStart w:id="16" w:name="page17"/>
    <w:bookmarkEnd w:id="16"/>
    <w:tbl>
      <w:tblPr>
        <w:tblLayout w:type="fixed"/>
        <w:tblInd w:w="80" w:type="dxa"/>
        <w:tblCellMar>
          <w:top w:w="0" w:type="dxa"/>
          <w:left w:w="0" w:type="dxa"/>
          <w:bottom w:w="0" w:type="dxa"/>
          <w:right w:w="0" w:type="dxa"/>
        </w:tblCellMar>
      </w:tblPr>
      <w:tr>
        <w:trPr>
          <w:trHeight w:val="189"/>
        </w:trPr>
        <w:tc>
          <w:tcPr>
            <w:tcW w:w="8020" w:type="dxa"/>
            <w:vAlign w:val="bottom"/>
            <w:shd w:val="clear" w:color="auto" w:fill="0F243E"/>
          </w:tcPr>
          <w:p>
            <w:pPr>
              <w:spacing w:after="0"/>
              <w:rPr>
                <w:sz w:val="16"/>
                <w:szCs w:val="16"/>
                <w:color w:val="auto"/>
              </w:rPr>
            </w:pPr>
          </w:p>
        </w:tc>
        <w:tc>
          <w:tcPr>
            <w:tcW w:w="302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9"/>
              </w:rPr>
              <w:t>Updated 2020 Full Year</w:t>
            </w:r>
          </w:p>
        </w:tc>
        <w:tc>
          <w:tcPr>
            <w:tcW w:w="20" w:type="dxa"/>
            <w:vAlign w:val="bottom"/>
          </w:tcPr>
          <w:p>
            <w:pPr>
              <w:spacing w:after="0"/>
              <w:rPr>
                <w:sz w:val="16"/>
                <w:szCs w:val="16"/>
                <w:color w:val="auto"/>
              </w:rPr>
            </w:pPr>
          </w:p>
        </w:tc>
      </w:tr>
      <w:tr>
        <w:trPr>
          <w:trHeight w:val="229"/>
        </w:trPr>
        <w:tc>
          <w:tcPr>
            <w:tcW w:w="8020" w:type="dxa"/>
            <w:vAlign w:val="bottom"/>
            <w:shd w:val="clear" w:color="auto" w:fill="0F243E"/>
          </w:tcPr>
          <w:p>
            <w:pPr>
              <w:spacing w:after="0"/>
              <w:rPr>
                <w:sz w:val="19"/>
                <w:szCs w:val="19"/>
                <w:color w:val="auto"/>
              </w:rPr>
            </w:pPr>
          </w:p>
        </w:tc>
        <w:tc>
          <w:tcPr>
            <w:tcW w:w="302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rPr>
              <w:t>Forecast</w:t>
            </w:r>
          </w:p>
        </w:tc>
        <w:tc>
          <w:tcPr>
            <w:tcW w:w="20" w:type="dxa"/>
            <w:vAlign w:val="bottom"/>
          </w:tcPr>
          <w:p>
            <w:pPr>
              <w:spacing w:after="0"/>
              <w:rPr>
                <w:sz w:val="19"/>
                <w:szCs w:val="19"/>
                <w:color w:val="auto"/>
              </w:rPr>
            </w:pPr>
          </w:p>
        </w:tc>
      </w:tr>
      <w:tr>
        <w:trPr>
          <w:trHeight w:val="284"/>
        </w:trPr>
        <w:tc>
          <w:tcPr>
            <w:tcW w:w="802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3020" w:type="dxa"/>
            <w:vAlign w:val="bottom"/>
            <w:shd w:val="clear" w:color="auto" w:fill="0F243E"/>
          </w:tcPr>
          <w:p>
            <w:pPr>
              <w:jc w:val="center"/>
              <w:spacing w:after="0"/>
              <w:rPr>
                <w:sz w:val="20"/>
                <w:szCs w:val="20"/>
                <w:color w:val="auto"/>
              </w:rPr>
            </w:pPr>
            <w:r>
              <w:rPr>
                <w:rFonts w:ascii="Arial" w:cs="Arial" w:eastAsia="Arial" w:hAnsi="Arial"/>
                <w:sz w:val="16"/>
                <w:szCs w:val="16"/>
                <w:b w:val="1"/>
                <w:bCs w:val="1"/>
                <w:color w:val="FFFFFF"/>
                <w:w w:val="96"/>
              </w:rPr>
              <w:t>2020F</w:t>
            </w:r>
          </w:p>
        </w:tc>
        <w:tc>
          <w:tcPr>
            <w:tcW w:w="20" w:type="dxa"/>
            <w:vAlign w:val="bottom"/>
          </w:tcPr>
          <w:p>
            <w:pPr>
              <w:spacing w:after="0"/>
              <w:rPr>
                <w:sz w:val="24"/>
                <w:szCs w:val="24"/>
                <w:color w:val="auto"/>
              </w:rPr>
            </w:pPr>
          </w:p>
        </w:tc>
      </w:tr>
      <w:tr>
        <w:trPr>
          <w:trHeight w:val="228"/>
        </w:trPr>
        <w:tc>
          <w:tcPr>
            <w:tcW w:w="8020" w:type="dxa"/>
            <w:vAlign w:val="bottom"/>
            <w:shd w:val="clear" w:color="auto" w:fill="CCCCCC"/>
          </w:tcPr>
          <w:p>
            <w:pPr>
              <w:ind w:left="40"/>
              <w:spacing w:after="0"/>
              <w:rPr>
                <w:sz w:val="20"/>
                <w:szCs w:val="20"/>
                <w:color w:val="auto"/>
              </w:rPr>
            </w:pPr>
            <w:r>
              <w:rPr>
                <w:rFonts w:ascii="Arial" w:cs="Arial" w:eastAsia="Arial" w:hAnsi="Arial"/>
                <w:sz w:val="16"/>
                <w:szCs w:val="16"/>
                <w:color w:val="auto"/>
              </w:rPr>
              <w:t>Net income</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$255 - $285</w:t>
            </w:r>
          </w:p>
        </w:tc>
        <w:tc>
          <w:tcPr>
            <w:tcW w:w="20" w:type="dxa"/>
            <w:vAlign w:val="bottom"/>
          </w:tcPr>
          <w:p>
            <w:pPr>
              <w:spacing w:after="0"/>
              <w:rPr>
                <w:sz w:val="19"/>
                <w:szCs w:val="19"/>
                <w:color w:val="auto"/>
              </w:rPr>
            </w:pPr>
          </w:p>
        </w:tc>
      </w:tr>
      <w:tr>
        <w:trPr>
          <w:trHeight w:val="229"/>
        </w:trPr>
        <w:tc>
          <w:tcPr>
            <w:tcW w:w="8020" w:type="dxa"/>
            <w:vAlign w:val="bottom"/>
            <w:shd w:val="clear" w:color="auto" w:fill="CCCCCC"/>
          </w:tcPr>
          <w:p>
            <w:pPr>
              <w:ind w:left="140"/>
              <w:spacing w:after="0"/>
              <w:rPr>
                <w:sz w:val="20"/>
                <w:szCs w:val="20"/>
                <w:color w:val="auto"/>
              </w:rPr>
            </w:pPr>
            <w:r>
              <w:rPr>
                <w:rFonts w:ascii="Arial" w:cs="Arial" w:eastAsia="Arial" w:hAnsi="Arial"/>
                <w:sz w:val="16"/>
                <w:szCs w:val="16"/>
                <w:color w:val="auto"/>
              </w:rPr>
              <w:t>Adjustments:</w:t>
            </w:r>
          </w:p>
        </w:tc>
        <w:tc>
          <w:tcPr>
            <w:tcW w:w="3020" w:type="dxa"/>
            <w:vAlign w:val="bottom"/>
            <w:shd w:val="clear" w:color="auto" w:fill="CCCCC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Depreciation &amp; amortization</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19"/>
                <w:szCs w:val="19"/>
                <w:color w:val="auto"/>
              </w:rPr>
            </w:pPr>
          </w:p>
        </w:tc>
      </w:tr>
      <w:tr>
        <w:trPr>
          <w:trHeight w:val="230"/>
        </w:trPr>
        <w:tc>
          <w:tcPr>
            <w:tcW w:w="80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Provision for income taxes</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96 - 106</w:t>
            </w:r>
          </w:p>
        </w:tc>
        <w:tc>
          <w:tcPr>
            <w:tcW w:w="20" w:type="dxa"/>
            <w:vAlign w:val="bottom"/>
          </w:tcPr>
          <w:p>
            <w:pPr>
              <w:spacing w:after="0"/>
              <w:rPr>
                <w:sz w:val="19"/>
                <w:szCs w:val="19"/>
                <w:color w:val="auto"/>
              </w:rPr>
            </w:pPr>
          </w:p>
        </w:tc>
      </w:tr>
      <w:tr>
        <w:trPr>
          <w:trHeight w:val="229"/>
        </w:trPr>
        <w:tc>
          <w:tcPr>
            <w:tcW w:w="80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Total interest expense</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9"/>
                <w:szCs w:val="19"/>
                <w:color w:val="auto"/>
              </w:rPr>
            </w:pPr>
          </w:p>
        </w:tc>
      </w:tr>
      <w:tr>
        <w:trPr>
          <w:trHeight w:val="229"/>
        </w:trPr>
        <w:tc>
          <w:tcPr>
            <w:tcW w:w="80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 in fair value of contingent consideration</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9"/>
                <w:szCs w:val="19"/>
                <w:color w:val="auto"/>
              </w:rPr>
            </w:pPr>
          </w:p>
        </w:tc>
      </w:tr>
      <w:tr>
        <w:trPr>
          <w:trHeight w:val="230"/>
        </w:trPr>
        <w:tc>
          <w:tcPr>
            <w:tcW w:w="80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Impairment of IPR&amp;D intangible asset</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r>
      <w:tr>
        <w:trPr>
          <w:trHeight w:val="229"/>
        </w:trPr>
        <w:tc>
          <w:tcPr>
            <w:tcW w:w="802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Exit and disposal costs</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r>
      <w:tr>
        <w:trPr>
          <w:trHeight w:val="230"/>
        </w:trPr>
        <w:tc>
          <w:tcPr>
            <w:tcW w:w="802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6"/>
                <w:szCs w:val="16"/>
                <w:color w:val="auto"/>
              </w:rPr>
              <w:t>+ Acquisition-related costs (transaction and integration)</w:t>
            </w:r>
          </w:p>
        </w:tc>
        <w:tc>
          <w:tcPr>
            <w:tcW w:w="302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9"/>
                <w:szCs w:val="19"/>
                <w:color w:val="auto"/>
              </w:rPr>
            </w:pPr>
          </w:p>
        </w:tc>
      </w:tr>
      <w:tr>
        <w:trPr>
          <w:trHeight w:val="212"/>
        </w:trPr>
        <w:tc>
          <w:tcPr>
            <w:tcW w:w="80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Total adjustments</w:t>
            </w:r>
          </w:p>
        </w:tc>
        <w:tc>
          <w:tcPr>
            <w:tcW w:w="302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$320 - $330</w:t>
            </w:r>
          </w:p>
        </w:tc>
        <w:tc>
          <w:tcPr>
            <w:tcW w:w="20" w:type="dxa"/>
            <w:vAlign w:val="bottom"/>
            <w:tcBorders>
              <w:bottom w:val="single" w:sz="8" w:color="auto"/>
            </w:tcBorders>
          </w:tcPr>
          <w:p>
            <w:pPr>
              <w:spacing w:after="0"/>
              <w:rPr>
                <w:sz w:val="18"/>
                <w:szCs w:val="18"/>
                <w:color w:val="auto"/>
              </w:rPr>
            </w:pPr>
          </w:p>
        </w:tc>
      </w:tr>
      <w:tr>
        <w:trPr>
          <w:trHeight w:val="209"/>
        </w:trPr>
        <w:tc>
          <w:tcPr>
            <w:tcW w:w="802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EBITDA</w:t>
            </w:r>
          </w:p>
        </w:tc>
        <w:tc>
          <w:tcPr>
            <w:tcW w:w="30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$575 - $615</w:t>
            </w:r>
          </w:p>
        </w:tc>
        <w:tc>
          <w:tcPr>
            <w:tcW w:w="20" w:type="dxa"/>
            <w:vAlign w:val="bottom"/>
          </w:tcPr>
          <w:p>
            <w:pPr>
              <w:spacing w:after="0"/>
              <w:rPr>
                <w:sz w:val="18"/>
                <w:szCs w:val="18"/>
                <w:color w:val="auto"/>
              </w:rPr>
            </w:pP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654685</wp:posOffset>
            </wp:positionV>
            <wp:extent cx="7012305" cy="2057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2305" cy="2057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Reconciliation of Gross Margin and Adjusted Gross Margin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23430" cy="283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2837180"/>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580" w:type="dxa"/>
            <w:vAlign w:val="bottom"/>
            <w:shd w:val="clear" w:color="auto" w:fill="0F243E"/>
          </w:tcPr>
          <w:p>
            <w:pPr>
              <w:spacing w:after="0"/>
              <w:rPr>
                <w:sz w:val="24"/>
                <w:szCs w:val="24"/>
                <w:color w:val="auto"/>
              </w:rPr>
            </w:pPr>
          </w:p>
        </w:tc>
        <w:tc>
          <w:tcPr>
            <w:tcW w:w="20" w:type="dxa"/>
            <w:vAlign w:val="bottom"/>
            <w:shd w:val="clear" w:color="auto" w:fill="0F243E"/>
          </w:tcPr>
          <w:p>
            <w:pPr>
              <w:spacing w:after="0"/>
              <w:rPr>
                <w:sz w:val="24"/>
                <w:szCs w:val="24"/>
                <w:color w:val="auto"/>
              </w:rPr>
            </w:pPr>
          </w:p>
        </w:tc>
        <w:tc>
          <w:tcPr>
            <w:tcW w:w="3300" w:type="dxa"/>
            <w:vAlign w:val="bottom"/>
            <w:gridSpan w:val="4"/>
            <w:shd w:val="clear" w:color="auto" w:fill="0F243E"/>
          </w:tcPr>
          <w:p>
            <w:pPr>
              <w:ind w:left="260"/>
              <w:spacing w:after="0"/>
              <w:rPr>
                <w:sz w:val="20"/>
                <w:szCs w:val="20"/>
                <w:color w:val="auto"/>
              </w:rPr>
            </w:pPr>
            <w:r>
              <w:rPr>
                <w:rFonts w:ascii="Arial" w:cs="Arial" w:eastAsia="Arial" w:hAnsi="Arial"/>
                <w:sz w:val="16"/>
                <w:szCs w:val="16"/>
                <w:b w:val="1"/>
                <w:bCs w:val="1"/>
                <w:color w:val="FFFFFF"/>
              </w:rPr>
              <w:t>Three Months Ended September 30,</w:t>
            </w:r>
          </w:p>
        </w:tc>
        <w:tc>
          <w:tcPr>
            <w:tcW w:w="3320" w:type="dxa"/>
            <w:vAlign w:val="bottom"/>
            <w:gridSpan w:val="3"/>
            <w:shd w:val="clear" w:color="auto" w:fill="0F243E"/>
          </w:tcPr>
          <w:p>
            <w:pPr>
              <w:jc w:val="right"/>
              <w:ind w:right="239"/>
              <w:spacing w:after="0"/>
              <w:rPr>
                <w:sz w:val="20"/>
                <w:szCs w:val="20"/>
                <w:color w:val="auto"/>
              </w:rPr>
            </w:pPr>
            <w:r>
              <w:rPr>
                <w:rFonts w:ascii="Arial" w:cs="Arial" w:eastAsia="Arial" w:hAnsi="Arial"/>
                <w:sz w:val="16"/>
                <w:szCs w:val="16"/>
                <w:b w:val="1"/>
                <w:bCs w:val="1"/>
                <w:color w:val="FFFFFF"/>
              </w:rPr>
              <w:t>Nine Months Ended September 30,</w:t>
            </w:r>
          </w:p>
        </w:tc>
        <w:tc>
          <w:tcPr>
            <w:tcW w:w="0" w:type="dxa"/>
            <w:vAlign w:val="bottom"/>
          </w:tcPr>
          <w:p>
            <w:pPr>
              <w:spacing w:after="0"/>
              <w:rPr>
                <w:sz w:val="1"/>
                <w:szCs w:val="1"/>
                <w:color w:val="auto"/>
              </w:rPr>
            </w:pPr>
          </w:p>
        </w:tc>
      </w:tr>
      <w:tr>
        <w:trPr>
          <w:trHeight w:val="372"/>
        </w:trPr>
        <w:tc>
          <w:tcPr>
            <w:tcW w:w="458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1640" w:type="dxa"/>
            <w:vAlign w:val="bottom"/>
            <w:gridSpan w:val="2"/>
            <w:shd w:val="clear" w:color="auto" w:fill="0F243E"/>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660" w:type="dxa"/>
            <w:vAlign w:val="bottom"/>
            <w:gridSpan w:val="2"/>
            <w:shd w:val="clear" w:color="auto" w:fill="0F243E"/>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20" w:type="dxa"/>
            <w:vAlign w:val="bottom"/>
            <w:shd w:val="clear" w:color="auto" w:fill="0F243E"/>
          </w:tcPr>
          <w:p>
            <w:pPr>
              <w:spacing w:after="0"/>
              <w:rPr>
                <w:sz w:val="24"/>
                <w:szCs w:val="24"/>
                <w:color w:val="auto"/>
              </w:rPr>
            </w:pPr>
          </w:p>
        </w:tc>
        <w:tc>
          <w:tcPr>
            <w:tcW w:w="1640" w:type="dxa"/>
            <w:vAlign w:val="bottom"/>
            <w:shd w:val="clear" w:color="auto" w:fill="0F243E"/>
          </w:tcPr>
          <w:p>
            <w:pPr>
              <w:jc w:val="right"/>
              <w:ind w:right="559"/>
              <w:spacing w:after="0"/>
              <w:rPr>
                <w:sz w:val="20"/>
                <w:szCs w:val="20"/>
                <w:color w:val="auto"/>
              </w:rPr>
            </w:pPr>
            <w:r>
              <w:rPr>
                <w:rFonts w:ascii="Arial" w:cs="Arial" w:eastAsia="Arial" w:hAnsi="Arial"/>
                <w:sz w:val="16"/>
                <w:szCs w:val="16"/>
                <w:b w:val="1"/>
                <w:bCs w:val="1"/>
                <w:color w:val="FFFFFF"/>
              </w:rPr>
              <w:t>2020</w:t>
            </w:r>
          </w:p>
        </w:tc>
        <w:tc>
          <w:tcPr>
            <w:tcW w:w="1680" w:type="dxa"/>
            <w:vAlign w:val="bottom"/>
            <w:gridSpan w:val="2"/>
            <w:shd w:val="clear" w:color="auto" w:fill="0F243E"/>
          </w:tcPr>
          <w:p>
            <w:pPr>
              <w:jc w:val="right"/>
              <w:ind w:right="579"/>
              <w:spacing w:after="0"/>
              <w:rPr>
                <w:sz w:val="20"/>
                <w:szCs w:val="20"/>
                <w:color w:val="auto"/>
              </w:rPr>
            </w:pPr>
            <w:r>
              <w:rPr>
                <w:rFonts w:ascii="Arial" w:cs="Arial" w:eastAsia="Arial" w:hAnsi="Arial"/>
                <w:sz w:val="16"/>
                <w:szCs w:val="16"/>
                <w:b w:val="1"/>
                <w:bCs w:val="1"/>
                <w:color w:val="FFFFFF"/>
              </w:rPr>
              <w:t>2019</w:t>
            </w:r>
          </w:p>
        </w:tc>
        <w:tc>
          <w:tcPr>
            <w:tcW w:w="0" w:type="dxa"/>
            <w:vAlign w:val="bottom"/>
          </w:tcPr>
          <w:p>
            <w:pPr>
              <w:spacing w:after="0"/>
              <w:rPr>
                <w:sz w:val="1"/>
                <w:szCs w:val="1"/>
                <w:color w:val="auto"/>
              </w:rPr>
            </w:pPr>
          </w:p>
        </w:tc>
      </w:tr>
      <w:tr>
        <w:trPr>
          <w:trHeight w:val="227"/>
        </w:trPr>
        <w:tc>
          <w:tcPr>
            <w:tcW w:w="4580" w:type="dxa"/>
            <w:vAlign w:val="bottom"/>
            <w:shd w:val="clear" w:color="auto" w:fill="CCCCCC"/>
          </w:tcPr>
          <w:p>
            <w:pPr>
              <w:ind w:left="20"/>
              <w:spacing w:after="0"/>
              <w:rPr>
                <w:sz w:val="20"/>
                <w:szCs w:val="20"/>
                <w:color w:val="auto"/>
              </w:rPr>
            </w:pPr>
            <w:r>
              <w:rPr>
                <w:rFonts w:ascii="Arial" w:cs="Arial" w:eastAsia="Arial" w:hAnsi="Arial"/>
                <w:sz w:val="16"/>
                <w:szCs w:val="16"/>
                <w:color w:val="auto"/>
              </w:rPr>
              <w:t>Total revenues</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$385.2</w:t>
            </w:r>
          </w:p>
        </w:tc>
        <w:tc>
          <w:tcPr>
            <w:tcW w:w="166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$311.8</w:t>
            </w:r>
          </w:p>
        </w:tc>
        <w:tc>
          <w:tcPr>
            <w:tcW w:w="20" w:type="dxa"/>
            <w:vAlign w:val="bottom"/>
            <w:shd w:val="clear" w:color="auto" w:fill="CCCCCC"/>
          </w:tcPr>
          <w:p>
            <w:pPr>
              <w:spacing w:after="0"/>
              <w:rPr>
                <w:sz w:val="19"/>
                <w:szCs w:val="19"/>
                <w:color w:val="auto"/>
              </w:rPr>
            </w:pPr>
          </w:p>
        </w:tc>
        <w:tc>
          <w:tcPr>
            <w:tcW w:w="164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$972.4</w:t>
            </w:r>
          </w:p>
        </w:tc>
        <w:tc>
          <w:tcPr>
            <w:tcW w:w="168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$745.7</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CCCC"/>
            </w:tcBorders>
            <w:shd w:val="clear" w:color="auto" w:fill="CCCCCC"/>
          </w:tcPr>
          <w:p>
            <w:pPr>
              <w:ind w:left="260"/>
              <w:spacing w:after="0"/>
              <w:rPr>
                <w:sz w:val="20"/>
                <w:szCs w:val="20"/>
                <w:color w:val="auto"/>
              </w:rPr>
            </w:pPr>
            <w:r>
              <w:rPr>
                <w:rFonts w:ascii="Arial" w:cs="Arial" w:eastAsia="Arial" w:hAnsi="Arial"/>
                <w:sz w:val="16"/>
                <w:szCs w:val="16"/>
                <w:color w:val="auto"/>
              </w:rPr>
              <w:t>Less: Contract and grants revenues</w:t>
            </w:r>
          </w:p>
        </w:tc>
        <w:tc>
          <w:tcPr>
            <w:tcW w:w="1640" w:type="dxa"/>
            <w:vAlign w:val="bottom"/>
            <w:tcBorders>
              <w:bottom w:val="single" w:sz="8" w:color="auto"/>
            </w:tcBorders>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(25.9)</w:t>
            </w:r>
          </w:p>
        </w:tc>
        <w:tc>
          <w:tcPr>
            <w:tcW w:w="1660" w:type="dxa"/>
            <w:vAlign w:val="bottom"/>
            <w:tcBorders>
              <w:bottom w:val="single" w:sz="8" w:color="auto"/>
            </w:tcBorders>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(35.6)</w:t>
            </w:r>
          </w:p>
        </w:tc>
        <w:tc>
          <w:tcPr>
            <w:tcW w:w="20" w:type="dxa"/>
            <w:vAlign w:val="bottom"/>
            <w:tcBorders>
              <w:bottom w:val="single" w:sz="8" w:color="auto"/>
            </w:tcBorders>
            <w:shd w:val="clear" w:color="auto" w:fill="CCCCCC"/>
          </w:tcPr>
          <w:p>
            <w:pPr>
              <w:spacing w:after="0"/>
              <w:rPr>
                <w:sz w:val="19"/>
                <w:szCs w:val="19"/>
                <w:color w:val="auto"/>
              </w:rPr>
            </w:pPr>
          </w:p>
        </w:tc>
        <w:tc>
          <w:tcPr>
            <w:tcW w:w="1640" w:type="dxa"/>
            <w:vAlign w:val="bottom"/>
            <w:tcBorders>
              <w:bottom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(72.1)</w:t>
            </w:r>
          </w:p>
        </w:tc>
        <w:tc>
          <w:tcPr>
            <w:tcW w:w="1680" w:type="dxa"/>
            <w:vAlign w:val="bottom"/>
            <w:tcBorders>
              <w:bottom w:val="single" w:sz="8" w:color="auto"/>
            </w:tcBorders>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2"/>
        </w:trPr>
        <w:tc>
          <w:tcPr>
            <w:tcW w:w="45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revenues</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$359.3</w:t>
            </w:r>
          </w:p>
        </w:tc>
        <w:tc>
          <w:tcPr>
            <w:tcW w:w="166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$276.2</w:t>
            </w:r>
          </w:p>
        </w:tc>
        <w:tc>
          <w:tcPr>
            <w:tcW w:w="20" w:type="dxa"/>
            <w:vAlign w:val="bottom"/>
            <w:shd w:val="clear" w:color="auto" w:fill="CCCCCC"/>
          </w:tcPr>
          <w:p>
            <w:pPr>
              <w:spacing w:after="0"/>
              <w:rPr>
                <w:sz w:val="18"/>
                <w:szCs w:val="18"/>
                <w:color w:val="auto"/>
              </w:rPr>
            </w:pPr>
          </w:p>
        </w:tc>
        <w:tc>
          <w:tcPr>
            <w:tcW w:w="164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$900.3</w:t>
            </w:r>
          </w:p>
        </w:tc>
        <w:tc>
          <w:tcPr>
            <w:tcW w:w="168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$647.3</w:t>
            </w:r>
          </w:p>
        </w:tc>
        <w:tc>
          <w:tcPr>
            <w:tcW w:w="0" w:type="dxa"/>
            <w:vAlign w:val="bottom"/>
          </w:tcPr>
          <w:p>
            <w:pPr>
              <w:spacing w:after="0"/>
              <w:rPr>
                <w:sz w:val="1"/>
                <w:szCs w:val="1"/>
                <w:color w:val="auto"/>
              </w:rPr>
            </w:pPr>
          </w:p>
        </w:tc>
      </w:tr>
      <w:tr>
        <w:trPr>
          <w:trHeight w:val="445"/>
        </w:trPr>
        <w:tc>
          <w:tcPr>
            <w:tcW w:w="4580" w:type="dxa"/>
            <w:vAlign w:val="bottom"/>
            <w:shd w:val="clear" w:color="auto" w:fill="CCCCCC"/>
          </w:tcPr>
          <w:p>
            <w:pPr>
              <w:ind w:left="40"/>
              <w:spacing w:after="0"/>
              <w:rPr>
                <w:sz w:val="20"/>
                <w:szCs w:val="20"/>
                <w:color w:val="auto"/>
              </w:rPr>
            </w:pPr>
            <w:r>
              <w:rPr>
                <w:rFonts w:ascii="Arial" w:cs="Arial" w:eastAsia="Arial" w:hAnsi="Arial"/>
                <w:sz w:val="16"/>
                <w:szCs w:val="16"/>
                <w:color w:val="auto"/>
              </w:rPr>
              <w:t>Cost of product sales and contract development and</w:t>
            </w:r>
          </w:p>
        </w:tc>
        <w:tc>
          <w:tcPr>
            <w:tcW w:w="164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$149.0</w:t>
            </w:r>
          </w:p>
        </w:tc>
        <w:tc>
          <w:tcPr>
            <w:tcW w:w="166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$108.0</w:t>
            </w:r>
          </w:p>
        </w:tc>
        <w:tc>
          <w:tcPr>
            <w:tcW w:w="20" w:type="dxa"/>
            <w:vAlign w:val="bottom"/>
            <w:shd w:val="clear" w:color="auto" w:fill="CCCCCC"/>
          </w:tcPr>
          <w:p>
            <w:pPr>
              <w:spacing w:after="0"/>
              <w:rPr>
                <w:sz w:val="24"/>
                <w:szCs w:val="24"/>
                <w:color w:val="auto"/>
              </w:rPr>
            </w:pPr>
          </w:p>
        </w:tc>
        <w:tc>
          <w:tcPr>
            <w:tcW w:w="1640" w:type="dxa"/>
            <w:vAlign w:val="bottom"/>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$355.7</w:t>
            </w:r>
          </w:p>
        </w:tc>
        <w:tc>
          <w:tcPr>
            <w:tcW w:w="1680" w:type="dxa"/>
            <w:vAlign w:val="bottom"/>
            <w:gridSpan w:val="2"/>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133"/>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6"/>
                <w:szCs w:val="16"/>
                <w:color w:val="auto"/>
              </w:rPr>
              <w:t>manufacturing services ("COGS")</w:t>
            </w:r>
          </w:p>
        </w:tc>
        <w:tc>
          <w:tcPr>
            <w:tcW w:w="1640" w:type="dxa"/>
            <w:vAlign w:val="bottom"/>
            <w:gridSpan w:val="2"/>
            <w:vMerge w:val="continue"/>
            <w:shd w:val="clear" w:color="auto" w:fill="CCCCCC"/>
          </w:tcPr>
          <w:p>
            <w:pPr>
              <w:spacing w:after="0"/>
              <w:rPr>
                <w:sz w:val="11"/>
                <w:szCs w:val="11"/>
                <w:color w:val="auto"/>
              </w:rPr>
            </w:pPr>
          </w:p>
        </w:tc>
        <w:tc>
          <w:tcPr>
            <w:tcW w:w="1660" w:type="dxa"/>
            <w:vAlign w:val="bottom"/>
            <w:gridSpan w:val="2"/>
            <w:vMerge w:val="continue"/>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640" w:type="dxa"/>
            <w:vAlign w:val="bottom"/>
            <w:vMerge w:val="continue"/>
            <w:shd w:val="clear" w:color="auto" w:fill="CCCCCC"/>
          </w:tcPr>
          <w:p>
            <w:pPr>
              <w:spacing w:after="0"/>
              <w:rPr>
                <w:sz w:val="11"/>
                <w:szCs w:val="11"/>
                <w:color w:val="auto"/>
              </w:rPr>
            </w:pPr>
          </w:p>
        </w:tc>
        <w:tc>
          <w:tcPr>
            <w:tcW w:w="1680" w:type="dxa"/>
            <w:vAlign w:val="bottom"/>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580" w:type="dxa"/>
            <w:vAlign w:val="bottom"/>
            <w:vMerge w:val="continue"/>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2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6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Changes in fair value of contingent consideration</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(30.2)</w:t>
            </w:r>
          </w:p>
        </w:tc>
        <w:tc>
          <w:tcPr>
            <w:tcW w:w="166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(6.9)</w:t>
            </w:r>
          </w:p>
        </w:tc>
        <w:tc>
          <w:tcPr>
            <w:tcW w:w="20" w:type="dxa"/>
            <w:vAlign w:val="bottom"/>
            <w:shd w:val="clear" w:color="auto" w:fill="CCCCCC"/>
          </w:tcPr>
          <w:p>
            <w:pPr>
              <w:spacing w:after="0"/>
              <w:rPr>
                <w:sz w:val="19"/>
                <w:szCs w:val="19"/>
                <w:color w:val="auto"/>
              </w:rPr>
            </w:pPr>
          </w:p>
        </w:tc>
        <w:tc>
          <w:tcPr>
            <w:tcW w:w="164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(31.3)</w:t>
            </w:r>
          </w:p>
        </w:tc>
        <w:tc>
          <w:tcPr>
            <w:tcW w:w="168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0"/>
        </w:trPr>
        <w:tc>
          <w:tcPr>
            <w:tcW w:w="4580" w:type="dxa"/>
            <w:vAlign w:val="bottom"/>
            <w:shd w:val="clear" w:color="auto" w:fill="CCCCCC"/>
          </w:tcPr>
          <w:p>
            <w:pPr>
              <w:ind w:left="260"/>
              <w:spacing w:after="0"/>
              <w:rPr>
                <w:sz w:val="20"/>
                <w:szCs w:val="20"/>
                <w:color w:val="auto"/>
              </w:rPr>
            </w:pPr>
            <w:r>
              <w:rPr>
                <w:rFonts w:ascii="Arial" w:cs="Arial" w:eastAsia="Arial" w:hAnsi="Arial"/>
                <w:sz w:val="16"/>
                <w:szCs w:val="16"/>
                <w:color w:val="auto"/>
              </w:rPr>
              <w:t>- Inventory reserves related to Travel Health vaccines</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(13.8)</w:t>
            </w:r>
          </w:p>
        </w:tc>
        <w:tc>
          <w:tcPr>
            <w:tcW w:w="20" w:type="dxa"/>
            <w:vAlign w:val="bottom"/>
            <w:shd w:val="clear" w:color="auto" w:fill="CCCCCC"/>
          </w:tcPr>
          <w:p>
            <w:pPr>
              <w:spacing w:after="0"/>
              <w:rPr>
                <w:sz w:val="19"/>
                <w:szCs w:val="19"/>
                <w:color w:val="auto"/>
              </w:rPr>
            </w:pPr>
          </w:p>
        </w:tc>
        <w:tc>
          <w:tcPr>
            <w:tcW w:w="1660" w:type="dxa"/>
            <w:vAlign w:val="bottom"/>
            <w:gridSpan w:val="2"/>
            <w:shd w:val="clear" w:color="auto" w:fill="CCCCCC"/>
          </w:tcPr>
          <w:p>
            <w:pPr>
              <w:jc w:val="right"/>
              <w:ind w:right="1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(13.8)</w:t>
            </w:r>
          </w:p>
        </w:tc>
        <w:tc>
          <w:tcPr>
            <w:tcW w:w="20" w:type="dxa"/>
            <w:vAlign w:val="bottom"/>
            <w:shd w:val="clear" w:color="auto" w:fill="CCCCCC"/>
          </w:tcPr>
          <w:p>
            <w:pPr>
              <w:spacing w:after="0"/>
              <w:rPr>
                <w:sz w:val="19"/>
                <w:szCs w:val="19"/>
                <w:color w:val="auto"/>
              </w:rPr>
            </w:pPr>
          </w:p>
        </w:tc>
        <w:tc>
          <w:tcPr>
            <w:tcW w:w="166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580" w:type="dxa"/>
            <w:vAlign w:val="bottom"/>
            <w:tcBorders>
              <w:top w:val="single" w:sz="8" w:color="CCCCCC"/>
            </w:tcBorders>
            <w:shd w:val="clear" w:color="auto" w:fill="CCCCCC"/>
          </w:tcPr>
          <w:p>
            <w:pPr>
              <w:ind w:left="40"/>
              <w:spacing w:after="0"/>
              <w:rPr>
                <w:sz w:val="20"/>
                <w:szCs w:val="20"/>
                <w:color w:val="auto"/>
              </w:rPr>
            </w:pPr>
            <w:r>
              <w:rPr>
                <w:rFonts w:ascii="Arial" w:cs="Arial" w:eastAsia="Arial" w:hAnsi="Arial"/>
                <w:sz w:val="16"/>
                <w:szCs w:val="16"/>
                <w:color w:val="auto"/>
              </w:rPr>
              <w:t>Adjusted COGS</w:t>
            </w:r>
          </w:p>
        </w:tc>
        <w:tc>
          <w:tcPr>
            <w:tcW w:w="20" w:type="dxa"/>
            <w:vAlign w:val="bottom"/>
            <w:tcBorders>
              <w:top w:val="single" w:sz="8" w:color="CCCCCC"/>
            </w:tcBorders>
            <w:shd w:val="clear" w:color="auto" w:fill="CCCCCC"/>
          </w:tcPr>
          <w:p>
            <w:pPr>
              <w:spacing w:after="0"/>
              <w:rPr>
                <w:sz w:val="18"/>
                <w:szCs w:val="18"/>
                <w:color w:val="auto"/>
              </w:rPr>
            </w:pPr>
          </w:p>
        </w:tc>
        <w:tc>
          <w:tcPr>
            <w:tcW w:w="1620" w:type="dxa"/>
            <w:vAlign w:val="bottom"/>
            <w:tcBorders>
              <w:top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$105.0</w:t>
            </w:r>
          </w:p>
        </w:tc>
        <w:tc>
          <w:tcPr>
            <w:tcW w:w="20" w:type="dxa"/>
            <w:vAlign w:val="bottom"/>
            <w:tcBorders>
              <w:top w:val="single" w:sz="8" w:color="CCCCCC"/>
            </w:tcBorders>
            <w:shd w:val="clear" w:color="auto" w:fill="CCCCCC"/>
          </w:tcPr>
          <w:p>
            <w:pPr>
              <w:spacing w:after="0"/>
              <w:rPr>
                <w:sz w:val="18"/>
                <w:szCs w:val="18"/>
                <w:color w:val="auto"/>
              </w:rPr>
            </w:pPr>
          </w:p>
        </w:tc>
        <w:tc>
          <w:tcPr>
            <w:tcW w:w="1640" w:type="dxa"/>
            <w:vAlign w:val="bottom"/>
            <w:tcBorders>
              <w:top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$101.1</w:t>
            </w:r>
          </w:p>
        </w:tc>
        <w:tc>
          <w:tcPr>
            <w:tcW w:w="20" w:type="dxa"/>
            <w:vAlign w:val="bottom"/>
            <w:tcBorders>
              <w:top w:val="single" w:sz="8" w:color="CCCCCC"/>
            </w:tcBorders>
            <w:shd w:val="clear" w:color="auto" w:fill="CCCCCC"/>
          </w:tcPr>
          <w:p>
            <w:pPr>
              <w:spacing w:after="0"/>
              <w:rPr>
                <w:sz w:val="18"/>
                <w:szCs w:val="18"/>
                <w:color w:val="auto"/>
              </w:rPr>
            </w:pPr>
          </w:p>
        </w:tc>
        <w:tc>
          <w:tcPr>
            <w:tcW w:w="1640" w:type="dxa"/>
            <w:vAlign w:val="bottom"/>
            <w:tcBorders>
              <w:top w:val="single" w:sz="8" w:color="auto"/>
            </w:tcBorders>
            <w:shd w:val="clear" w:color="auto" w:fill="CCCCCC"/>
          </w:tcPr>
          <w:p>
            <w:pPr>
              <w:jc w:val="right"/>
              <w:ind w:right="19"/>
              <w:spacing w:after="0"/>
              <w:rPr>
                <w:sz w:val="20"/>
                <w:szCs w:val="20"/>
                <w:color w:val="auto"/>
              </w:rPr>
            </w:pPr>
            <w:r>
              <w:rPr>
                <w:rFonts w:ascii="Arial" w:cs="Arial" w:eastAsia="Arial" w:hAnsi="Arial"/>
                <w:sz w:val="16"/>
                <w:szCs w:val="16"/>
                <w:color w:val="auto"/>
              </w:rPr>
              <w:t>$310.6</w:t>
            </w:r>
          </w:p>
        </w:tc>
        <w:tc>
          <w:tcPr>
            <w:tcW w:w="20" w:type="dxa"/>
            <w:vAlign w:val="bottom"/>
            <w:tcBorders>
              <w:top w:val="single" w:sz="8" w:color="CCCCCC"/>
            </w:tcBorders>
            <w:shd w:val="clear" w:color="auto" w:fill="CCCCCC"/>
          </w:tcPr>
          <w:p>
            <w:pPr>
              <w:spacing w:after="0"/>
              <w:rPr>
                <w:sz w:val="18"/>
                <w:szCs w:val="18"/>
                <w:color w:val="auto"/>
              </w:rPr>
            </w:pPr>
          </w:p>
        </w:tc>
        <w:tc>
          <w:tcPr>
            <w:tcW w:w="1660" w:type="dxa"/>
            <w:vAlign w:val="bottom"/>
            <w:tcBorders>
              <w:top w:val="single" w:sz="8" w:color="auto"/>
            </w:tcBorders>
            <w:shd w:val="clear" w:color="auto" w:fill="CCCCCC"/>
          </w:tcPr>
          <w:p>
            <w:pPr>
              <w:jc w:val="right"/>
              <w:ind w:right="39"/>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495"/>
        </w:trPr>
        <w:tc>
          <w:tcPr>
            <w:tcW w:w="4580" w:type="dxa"/>
            <w:vAlign w:val="bottom"/>
            <w:shd w:val="clear" w:color="auto" w:fill="CCCCCC"/>
          </w:tcPr>
          <w:p>
            <w:pPr>
              <w:ind w:left="40"/>
              <w:spacing w:after="0"/>
              <w:rPr>
                <w:sz w:val="20"/>
                <w:szCs w:val="20"/>
                <w:color w:val="auto"/>
              </w:rPr>
            </w:pPr>
            <w:r>
              <w:rPr>
                <w:rFonts w:ascii="Arial" w:cs="Arial" w:eastAsia="Arial" w:hAnsi="Arial"/>
                <w:sz w:val="16"/>
                <w:szCs w:val="16"/>
                <w:color w:val="auto"/>
              </w:rPr>
              <w:t>Gross margin (adjusted revenues minus COGS)</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$210.3</w:t>
            </w:r>
          </w:p>
        </w:tc>
        <w:tc>
          <w:tcPr>
            <w:tcW w:w="166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$168.2</w:t>
            </w:r>
          </w:p>
        </w:tc>
        <w:tc>
          <w:tcPr>
            <w:tcW w:w="20" w:type="dxa"/>
            <w:vAlign w:val="bottom"/>
            <w:shd w:val="clear" w:color="auto" w:fill="CCCCCC"/>
          </w:tcPr>
          <w:p>
            <w:pPr>
              <w:spacing w:after="0"/>
              <w:rPr>
                <w:sz w:val="24"/>
                <w:szCs w:val="24"/>
                <w:color w:val="auto"/>
              </w:rPr>
            </w:pPr>
          </w:p>
        </w:tc>
        <w:tc>
          <w:tcPr>
            <w:tcW w:w="164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$544.6</w:t>
            </w:r>
          </w:p>
        </w:tc>
        <w:tc>
          <w:tcPr>
            <w:tcW w:w="168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$346.6</w:t>
            </w:r>
          </w:p>
        </w:tc>
        <w:tc>
          <w:tcPr>
            <w:tcW w:w="0" w:type="dxa"/>
            <w:vAlign w:val="bottom"/>
          </w:tcPr>
          <w:p>
            <w:pPr>
              <w:spacing w:after="0"/>
              <w:rPr>
                <w:sz w:val="1"/>
                <w:szCs w:val="1"/>
                <w:color w:val="auto"/>
              </w:rPr>
            </w:pPr>
          </w:p>
        </w:tc>
      </w:tr>
      <w:tr>
        <w:trPr>
          <w:trHeight w:val="230"/>
        </w:trPr>
        <w:tc>
          <w:tcPr>
            <w:tcW w:w="4580" w:type="dxa"/>
            <w:vAlign w:val="bottom"/>
            <w:shd w:val="clear" w:color="auto" w:fill="CCCCCC"/>
          </w:tcPr>
          <w:p>
            <w:pPr>
              <w:ind w:left="40"/>
              <w:spacing w:after="0"/>
              <w:rPr>
                <w:sz w:val="20"/>
                <w:szCs w:val="20"/>
                <w:color w:val="auto"/>
              </w:rPr>
            </w:pPr>
            <w:r>
              <w:rPr>
                <w:rFonts w:ascii="Arial" w:cs="Arial" w:eastAsia="Arial" w:hAnsi="Arial"/>
                <w:sz w:val="16"/>
                <w:szCs w:val="16"/>
                <w:color w:val="auto"/>
              </w:rPr>
              <w:t>Gross margin % (gross margin divided by adjusted revenues)</w:t>
            </w:r>
          </w:p>
        </w:tc>
        <w:tc>
          <w:tcPr>
            <w:tcW w:w="164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59%</w:t>
            </w:r>
          </w:p>
        </w:tc>
        <w:tc>
          <w:tcPr>
            <w:tcW w:w="1660" w:type="dxa"/>
            <w:vAlign w:val="bottom"/>
            <w:gridSpan w:val="2"/>
            <w:shd w:val="clear" w:color="auto" w:fill="CCCCCC"/>
          </w:tcPr>
          <w:p>
            <w:pPr>
              <w:jc w:val="right"/>
              <w:ind w:right="19"/>
              <w:spacing w:after="0"/>
              <w:rPr>
                <w:sz w:val="20"/>
                <w:szCs w:val="20"/>
                <w:color w:val="auto"/>
              </w:rPr>
            </w:pPr>
            <w:r>
              <w:rPr>
                <w:rFonts w:ascii="Arial" w:cs="Arial" w:eastAsia="Arial" w:hAnsi="Arial"/>
                <w:sz w:val="16"/>
                <w:szCs w:val="16"/>
                <w:color w:val="auto"/>
              </w:rPr>
              <w:t>61%</w:t>
            </w:r>
          </w:p>
        </w:tc>
        <w:tc>
          <w:tcPr>
            <w:tcW w:w="20" w:type="dxa"/>
            <w:vAlign w:val="bottom"/>
            <w:shd w:val="clear" w:color="auto" w:fill="CCCCCC"/>
          </w:tcPr>
          <w:p>
            <w:pPr>
              <w:spacing w:after="0"/>
              <w:rPr>
                <w:sz w:val="19"/>
                <w:szCs w:val="19"/>
                <w:color w:val="auto"/>
              </w:rPr>
            </w:pPr>
          </w:p>
        </w:tc>
        <w:tc>
          <w:tcPr>
            <w:tcW w:w="164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60%</w:t>
            </w:r>
          </w:p>
        </w:tc>
        <w:tc>
          <w:tcPr>
            <w:tcW w:w="1680" w:type="dxa"/>
            <w:vAlign w:val="bottom"/>
            <w:gridSpan w:val="2"/>
            <w:shd w:val="clear" w:color="auto" w:fill="CCCCCC"/>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448"/>
        </w:trPr>
        <w:tc>
          <w:tcPr>
            <w:tcW w:w="4580" w:type="dxa"/>
            <w:vAlign w:val="bottom"/>
            <w:shd w:val="clear" w:color="auto" w:fill="CCCCCC"/>
          </w:tcPr>
          <w:p>
            <w:pPr>
              <w:ind w:left="40"/>
              <w:spacing w:after="0"/>
              <w:rPr>
                <w:sz w:val="20"/>
                <w:szCs w:val="20"/>
                <w:color w:val="auto"/>
              </w:rPr>
            </w:pPr>
            <w:r>
              <w:rPr>
                <w:rFonts w:ascii="Arial" w:cs="Arial" w:eastAsia="Arial" w:hAnsi="Arial"/>
                <w:sz w:val="16"/>
                <w:szCs w:val="16"/>
                <w:color w:val="auto"/>
              </w:rPr>
              <w:t>Adjusted gross margin (adjusted revenues minus adjusted</w:t>
            </w:r>
          </w:p>
        </w:tc>
        <w:tc>
          <w:tcPr>
            <w:tcW w:w="164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$254.3</w:t>
            </w:r>
          </w:p>
        </w:tc>
        <w:tc>
          <w:tcPr>
            <w:tcW w:w="166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$175.1</w:t>
            </w:r>
          </w:p>
        </w:tc>
        <w:tc>
          <w:tcPr>
            <w:tcW w:w="20" w:type="dxa"/>
            <w:vAlign w:val="bottom"/>
            <w:shd w:val="clear" w:color="auto" w:fill="CCCCCC"/>
          </w:tcPr>
          <w:p>
            <w:pPr>
              <w:spacing w:after="0"/>
              <w:rPr>
                <w:sz w:val="24"/>
                <w:szCs w:val="24"/>
                <w:color w:val="auto"/>
              </w:rPr>
            </w:pPr>
          </w:p>
        </w:tc>
        <w:tc>
          <w:tcPr>
            <w:tcW w:w="1640" w:type="dxa"/>
            <w:vAlign w:val="bottom"/>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$589.7</w:t>
            </w:r>
          </w:p>
        </w:tc>
        <w:tc>
          <w:tcPr>
            <w:tcW w:w="1680" w:type="dxa"/>
            <w:vAlign w:val="bottom"/>
            <w:gridSpan w:val="2"/>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133"/>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6"/>
                <w:szCs w:val="16"/>
                <w:color w:val="auto"/>
              </w:rPr>
              <w:t>COGS)</w:t>
            </w:r>
          </w:p>
        </w:tc>
        <w:tc>
          <w:tcPr>
            <w:tcW w:w="1640" w:type="dxa"/>
            <w:vAlign w:val="bottom"/>
            <w:gridSpan w:val="2"/>
            <w:vMerge w:val="continue"/>
            <w:shd w:val="clear" w:color="auto" w:fill="CCCCCC"/>
          </w:tcPr>
          <w:p>
            <w:pPr>
              <w:spacing w:after="0"/>
              <w:rPr>
                <w:sz w:val="11"/>
                <w:szCs w:val="11"/>
                <w:color w:val="auto"/>
              </w:rPr>
            </w:pPr>
          </w:p>
        </w:tc>
        <w:tc>
          <w:tcPr>
            <w:tcW w:w="1660" w:type="dxa"/>
            <w:vAlign w:val="bottom"/>
            <w:gridSpan w:val="2"/>
            <w:vMerge w:val="continue"/>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640" w:type="dxa"/>
            <w:vAlign w:val="bottom"/>
            <w:vMerge w:val="continue"/>
            <w:shd w:val="clear" w:color="auto" w:fill="CCCCCC"/>
          </w:tcPr>
          <w:p>
            <w:pPr>
              <w:spacing w:after="0"/>
              <w:rPr>
                <w:sz w:val="11"/>
                <w:szCs w:val="11"/>
                <w:color w:val="auto"/>
              </w:rPr>
            </w:pPr>
          </w:p>
        </w:tc>
        <w:tc>
          <w:tcPr>
            <w:tcW w:w="1680" w:type="dxa"/>
            <w:vAlign w:val="bottom"/>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580" w:type="dxa"/>
            <w:vAlign w:val="bottom"/>
            <w:vMerge w:val="continue"/>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2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6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CCCC"/>
          </w:tcPr>
          <w:p>
            <w:pPr>
              <w:ind w:left="40"/>
              <w:spacing w:after="0" w:line="173" w:lineRule="exact"/>
              <w:rPr>
                <w:sz w:val="20"/>
                <w:szCs w:val="20"/>
                <w:color w:val="auto"/>
              </w:rPr>
            </w:pPr>
            <w:r>
              <w:rPr>
                <w:rFonts w:ascii="Arial" w:cs="Arial" w:eastAsia="Arial" w:hAnsi="Arial"/>
                <w:sz w:val="16"/>
                <w:szCs w:val="16"/>
                <w:color w:val="auto"/>
              </w:rPr>
              <w:t>Adjusted gross margin % (adjusted gross margin divided by</w:t>
            </w:r>
          </w:p>
        </w:tc>
        <w:tc>
          <w:tcPr>
            <w:tcW w:w="164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71%</w:t>
            </w:r>
          </w:p>
        </w:tc>
        <w:tc>
          <w:tcPr>
            <w:tcW w:w="1660" w:type="dxa"/>
            <w:vAlign w:val="bottom"/>
            <w:gridSpan w:val="2"/>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63%</w:t>
            </w:r>
          </w:p>
        </w:tc>
        <w:tc>
          <w:tcPr>
            <w:tcW w:w="20" w:type="dxa"/>
            <w:vAlign w:val="bottom"/>
            <w:shd w:val="clear" w:color="auto" w:fill="CCCCCC"/>
          </w:tcPr>
          <w:p>
            <w:pPr>
              <w:spacing w:after="0"/>
              <w:rPr>
                <w:sz w:val="15"/>
                <w:szCs w:val="15"/>
                <w:color w:val="auto"/>
              </w:rPr>
            </w:pPr>
          </w:p>
        </w:tc>
        <w:tc>
          <w:tcPr>
            <w:tcW w:w="1640" w:type="dxa"/>
            <w:vAlign w:val="bottom"/>
            <w:vMerge w:val="restart"/>
            <w:shd w:val="clear" w:color="auto" w:fill="CCCCCC"/>
          </w:tcPr>
          <w:p>
            <w:pPr>
              <w:jc w:val="right"/>
              <w:ind w:right="19"/>
              <w:spacing w:after="0"/>
              <w:rPr>
                <w:sz w:val="20"/>
                <w:szCs w:val="20"/>
                <w:color w:val="auto"/>
              </w:rPr>
            </w:pPr>
            <w:r>
              <w:rPr>
                <w:rFonts w:ascii="Arial" w:cs="Arial" w:eastAsia="Arial" w:hAnsi="Arial"/>
                <w:sz w:val="16"/>
                <w:szCs w:val="16"/>
                <w:color w:val="auto"/>
              </w:rPr>
              <w:t>66%</w:t>
            </w:r>
          </w:p>
        </w:tc>
        <w:tc>
          <w:tcPr>
            <w:tcW w:w="1680" w:type="dxa"/>
            <w:vAlign w:val="bottom"/>
            <w:gridSpan w:val="2"/>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33"/>
        </w:trPr>
        <w:tc>
          <w:tcPr>
            <w:tcW w:w="4580" w:type="dxa"/>
            <w:vAlign w:val="bottom"/>
            <w:vMerge w:val="restart"/>
            <w:shd w:val="clear" w:color="auto" w:fill="CCCCCC"/>
          </w:tcPr>
          <w:p>
            <w:pPr>
              <w:ind w:left="40"/>
              <w:spacing w:after="0"/>
              <w:rPr>
                <w:sz w:val="20"/>
                <w:szCs w:val="20"/>
                <w:color w:val="auto"/>
              </w:rPr>
            </w:pPr>
            <w:r>
              <w:rPr>
                <w:rFonts w:ascii="Arial" w:cs="Arial" w:eastAsia="Arial" w:hAnsi="Arial"/>
                <w:sz w:val="16"/>
                <w:szCs w:val="16"/>
                <w:color w:val="auto"/>
              </w:rPr>
              <w:t>adjusted revenues)</w:t>
            </w:r>
          </w:p>
        </w:tc>
        <w:tc>
          <w:tcPr>
            <w:tcW w:w="1640" w:type="dxa"/>
            <w:vAlign w:val="bottom"/>
            <w:gridSpan w:val="2"/>
            <w:vMerge w:val="continue"/>
            <w:shd w:val="clear" w:color="auto" w:fill="CCCCCC"/>
          </w:tcPr>
          <w:p>
            <w:pPr>
              <w:spacing w:after="0"/>
              <w:rPr>
                <w:sz w:val="11"/>
                <w:szCs w:val="11"/>
                <w:color w:val="auto"/>
              </w:rPr>
            </w:pPr>
          </w:p>
        </w:tc>
        <w:tc>
          <w:tcPr>
            <w:tcW w:w="1660" w:type="dxa"/>
            <w:vAlign w:val="bottom"/>
            <w:gridSpan w:val="2"/>
            <w:vMerge w:val="continue"/>
            <w:shd w:val="clear" w:color="auto" w:fill="CCCCCC"/>
          </w:tcPr>
          <w:p>
            <w:pPr>
              <w:spacing w:after="0"/>
              <w:rPr>
                <w:sz w:val="11"/>
                <w:szCs w:val="11"/>
                <w:color w:val="auto"/>
              </w:rPr>
            </w:pPr>
          </w:p>
        </w:tc>
        <w:tc>
          <w:tcPr>
            <w:tcW w:w="20" w:type="dxa"/>
            <w:vAlign w:val="bottom"/>
            <w:shd w:val="clear" w:color="auto" w:fill="CCCCCC"/>
          </w:tcPr>
          <w:p>
            <w:pPr>
              <w:spacing w:after="0"/>
              <w:rPr>
                <w:sz w:val="11"/>
                <w:szCs w:val="11"/>
                <w:color w:val="auto"/>
              </w:rPr>
            </w:pPr>
          </w:p>
        </w:tc>
        <w:tc>
          <w:tcPr>
            <w:tcW w:w="1640" w:type="dxa"/>
            <w:vAlign w:val="bottom"/>
            <w:vMerge w:val="continue"/>
            <w:shd w:val="clear" w:color="auto" w:fill="CCCCCC"/>
          </w:tcPr>
          <w:p>
            <w:pPr>
              <w:spacing w:after="0"/>
              <w:rPr>
                <w:sz w:val="11"/>
                <w:szCs w:val="11"/>
                <w:color w:val="auto"/>
              </w:rPr>
            </w:pPr>
          </w:p>
        </w:tc>
        <w:tc>
          <w:tcPr>
            <w:tcW w:w="1680" w:type="dxa"/>
            <w:vAlign w:val="bottom"/>
            <w:gridSpan w:val="2"/>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580" w:type="dxa"/>
            <w:vAlign w:val="bottom"/>
            <w:vMerge w:val="continue"/>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2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40" w:type="dxa"/>
            <w:vAlign w:val="bottom"/>
            <w:shd w:val="clear" w:color="auto" w:fill="CCCCCC"/>
          </w:tcPr>
          <w:p>
            <w:pPr>
              <w:spacing w:after="0"/>
              <w:rPr>
                <w:sz w:val="7"/>
                <w:szCs w:val="7"/>
                <w:color w:val="auto"/>
              </w:rPr>
            </w:pPr>
          </w:p>
        </w:tc>
        <w:tc>
          <w:tcPr>
            <w:tcW w:w="20" w:type="dxa"/>
            <w:vAlign w:val="bottom"/>
            <w:shd w:val="clear" w:color="auto" w:fill="CCCCCC"/>
          </w:tcPr>
          <w:p>
            <w:pPr>
              <w:spacing w:after="0"/>
              <w:rPr>
                <w:sz w:val="7"/>
                <w:szCs w:val="7"/>
                <w:color w:val="auto"/>
              </w:rPr>
            </w:pPr>
          </w:p>
        </w:tc>
        <w:tc>
          <w:tcPr>
            <w:tcW w:w="166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 of 15</w:t>
      </w:r>
    </w:p>
    <w:sectPr>
      <w:pgSz w:w="11900" w:h="16838" w:orient="portrait"/>
      <w:cols w:equalWidth="0" w:num="1">
        <w:col w:w="11220"/>
      </w:cols>
      <w:pgMar w:left="320" w:top="10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upperLetter"/>
      <w:start w:val="9"/>
    </w:lvl>
  </w:abstractNum>
  <w:abstractNum w:abstractNumId="4">
    <w:nsid w:val="41B71EFB"/>
    <w:multiLevelType w:val="hybridMultilevel"/>
    <w:lvl w:ilvl="0">
      <w:lvlJc w:val="left"/>
      <w:lvlText w:val="(%1)"/>
      <w:numFmt w:val="upperLetter"/>
      <w:start w:val="35"/>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2020-11-05T16:48:39Z</dcterms:created>
  <dcterms:modified xsi:type="dcterms:W3CDTF">2020-11-05T16:48:39Z</dcterms:modified>
</cp:coreProperties>
</file>