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333-258634</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178435</wp:posOffset>
            </wp:positionV>
            <wp:extent cx="159448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have entered into an equity distribution agreement (the “Equity Distribution Agreement”) with Evercore Group L.L.C. and RBC Capital Markets, LLC, dated May 17, 2023, relating to the offer and sale of shares of our common stock, par value $0.001 per share, offered by this prospectus supplement and the accompanying prospectus. In accordance with the terms of the Equity Distribution Agreement, we may offer and sell shares of our common stock having an aggregate offering price of up to $150 million from time to time through Evercore Group L.L.C. and RBC Capital Markets, LLC, acting as our agents (the “managers”).</w:t>
      </w:r>
    </w:p>
    <w:p>
      <w:pPr>
        <w:spacing w:after="0" w:line="188" w:lineRule="exact"/>
        <w:rPr>
          <w:sz w:val="24"/>
          <w:szCs w:val="24"/>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“EBS.” The last reported sale price of our common stock on the New York Stock Exchange on May 17, 2023 was $9.04 per share.</w:t>
      </w:r>
    </w:p>
    <w:p>
      <w:pPr>
        <w:spacing w:after="0" w:line="170" w:lineRule="exact"/>
        <w:rPr>
          <w:sz w:val="24"/>
          <w:szCs w:val="24"/>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Sales of our common stock, if any, under this prospectus supplement will be made by any method permitted by law deemed to be an “at the market offering” as defined in Rule 415 promulgated under the Securities Act of 1933, as amended (the “Securities Act”). Sales of shares of our common stock may also be made by any other method permitted by law, including sales made by means of ordinary brokers’ transactions on the New York Stock Exchange, on any other existing trading market for our common stock, to or through a market maker at market prices prevailing at the time of sale or in privately negotiated transactions. The managers are not required to sell any specific number or dollar amount of shares of our common stock, but will act as our sales agents using commercially reasonable efforts consistent with their normal trading and sales practices, or mutually agreed terms between the managers and us. The shares of our common stock offered and sold through the managers pursuant to the Equity Distribution Agreement will be offered and sold through only one manager on any given trading day.</w:t>
      </w:r>
    </w:p>
    <w:p>
      <w:pPr>
        <w:spacing w:after="0" w:line="17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compensation payable to the managers for sales of common stock pursuant to the Equity Distribution Agreement will be an amount up to</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3.0% of the gross proceeds of any shares of common stock sold under the Equity Distribution Agreement. See “Plan of Distribution” beginning on page</w:t>
      </w:r>
    </w:p>
    <w:p>
      <w:pPr>
        <w:spacing w:after="0" w:line="3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S-9 for additional information regarding the compensation to be paid to the managers. In connection with the sale of the common stock on our behalf,</w:t>
      </w:r>
    </w:p>
    <w:p>
      <w:pPr>
        <w:spacing w:after="0" w:line="32" w:lineRule="exact"/>
        <w:rPr>
          <w:sz w:val="24"/>
          <w:szCs w:val="24"/>
          <w:color w:val="auto"/>
        </w:rPr>
      </w:pPr>
    </w:p>
    <w:p>
      <w:pPr>
        <w:ind w:left="120"/>
        <w:spacing w:after="0"/>
        <w:rPr>
          <w:sz w:val="20"/>
          <w:szCs w:val="20"/>
          <w:color w:val="auto"/>
        </w:rPr>
      </w:pPr>
      <w:r>
        <w:rPr>
          <w:rFonts w:ascii="Arial" w:cs="Arial" w:eastAsia="Arial" w:hAnsi="Arial"/>
          <w:sz w:val="17"/>
          <w:szCs w:val="17"/>
          <w:color w:val="auto"/>
        </w:rPr>
        <w:t>Evercore Group L.L.C. and RBC Capital Markets, LLC will each be deemed to be an “underwriter” within the meaning of the Securities Act and the</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compensation paid to the managers will be deemed to be underwriting commissions or discounts. We have also agreed in the Equity Distribution</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Agreement to provide indemnification and contribution to the managers with respect to certain liabilities, including liabilities under the Securities Act</w:t>
      </w:r>
    </w:p>
    <w:p>
      <w:pPr>
        <w:spacing w:after="0" w:line="3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and the Securities Exchange Act of 1934, as amended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120" w:right="400" w:firstLine="440"/>
        <w:spacing w:after="0" w:line="260" w:lineRule="auto"/>
        <w:rPr>
          <w:sz w:val="20"/>
          <w:szCs w:val="20"/>
          <w:color w:val="auto"/>
        </w:rPr>
      </w:pPr>
      <w:r>
        <w:rPr>
          <w:rFonts w:ascii="Arial" w:cs="Arial" w:eastAsia="Arial" w:hAnsi="Arial"/>
          <w:sz w:val="21"/>
          <w:szCs w:val="21"/>
          <w:b w:val="1"/>
          <w:bCs w:val="1"/>
          <w:color w:val="auto"/>
        </w:rPr>
        <w:t>Investing in our common stock involves a high degree of risk. You should carefully consider the risks described under the heading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beginning on page S-7 of this prospectus supplement and the risk factors in the documents incorporated by reference into this prospectus supplement.</w:t>
      </w:r>
    </w:p>
    <w:p>
      <w:pPr>
        <w:spacing w:after="0" w:line="160" w:lineRule="exact"/>
        <w:rPr>
          <w:sz w:val="24"/>
          <w:szCs w:val="24"/>
          <w:color w:val="auto"/>
        </w:rPr>
      </w:pPr>
    </w:p>
    <w:p>
      <w:pPr>
        <w:ind w:left="120" w:right="100" w:firstLine="440"/>
        <w:spacing w:after="0" w:line="260" w:lineRule="auto"/>
        <w:rPr>
          <w:sz w:val="20"/>
          <w:szCs w:val="20"/>
          <w:color w:val="auto"/>
        </w:rPr>
      </w:pPr>
      <w:r>
        <w:rPr>
          <w:rFonts w:ascii="Arial" w:cs="Arial" w:eastAsia="Arial" w:hAnsi="Arial"/>
          <w:sz w:val="21"/>
          <w:szCs w:val="21"/>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2080"/>
        <w:spacing w:after="0"/>
        <w:tabs>
          <w:tab w:leader="none" w:pos="7060" w:val="left"/>
        </w:tabs>
        <w:rPr>
          <w:sz w:val="20"/>
          <w:szCs w:val="20"/>
          <w:color w:val="auto"/>
        </w:rPr>
      </w:pPr>
      <w:r>
        <w:rPr>
          <w:rFonts w:ascii="Arial" w:cs="Arial" w:eastAsia="Arial" w:hAnsi="Arial"/>
          <w:sz w:val="29"/>
          <w:szCs w:val="29"/>
          <w:b w:val="1"/>
          <w:bCs w:val="1"/>
          <w:color w:val="auto"/>
        </w:rPr>
        <w:t>Evercore ISI</w:t>
      </w:r>
      <w:r>
        <w:rPr>
          <w:sz w:val="20"/>
          <w:szCs w:val="20"/>
          <w:color w:val="auto"/>
        </w:rPr>
        <w:tab/>
      </w:r>
      <w:r>
        <w:rPr>
          <w:rFonts w:ascii="Arial" w:cs="Arial" w:eastAsia="Arial" w:hAnsi="Arial"/>
          <w:sz w:val="27"/>
          <w:szCs w:val="27"/>
          <w:b w:val="1"/>
          <w:bCs w:val="1"/>
          <w:color w:val="auto"/>
        </w:rPr>
        <w:t>RBC Capital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245745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39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Prospectus Supplement dated May 18, 2023</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2"/>
          </w:tcPr>
          <w:p>
            <w:pPr>
              <w:spacing w:after="0"/>
              <w:rPr>
                <w:sz w:val="20"/>
                <w:szCs w:val="20"/>
                <w:color w:val="auto"/>
              </w:rPr>
            </w:pPr>
            <w:r>
              <w:rPr>
                <w:rFonts w:ascii="Arial" w:cs="Arial" w:eastAsia="Arial" w:hAnsi="Arial"/>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21"/>
          </w:tcPr>
          <w:p>
            <w:pPr>
              <w:spacing w:after="0"/>
              <w:rPr>
                <w:sz w:val="20"/>
                <w:szCs w:val="20"/>
                <w:color w:val="auto"/>
              </w:rPr>
            </w:pPr>
            <w:r>
              <w:rPr>
                <w:rFonts w:ascii="Arial" w:cs="Arial" w:eastAsia="Arial" w:hAnsi="Arial"/>
                <w:sz w:val="18"/>
                <w:szCs w:val="18"/>
                <w:color w:val="0000EE"/>
              </w:rPr>
              <w:t>ABOUT THIS PROSPECTUS SUPPLEMENT</w:t>
            </w:r>
          </w:p>
        </w:tc>
        <w:tc>
          <w:tcPr>
            <w:tcW w:w="24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342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FORWARD-LOOKING STATEMENTS</w:t>
            </w:r>
          </w:p>
        </w:tc>
        <w:tc>
          <w:tcPr>
            <w:tcW w:w="512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THE OFFERING</w:t>
            </w:r>
          </w:p>
        </w:tc>
        <w:tc>
          <w:tcPr>
            <w:tcW w:w="2000" w:type="dxa"/>
            <w:vAlign w:val="bottom"/>
            <w:tcBorders>
              <w:top w:val="single" w:sz="8" w:color="0000EE"/>
            </w:tcBorders>
            <w:gridSpan w:val="13"/>
          </w:tcPr>
          <w:p>
            <w:pPr>
              <w:spacing w:after="0"/>
              <w:rPr>
                <w:sz w:val="17"/>
                <w:szCs w:val="17"/>
                <w:color w:val="auto"/>
              </w:rPr>
            </w:pPr>
          </w:p>
        </w:tc>
        <w:tc>
          <w:tcPr>
            <w:tcW w:w="52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69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PLAN OF DISTRIBUTION</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LEGAL MATTERS</w:t>
            </w:r>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710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453"/>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500" w:type="dxa"/>
            <w:vAlign w:val="bottom"/>
          </w:tcPr>
          <w:p>
            <w:pPr>
              <w:jc w:val="center"/>
              <w:ind w:right="249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2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ABOUT THIS PROSPECTUS</w:t>
            </w:r>
          </w:p>
        </w:tc>
        <w:tc>
          <w:tcPr>
            <w:tcW w:w="632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474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FORWARD-LOOKING STATEMENTS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EMERGENT BIOSOLUTIONS INC.</w:t>
            </w:r>
          </w:p>
        </w:tc>
        <w:tc>
          <w:tcPr>
            <w:tcW w:w="56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140" w:type="dxa"/>
            <w:vAlign w:val="bottom"/>
            <w:tcBorders>
              <w:top w:val="single" w:sz="8" w:color="0000EE"/>
            </w:tcBorders>
            <w:gridSpan w:val="7"/>
          </w:tcPr>
          <w:p>
            <w:pPr>
              <w:spacing w:after="0"/>
              <w:rPr>
                <w:sz w:val="17"/>
                <w:szCs w:val="17"/>
                <w:color w:val="auto"/>
              </w:rPr>
            </w:pPr>
          </w:p>
        </w:tc>
        <w:tc>
          <w:tcPr>
            <w:tcW w:w="58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25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SELLING SECURITY HOLDERS</w:t>
            </w:r>
          </w:p>
        </w:tc>
        <w:tc>
          <w:tcPr>
            <w:tcW w:w="60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55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DESCRIPTION OF CAPITAL STOCK</w:t>
            </w:r>
          </w:p>
        </w:tc>
        <w:tc>
          <w:tcPr>
            <w:tcW w:w="56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280" w:type="dxa"/>
            <w:vAlign w:val="bottom"/>
            <w:tcBorders>
              <w:top w:val="single" w:sz="8" w:color="0000EE"/>
            </w:tcBorders>
            <w:gridSpan w:val="10"/>
          </w:tcPr>
          <w:p>
            <w:pPr>
              <w:spacing w:after="0"/>
              <w:rPr>
                <w:sz w:val="17"/>
                <w:szCs w:val="17"/>
                <w:color w:val="auto"/>
              </w:rPr>
            </w:pPr>
          </w:p>
        </w:tc>
        <w:tc>
          <w:tcPr>
            <w:tcW w:w="52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606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FORMS OF SECURITIES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6600" w:type="dxa"/>
            <w:vAlign w:val="bottom"/>
            <w:gridSpan w:val="1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Arial" w:cs="Arial" w:eastAsia="Arial" w:hAnsi="Arial"/>
                <w:sz w:val="18"/>
                <w:szCs w:val="18"/>
                <w:color w:val="0000EE"/>
              </w:rPr>
              <w:t>PLAN OF DISTRIBUTION</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LEGAL MATTERS</w:t>
            </w:r>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710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662"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Unless the context otherwise indicates, references in this prospectus to “Emergent,” the “Company,” “we,” “us,” and “our” refer to Emergent BioSolutions Inc. and its consolidated subsidiaries.</w:t>
      </w:r>
    </w:p>
    <w:p>
      <w:pPr>
        <w:spacing w:after="0" w:line="170"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common stock and updates the information contained in the accompanying prospectus and the documents incorporated by reference herein and therein. The second part is the accompanying prospectus, which provides more general information about securities that we and our selling security holders may offer from time to time, some of which does not apply to this offering. This prospectus supplement and the accompanying prospectus relate to a Registration Statement on Form S-3 (File No. 333-258634) that we filed with the U.S. Securities and Exchange Commission (“SEC”) using a shelf registration process.</w:t>
      </w:r>
    </w:p>
    <w:p>
      <w:pPr>
        <w:spacing w:after="0" w:line="188"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b w:val="1"/>
          <w:bCs w:val="1"/>
          <w:color w:val="auto"/>
        </w:rPr>
        <w:t>Neither we nor the managers have authorized anyone to provide you with information that is different from or in addition to the information contained or incorporated by reference in this prospectus supplement and the accompanying prospectus and in any related free writing prospectus filed by us with the SEC. Accordingly, neither we nor the managers take any responsibility for, or can provide any assurance as to the reliability of, any information that others may provide. Neither we nor the managers are making an offer to sell or soliciting an offer to buy shares of our common stock in any jurisdiction where the offer or solicitation is not permitted. You should not assume that the information contained in this prospectus supplement, the accompanying prospectus, the documents incorporated by reference herein and therein and any related free writing prospectus is accurate as of any date other than the respective date of each of those documents, regardless of the time of delivery of this prospectus supplement or any sale of the common stock offered hereby. Our business, financial condition, results of operations and prospects may have changed materially since those dates.</w:t>
      </w:r>
    </w:p>
    <w:p>
      <w:pPr>
        <w:spacing w:after="0" w:line="166" w:lineRule="exact"/>
        <w:rPr>
          <w:sz w:val="20"/>
          <w:szCs w:val="20"/>
          <w:color w:val="auto"/>
        </w:rPr>
      </w:pPr>
    </w:p>
    <w:p>
      <w:pPr>
        <w:ind w:left="120" w:right="260" w:firstLine="991"/>
        <w:spacing w:after="0" w:line="273" w:lineRule="auto"/>
        <w:rPr>
          <w:sz w:val="20"/>
          <w:szCs w:val="20"/>
          <w:color w:val="auto"/>
        </w:rPr>
      </w:pPr>
      <w:r>
        <w:rPr>
          <w:rFonts w:ascii="Arial" w:cs="Arial" w:eastAsia="Arial" w:hAnsi="Arial"/>
          <w:sz w:val="17"/>
          <w:szCs w:val="17"/>
          <w:b w:val="1"/>
          <w:bCs w:val="1"/>
          <w:color w:val="auto"/>
        </w:rPr>
        <w:t>In making your investment decision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or therein. You should also read and consider the information in the documents to which we have referred you in the section titled “Incorporation of Certain Documents by Reference” in this prospectus supplement. To the extent the information contained in this prospectus supplement differs or varies from the information contained in the accompanying prospectus or documents previously filed with the SEC that are incorporated by reference herein, the information in this prospectus supplement will supersede such information.</w:t>
      </w:r>
    </w:p>
    <w:p>
      <w:pPr>
        <w:spacing w:after="0" w:line="176" w:lineRule="exact"/>
        <w:rPr>
          <w:sz w:val="20"/>
          <w:szCs w:val="20"/>
          <w:color w:val="auto"/>
        </w:rPr>
      </w:pPr>
    </w:p>
    <w:p>
      <w:pPr>
        <w:ind w:left="120" w:right="200" w:firstLine="991"/>
        <w:spacing w:after="0" w:line="208" w:lineRule="auto"/>
        <w:rPr>
          <w:sz w:val="20"/>
          <w:szCs w:val="20"/>
          <w:color w:val="auto"/>
        </w:rPr>
      </w:pPr>
      <w:r>
        <w:rPr>
          <w:rFonts w:ascii="Arial" w:cs="Arial" w:eastAsia="Arial" w:hAnsi="Arial"/>
          <w:sz w:val="18"/>
          <w:szCs w:val="18"/>
          <w:color w:val="auto"/>
        </w:rPr>
        <w:t>Emergent</w:t>
      </w:r>
      <w:r>
        <w:rPr>
          <w:rFonts w:ascii="Arial" w:cs="Arial" w:eastAsia="Arial" w:hAnsi="Arial"/>
          <w:sz w:val="26"/>
          <w:szCs w:val="26"/>
          <w:color w:val="auto"/>
          <w:vertAlign w:val="superscript"/>
        </w:rPr>
        <w:t>®</w:t>
      </w:r>
      <w:r>
        <w:rPr>
          <w:rFonts w:ascii="Arial" w:cs="Arial" w:eastAsia="Arial" w:hAnsi="Arial"/>
          <w:sz w:val="18"/>
          <w:szCs w:val="18"/>
          <w:color w:val="auto"/>
        </w:rPr>
        <w:t>, BioThrax</w:t>
      </w:r>
      <w:r>
        <w:rPr>
          <w:rFonts w:ascii="Arial" w:cs="Arial" w:eastAsia="Arial" w:hAnsi="Arial"/>
          <w:sz w:val="26"/>
          <w:szCs w:val="26"/>
          <w:color w:val="auto"/>
          <w:vertAlign w:val="superscript"/>
        </w:rPr>
        <w:t>®</w:t>
      </w:r>
      <w:r>
        <w:rPr>
          <w:rFonts w:ascii="Arial" w:cs="Arial" w:eastAsia="Arial" w:hAnsi="Arial"/>
          <w:sz w:val="18"/>
          <w:szCs w:val="18"/>
          <w:color w:val="auto"/>
        </w:rPr>
        <w:t>, BaciThrax</w:t>
      </w:r>
      <w:r>
        <w:rPr>
          <w:rFonts w:ascii="Arial" w:cs="Arial" w:eastAsia="Arial" w:hAnsi="Arial"/>
          <w:sz w:val="26"/>
          <w:szCs w:val="26"/>
          <w:color w:val="auto"/>
          <w:vertAlign w:val="superscript"/>
        </w:rPr>
        <w:t>®</w:t>
      </w:r>
      <w:r>
        <w:rPr>
          <w:rFonts w:ascii="Arial" w:cs="Arial" w:eastAsia="Arial" w:hAnsi="Arial"/>
          <w:sz w:val="18"/>
          <w:szCs w:val="18"/>
          <w:color w:val="auto"/>
        </w:rPr>
        <w:t>, RSDL</w:t>
      </w:r>
      <w:r>
        <w:rPr>
          <w:rFonts w:ascii="Arial" w:cs="Arial" w:eastAsia="Arial" w:hAnsi="Arial"/>
          <w:sz w:val="26"/>
          <w:szCs w:val="26"/>
          <w:color w:val="auto"/>
          <w:vertAlign w:val="superscript"/>
        </w:rPr>
        <w:t>®</w:t>
      </w:r>
      <w:r>
        <w:rPr>
          <w:rFonts w:ascii="Arial" w:cs="Arial" w:eastAsia="Arial" w:hAnsi="Arial"/>
          <w:sz w:val="18"/>
          <w:szCs w:val="18"/>
          <w:color w:val="auto"/>
        </w:rPr>
        <w:t>, BAT</w:t>
      </w:r>
      <w:r>
        <w:rPr>
          <w:rFonts w:ascii="Arial" w:cs="Arial" w:eastAsia="Arial" w:hAnsi="Arial"/>
          <w:sz w:val="26"/>
          <w:szCs w:val="26"/>
          <w:color w:val="auto"/>
          <w:vertAlign w:val="superscript"/>
        </w:rPr>
        <w:t>®</w:t>
      </w:r>
      <w:r>
        <w:rPr>
          <w:rFonts w:ascii="Arial" w:cs="Arial" w:eastAsia="Arial" w:hAnsi="Arial"/>
          <w:sz w:val="18"/>
          <w:szCs w:val="18"/>
          <w:color w:val="auto"/>
        </w:rPr>
        <w:t>, Trobigard</w:t>
      </w:r>
      <w:r>
        <w:rPr>
          <w:rFonts w:ascii="Arial" w:cs="Arial" w:eastAsia="Arial" w:hAnsi="Arial"/>
          <w:sz w:val="26"/>
          <w:szCs w:val="26"/>
          <w:color w:val="auto"/>
          <w:vertAlign w:val="superscript"/>
        </w:rPr>
        <w:t>®</w:t>
      </w:r>
      <w:r>
        <w:rPr>
          <w:rFonts w:ascii="Arial" w:cs="Arial" w:eastAsia="Arial" w:hAnsi="Arial"/>
          <w:sz w:val="18"/>
          <w:szCs w:val="18"/>
          <w:color w:val="auto"/>
        </w:rPr>
        <w:t>, Anthrasil</w:t>
      </w:r>
      <w:r>
        <w:rPr>
          <w:rFonts w:ascii="Arial" w:cs="Arial" w:eastAsia="Arial" w:hAnsi="Arial"/>
          <w:sz w:val="26"/>
          <w:szCs w:val="26"/>
          <w:color w:val="auto"/>
          <w:vertAlign w:val="superscript"/>
        </w:rPr>
        <w:t>®</w:t>
      </w:r>
      <w:r>
        <w:rPr>
          <w:rFonts w:ascii="Arial" w:cs="Arial" w:eastAsia="Arial" w:hAnsi="Arial"/>
          <w:sz w:val="18"/>
          <w:szCs w:val="18"/>
          <w:color w:val="auto"/>
        </w:rPr>
        <w:t>, CNJ-016</w:t>
      </w:r>
      <w:r>
        <w:rPr>
          <w:rFonts w:ascii="Arial" w:cs="Arial" w:eastAsia="Arial" w:hAnsi="Arial"/>
          <w:sz w:val="26"/>
          <w:szCs w:val="26"/>
          <w:color w:val="auto"/>
          <w:vertAlign w:val="superscript"/>
        </w:rPr>
        <w:t>®</w:t>
      </w:r>
      <w:r>
        <w:rPr>
          <w:rFonts w:ascii="Arial" w:cs="Arial" w:eastAsia="Arial" w:hAnsi="Arial"/>
          <w:sz w:val="18"/>
          <w:szCs w:val="18"/>
          <w:color w:val="auto"/>
        </w:rPr>
        <w:t>, ACAM2000</w:t>
      </w:r>
      <w:r>
        <w:rPr>
          <w:rFonts w:ascii="Arial" w:cs="Arial" w:eastAsia="Arial" w:hAnsi="Arial"/>
          <w:sz w:val="26"/>
          <w:szCs w:val="26"/>
          <w:color w:val="auto"/>
          <w:vertAlign w:val="superscript"/>
        </w:rPr>
        <w:t>®</w:t>
      </w:r>
      <w:r>
        <w:rPr>
          <w:rFonts w:ascii="Arial" w:cs="Arial" w:eastAsia="Arial" w:hAnsi="Arial"/>
          <w:sz w:val="18"/>
          <w:szCs w:val="18"/>
          <w:color w:val="auto"/>
        </w:rPr>
        <w:t>, NARCAN</w:t>
      </w:r>
      <w:r>
        <w:rPr>
          <w:rFonts w:ascii="Arial" w:cs="Arial" w:eastAsia="Arial" w:hAnsi="Arial"/>
          <w:sz w:val="26"/>
          <w:szCs w:val="26"/>
          <w:color w:val="auto"/>
          <w:vertAlign w:val="superscript"/>
        </w:rPr>
        <w:t>®</w:t>
      </w:r>
      <w:r>
        <w:rPr>
          <w:rFonts w:ascii="Arial" w:cs="Arial" w:eastAsia="Arial" w:hAnsi="Arial"/>
          <w:sz w:val="18"/>
          <w:szCs w:val="18"/>
          <w:color w:val="auto"/>
        </w:rPr>
        <w:t>, TEMBEXA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67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This prospectus supplement, the accompanying prospectus and the other documents that are incorporated herein and therein by reference contain forward-looking statements that involve substantial risks and uncertainties. All statements, other than statements of historical fact, are forward-looking statements. We generally identify forward-looking statements by using words like “anticipate,” “believe,” “continue,” “could,” “estimate,” “expect,” “forecast,” “goal,” “intend,” “may,” “plan,” “should,” “will,” “would,” or variations thereof or the negative thereof, but these terms are not the exclusive means of identifying such statements.</w:t>
      </w:r>
    </w:p>
    <w:p>
      <w:pPr>
        <w:spacing w:after="0" w:line="188"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Forward-looking statements are based on our current intentions, beliefs and expectations regarding future events. You should realize that if underlying assumptions prove inaccurate or if known or unknown risks or uncertainties materialize, actual results could differ materially from our expectations. You are, therefore, cautioned not to place undue reliance on any forward-looking statement contained in this prospectus supplement, the accompanying prospectus and the other documents that are incorporated herein and therein by reference. Any forward-looking statement speaks only as of the date on which such statement is made and, except as required by law, we do not undertake any obligation to update any forward-looking statement to reflect new information, events or circumstances.</w:t>
      </w:r>
    </w:p>
    <w:p>
      <w:pPr>
        <w:spacing w:after="0" w:line="192"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76" w:lineRule="exact"/>
        <w:rPr>
          <w:sz w:val="20"/>
          <w:szCs w:val="20"/>
          <w:color w:val="auto"/>
        </w:rPr>
      </w:pPr>
    </w:p>
    <w:p>
      <w:pPr>
        <w:ind w:left="1100" w:right="60" w:hanging="544"/>
        <w:spacing w:after="0" w:line="234" w:lineRule="auto"/>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availability of U.S. Government (“USG”) funding for contracts related to procurement of our medical countermeasures (“MCM”), including AV7909 (Anthrax Vaccine Adsorbed (AVA), Adjuvanted), BioThrax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(Anthrax Vaccine Adsorbed) and ACAM2000</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(Smallpox (Vaccinia) Vaccine, Live) among others, as well as contracts related to development of medical countermeasures;</w:t>
      </w:r>
    </w:p>
    <w:p>
      <w:pPr>
        <w:spacing w:after="0" w:line="108" w:lineRule="exact"/>
        <w:rPr>
          <w:rFonts w:ascii="Arial" w:cs="Arial" w:eastAsia="Arial" w:hAnsi="Arial"/>
          <w:sz w:val="17"/>
          <w:szCs w:val="17"/>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meet our commitments to quality and compliance in all of our manufacturing operations;</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negotiate additional USG procurement or follow-on contracts for our MCM products that have expired or will be expiring;</w:t>
      </w:r>
    </w:p>
    <w:p>
      <w:pPr>
        <w:spacing w:after="0" w:line="142" w:lineRule="exact"/>
        <w:rPr>
          <w:rFonts w:ascii="Arial" w:cs="Arial" w:eastAsia="Arial" w:hAnsi="Arial"/>
          <w:sz w:val="17"/>
          <w:szCs w:val="17"/>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commercial availability, including the timing of availability, of over-the-counter NARCAN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(naloxone HCI) Nasal Spray;</w:t>
      </w:r>
    </w:p>
    <w:p>
      <w:pPr>
        <w:spacing w:after="0" w:line="54"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 generic marketplace on NARCAN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(naloxone HCI) Nasal Spray and future NARCAN sales;</w:t>
      </w:r>
    </w:p>
    <w:p>
      <w:pPr>
        <w:spacing w:after="0" w:line="38"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USG, including the timing of and specifications relating to deliveries;</w:t>
      </w:r>
    </w:p>
    <w:p>
      <w:pPr>
        <w:spacing w:after="0" w:line="114" w:lineRule="exact"/>
        <w:rPr>
          <w:rFonts w:ascii="Arial" w:cs="Arial" w:eastAsia="Arial" w:hAnsi="Arial"/>
          <w:sz w:val="18"/>
          <w:szCs w:val="18"/>
          <w:color w:val="auto"/>
        </w:rPr>
      </w:pPr>
    </w:p>
    <w:p>
      <w:pPr>
        <w:ind w:left="1100" w:right="280" w:hanging="544"/>
        <w:spacing w:after="0" w:line="277"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provide contract development and manufacturing (“CDMO”) services for the development and/or manufacture of product and/or product candidates of our customers at required levels and on required timelines;</w:t>
      </w:r>
    </w:p>
    <w:p>
      <w:pPr>
        <w:spacing w:after="0" w:line="75" w:lineRule="exact"/>
        <w:rPr>
          <w:rFonts w:ascii="Arial" w:cs="Arial" w:eastAsia="Arial" w:hAnsi="Arial"/>
          <w:sz w:val="18"/>
          <w:szCs w:val="18"/>
          <w:color w:val="auto"/>
        </w:rPr>
      </w:pPr>
    </w:p>
    <w:p>
      <w:pPr>
        <w:ind w:left="1100" w:right="620" w:hanging="544"/>
        <w:spacing w:after="0" w:line="277"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contractors and suppliers to maintain compliance with current good manufacturing practices and other regulatory obligations;</w:t>
      </w:r>
    </w:p>
    <w:p>
      <w:pPr>
        <w:spacing w:after="0" w:line="75" w:lineRule="exact"/>
        <w:rPr>
          <w:rFonts w:ascii="Arial" w:cs="Arial" w:eastAsia="Arial" w:hAnsi="Arial"/>
          <w:sz w:val="18"/>
          <w:szCs w:val="18"/>
          <w:color w:val="auto"/>
        </w:rPr>
      </w:pPr>
    </w:p>
    <w:p>
      <w:pPr>
        <w:ind w:left="1100" w:right="200" w:hanging="544"/>
        <w:spacing w:after="0" w:line="277"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negotiate new CDMO contracts and the negotiation of further commitments related to the collaboration and deployment of capacity toward future commercial manufacturing under our existing CDMO contracts;</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collect reimbursement for raw materials and payment of service fees from our CDMO customers;</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pending stockholder litigation and government investigations and their potential impact on our business;</w:t>
      </w:r>
    </w:p>
    <w:p>
      <w:pPr>
        <w:spacing w:after="0" w:line="130" w:lineRule="exact"/>
        <w:rPr>
          <w:rFonts w:ascii="Arial" w:cs="Arial" w:eastAsia="Arial" w:hAnsi="Arial"/>
          <w:sz w:val="18"/>
          <w:szCs w:val="18"/>
          <w:color w:val="auto"/>
        </w:rPr>
      </w:pPr>
    </w:p>
    <w:p>
      <w:pPr>
        <w:ind w:left="1100" w:right="80" w:hanging="544"/>
        <w:spacing w:after="0" w:line="263"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the operating and financial covenants required by our revolving credit facility (the “Revolving Credit Facility”) and our term loan facility (the “Term Loan Facility” and, together with the Revolving Credit Facility, the “Senior Secured Credit Facilities”), as well as our 3.875% Senior Unsecured Notes due 2028;</w:t>
      </w:r>
    </w:p>
    <w:p>
      <w:pPr>
        <w:spacing w:after="0" w:line="89" w:lineRule="exact"/>
        <w:rPr>
          <w:rFonts w:ascii="Arial" w:cs="Arial" w:eastAsia="Arial" w:hAnsi="Arial"/>
          <w:sz w:val="18"/>
          <w:szCs w:val="18"/>
          <w:color w:val="auto"/>
        </w:rPr>
      </w:pPr>
    </w:p>
    <w:p>
      <w:pPr>
        <w:ind w:left="1100" w:right="460" w:hanging="544"/>
        <w:spacing w:after="0" w:line="277"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resolve the going concern qualification in our consolidated financial statements and otherwise successfully manage our liquidity in order to continue as a going concern;</w:t>
      </w:r>
    </w:p>
    <w:p>
      <w:pPr>
        <w:spacing w:after="0" w:line="75" w:lineRule="exact"/>
        <w:rPr>
          <w:rFonts w:ascii="Arial" w:cs="Arial" w:eastAsia="Arial" w:hAnsi="Arial"/>
          <w:sz w:val="18"/>
          <w:szCs w:val="18"/>
          <w:color w:val="auto"/>
        </w:rPr>
      </w:pPr>
    </w:p>
    <w:p>
      <w:pPr>
        <w:ind w:left="1100" w:right="300" w:hanging="544"/>
        <w:spacing w:after="0" w:line="263"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procurement of our product candidates by USG entities under regulatory authorities that permit government procurement of certain medical products prior to U.S. Food and Drug Administration (“FDA”) marketing authorization, and corresponding procurement by government entities outside of the U.S.;</w:t>
      </w:r>
    </w:p>
    <w:p>
      <w:pPr>
        <w:spacing w:after="0" w:line="89"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full impact of the COVID-19 pandemic on our markets, operations and employees as well as those of our customers and suppliers;</w:t>
      </w:r>
    </w:p>
    <w:p>
      <w:pPr>
        <w:spacing w:after="0" w:line="153" w:lineRule="exact"/>
        <w:rPr>
          <w:rFonts w:ascii="Arial" w:cs="Arial" w:eastAsia="Arial" w:hAnsi="Arial"/>
          <w:sz w:val="16"/>
          <w:szCs w:val="16"/>
          <w:color w:val="auto"/>
        </w:rPr>
      </w:pPr>
    </w:p>
    <w:p>
      <w:pPr>
        <w:ind w:left="1100" w:right="460" w:hanging="544"/>
        <w:spacing w:after="0" w:line="277"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on our revenues from and duration of declines in sales of our vaccine products that target travelers due to the reduction of international travel caused by the COVID-19 pandemic;</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the full benefits of the sale of our travel health business to Bavarian Nordic;</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organizational changes we announced in January 2023;</w:t>
      </w:r>
    </w:p>
    <w:p>
      <w:pPr>
        <w:spacing w:after="0" w:line="130"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and acquire companies, businesses, products or product candidates that satisfy our selection criteria;</w:t>
      </w:r>
    </w:p>
    <w:p>
      <w:pPr>
        <w:spacing w:after="0" w:line="130" w:lineRule="exact"/>
        <w:rPr>
          <w:rFonts w:ascii="Arial" w:cs="Arial" w:eastAsia="Arial" w:hAnsi="Arial"/>
          <w:sz w:val="18"/>
          <w:szCs w:val="18"/>
          <w:color w:val="auto"/>
        </w:rPr>
      </w:pPr>
    </w:p>
    <w:p>
      <w:pPr>
        <w:ind w:left="1100" w:right="40" w:hanging="544"/>
        <w:spacing w:after="0" w:line="277"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cyber security incidents, including the risks from the interruption, failure or compromise of our information systems or those of our business partners, collaborators or other third parties;</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commercialization, marketing and manufacturing capabilities and strategy;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67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225"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When evaluating our forward-looking statements, you should consider this cautionary statement along with the risk factors identified in the sections entitled “Risk Factors” this prospectus supplement and in our most recent Quarterly Report on Form 10-Q, and any subsequent Quarterly Reports on Form 10-Q, Annual Reports on Form 10-K or Current Reports on Form 8-K we file after the date of this prospectus supplement, and all other information contained or incorporated by reference into this prospectus supplement, as updated by our subsequent filings under the Exchange Act. New factors may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67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13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120" w:firstLine="959"/>
        <w:spacing w:after="0" w:line="259" w:lineRule="auto"/>
        <w:rPr>
          <w:sz w:val="20"/>
          <w:szCs w:val="20"/>
          <w:color w:val="auto"/>
        </w:rPr>
      </w:pPr>
      <w:r>
        <w:rPr>
          <w:rFonts w:ascii="Arial" w:cs="Arial" w:eastAsia="Arial" w:hAnsi="Arial"/>
          <w:sz w:val="18"/>
          <w:szCs w:val="18"/>
          <w:i w:val="1"/>
          <w:iCs w:val="1"/>
          <w:color w:val="auto"/>
        </w:rPr>
        <w:t>This summary highlights selected information included or incorporated by reference in this prospectus supplement and the accompanying prospectus and does not contain all of the information that may be important to you. You should carefully review this entire prospectus supplement and the accompanying prospectus, including the risk factors and financial statements and related notes thereto included or incorporated by reference herein and therein, before making a decision to purchase our common stock.</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40" w:firstLine="959"/>
        <w:spacing w:after="0" w:line="263" w:lineRule="auto"/>
        <w:rPr>
          <w:sz w:val="20"/>
          <w:szCs w:val="20"/>
          <w:color w:val="auto"/>
        </w:rPr>
      </w:pPr>
      <w:r>
        <w:rPr>
          <w:rFonts w:ascii="Arial" w:cs="Arial" w:eastAsia="Arial" w:hAnsi="Arial"/>
          <w:sz w:val="18"/>
          <w:szCs w:val="18"/>
          <w:color w:val="auto"/>
        </w:rPr>
        <w:t>We are a global life sciences company focused on providing innovative preparedness and response solutions addressing accidental, deliberate, and naturally occurring Public Health Threats (“PHTs”). Our solutions include a product portfolio, a product development portfolio, and a CDMO services portfolio.</w:t>
      </w:r>
    </w:p>
    <w:p>
      <w:pPr>
        <w:spacing w:after="0" w:line="184" w:lineRule="exact"/>
        <w:rPr>
          <w:sz w:val="20"/>
          <w:szCs w:val="20"/>
          <w:color w:val="auto"/>
        </w:rPr>
      </w:pPr>
    </w:p>
    <w:p>
      <w:pPr>
        <w:ind w:left="300" w:right="60" w:firstLine="959"/>
        <w:spacing w:after="0" w:line="293" w:lineRule="auto"/>
        <w:rPr>
          <w:sz w:val="20"/>
          <w:szCs w:val="20"/>
          <w:color w:val="auto"/>
        </w:rPr>
      </w:pPr>
      <w:r>
        <w:rPr>
          <w:rFonts w:ascii="Arial" w:cs="Arial" w:eastAsia="Arial" w:hAnsi="Arial"/>
          <w:sz w:val="16"/>
          <w:szCs w:val="16"/>
          <w:color w:val="auto"/>
        </w:rPr>
        <w:t>We are currently focused on the following four PHT categories: chemical, biological, radiological, nuclear and explosives; emerging infectious diseases; public health crises; and acute, emergency and community care. We have a product portfolio of eleven products that contribute a substantial portion of our revenue and are sold to government and commercial customers. We also have a product candidate, AV7909, which is procured under special circumstances by the USG, although it is not approved by the FDA. Additionally, we have a development pipeline consisting of a diversified mix of both pre-clinical and clinical stage product candidates. Finally, we have a fully integrated portfolio of CDMO services. Our CDMO service offerings cover development services, drug substance manufacturing and drug product manufacturing and packaging.</w:t>
      </w:r>
    </w:p>
    <w:p>
      <w:pPr>
        <w:spacing w:after="0" w:line="164" w:lineRule="exact"/>
        <w:rPr>
          <w:sz w:val="20"/>
          <w:szCs w:val="20"/>
          <w:color w:val="auto"/>
        </w:rPr>
      </w:pPr>
    </w:p>
    <w:p>
      <w:pPr>
        <w:ind w:left="300" w:right="100" w:firstLine="959"/>
        <w:spacing w:after="0" w:line="259" w:lineRule="auto"/>
        <w:rPr>
          <w:sz w:val="20"/>
          <w:szCs w:val="20"/>
          <w:color w:val="auto"/>
        </w:rPr>
      </w:pPr>
      <w:r>
        <w:rPr>
          <w:rFonts w:ascii="Arial" w:cs="Arial" w:eastAsia="Arial" w:hAnsi="Arial"/>
          <w:sz w:val="18"/>
          <w:szCs w:val="18"/>
          <w:color w:val="auto"/>
        </w:rPr>
        <w:t>We structure our business with a focus on markets and customers. As such, the key components of the business structure include the following four product and service categories: Anthrax - MCM Products, NARCAN, Smallpox - MCM products and CDMO Services. We operate as two operating segments: (1) a products segment consisting of the Anthrax - MCM, NARCAN, Smallpox - MCM and Other products and (2) a services segment consisting of our CDMO services.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 of Travel Health Business</w:t>
      </w:r>
    </w:p>
    <w:p>
      <w:pPr>
        <w:spacing w:after="0" w:line="117" w:lineRule="exact"/>
        <w:rPr>
          <w:sz w:val="20"/>
          <w:szCs w:val="20"/>
          <w:color w:val="auto"/>
        </w:rPr>
      </w:pPr>
    </w:p>
    <w:p>
      <w:pPr>
        <w:jc w:val="both"/>
        <w:ind w:left="300" w:right="200" w:firstLine="959"/>
        <w:spacing w:after="0" w:line="234" w:lineRule="auto"/>
        <w:rPr>
          <w:sz w:val="20"/>
          <w:szCs w:val="20"/>
          <w:color w:val="auto"/>
        </w:rPr>
      </w:pPr>
      <w:r>
        <w:rPr>
          <w:rFonts w:ascii="Arial" w:cs="Arial" w:eastAsia="Arial" w:hAnsi="Arial"/>
          <w:sz w:val="17"/>
          <w:szCs w:val="17"/>
          <w:color w:val="auto"/>
        </w:rPr>
        <w:t>On May 15, 2023, we completed the previously announced sale to Bavarian Nordic of our travel health business, including rights to Vivotif</w:t>
      </w:r>
      <w:r>
        <w:rPr>
          <w:rFonts w:ascii="Arial" w:cs="Arial" w:eastAsia="Arial" w:hAnsi="Arial"/>
          <w:sz w:val="25"/>
          <w:szCs w:val="25"/>
          <w:color w:val="auto"/>
          <w:vertAlign w:val="superscript"/>
        </w:rPr>
        <w:t>®</w:t>
      </w:r>
      <w:r>
        <w:rPr>
          <w:rFonts w:ascii="Arial" w:cs="Arial" w:eastAsia="Arial" w:hAnsi="Arial"/>
          <w:sz w:val="17"/>
          <w:szCs w:val="17"/>
          <w:color w:val="auto"/>
        </w:rPr>
        <w:t>, the licensed typhoid vaccine, Vaxchora</w:t>
      </w:r>
      <w:r>
        <w:rPr>
          <w:rFonts w:ascii="Arial" w:cs="Arial" w:eastAsia="Arial" w:hAnsi="Arial"/>
          <w:sz w:val="25"/>
          <w:szCs w:val="25"/>
          <w:color w:val="auto"/>
          <w:vertAlign w:val="superscript"/>
        </w:rPr>
        <w:t>®</w:t>
      </w:r>
      <w:r>
        <w:rPr>
          <w:rFonts w:ascii="Arial" w:cs="Arial" w:eastAsia="Arial" w:hAnsi="Arial"/>
          <w:sz w:val="17"/>
          <w:szCs w:val="17"/>
          <w:color w:val="auto"/>
        </w:rPr>
        <w:t>, the licensed cholera vaccine, the development-stage chikungunya vaccine candidate CHIKV VLP, our manufacturing site in Bern, Switzerland, and certain of our development facilities in San Diego, California.</w:t>
      </w:r>
    </w:p>
    <w:p>
      <w:pPr>
        <w:spacing w:after="0" w:line="203" w:lineRule="exact"/>
        <w:rPr>
          <w:sz w:val="20"/>
          <w:szCs w:val="20"/>
          <w:color w:val="auto"/>
        </w:rPr>
      </w:pPr>
    </w:p>
    <w:p>
      <w:pPr>
        <w:ind w:left="300" w:right="20" w:firstLine="959"/>
        <w:spacing w:after="0" w:line="257" w:lineRule="auto"/>
        <w:rPr>
          <w:sz w:val="20"/>
          <w:szCs w:val="20"/>
          <w:color w:val="auto"/>
        </w:rPr>
      </w:pPr>
      <w:r>
        <w:rPr>
          <w:rFonts w:ascii="Arial" w:cs="Arial" w:eastAsia="Arial" w:hAnsi="Arial"/>
          <w:sz w:val="18"/>
          <w:szCs w:val="18"/>
          <w:color w:val="auto"/>
        </w:rPr>
        <w:t>At the closing, Bavarian Nordic paid a cash purchase price of $270 million, exclusive of customary closing adjustments for cash, indebtedness, working capital and transaction expenses of the business at closing. Bavarian Nordic may also be required to pay milestone payments of up to $80 million related to the development of CHIKV VLP and receipt of marketing approval and authorization in the U.S. and Europe, and earn-out payments of up to $30 million based on aggregate net sales of Vaxchora and Vivotif in calendar year 2026. Further information can be found in our Current Report on Form 8-K filed on May 15, 2023.</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Amendment to Amended and Restated Credit Agreement</w:t>
      </w:r>
    </w:p>
    <w:p>
      <w:pPr>
        <w:spacing w:after="0" w:line="117" w:lineRule="exact"/>
        <w:rPr>
          <w:sz w:val="20"/>
          <w:szCs w:val="20"/>
          <w:color w:val="auto"/>
        </w:rPr>
      </w:pPr>
    </w:p>
    <w:p>
      <w:pPr>
        <w:ind w:left="300" w:firstLine="959"/>
        <w:spacing w:after="0" w:line="255" w:lineRule="auto"/>
        <w:rPr>
          <w:sz w:val="20"/>
          <w:szCs w:val="20"/>
          <w:color w:val="auto"/>
        </w:rPr>
      </w:pPr>
      <w:r>
        <w:rPr>
          <w:rFonts w:ascii="Arial" w:cs="Arial" w:eastAsia="Arial" w:hAnsi="Arial"/>
          <w:sz w:val="18"/>
          <w:szCs w:val="18"/>
          <w:color w:val="auto"/>
        </w:rPr>
        <w:t>On May 15, 2023, we entered into that certain Fourth Amendment to Amended and Restated Credit Agreement (the “Credit Agreement Amendment”), among us, as borrower, certain of our subsidiaries, as guarantors, Wells Fargo Bank, National Association, as administrative agent (in such capacity, “Administrative Agent”) and certain lenders party thereto. The Credit Agreement Amendment amends the Amended and Restated Credit Agreement, dated as of October 15, 2018, among us, the lenders party thereto from time to time and the Administrative Agent (as previously amended, modified and supplemented, the “Existing Credit Agreement”), relating to our Senior Secured Credit Facilities.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675"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959"/>
        <w:spacing w:after="0" w:line="291" w:lineRule="auto"/>
        <w:rPr>
          <w:sz w:val="20"/>
          <w:szCs w:val="20"/>
          <w:color w:val="auto"/>
        </w:rPr>
      </w:pPr>
      <w:r>
        <w:rPr>
          <w:rFonts w:ascii="Arial" w:cs="Arial" w:eastAsia="Arial" w:hAnsi="Arial"/>
          <w:sz w:val="16"/>
          <w:szCs w:val="16"/>
          <w:color w:val="auto"/>
        </w:rPr>
        <w:t>The Credit Agreement Amendment amends the Existing Credit Agreement to, among other things, (a) extend the maturity date of the Senior Secured Credit Facilities from October 13, 2023 to May 15, 2025, (b) reduce the available commitments under the Revolving Credit Facility from $600.0 million to $300.0 million, (c) remove our ability to incur incremental loans and (d) amend certain mandatory prepayment triggers, affirmative covenants, negative covenants and events of default thereunder. In connection with the Credit Agreement Amendment, we used the approximately $270.0 million of proceeds from the previously announced sale of our travel health business to Bavarian Nordic, which closed on May 15, 2023, together with approximately $217.2 million of cash on hand, to repay approximately $144.4 million in outstanding principal amount of loans under the Term Loan Facility and $342.8 million outstanding principal amount of loans under the Revolving Credit Facility.</w:t>
      </w:r>
    </w:p>
    <w:p>
      <w:pPr>
        <w:spacing w:after="0" w:line="166" w:lineRule="exact"/>
        <w:rPr>
          <w:sz w:val="20"/>
          <w:szCs w:val="20"/>
          <w:color w:val="auto"/>
        </w:rPr>
      </w:pPr>
    </w:p>
    <w:p>
      <w:pPr>
        <w:ind w:left="300" w:right="180" w:firstLine="959"/>
        <w:spacing w:after="0" w:line="287" w:lineRule="auto"/>
        <w:rPr>
          <w:sz w:val="20"/>
          <w:szCs w:val="20"/>
          <w:color w:val="auto"/>
        </w:rPr>
      </w:pPr>
      <w:r>
        <w:rPr>
          <w:rFonts w:ascii="Arial" w:cs="Arial" w:eastAsia="Arial" w:hAnsi="Arial"/>
          <w:sz w:val="16"/>
          <w:szCs w:val="16"/>
          <w:color w:val="auto"/>
        </w:rPr>
        <w:t>The Credit Agreement Amendment also (w) amends the consolidated debt service coverage ratio financial covenant to require the minimum level to be 2.25 to 1.00 for the fiscal quarters ending March 31, 2024, June 30, 2024, September 30, 2024 and December 31, 2024, and then 2.50 to 1.00 for each fiscal quarter ending thereafter, (x) amends the consolidated leverage ratio to require the maximum level to be 4.50 to</w:t>
      </w:r>
    </w:p>
    <w:p>
      <w:pPr>
        <w:spacing w:after="0" w:line="2" w:lineRule="exact"/>
        <w:rPr>
          <w:sz w:val="20"/>
          <w:szCs w:val="20"/>
          <w:color w:val="auto"/>
        </w:rPr>
      </w:pPr>
    </w:p>
    <w:p>
      <w:pPr>
        <w:ind w:left="300" w:right="60"/>
        <w:spacing w:after="0" w:line="253" w:lineRule="auto"/>
        <w:rPr>
          <w:sz w:val="20"/>
          <w:szCs w:val="20"/>
          <w:color w:val="auto"/>
        </w:rPr>
      </w:pPr>
      <w:r>
        <w:rPr>
          <w:rFonts w:ascii="Arial" w:cs="Arial" w:eastAsia="Arial" w:hAnsi="Arial"/>
          <w:sz w:val="18"/>
          <w:szCs w:val="18"/>
          <w:color w:val="auto"/>
        </w:rPr>
        <w:t>1.00 for the fiscal quarter ending March 31, 2024 and each fiscal quarter ending thereafter, (y) adds minimum Consolidated EBITDA requirements and maximum capital expenditure requirements for each of the months ending April 30, 2023 through February 29, 2024 and a minimum liquidity covenant as of the end of each calendar month following the Credit Agreement Amendment, and (z) requires us to increase our liquidity by April 30, 2024 by raising at least $75.0 million of equity or unsecured indebtedness.</w:t>
      </w:r>
    </w:p>
    <w:p>
      <w:pPr>
        <w:spacing w:after="0" w:line="193" w:lineRule="exact"/>
        <w:rPr>
          <w:sz w:val="20"/>
          <w:szCs w:val="20"/>
          <w:color w:val="auto"/>
        </w:rPr>
      </w:pPr>
    </w:p>
    <w:p>
      <w:pPr>
        <w:ind w:left="300" w:right="120" w:firstLine="959"/>
        <w:spacing w:after="0" w:line="291" w:lineRule="auto"/>
        <w:rPr>
          <w:sz w:val="20"/>
          <w:szCs w:val="20"/>
          <w:color w:val="auto"/>
        </w:rPr>
      </w:pPr>
      <w:r>
        <w:rPr>
          <w:rFonts w:ascii="Arial" w:cs="Arial" w:eastAsia="Arial" w:hAnsi="Arial"/>
          <w:sz w:val="16"/>
          <w:szCs w:val="16"/>
          <w:color w:val="auto"/>
        </w:rPr>
        <w:t>In addition, the Credit Agreement Amendment replaces the interest rate benchmark such that borrowings under the Revolving Credit Facility and the outstanding principal amount of the Term Loan Facility shall bear interest at a rate per annum equal to (a) a rate based on SOFR, EURIBOR or CDOR plus a margin of 6.00% until March 31, 2024 and thereafter, a margin ranging from 2.75% to 4.00% depending on our consolidated leverage ratio, or (b) a base rate (which is the highest of the prime rate, the federal funds rate plus 0.50%, and a SOFR rate for an interest period of one month plus 1%) plus a margin of 5.00% until March 31, 2024 and thereafter, a margin ranging from 1.75% to 3.00% depending on our consolidated leverage ratio. In addition, the commitment fee we are required to pay in respect of the annual daily unused commitments under the Revolving Credit Facility shall be 0.15% to 0.40% per annum, depending on our consolidated leverage ratio.</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Further information can be found in our Current Report on Form 8-K filed on May 17, 2023.</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959"/>
        <w:spacing w:after="0" w:line="279" w:lineRule="auto"/>
        <w:rPr>
          <w:sz w:val="20"/>
          <w:szCs w:val="20"/>
          <w:color w:val="auto"/>
        </w:rPr>
      </w:pPr>
      <w:r>
        <w:rPr>
          <w:rFonts w:ascii="Arial" w:cs="Arial" w:eastAsia="Arial" w:hAnsi="Arial"/>
          <w:sz w:val="17"/>
          <w:szCs w:val="17"/>
          <w:color w:val="auto"/>
        </w:rPr>
        <w:t>We were incorporated in the State of Michigan in May 1998 and subsequently reorganized as a Delaware corporation in June 2004. Our principal executive offices are located at 400 Professional Drive, Suite 400, Gaithersburg, Maryland 20879, and our telephone number is (240) 631-3200. Our website address is www.emergentbiosolutions.com. The information on our website is not incorporated by reference into this prospectus supplement or the accompanying prospectus and should not be considered to be part of this document.</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20"/>
          </w:cols>
          <w:pgMar w:left="320" w:top="675"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675"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Shares of our common stock having an aggregate offering price of up to $150 million.</w:t>
      </w:r>
    </w:p>
    <w:p>
      <w:pPr>
        <w:spacing w:after="0" w:line="62" w:lineRule="exact"/>
        <w:rPr>
          <w:sz w:val="20"/>
          <w:szCs w:val="20"/>
          <w:color w:val="auto"/>
        </w:rPr>
      </w:pPr>
    </w:p>
    <w:p>
      <w:pPr>
        <w:sectPr>
          <w:pgSz w:w="11900" w:h="16838" w:orient="portrait"/>
          <w:cols w:equalWidth="0" w:num="2">
            <w:col w:w="4060" w:space="720"/>
            <w:col w:w="6140"/>
          </w:cols>
          <w:pgMar w:left="320" w:top="675"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Up to 72,600,673 shares of common stock (as more fully described in the notes following this table), assuming sales of 16,592,920 shares in this offering at a public offering price of $9.04 per share, which was the closing price of our common stock on the New York Stock Exchange on May 17, 2023. The actual number of shares issued will vary depending on how many shares of common stock we choose to sell and prices at which such sales occur.</w:t>
      </w:r>
    </w:p>
    <w:p>
      <w:pPr>
        <w:spacing w:after="0" w:line="70" w:lineRule="exact"/>
        <w:rPr>
          <w:sz w:val="20"/>
          <w:szCs w:val="20"/>
          <w:color w:val="auto"/>
        </w:rPr>
      </w:pPr>
    </w:p>
    <w:p>
      <w:pPr>
        <w:sectPr>
          <w:pgSz w:w="11900" w:h="16838" w:orient="portrait"/>
          <w:cols w:equalWidth="0" w:num="2">
            <w:col w:w="4060" w:space="720"/>
            <w:col w:w="6140"/>
          </w:cols>
          <w:pgMar w:left="320" w:top="675"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jc w:val="both"/>
        <w:ind w:right="100"/>
        <w:spacing w:after="0" w:line="263" w:lineRule="auto"/>
        <w:rPr>
          <w:sz w:val="20"/>
          <w:szCs w:val="20"/>
          <w:color w:val="auto"/>
        </w:rPr>
      </w:pPr>
      <w:r>
        <w:rPr>
          <w:rFonts w:ascii="Arial" w:cs="Arial" w:eastAsia="Arial" w:hAnsi="Arial"/>
          <w:sz w:val="18"/>
          <w:szCs w:val="18"/>
          <w:color w:val="auto"/>
        </w:rPr>
        <w:t>“At the market” offering that may be made from time to time through the managers, Evercore Group L.L.C. and RBC Capital Markets, LLC. See “Plan of Distribution” on page S-9 of this prospectus supplement.</w:t>
      </w:r>
    </w:p>
    <w:p>
      <w:pPr>
        <w:spacing w:after="0" w:line="76" w:lineRule="exact"/>
        <w:rPr>
          <w:sz w:val="20"/>
          <w:szCs w:val="20"/>
          <w:color w:val="auto"/>
        </w:rPr>
      </w:pPr>
    </w:p>
    <w:p>
      <w:pPr>
        <w:sectPr>
          <w:pgSz w:w="11900" w:h="16838" w:orient="portrait"/>
          <w:cols w:equalWidth="0" w:num="2">
            <w:col w:w="4060" w:space="720"/>
            <w:col w:w="6140"/>
          </w:cols>
          <w:pgMar w:left="320" w:top="675"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We intend to use the net proceeds we receive from this offering for general corporate purposes. See “Use of Proceeds” on page S-8 of this prospectus supplement for additional information.</w:t>
      </w:r>
    </w:p>
    <w:p>
      <w:pPr>
        <w:spacing w:after="0" w:line="76" w:lineRule="exact"/>
        <w:rPr>
          <w:sz w:val="20"/>
          <w:szCs w:val="20"/>
          <w:color w:val="auto"/>
        </w:rPr>
      </w:pPr>
    </w:p>
    <w:p>
      <w:pPr>
        <w:sectPr>
          <w:pgSz w:w="11900" w:h="16838" w:orient="portrait"/>
          <w:cols w:equalWidth="0" w:num="2">
            <w:col w:w="4060" w:space="720"/>
            <w:col w:w="6140"/>
          </w:cols>
          <w:pgMar w:left="320" w:top="675"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An investment in our common stock involves a high degree of risk. See “Risk Factors” beginning on page S-6 of this prospectus supplement and in the documents incorporated by reference in this prospectus supplement for a discussion of factors to consider before deciding to invest in our common stock.</w:t>
      </w:r>
    </w:p>
    <w:p>
      <w:pPr>
        <w:spacing w:after="0" w:line="63" w:lineRule="exact"/>
        <w:rPr>
          <w:sz w:val="20"/>
          <w:szCs w:val="20"/>
          <w:color w:val="auto"/>
        </w:rPr>
      </w:pPr>
    </w:p>
    <w:p>
      <w:pPr>
        <w:sectPr>
          <w:pgSz w:w="11900" w:h="16838" w:orient="portrait"/>
          <w:cols w:equalWidth="0" w:num="2">
            <w:col w:w="4060" w:space="720"/>
            <w:col w:w="6140"/>
          </w:cols>
          <w:pgMar w:left="320" w:top="675"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New York Stock Exchange listing</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“EBS.”</w:t>
      </w:r>
    </w:p>
    <w:p>
      <w:pPr>
        <w:spacing w:after="0" w:line="170" w:lineRule="exact"/>
        <w:rPr>
          <w:sz w:val="20"/>
          <w:szCs w:val="20"/>
          <w:color w:val="auto"/>
        </w:rPr>
      </w:pPr>
    </w:p>
    <w:p>
      <w:pPr>
        <w:sectPr>
          <w:pgSz w:w="11900" w:h="16838" w:orient="portrait"/>
          <w:cols w:equalWidth="0" w:num="2">
            <w:col w:w="4060" w:space="720"/>
            <w:col w:w="6140"/>
          </w:cols>
          <w:pgMar w:left="320" w:top="675" w:right="659" w:bottom="1440" w:gutter="0" w:footer="0" w:header="0"/>
          <w:type w:val="continuous"/>
        </w:sectPr>
      </w:pPr>
    </w:p>
    <w:p>
      <w:pPr>
        <w:jc w:val="both"/>
        <w:ind w:left="300" w:right="80" w:firstLine="959"/>
        <w:spacing w:after="0" w:line="263" w:lineRule="auto"/>
        <w:rPr>
          <w:sz w:val="20"/>
          <w:szCs w:val="20"/>
          <w:color w:val="auto"/>
        </w:rPr>
      </w:pPr>
      <w:r>
        <w:rPr>
          <w:rFonts w:ascii="Arial" w:cs="Arial" w:eastAsia="Arial" w:hAnsi="Arial"/>
          <w:sz w:val="18"/>
          <w:szCs w:val="18"/>
          <w:color w:val="auto"/>
        </w:rPr>
        <w:t>Except as otherwise indicated herein, the number of shares of our common stock to be outstanding immediately after this offering is based on 56,007,753 shares of our common stock outstanding as of March 31, 2023. The number of shares of our common stock to be outstanding immediately after this offering excludes:</w:t>
      </w:r>
    </w:p>
    <w:p>
      <w:pPr>
        <w:spacing w:after="0" w:line="89" w:lineRule="exact"/>
        <w:rPr>
          <w:sz w:val="20"/>
          <w:szCs w:val="20"/>
          <w:color w:val="auto"/>
        </w:rPr>
      </w:pPr>
    </w:p>
    <w:p>
      <w:pPr>
        <w:ind w:left="1680" w:right="560" w:hanging="427"/>
        <w:spacing w:after="0" w:line="277"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1,833,922 shares of our common stock issuable upon the exercise of stock options outstanding as of March 31, 2023 at a weighted average exercise price of $46.39 per share;</w:t>
      </w:r>
    </w:p>
    <w:p>
      <w:pPr>
        <w:spacing w:after="0" w:line="75" w:lineRule="exact"/>
        <w:rPr>
          <w:rFonts w:ascii="Arial" w:cs="Arial" w:eastAsia="Arial" w:hAnsi="Arial"/>
          <w:sz w:val="18"/>
          <w:szCs w:val="18"/>
          <w:color w:val="auto"/>
        </w:rPr>
      </w:pPr>
    </w:p>
    <w:p>
      <w:pPr>
        <w:ind w:left="1680" w:hanging="427"/>
        <w:spacing w:after="0" w:line="277"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1,954,435 shares of our common stock issuable pursuant to unvested restricted stock units outstanding as of March 31, 2023 at a weighted average grant price of $29.38;</w:t>
      </w:r>
    </w:p>
    <w:p>
      <w:pPr>
        <w:spacing w:after="0" w:line="75" w:lineRule="exact"/>
        <w:rPr>
          <w:rFonts w:ascii="Arial" w:cs="Arial" w:eastAsia="Arial" w:hAnsi="Arial"/>
          <w:sz w:val="18"/>
          <w:szCs w:val="18"/>
          <w:color w:val="auto"/>
        </w:rPr>
      </w:pPr>
    </w:p>
    <w:p>
      <w:pPr>
        <w:ind w:left="1680" w:right="20" w:hanging="427"/>
        <w:spacing w:after="0" w:line="277"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261,981 shares of our common stock issuable pursuant to unvested performance stock units outstanding as of March 31, 2023 at a weighted average grant price of $30.80;</w:t>
      </w:r>
    </w:p>
    <w:p>
      <w:pPr>
        <w:spacing w:after="0" w:line="75" w:lineRule="exact"/>
        <w:rPr>
          <w:rFonts w:ascii="Arial" w:cs="Arial" w:eastAsia="Arial" w:hAnsi="Arial"/>
          <w:sz w:val="18"/>
          <w:szCs w:val="18"/>
          <w:color w:val="auto"/>
        </w:rPr>
      </w:pPr>
    </w:p>
    <w:p>
      <w:pPr>
        <w:jc w:val="both"/>
        <w:ind w:left="1680" w:right="400" w:hanging="427"/>
        <w:spacing w:after="0" w:line="263"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1,934,250 shares of our common stock reserved for issuance under the Emergent BioSolutions Inc. Amended and Restated Stock Incentive Plan as of March 31, 2023, and 3,675,000 additional shares of common stock for which we have requested stockholder approval at our 2023 Annual Meeting of Stockholders; and</w:t>
      </w:r>
    </w:p>
    <w:p>
      <w:pPr>
        <w:spacing w:after="0" w:line="89" w:lineRule="exact"/>
        <w:rPr>
          <w:rFonts w:ascii="Arial" w:cs="Arial" w:eastAsia="Arial" w:hAnsi="Arial"/>
          <w:sz w:val="18"/>
          <w:szCs w:val="18"/>
          <w:color w:val="auto"/>
        </w:rPr>
      </w:pPr>
    </w:p>
    <w:p>
      <w:pPr>
        <w:jc w:val="both"/>
        <w:ind w:left="1680" w:right="20" w:hanging="427"/>
        <w:spacing w:after="0" w:line="263" w:lineRule="auto"/>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271,989 shares of our common stock reserved for issuance under our Employee Stock Purchase Plan as of March 31, 2023, and 2,000,000 additional shares of common stock for which we have requested stockholder approval at our 2023 Annual Meeting of Stockholders.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20"/>
          </w:cols>
          <w:pgMar w:left="320" w:top="675" w:right="6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991"/>
        <w:spacing w:after="0" w:line="269" w:lineRule="auto"/>
        <w:rPr>
          <w:sz w:val="20"/>
          <w:szCs w:val="20"/>
          <w:color w:val="auto"/>
        </w:rPr>
      </w:pPr>
      <w:r>
        <w:rPr>
          <w:rFonts w:ascii="Arial" w:cs="Arial" w:eastAsia="Arial" w:hAnsi="Arial"/>
          <w:sz w:val="17"/>
          <w:szCs w:val="17"/>
          <w:i w:val="1"/>
          <w:iCs w:val="1"/>
          <w:color w:val="auto"/>
        </w:rPr>
        <w:t>An investment in our common stock involves significant risks. Before making an investment in our common stock, you should carefully read all of the information contained in this prospectus supplement, the accompanying prospectus and in the documents incorporated by reference herein and therein. For a discussion of risks that you should carefully consider before deciding to purchase any of our common stock, please review the risk factors disclosed below, together with the other information in this prospectus supplement, the accompanying prospectus, and the information and documents incorporated by reference herein and therein, including the risk factors set forth in the “Risk Factors” section of our most recent Quarterly Report on Form 10-Q, and any subsequent Quarterly Reports on Form 10-Q, Annual Reports on Form 10-K or Current Reports on Form 8-K we file after the date of this prospectus supplement, and all other information contained or incorporated by reference into this prospectus supplement, as updated by our subsequent filings under the Exchange Act. Any of these risks, as well as additional risks not currently known to us or that we currently deem immaterial, may adversely affect our business, financial condition, results of operations, and prospects, resulting in a decline in the trading price of our common stock and loss of all or part of your investment.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220"/>
        <w:spacing w:after="0" w:line="381" w:lineRule="auto"/>
        <w:rPr>
          <w:sz w:val="20"/>
          <w:szCs w:val="20"/>
          <w:color w:val="auto"/>
        </w:rPr>
      </w:pPr>
      <w:r>
        <w:rPr>
          <w:rFonts w:ascii="Arial" w:cs="Arial" w:eastAsia="Arial" w:hAnsi="Arial"/>
          <w:sz w:val="15"/>
          <w:szCs w:val="15"/>
          <w:b w:val="1"/>
          <w:bCs w:val="1"/>
          <w:i w:val="1"/>
          <w:iCs w:val="1"/>
          <w:color w:val="auto"/>
        </w:rPr>
        <w:t>Our management will have broad discretion over the actual amount and timing of the expenditures of the proceeds we receive in this offering and might not apply these proceeds in ways that enhance our financial condition or operating results or increase the value of your investment.</w:t>
      </w:r>
    </w:p>
    <w:p>
      <w:pPr>
        <w:spacing w:after="0" w:line="100"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We intend to use the net proceeds we receive from this offering for general corporate purposes. This expected use of our net proceeds from this offering represents our intention based upon our current plans and business conditions. The amount and timing of our actual expenditures may vary significantly depending on numerous factors, the most significant of which are unforeseen cash needs. Because of the number and variability of factors that will determine our use of the proceeds from this offering, their ultimate use may vary substantially from their currently intended use. As a result, our management will retain broad discretion over the allocation of the net proceeds we receive from this offering and could spend the proceeds in ways that do not necessarily improve our financial condition or operating results or enhance the value of our common stock and your investment therein. Additionally, until the net proceeds we receive are used, they may be placed in investments that do not produce income or that lose value. See “Use of Proceeds” for additional information.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It is not possible to predict the number of shares to be sold under the Equity Distribution Agreement and the resulting aggregate gross proceeds.</w:t>
      </w:r>
    </w:p>
    <w:p>
      <w:pPr>
        <w:spacing w:after="0" w:line="260"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Subject to certain limitations in the Equity Distribution Agreement and compliance with applicable law, we have the discretion to deliver a placement notice to Evercore Group L.L.C. or RBC Capital Markets, LLC at any time throughout the term of the Equity Distribution Agreement. The number of shares that are sold through the managers after delivering a placement notice will fluctuate based on a number of factors, including the market price of our common stock during the sales period, any limits we may set with the applicable manager in any applicable placement notice and the demand for our common stock. Because the price per share of each share sold pursuant to the Equity Distribution Agreement will fluctuate over time, it is not currently possible to predict the aggregate proceeds to be raised in connection with sales under the Equity Distribution Agreement.</w:t>
      </w:r>
    </w:p>
    <w:p>
      <w:pPr>
        <w:spacing w:after="0" w:line="16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70"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Investors may experience a decline in the value of the shares they purchase in this offering as a result of sales made at prices lower than the prices they paid.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117" w:lineRule="exact"/>
        <w:rPr>
          <w:sz w:val="20"/>
          <w:szCs w:val="20"/>
          <w:color w:val="auto"/>
        </w:rPr>
      </w:pPr>
    </w:p>
    <w:p>
      <w:pPr>
        <w:ind w:left="120" w:right="100" w:firstLine="991"/>
        <w:spacing w:after="0" w:line="296"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the date of this prospectus supplement, our common stock has traded as high as $137.61</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675" w:right="459" w:bottom="1440" w:gutter="0" w:footer="0" w:header="0"/>
        </w:sectPr>
      </w:pPr>
    </w:p>
    <w:bookmarkStart w:id="9" w:name="page10"/>
    <w:bookmarkEnd w:id="9"/>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 share and as low as $4.17 per share. The market price of our common stock may be influenced by many factors, including, among others:</w:t>
      </w:r>
    </w:p>
    <w:p>
      <w:pPr>
        <w:spacing w:after="0" w:line="142" w:lineRule="exact"/>
        <w:rPr>
          <w:sz w:val="20"/>
          <w:szCs w:val="20"/>
          <w:color w:val="auto"/>
        </w:rPr>
      </w:pPr>
    </w:p>
    <w:p>
      <w:pPr>
        <w:ind w:left="1540" w:right="420" w:hanging="43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decisions and procurement policies by the USG, and the addition or loss of any other customer, affecting our anthrax vaccines and our other products and product candidates;</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CDMO contracts with collaboration partners;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clinical and non-clinical trials of our product candidates;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of acquisitions, financings or other transactions by us;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or future litigation or legal proceedings or government investigations;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 or public concern as to the safety of our products;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our product revenue and profitability; and</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 factors described herein and in the documents incorporated herein by reference.</w:t>
      </w:r>
    </w:p>
    <w:p>
      <w:pPr>
        <w:spacing w:after="0" w:line="225" w:lineRule="exact"/>
        <w:rPr>
          <w:sz w:val="20"/>
          <w:szCs w:val="20"/>
          <w:color w:val="auto"/>
        </w:rPr>
      </w:pPr>
    </w:p>
    <w:p>
      <w:pPr>
        <w:ind w:left="120" w:right="40" w:firstLine="991"/>
        <w:spacing w:after="0" w:line="308" w:lineRule="auto"/>
        <w:rPr>
          <w:sz w:val="20"/>
          <w:szCs w:val="20"/>
          <w:color w:val="auto"/>
        </w:rPr>
      </w:pPr>
      <w:r>
        <w:rPr>
          <w:rFonts w:ascii="Arial" w:cs="Arial" w:eastAsia="Arial" w:hAnsi="Arial"/>
          <w:sz w:val="17"/>
          <w:szCs w:val="17"/>
          <w:b w:val="1"/>
          <w:bCs w:val="1"/>
          <w:i w:val="1"/>
          <w:iCs w:val="1"/>
          <w:color w:val="auto"/>
        </w:rPr>
        <w:t>Future sales of our common stock or other securities convertible into our common stock, or the perception that such sales or issuances could occur, could cause the market value of our common stock to decline and could result in dilution of your shares.</w:t>
      </w:r>
    </w:p>
    <w:p>
      <w:pPr>
        <w:spacing w:after="0" w:line="146"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Our board of directors is authorized, without stockholder approval, to cause us to issue additional shares of our common stock or to raise capital through the issuance of preferred shares or the sale of debt securities that are convertible into common stock, options, warrants and other rights, on terms and for consideration as our board of directors in its sole discretion may determine. In addition, under the Credit Agreement Amendment, we are required to increase our liquidity by April 30, 2024 by raising at least $75 million of equity or unsecured indebtedness. We also require substantial additional funding to be able to continue as a going concern and we may seek to achieve such funding through future sales of our common stock or other securities convertible into our common stock. Sales of substantial amounts of our common stock or the issuance of preferred shares, convertible debt, options, restricted stock units, performance stock units, warrants and other rights, or the perception that such sales or issuances could occur, could cause the market price of our common stock to decrease significantly. As of March 31, 2023, we had 56,007,753 shares of common stock issued and outstanding. We cannot predict the effect, if any, of future sales of our common stock, including shares issued pursuant to this offering, or any preferred shares, convertible debt securities, options, restricted stock units, performance stock units, warrants or other rights or the availability of our common stock for future sales on the value of our common stock shares.</w:t>
      </w:r>
    </w:p>
    <w:p>
      <w:pPr>
        <w:spacing w:after="0" w:line="182"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b w:val="1"/>
          <w:bCs w:val="1"/>
          <w:i w:val="1"/>
          <w:iCs w:val="1"/>
          <w:color w:val="auto"/>
        </w:rPr>
        <w:t>Our current indebtedness restricts and any additional debt financing may restrict the operation of our business and limit the cash available for investment in our business operations.</w:t>
      </w:r>
    </w:p>
    <w:p>
      <w:pPr>
        <w:spacing w:after="0" w:line="170" w:lineRule="exact"/>
        <w:rPr>
          <w:sz w:val="20"/>
          <w:szCs w:val="20"/>
          <w:color w:val="auto"/>
        </w:rPr>
      </w:pPr>
    </w:p>
    <w:p>
      <w:pPr>
        <w:ind w:left="120" w:right="660" w:firstLine="991"/>
        <w:spacing w:after="0" w:line="291" w:lineRule="auto"/>
        <w:rPr>
          <w:sz w:val="20"/>
          <w:szCs w:val="20"/>
          <w:color w:val="auto"/>
        </w:rPr>
      </w:pPr>
      <w:r>
        <w:rPr>
          <w:rFonts w:ascii="Arial" w:cs="Arial" w:eastAsia="Arial" w:hAnsi="Arial"/>
          <w:sz w:val="16"/>
          <w:szCs w:val="16"/>
          <w:color w:val="auto"/>
        </w:rPr>
        <w:t>The Senior Secured Credit Facilities include a $450.0 million Term Loan Facility which had an outstanding principal balance of $210.0 million as of May 15, 2023 and the ability to borrow up to $300.0 million under our Revolving Credit Facility (which was reduced from</w:t>
      </w:r>
    </w:p>
    <w:p>
      <w:pPr>
        <w:ind w:left="120" w:right="80"/>
        <w:spacing w:after="0" w:line="253" w:lineRule="auto"/>
        <w:rPr>
          <w:sz w:val="20"/>
          <w:szCs w:val="20"/>
          <w:color w:val="auto"/>
        </w:rPr>
      </w:pPr>
      <w:r>
        <w:rPr>
          <w:rFonts w:ascii="Arial" w:cs="Arial" w:eastAsia="Arial" w:hAnsi="Arial"/>
          <w:sz w:val="18"/>
          <w:szCs w:val="18"/>
          <w:color w:val="auto"/>
        </w:rPr>
        <w:t>$600.0 million of revolving commitments pursuant to the Credit Agreement Amendment) of which we had $255.2 million of outstanding borrowings as of May 15, 2023. On August 7, 2020, we also completed an offering of $450.0 million aggregate principal amount of Senior Unsecured Notes. We may also seek additional debt financing to support our ongoing activities or to provide additional financial flexibility. Debt financing can have significant adverse consequences for our business, including:</w:t>
      </w:r>
    </w:p>
    <w:p>
      <w:pPr>
        <w:spacing w:after="0" w:line="98" w:lineRule="exact"/>
        <w:rPr>
          <w:sz w:val="20"/>
          <w:szCs w:val="20"/>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timing and cost of product sales and CDMO services;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30" w:lineRule="exact"/>
        <w:rPr>
          <w:rFonts w:ascii="Arial" w:cs="Arial" w:eastAsia="Arial" w:hAnsi="Arial"/>
          <w:sz w:val="18"/>
          <w:szCs w:val="18"/>
          <w:color w:val="auto"/>
        </w:rPr>
      </w:pPr>
    </w:p>
    <w:p>
      <w:pPr>
        <w:ind w:left="1540" w:right="800" w:hanging="43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repurchase common stock under any future share repurchase program; and</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Under the Credit Agreement Amendment, we extended the maturity of our Senior Secured Credit Facilities to May 15, 2025. If we are unable to refinance our Senior Secured Credit Facilities prior to their maturity, we will be required to immediately repay the entire amount outstanding thereunder, which could adversely affect our results of operations and financial condition.</w:t>
      </w:r>
    </w:p>
    <w:p>
      <w:pPr>
        <w:spacing w:after="0" w:line="184"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In addition, our Senior Secured Credit Facilities and our Senior Unsecured Notes each contain cross-default provisions whereby a default under one agreement would likely result in cross defaults under agreements covering other indebtedness. The occurrence of a default under any of these arrangements would permit the holders of the notes or the lenders under our Senior Secured Credit Facilities to declare all amounts outstanding under those borrowing arrangements to be immediately due and payable, and there is no assurance that we would have sufficient funds to satisfy any such accelerated obligations.</w:t>
      </w:r>
    </w:p>
    <w:p>
      <w:pPr>
        <w:spacing w:after="0" w:line="188" w:lineRule="exact"/>
        <w:rPr>
          <w:sz w:val="20"/>
          <w:szCs w:val="20"/>
          <w:color w:val="auto"/>
        </w:rPr>
      </w:pPr>
    </w:p>
    <w:p>
      <w:pPr>
        <w:ind w:left="120" w:right="300" w:firstLine="991"/>
        <w:spacing w:after="0" w:line="311" w:lineRule="auto"/>
        <w:rPr>
          <w:sz w:val="20"/>
          <w:szCs w:val="20"/>
          <w:color w:val="auto"/>
        </w:rPr>
      </w:pPr>
      <w:r>
        <w:rPr>
          <w:rFonts w:ascii="Arial" w:cs="Arial" w:eastAsia="Arial" w:hAnsi="Arial"/>
          <w:sz w:val="16"/>
          <w:szCs w:val="16"/>
          <w:color w:val="auto"/>
        </w:rPr>
        <w:t>On May 15, 2023, the Company, the lenders under the Senior Secured Credit Facilities and Wells Fargo Bank, National Association, as agent, entered into the Credit Agreement Amendment, which among other things, extended the maturity of the Senior Secured Credit Facilities to May 15, 2025 and reduced the commitments under the Revolving Credit Facility from $600.0 million to $300.0 million. The Credit Agreement</w:t>
      </w:r>
    </w:p>
    <w:p>
      <w:pPr>
        <w:sectPr>
          <w:pgSz w:w="11900" w:h="16944" w:orient="portrait"/>
          <w:cols w:equalWidth="0" w:num="1">
            <w:col w:w="11120"/>
          </w:cols>
          <w:pgMar w:left="320" w:top="675" w:right="459" w:bottom="0" w:gutter="0" w:footer="0" w:header="0"/>
        </w:sectPr>
      </w:pPr>
    </w:p>
    <w:bookmarkStart w:id="10" w:name="page11"/>
    <w:bookmarkEnd w:id="10"/>
    <w:p>
      <w:pPr>
        <w:ind w:left="4"/>
        <w:spacing w:after="0" w:line="285" w:lineRule="auto"/>
        <w:rPr>
          <w:sz w:val="20"/>
          <w:szCs w:val="20"/>
          <w:color w:val="auto"/>
        </w:rPr>
      </w:pPr>
      <w:r>
        <w:rPr>
          <w:rFonts w:ascii="Arial" w:cs="Arial" w:eastAsia="Arial" w:hAnsi="Arial"/>
          <w:sz w:val="16"/>
          <w:szCs w:val="16"/>
          <w:color w:val="auto"/>
        </w:rPr>
        <w:t>Amendment also (w) amends the consolidated debt service coverage ratio financial covenant to require the minimum level to be 2.25 to 1.00 for the fiscal quarters ending March 31, 2024, June 30, 2024 and September 30, 2024, and then 2.50 to 1.00 for each fiscal quarter ending thereafter, (x) amends the consolidated leverage ratio to require the maximum level to be 4.50 to 1.00 for the fiscal quarter ending March 31, 2024 and each fiscal quarter ending thereafter, (y) adds minimum Consolidated EBITDA requirements and maximum capital expenditure requirements for each of the months ending April 30, 2023 through February 29, 2024 and a liquidity requirement as of the end of each calendar month after the Credit Agreement Amendment and</w:t>
      </w:r>
    </w:p>
    <w:p>
      <w:pPr>
        <w:spacing w:after="0" w:line="2" w:lineRule="exact"/>
        <w:rPr>
          <w:sz w:val="20"/>
          <w:szCs w:val="20"/>
          <w:color w:val="auto"/>
        </w:rPr>
      </w:pPr>
    </w:p>
    <w:p>
      <w:pPr>
        <w:ind w:left="4" w:right="40" w:hanging="4"/>
        <w:spacing w:after="0" w:line="253"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requires us to increase our liquidity by April 30, 2024 by raising at least $75 million of equity or unsecured indebtedness. In connection with the Credit Agreement Amendment, we used the approximately $270.0 million of proceeds from the previously announced sale of our travel health business to Bavarian Nordic, which closed on May 15, 2023, together with approximately $217.2 million of cash on hand, to repay approximately $144.4 million in outstanding principal amount of loans under the Term Loan Facility and $342.8 million outstanding principal amount of loans under the Revolving Credit Facility.</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04"/>
          </w:cols>
          <w:pgMar w:left="436"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We may issue and sell shares of our common stock having an aggregate offering price of up to $150,000,000 from time to time. Because there is no minimum offering amount required as a condition to close this offering, the actual total public offering amount, commissions to the managers and proceeds to us, if any, are not determinable at this time. There can be no assurance that we will sell any shares under the Equity Distribution Agreement as a source of financing.</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currently plan to use the net proceeds we receive from this offering for general corporate purposes.</w:t>
      </w:r>
    </w:p>
    <w:p>
      <w:pPr>
        <w:spacing w:after="0" w:line="225"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This expected use of our net proceeds from this offering represents our intentions based upon our current plans and business conditions. The amount and timing of our actual expenditures may vary significantly depending on numerous factors, the most significant of which are unforeseen cash needs. As a result, our management will retain broad discretion over the allocation of the net proceeds we receive from this offering. We have no current understandings, agreements or commitments for any material acquisitions or licenses of any compounds, product candidates, technology or businesses.</w:t>
      </w:r>
    </w:p>
    <w:p>
      <w:pPr>
        <w:spacing w:after="0" w:line="188"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Pending our use of the net proceeds we receive from this offering, we may invest such net proceeds in a variety of capital preservation investments, including short-term, investment grade, interest-bearing instruments and U.S. government securities.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675"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We have entered into the Equity Distribution Agreement with Evercore Group L.L.C. and RBC Capital Markets, LLC, under which we may issue and sell shares of our common stock having an aggregate gross sales price of up to $150,000,000 from time to time through Evercore Group L.L.C. and RBC Capital Markets, LLC, acting as managers. We have filed the Equity Distribution Agreement as an exhibit to a Current Report on Form 8-K, which is incorporated by reference in this prospectus supplement.</w:t>
      </w:r>
    </w:p>
    <w:p>
      <w:pPr>
        <w:spacing w:after="0" w:line="187"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color w:val="auto"/>
        </w:rPr>
        <w:t>Upon delivery of a placement notice and subject to the terms and conditions of the Equity Distribution Agreement, the managers may sell our common stock by any method permitted by law deemed to be an “at the market offering” as defined in Rule 415 of the Securities Act, including sales made directly on the New York Stock Exchange, on any other existing trading market for our common stock, or to or through a market maker at market prices prevailing at the time of sale or in privately negotiated transactions. To the extent required by Regulation M, the managers will not engage in any market making activities involving our common stock while the offering is ongoing under this prospectus supplement.</w:t>
      </w:r>
    </w:p>
    <w:p>
      <w:pPr>
        <w:spacing w:after="0" w:line="161" w:lineRule="exact"/>
        <w:rPr>
          <w:sz w:val="20"/>
          <w:szCs w:val="20"/>
          <w:color w:val="auto"/>
        </w:rPr>
      </w:pPr>
    </w:p>
    <w:p>
      <w:pPr>
        <w:ind w:left="120" w:right="20" w:firstLine="991"/>
        <w:spacing w:after="0" w:line="290" w:lineRule="auto"/>
        <w:rPr>
          <w:sz w:val="20"/>
          <w:szCs w:val="20"/>
          <w:color w:val="auto"/>
        </w:rPr>
      </w:pPr>
      <w:r>
        <w:rPr>
          <w:rFonts w:ascii="Arial" w:cs="Arial" w:eastAsia="Arial" w:hAnsi="Arial"/>
          <w:sz w:val="16"/>
          <w:szCs w:val="16"/>
          <w:color w:val="auto"/>
        </w:rPr>
        <w:t>We will designate the maximum amount of common stock to be sold through the managers on a daily basis or otherwise as we and the managers agree and the minimum price per share at which such common stock may be sold. No manager is required to sell any specific number or dollar amount of shares of our common stock, but subject to the terms and conditions of the Equity Distribution Agreement, the managers will use their commercially reasonable efforts to sell on our behalf all of the designated common stock. The shares of our common stock offered and sold through the managers pursuant to the Equity Distribution Agreement will be offered and sold through only one manager on any given trading day. We may instruct a manager not to sell any common stock if the sales cannot be effected at or above the price designated by us in any such instruction. The offering of the shares by the manager is subject to receipt and acceptance and subject to the managers’ right to reject any order in whole or in part. We or any manager may suspend the offering of common stock at any time and from time to time by notifying the other party.</w:t>
      </w:r>
    </w:p>
    <w:p>
      <w:pPr>
        <w:spacing w:after="0" w:line="165"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The managers will provide written confirmation to us no later than the opening of the trading day on the New York Stock Exchange after each trading day on which common stock is sold under the Equity Distribution Agreement. Each confirmation will include the number or amount of shares sold on that day, the volume-weighted average price of the shares sold and the net proceeds to us from such sales. We will report at least quarterly the number of shares of common stock sold through the managers under the Equity Distribution Agreement, the net proceeds to us (before expenses) and the commissions of the managers in connection with the sales of the common stock.</w:t>
      </w:r>
    </w:p>
    <w:p>
      <w:pPr>
        <w:spacing w:after="0" w:line="176"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We will pay the managers commissions, in cash, for their services in acting as sales agents in the sale of our common stock. The managers will be entitled to compensation at a fixed commission rate of up to 3.0% of the gross sales price per share sold. Because there is no minimum offering amount required as a condition to close this offering, the actual total public offering amount, commissions and proceeds to us, if any, are not determinable at this time. We have also agreed to reimburse the managers for certain specified expenses. In accordance with FINRA Rule 5110, these reimbursed fees and expenses are deemed sales compensation to the managers in connection with this offering.</w:t>
      </w:r>
    </w:p>
    <w:p>
      <w:pPr>
        <w:spacing w:after="0" w:line="176"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Prior to May 28, 2024, settlement for sales of common stock will occur on the second trading day following the date on which any sales are made, or on some other date that is agreed upon by us and the managers in connection with a particular transaction, in return for payment of the net proceeds to us. Beginning May 28, 2024, settlement for sales of common stock will occur on the first trading day following the date on which any sales are made, or on some other date that is agreed upon by us and the managers in connection with a particular transaction, in return for payment of the net proceeds to us. Sales of our common stock as contemplated in this prospectus supplement will be settled through the facilities of The Depository Trust Company or by such other means as we and the managers may agree upon. There is no arrangement for funds to be received in an escrow, trust or similar arrangement.</w:t>
      </w:r>
    </w:p>
    <w:p>
      <w:pPr>
        <w:spacing w:after="0" w:line="195"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The managers will use its commercially reasonable efforts, consistent with their sales and trading practices, to solicit offers to purchase the common stock under the terms and subject to the conditions set forth in the Equity Distribution Agreement. In connection with the sale of the common stock on our behalf, each of the managers will be deemed to be an “underwriter” within the meaning of the Securities Act and the compensation of the managers will be deemed to be underwriting commissions or discounts. We have agreed to provide indemnification and contribution to the managers against certain civil liabilities, including liabilities under the Securities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67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offering of shares of our common stock pursuant to the Equity Distribution Agreement will terminate upon the earlier of (1) the sale of all shares of our common stock subject to the Equity Distribution Agreement, and (2) termination of the Equity Distribution Agreement by either us or, with respect to either manager, by such manager, as permitted therein.</w:t>
      </w:r>
    </w:p>
    <w:p>
      <w:pPr>
        <w:spacing w:after="0" w:line="184" w:lineRule="exact"/>
        <w:rPr>
          <w:sz w:val="20"/>
          <w:szCs w:val="20"/>
          <w:color w:val="auto"/>
        </w:rPr>
      </w:pPr>
    </w:p>
    <w:p>
      <w:pPr>
        <w:ind w:left="120" w:right="240" w:firstLine="991"/>
        <w:spacing w:after="0" w:line="254" w:lineRule="auto"/>
        <w:rPr>
          <w:sz w:val="20"/>
          <w:szCs w:val="20"/>
          <w:color w:val="auto"/>
        </w:rPr>
      </w:pPr>
      <w:r>
        <w:rPr>
          <w:rFonts w:ascii="Arial" w:cs="Arial" w:eastAsia="Arial" w:hAnsi="Arial"/>
          <w:sz w:val="18"/>
          <w:szCs w:val="18"/>
          <w:color w:val="auto"/>
        </w:rPr>
        <w:t>The managers are full service financial institutions engaged in various activities, which may include securities trading, commercial and investment banking, financial advisory, investment management, principal investment, hedging, financing and brokerage activities. Each of the managers and/or its respective affiliates have provided, and may in the future provide, various investment banking, commercial banking and other financial services for us and our affiliates, for which services they may in the future receive customary fees and commissions. An affiliate of RBC Capital Markets, LLC is a lender under the Term Loan Facility and the Revolving Credit Facility. Such manager and its affiliate that has a lending relationship with us routinely hedge, and the other manager or its affiliates may hedge, their credit exposure to us consistent with their customary risk management policies.</w:t>
      </w:r>
    </w:p>
    <w:p>
      <w:pPr>
        <w:spacing w:after="0" w:line="195"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We estimate that the total expenses of this offering payable by us, excluding compensation payable to the managers under the Equity Distribution Agreement, will be approximately $500,000.</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This prospectus supplement in electronic format may be made available on websites maintained by the managers and the managers may distribute this prospectus supplement electronically.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67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validity of the common stock offered hereby will be passed upon for us by Covington &amp; Burling LLP, Washington, D.C. Certain other legal matters in connection with this offering will be passed upon by Heather Champion Brady, Associate General Counsel of Emergent. Davis Polk &amp; Wardwell LLP, New York, New York, is counsel to the managers in connection with this offering.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firstLine="991"/>
        <w:spacing w:after="0" w:line="290"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included therein, which are incorporated by reference in this prospectus, and which contain an explanatory paragraph describing conditions that raise substantial doubt about our ability to continue as a going concern as described in Note 2 to the consolidated financial statements and which conclude, among other things, that we did not maintain effective internal control over financial reporting as of December 31, 2022, based on Internal Control—Integrated Framework issued by the Committee of Sponsoring Organizations of the Treadway Commission (2013 framework), because of the effects of the material weakness described therein. Our audited financial statements are incorporated by reference in reliance on Ernst &amp; Young LLP’s reports, given on their authority as experts in accounting and auditing.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80"/>
          </w:cols>
          <w:pgMar w:left="320" w:top="675"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important information to you by referring to those publicly available documents. The information that we incorporate by reference is considered to be part of this prospectus. We incorporate by reference the documents listed below (File No. 001-33137) and any future filings we make with the SEC under Sections 13(a), 13(c), 14 or 15(d) of the Exchange Act (in each case, other than those documents or the portions of those documents not deemed to be filed) between the date of this prospectus and the date this offering is terminated:</w:t>
      </w:r>
    </w:p>
    <w:p>
      <w:pPr>
        <w:spacing w:after="0" w:line="93" w:lineRule="exact"/>
        <w:rPr>
          <w:sz w:val="20"/>
          <w:szCs w:val="20"/>
          <w:color w:val="auto"/>
        </w:rPr>
      </w:pPr>
    </w:p>
    <w:p>
      <w:pPr>
        <w:ind w:left="1540" w:hanging="433"/>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2022, as filed with the SEC on </w:t>
      </w:r>
      <w:hyperlink r:id="rId31">
        <w:r>
          <w:rPr>
            <w:rFonts w:ascii="Arial" w:cs="Arial" w:eastAsia="Arial" w:hAnsi="Arial"/>
            <w:sz w:val="18"/>
            <w:szCs w:val="18"/>
            <w:u w:val="single" w:color="auto"/>
            <w:color w:val="0000EE"/>
          </w:rPr>
          <w:t>March 1,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right="200" w:hanging="433"/>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3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Amended Definitive Proxy Statement on Schedule 14A, as filed with the SEC on </w:t>
      </w:r>
      <w:hyperlink r:id="rId32">
        <w:r>
          <w:rPr>
            <w:rFonts w:ascii="Arial" w:cs="Arial" w:eastAsia="Arial" w:hAnsi="Arial"/>
            <w:sz w:val="18"/>
            <w:szCs w:val="18"/>
            <w:u w:val="single" w:color="auto"/>
            <w:color w:val="0000EE"/>
          </w:rPr>
          <w:t>April 24, 2023</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on March 31, 2023, as filed with the SEC on </w:t>
      </w:r>
      <w:hyperlink r:id="rId33">
        <w:r>
          <w:rPr>
            <w:rFonts w:ascii="Arial" w:cs="Arial" w:eastAsia="Arial" w:hAnsi="Arial"/>
            <w:sz w:val="18"/>
            <w:szCs w:val="18"/>
            <w:u w:val="single" w:color="auto"/>
            <w:color w:val="0000EE"/>
          </w:rPr>
          <w:t>May 10,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right="200" w:hanging="433"/>
        <w:spacing w:after="0" w:line="286" w:lineRule="auto"/>
        <w:tabs>
          <w:tab w:leader="none" w:pos="1540" w:val="left"/>
        </w:tabs>
        <w:numPr>
          <w:ilvl w:val="0"/>
          <w:numId w:val="7"/>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as filed with the SEC on </w:t>
      </w:r>
      <w:hyperlink r:id="rId34">
        <w:r>
          <w:rPr>
            <w:rFonts w:ascii="Arial" w:cs="Arial" w:eastAsia="Arial" w:hAnsi="Arial"/>
            <w:sz w:val="17"/>
            <w:szCs w:val="17"/>
            <w:u w:val="single" w:color="auto"/>
            <w:color w:val="0000EE"/>
          </w:rPr>
          <w:t>January 9,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(solely with respect to Items 2.05 and 5.02), </w:t>
      </w:r>
      <w:hyperlink r:id="rId35">
        <w:r>
          <w:rPr>
            <w:rFonts w:ascii="Arial" w:cs="Arial" w:eastAsia="Arial" w:hAnsi="Arial"/>
            <w:sz w:val="17"/>
            <w:szCs w:val="17"/>
            <w:u w:val="single" w:color="auto"/>
            <w:color w:val="0000EE"/>
          </w:rPr>
          <w:t>February 15, 2023</w:t>
        </w:r>
        <w:r>
          <w:rPr>
            <w:rFonts w:ascii="Arial" w:cs="Arial" w:eastAsia="Arial" w:hAnsi="Arial"/>
            <w:sz w:val="17"/>
            <w:szCs w:val="17"/>
            <w:color w:val="0000EE"/>
          </w:rPr>
          <w:t xml:space="preserve"> </w:t>
        </w:r>
        <w:r>
          <w:rPr>
            <w:rFonts w:ascii="Arial" w:cs="Arial" w:eastAsia="Arial" w:hAnsi="Arial"/>
            <w:sz w:val="17"/>
            <w:szCs w:val="17"/>
            <w:color w:val="000000"/>
          </w:rPr>
          <w:t>(solely with respect to Item 1.01),</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23, 2023</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17, 2023</w:t>
        </w:r>
        <w:r>
          <w:rPr>
            <w:rFonts w:ascii="Arial" w:cs="Arial" w:eastAsia="Arial" w:hAnsi="Arial"/>
            <w:sz w:val="17"/>
            <w:szCs w:val="17"/>
            <w:color w:val="0000EE"/>
          </w:rPr>
          <w:t xml:space="preserve"> </w:t>
        </w:r>
        <w:r>
          <w:rPr>
            <w:rFonts w:ascii="Arial" w:cs="Arial" w:eastAsia="Arial" w:hAnsi="Arial"/>
            <w:sz w:val="17"/>
            <w:szCs w:val="17"/>
            <w:color w:val="000000"/>
          </w:rPr>
          <w:t>(solely with respect to Item 1.01),</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15,</w:t>
        </w:r>
      </w:hyperlink>
      <w:r>
        <w:rPr>
          <w:rFonts w:ascii="Arial" w:cs="Arial" w:eastAsia="Arial" w:hAnsi="Arial"/>
          <w:sz w:val="17"/>
          <w:szCs w:val="17"/>
          <w:color w:val="0000EE"/>
        </w:rPr>
        <w:t xml:space="preserve"> </w:t>
      </w:r>
      <w:hyperlink r:id="rId35">
        <w:r>
          <w:rPr>
            <w:rFonts w:ascii="Arial" w:cs="Arial" w:eastAsia="Arial" w:hAnsi="Arial"/>
            <w:sz w:val="17"/>
            <w:szCs w:val="17"/>
            <w:u w:val="single" w:color="auto"/>
            <w:color w:val="0000EE"/>
          </w:rPr>
          <w:t>2023</w:t>
        </w:r>
        <w:r>
          <w:rPr>
            <w:rFonts w:ascii="Arial" w:cs="Arial" w:eastAsia="Arial" w:hAnsi="Arial"/>
            <w:sz w:val="17"/>
            <w:szCs w:val="17"/>
            <w:color w:val="0000EE"/>
          </w:rPr>
          <w:t xml:space="preserve"> </w:t>
        </w:r>
        <w:r>
          <w:rPr>
            <w:rFonts w:ascii="Arial" w:cs="Arial" w:eastAsia="Arial" w:hAnsi="Arial"/>
            <w:sz w:val="17"/>
            <w:szCs w:val="17"/>
            <w:color w:val="000000"/>
          </w:rPr>
          <w:t>(solely with respect to Items 2.01 and 9.01(b)) and</w:t>
        </w:r>
        <w:r>
          <w:rPr>
            <w:rFonts w:ascii="Arial" w:cs="Arial" w:eastAsia="Arial" w:hAnsi="Arial"/>
            <w:sz w:val="17"/>
            <w:szCs w:val="17"/>
            <w:color w:val="0000EE"/>
          </w:rPr>
          <w:t xml:space="preserve"> </w:t>
        </w:r>
      </w:hyperlink>
      <w:hyperlink r:id="rId36">
        <w:r>
          <w:rPr>
            <w:rFonts w:ascii="Arial" w:cs="Arial" w:eastAsia="Arial" w:hAnsi="Arial"/>
            <w:sz w:val="17"/>
            <w:szCs w:val="17"/>
            <w:u w:val="single" w:color="auto"/>
            <w:color w:val="0000EE"/>
          </w:rPr>
          <w:t xml:space="preserve">May 17, 2023 </w:t>
        </w:r>
      </w:hyperlink>
      <w:hyperlink r:id="rId35">
        <w:r>
          <w:rPr>
            <w:rFonts w:ascii="Arial" w:cs="Arial" w:eastAsia="Arial" w:hAnsi="Arial"/>
            <w:sz w:val="17"/>
            <w:szCs w:val="17"/>
            <w:color w:val="000000"/>
          </w:rPr>
          <w:t>(solely with respect to Items 1.01 and 2.03); and</w:t>
        </w:r>
      </w:hyperlink>
    </w:p>
    <w:p>
      <w:pPr>
        <w:spacing w:after="0" w:line="70" w:lineRule="exact"/>
        <w:rPr>
          <w:rFonts w:ascii="Arial" w:cs="Arial" w:eastAsia="Arial" w:hAnsi="Arial"/>
          <w:sz w:val="17"/>
          <w:szCs w:val="17"/>
          <w:color w:val="0000EE"/>
        </w:rPr>
      </w:pPr>
    </w:p>
    <w:p>
      <w:pPr>
        <w:ind w:left="1540" w:right="20" w:hanging="433"/>
        <w:spacing w:after="0" w:line="263" w:lineRule="auto"/>
        <w:tabs>
          <w:tab w:leader="none" w:pos="1540" w:val="left"/>
        </w:tabs>
        <w:numPr>
          <w:ilvl w:val="0"/>
          <w:numId w:val="7"/>
        </w:numPr>
        <w:rPr>
          <w:rFonts w:ascii="Arial" w:cs="Arial" w:eastAsia="Arial" w:hAnsi="Arial"/>
          <w:sz w:val="18"/>
          <w:szCs w:val="18"/>
          <w:color w:val="0000EE"/>
        </w:rPr>
      </w:pPr>
      <w:hyperlink r:id="rId37">
        <w:r>
          <w:rPr>
            <w:rFonts w:ascii="Arial" w:cs="Arial" w:eastAsia="Arial" w:hAnsi="Arial"/>
            <w:sz w:val="18"/>
            <w:szCs w:val="18"/>
            <w:color w:val="auto"/>
          </w:rPr>
          <w:t xml:space="preserve">the description of our common stock contained in </w:t>
        </w:r>
        <w:r>
          <w:rPr>
            <w:rFonts w:ascii="Arial" w:cs="Arial" w:eastAsia="Arial" w:hAnsi="Arial"/>
            <w:sz w:val="18"/>
            <w:szCs w:val="18"/>
            <w:u w:val="single" w:color="auto"/>
            <w:color w:val="0000EE"/>
          </w:rPr>
          <w:t>Exhibit 4.6</w:t>
        </w:r>
        <w:r>
          <w:rPr>
            <w:rFonts w:ascii="Arial" w:cs="Arial" w:eastAsia="Arial" w:hAnsi="Arial"/>
            <w:sz w:val="18"/>
            <w:szCs w:val="18"/>
            <w:color w:val="auto"/>
          </w:rPr>
          <w:t xml:space="preserve"> to our Annual Report on Form 10-K for the year ended </w:t>
        </w:r>
        <w:r>
          <w:rPr>
            <w:rFonts w:ascii="Arial" w:cs="Arial" w:eastAsia="Arial" w:hAnsi="Arial"/>
            <w:sz w:val="18"/>
            <w:szCs w:val="18"/>
            <w:u w:val="single" w:color="auto"/>
            <w:color w:val="0000EE"/>
          </w:rPr>
          <w:t>December 31,</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2020</w:t>
        </w:r>
        <w:r>
          <w:rPr>
            <w:rFonts w:ascii="Arial" w:cs="Arial" w:eastAsia="Arial" w:hAnsi="Arial"/>
            <w:sz w:val="18"/>
            <w:szCs w:val="18"/>
            <w:color w:val="000000"/>
          </w:rPr>
          <w:t>, filed with the SEC on February 19, 2021, including any amendment or report subsequently filed for the purpose of updating</w:t>
        </w:r>
      </w:hyperlink>
      <w:r>
        <w:rPr>
          <w:rFonts w:ascii="Arial" w:cs="Arial" w:eastAsia="Arial" w:hAnsi="Arial"/>
          <w:sz w:val="18"/>
          <w:szCs w:val="18"/>
          <w:color w:val="0000EE"/>
        </w:rPr>
        <w:t xml:space="preserve"> </w:t>
      </w:r>
      <w:r>
        <w:rPr>
          <w:rFonts w:ascii="Arial" w:cs="Arial" w:eastAsia="Arial" w:hAnsi="Arial"/>
          <w:sz w:val="18"/>
          <w:szCs w:val="18"/>
          <w:color w:val="000000"/>
        </w:rPr>
        <w:t>such description.</w:t>
      </w:r>
    </w:p>
    <w:p>
      <w:pPr>
        <w:spacing w:after="0" w:line="184" w:lineRule="exact"/>
        <w:rPr>
          <w:rFonts w:ascii="Arial" w:cs="Arial" w:eastAsia="Arial" w:hAnsi="Arial"/>
          <w:sz w:val="18"/>
          <w:szCs w:val="18"/>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You may access our Annual Report on Form 10-K, Quarterly Reports on Form 10-Q, Current Reports on Form 8-K, proxy statement, and other information, if any, we file with or furnish to the SEC free of charge at the SEC’s website (www.sec.gov) or our website (www.emergentbiosolutions.com) as soon as reasonably practicable after such material is electronically filed with, or furnished to, the SEC. The information contained in, or that can be accessed through, our website is not part of this prospectus supplement.</w:t>
      </w:r>
    </w:p>
    <w:p>
      <w:pPr>
        <w:spacing w:after="0" w:line="187"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6"/>
          <w:szCs w:val="16"/>
          <w:color w:val="auto"/>
        </w:rPr>
        <w:t>You may also request a copy of our SEC filings at no cost, by telephoning or writing us at the following telephone number or address:</w:t>
      </w:r>
    </w:p>
    <w:p>
      <w:pPr>
        <w:spacing w:after="0" w:line="248"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Emergent BioSolutions Inc.</w:t>
      </w:r>
    </w:p>
    <w:p>
      <w:pPr>
        <w:spacing w:after="0" w:line="2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400 Professional Drive, Suite 400</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Gaithersburg, Maryland 20879</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5460" w:right="4900" w:hanging="398"/>
        <w:spacing w:after="0" w:line="517" w:lineRule="auto"/>
        <w:tabs>
          <w:tab w:leader="none" w:pos="5502" w:val="left"/>
        </w:tabs>
        <w:numPr>
          <w:ilvl w:val="0"/>
          <w:numId w:val="8"/>
        </w:numPr>
        <w:rPr>
          <w:rFonts w:ascii="Arial" w:cs="Arial" w:eastAsia="Arial" w:hAnsi="Arial"/>
          <w:sz w:val="16"/>
          <w:szCs w:val="16"/>
          <w:color w:val="auto"/>
        </w:rPr>
      </w:pPr>
      <w:r>
        <w:rPr>
          <w:rFonts w:ascii="Arial" w:cs="Arial" w:eastAsia="Arial" w:hAnsi="Arial"/>
          <w:sz w:val="16"/>
          <w:szCs w:val="16"/>
          <w:color w:val="auto"/>
        </w:rPr>
        <w:t>631-3200 S-13</w:t>
      </w:r>
    </w:p>
    <w:p>
      <w:pPr>
        <w:sectPr>
          <w:pgSz w:w="11900" w:h="16838" w:orient="portrait"/>
          <w:cols w:equalWidth="0" w:num="1">
            <w:col w:w="11080"/>
          </w:cols>
          <w:pgMar w:left="320" w:top="675"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Emergent BioSolutions Inc.</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This prospectus may also be used to offer our securities for the account of persons other than us, whom we refer to in this prospectus as “selling security holders.” You should read this prospectus and any applicable prospectus supplement before you invest.</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or any selling security holders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Unless otherwise set forth in a prospectus supplement, we will not receive any proceeds from the sale of any securities by any selling security holders.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New York Stock Exchange under the symbol “EBS.”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60" w:lineRule="auto"/>
        <w:rPr>
          <w:sz w:val="20"/>
          <w:szCs w:val="20"/>
          <w:color w:val="auto"/>
        </w:rPr>
      </w:pPr>
      <w:r>
        <w:rPr>
          <w:rFonts w:ascii="Arial" w:cs="Arial" w:eastAsia="Arial" w:hAnsi="Arial"/>
          <w:sz w:val="21"/>
          <w:szCs w:val="21"/>
          <w:b w:val="1"/>
          <w:bCs w:val="1"/>
          <w:color w:val="auto"/>
        </w:rPr>
        <w:t>Investing in these securities involves certain risks. See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August 9, 2021</w:t>
      </w:r>
    </w:p>
    <w:p>
      <w:pPr>
        <w:sectPr>
          <w:pgSz w:w="11900" w:h="16838" w:orient="portrait"/>
          <w:cols w:equalWidth="0" w:num="1">
            <w:col w:w="11120"/>
          </w:cols>
          <w:pgMar w:left="320" w:top="675"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920" w:type="dxa"/>
            <w:vAlign w:val="bottom"/>
            <w:gridSpan w:val="18"/>
          </w:tcPr>
          <w:p>
            <w:pPr>
              <w:spacing w:after="0"/>
              <w:rPr>
                <w:sz w:val="20"/>
                <w:szCs w:val="20"/>
                <w:color w:val="auto"/>
              </w:rPr>
            </w:pPr>
            <w:r>
              <w:rPr>
                <w:rFonts w:ascii="Arial" w:cs="Arial" w:eastAsia="Arial" w:hAnsi="Arial"/>
                <w:sz w:val="18"/>
                <w:szCs w:val="18"/>
                <w:b w:val="1"/>
                <w:bCs w:val="1"/>
                <w:color w:val="0000EE"/>
              </w:rPr>
              <w:t>Table of Contents</w:t>
            </w:r>
          </w:p>
        </w:tc>
        <w:tc>
          <w:tcPr>
            <w:tcW w:w="7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tcPr>
          <w:p>
            <w:pPr>
              <w:jc w:val="right"/>
              <w:ind w:right="4450"/>
              <w:spacing w:after="0"/>
              <w:rPr>
                <w:sz w:val="20"/>
                <w:szCs w:val="20"/>
                <w:color w:val="auto"/>
              </w:rPr>
            </w:pPr>
            <w:r>
              <w:rPr>
                <w:rFonts w:ascii="Arial" w:cs="Arial" w:eastAsia="Arial" w:hAnsi="Arial"/>
                <w:sz w:val="18"/>
                <w:szCs w:val="18"/>
                <w:color w:val="auto"/>
              </w:rPr>
              <w:t>TABLE OF CONTENTS</w:t>
            </w:r>
          </w:p>
        </w:tc>
      </w:tr>
      <w:tr>
        <w:trPr>
          <w:trHeight w:val="418"/>
        </w:trPr>
        <w:tc>
          <w:tcPr>
            <w:tcW w:w="120" w:type="dxa"/>
            <w:vAlign w:val="bottom"/>
          </w:tcPr>
          <w:p>
            <w:pPr>
              <w:spacing w:after="0"/>
              <w:rPr>
                <w:sz w:val="24"/>
                <w:szCs w:val="24"/>
                <w:color w:val="auto"/>
              </w:rPr>
            </w:pPr>
          </w:p>
        </w:tc>
        <w:tc>
          <w:tcPr>
            <w:tcW w:w="22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ABOUT THIS PROSPECTUS</w:t>
            </w:r>
          </w:p>
        </w:tc>
        <w:tc>
          <w:tcPr>
            <w:tcW w:w="1580" w:type="dxa"/>
            <w:vAlign w:val="bottom"/>
            <w:gridSpan w:val="9"/>
          </w:tcPr>
          <w:p>
            <w:pPr>
              <w:spacing w:after="0"/>
              <w:rPr>
                <w:sz w:val="24"/>
                <w:szCs w:val="24"/>
                <w:color w:val="auto"/>
              </w:rPr>
            </w:pP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800" w:type="dxa"/>
            <w:vAlign w:val="bottom"/>
            <w:gridSpan w:val="17"/>
          </w:tcPr>
          <w:p>
            <w:pPr>
              <w:spacing w:after="0" w:line="196" w:lineRule="exact"/>
              <w:rPr>
                <w:sz w:val="20"/>
                <w:szCs w:val="20"/>
                <w:color w:val="auto"/>
              </w:rPr>
            </w:pPr>
            <w:r>
              <w:rPr>
                <w:rFonts w:ascii="Arial" w:cs="Arial" w:eastAsia="Arial" w:hAnsi="Arial"/>
                <w:sz w:val="18"/>
                <w:szCs w:val="18"/>
                <w:color w:val="0000EE"/>
              </w:rPr>
              <w:t>RISK FACTORS</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6"/>
              </w:rPr>
              <w:t>WHERE YOU CAN FIND MORE INFORMATION</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3800" w:type="dxa"/>
            <w:vAlign w:val="bottom"/>
            <w:gridSpan w:val="17"/>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0" w:type="dxa"/>
            <w:vAlign w:val="bottom"/>
            <w:gridSpan w:val="17"/>
          </w:tcPr>
          <w:p>
            <w:pPr>
              <w:spacing w:after="0" w:line="196" w:lineRule="exact"/>
              <w:rPr>
                <w:sz w:val="20"/>
                <w:szCs w:val="20"/>
                <w:color w:val="auto"/>
              </w:rPr>
            </w:pPr>
            <w:r>
              <w:rPr>
                <w:rFonts w:ascii="Arial" w:cs="Arial" w:eastAsia="Arial" w:hAnsi="Arial"/>
                <w:sz w:val="18"/>
                <w:szCs w:val="18"/>
                <w:color w:val="0000EE"/>
              </w:rPr>
              <w:t>FORWARD-LOOKING STATEMENTS</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EMERGENT BIOSOLUTIONS INC.</w:t>
            </w:r>
          </w:p>
        </w:tc>
        <w:tc>
          <w:tcPr>
            <w:tcW w:w="880" w:type="dxa"/>
            <w:vAlign w:val="bottom"/>
            <w:gridSpan w:val="3"/>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140" w:type="dxa"/>
            <w:vAlign w:val="bottom"/>
            <w:tcBorders>
              <w:top w:val="single" w:sz="8" w:color="0000EE"/>
            </w:tcBorders>
            <w:gridSpan w:val="7"/>
          </w:tcPr>
          <w:p>
            <w:pPr>
              <w:spacing w:after="0"/>
              <w:rPr>
                <w:sz w:val="17"/>
                <w:szCs w:val="17"/>
                <w:color w:val="auto"/>
              </w:rPr>
            </w:pPr>
          </w:p>
        </w:tc>
        <w:tc>
          <w:tcPr>
            <w:tcW w:w="1080" w:type="dxa"/>
            <w:vAlign w:val="bottom"/>
            <w:gridSpan w:val="6"/>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25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SELLING SECURITY HOLDERS</w:t>
            </w:r>
          </w:p>
        </w:tc>
        <w:tc>
          <w:tcPr>
            <w:tcW w:w="1260" w:type="dxa"/>
            <w:vAlign w:val="bottom"/>
            <w:gridSpan w:val="7"/>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780" w:type="dxa"/>
            <w:vAlign w:val="bottom"/>
            <w:gridSpan w:val="2"/>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28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CAPITAL STOCK</w:t>
            </w:r>
          </w:p>
        </w:tc>
        <w:tc>
          <w:tcPr>
            <w:tcW w:w="940" w:type="dxa"/>
            <w:vAlign w:val="bottom"/>
            <w:gridSpan w:val="4"/>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38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280" w:type="dxa"/>
            <w:vAlign w:val="bottom"/>
            <w:tcBorders>
              <w:top w:val="single" w:sz="8" w:color="0000EE"/>
            </w:tcBorders>
            <w:gridSpan w:val="10"/>
          </w:tcPr>
          <w:p>
            <w:pPr>
              <w:spacing w:after="0"/>
              <w:rPr>
                <w:sz w:val="17"/>
                <w:szCs w:val="17"/>
                <w:color w:val="auto"/>
              </w:rPr>
            </w:pPr>
          </w:p>
        </w:tc>
        <w:tc>
          <w:tcPr>
            <w:tcW w:w="500" w:type="dxa"/>
            <w:vAlign w:val="bottom"/>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1320" w:type="dxa"/>
            <w:vAlign w:val="bottom"/>
            <w:gridSpan w:val="8"/>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3800" w:type="dxa"/>
            <w:vAlign w:val="bottom"/>
            <w:gridSpan w:val="17"/>
          </w:tcPr>
          <w:p>
            <w:pPr>
              <w:spacing w:after="0" w:line="196" w:lineRule="exact"/>
              <w:rPr>
                <w:sz w:val="20"/>
                <w:szCs w:val="20"/>
                <w:color w:val="auto"/>
              </w:rPr>
            </w:pPr>
            <w:r>
              <w:rPr>
                <w:rFonts w:ascii="Arial" w:cs="Arial" w:eastAsia="Arial" w:hAnsi="Arial"/>
                <w:sz w:val="18"/>
                <w:szCs w:val="18"/>
                <w:color w:val="0000EE"/>
              </w:rPr>
              <w:t>FORMS OF SECURITIES</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0" w:type="dxa"/>
            <w:vAlign w:val="bottom"/>
            <w:gridSpan w:val="17"/>
          </w:tcPr>
          <w:p>
            <w:pPr>
              <w:spacing w:after="0" w:line="196" w:lineRule="exact"/>
              <w:rPr>
                <w:sz w:val="20"/>
                <w:szCs w:val="20"/>
                <w:color w:val="auto"/>
              </w:rPr>
            </w:pPr>
            <w:r>
              <w:rPr>
                <w:rFonts w:ascii="Arial" w:cs="Arial" w:eastAsia="Arial" w:hAnsi="Arial"/>
                <w:sz w:val="18"/>
                <w:szCs w:val="18"/>
                <w:color w:val="0000EE"/>
              </w:rPr>
              <w:t>PLAN OF DISTRIBUTION</w:t>
            </w: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LEGAL MATTERS</w:t>
            </w:r>
          </w:p>
        </w:tc>
        <w:tc>
          <w:tcPr>
            <w:tcW w:w="1760" w:type="dxa"/>
            <w:vAlign w:val="bottom"/>
            <w:gridSpan w:val="10"/>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2360" w:type="dxa"/>
            <w:vAlign w:val="bottom"/>
            <w:gridSpan w:val="14"/>
          </w:tcPr>
          <w:p>
            <w:pPr>
              <w:spacing w:after="0"/>
              <w:rPr>
                <w:sz w:val="17"/>
                <w:szCs w:val="17"/>
                <w:color w:val="auto"/>
              </w:rPr>
            </w:pPr>
          </w:p>
        </w:tc>
        <w:tc>
          <w:tcPr>
            <w:tcW w:w="71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66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ABOUT THIS PROSPECTUS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and selling security holders may from time to time sell securities described in this prospectus in one or more offerings.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or any selling security holder may offer. Each time we or any selling security holder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7 of this prospectus.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Emergent BioSolutions Inc., a Delaware corporation, and its consolidated subsidiaries.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most recent Annual Report on Form 10-K and Quarterly Reports on Form 10-Q, before making an investment decision pursuant to this prospectus and any accompanying prospectus supplement relating to a specific offering.</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675"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www.emergentbiosolutions.com.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76"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w:t>
      </w:r>
    </w:p>
    <w:p>
      <w:pPr>
        <w:spacing w:after="0" w:line="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No. 001-33137) and any future filings we make with the SEC under Sections 13(a), 13(c), 14 or 15(d) of the Securities Exchange Act of 1934, as amended (the “Exchange Act”) (in each case, other than those documents or the portions of those documents not deemed to be filed) until the offering of the securities under the registration statement is terminated or completed:</w:t>
      </w:r>
    </w:p>
    <w:p>
      <w:pPr>
        <w:spacing w:after="0" w:line="95" w:lineRule="exact"/>
        <w:rPr>
          <w:sz w:val="20"/>
          <w:szCs w:val="20"/>
          <w:color w:val="auto"/>
        </w:rPr>
      </w:pPr>
    </w:p>
    <w:p>
      <w:pPr>
        <w:ind w:left="1540" w:right="420" w:hanging="322"/>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fiscal year ended December 31, 2020, filed February 19, 2021, including the information specifically incorporated by reference into the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from our definitive proxy statement for the 2021 Annual Meeting of Stockholders;</w:t>
      </w:r>
    </w:p>
    <w:p>
      <w:pPr>
        <w:spacing w:after="0" w:line="89" w:lineRule="exact"/>
        <w:rPr>
          <w:rFonts w:ascii="Arial" w:cs="Arial" w:eastAsia="Arial" w:hAnsi="Arial"/>
          <w:sz w:val="18"/>
          <w:szCs w:val="18"/>
          <w:color w:val="auto"/>
        </w:rPr>
      </w:pPr>
    </w:p>
    <w:p>
      <w:pPr>
        <w:ind w:left="1540" w:right="20" w:hanging="322"/>
        <w:spacing w:after="0" w:line="277" w:lineRule="auto"/>
        <w:tabs>
          <w:tab w:leader="none" w:pos="1540" w:val="left"/>
        </w:tabs>
        <w:numPr>
          <w:ilvl w:val="0"/>
          <w:numId w:val="9"/>
        </w:numPr>
        <w:rPr>
          <w:rFonts w:ascii="Arial" w:cs="Arial" w:eastAsia="Arial" w:hAnsi="Arial"/>
          <w:sz w:val="18"/>
          <w:szCs w:val="18"/>
          <w:color w:val="0000EE"/>
        </w:rPr>
      </w:pPr>
      <w:hyperlink r:id="rId45">
        <w:r>
          <w:rPr>
            <w:rFonts w:ascii="Arial" w:cs="Arial" w:eastAsia="Arial" w:hAnsi="Arial"/>
            <w:sz w:val="18"/>
            <w:szCs w:val="18"/>
            <w:color w:val="auto"/>
          </w:rPr>
          <w:t xml:space="preserve">Quarterly Reports on Form 10-Q for the fiscal quarters ended March 31, 2021, filed </w:t>
        </w:r>
        <w:r>
          <w:rPr>
            <w:rFonts w:ascii="Arial" w:cs="Arial" w:eastAsia="Arial" w:hAnsi="Arial"/>
            <w:sz w:val="18"/>
            <w:szCs w:val="18"/>
            <w:u w:val="single" w:color="auto"/>
            <w:color w:val="0000EE"/>
          </w:rPr>
          <w:t>April 30, 2021</w:t>
        </w:r>
        <w:r>
          <w:rPr>
            <w:rFonts w:ascii="Arial" w:cs="Arial" w:eastAsia="Arial" w:hAnsi="Arial"/>
            <w:sz w:val="18"/>
            <w:szCs w:val="18"/>
            <w:color w:val="auto"/>
          </w:rPr>
          <w:t xml:space="preserve"> and June 30, 2021, filed </w:t>
        </w:r>
        <w:r>
          <w:rPr>
            <w:rFonts w:ascii="Arial" w:cs="Arial" w:eastAsia="Arial" w:hAnsi="Arial"/>
            <w:sz w:val="18"/>
            <w:szCs w:val="18"/>
            <w:u w:val="single" w:color="auto"/>
            <w:color w:val="0000EE"/>
          </w:rPr>
          <w:t>July 30,</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2021</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540" w:hanging="322"/>
        <w:spacing w:after="0"/>
        <w:tabs>
          <w:tab w:leader="none" w:pos="1540" w:val="left"/>
        </w:tabs>
        <w:numPr>
          <w:ilvl w:val="0"/>
          <w:numId w:val="9"/>
        </w:numPr>
        <w:rPr>
          <w:rFonts w:ascii="Arial" w:cs="Arial" w:eastAsia="Arial" w:hAnsi="Arial"/>
          <w:sz w:val="17"/>
          <w:szCs w:val="17"/>
          <w:color w:val="auto"/>
        </w:rPr>
      </w:pPr>
      <w:hyperlink r:id="rId46">
        <w:r>
          <w:rPr>
            <w:rFonts w:ascii="Arial" w:cs="Arial" w:eastAsia="Arial" w:hAnsi="Arial"/>
            <w:sz w:val="17"/>
            <w:szCs w:val="17"/>
            <w:color w:val="auto"/>
          </w:rPr>
          <w:t xml:space="preserve">Current Reports on Form 8-K filed </w:t>
        </w:r>
        <w:r>
          <w:rPr>
            <w:rFonts w:ascii="Arial" w:cs="Arial" w:eastAsia="Arial" w:hAnsi="Arial"/>
            <w:sz w:val="17"/>
            <w:szCs w:val="17"/>
            <w:u w:val="single" w:color="auto"/>
            <w:color w:val="0000EE"/>
          </w:rPr>
          <w:t>February 16,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1,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5,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19,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21,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12,</w:t>
        </w:r>
      </w:hyperlink>
    </w:p>
    <w:p>
      <w:pPr>
        <w:spacing w:after="0" w:line="34" w:lineRule="exact"/>
        <w:rPr>
          <w:rFonts w:ascii="Arial" w:cs="Arial" w:eastAsia="Arial" w:hAnsi="Arial"/>
          <w:sz w:val="17"/>
          <w:szCs w:val="17"/>
          <w:color w:val="auto"/>
        </w:rPr>
      </w:pPr>
    </w:p>
    <w:p>
      <w:pPr>
        <w:ind w:left="1540"/>
        <w:spacing w:after="0" w:line="260" w:lineRule="auto"/>
        <w:rPr>
          <w:rFonts w:ascii="Arial" w:cs="Arial" w:eastAsia="Arial" w:hAnsi="Arial"/>
          <w:sz w:val="18"/>
          <w:szCs w:val="18"/>
          <w:color w:val="0000EE"/>
        </w:rPr>
      </w:pPr>
      <w:hyperlink r:id="rId46">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May 25, 2021</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July 14, 2021</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 xml:space="preserve">July 22, 2021 </w:t>
        </w:r>
      </w:hyperlink>
      <w:hyperlink r:id="rId4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 xml:space="preserve">July 29, 2021 </w:t>
        </w:r>
      </w:hyperlink>
      <w:hyperlink r:id="rId46">
        <w:r>
          <w:rPr>
            <w:rFonts w:ascii="Arial" w:cs="Arial" w:eastAsia="Arial" w:hAnsi="Arial"/>
            <w:sz w:val="18"/>
            <w:szCs w:val="18"/>
            <w:color w:val="000000"/>
          </w:rPr>
          <w:t xml:space="preserve">(to the extent the information in such Form 8-K is filed, </w:t>
        </w:r>
      </w:hyperlink>
      <w:r>
        <w:rPr>
          <w:rFonts w:ascii="Arial" w:cs="Arial" w:eastAsia="Arial" w:hAnsi="Arial"/>
          <w:sz w:val="18"/>
          <w:szCs w:val="18"/>
          <w:color w:val="0000EE"/>
        </w:rPr>
        <w:t xml:space="preserve">rather </w:t>
      </w:r>
      <w:r>
        <w:rPr>
          <w:rFonts w:ascii="Arial" w:cs="Arial" w:eastAsia="Arial" w:hAnsi="Arial"/>
          <w:sz w:val="18"/>
          <w:szCs w:val="18"/>
          <w:color w:val="000000"/>
        </w:rPr>
        <w:t>furnished); and</w:t>
      </w:r>
    </w:p>
    <w:p>
      <w:pPr>
        <w:spacing w:after="0" w:line="90" w:lineRule="exact"/>
        <w:rPr>
          <w:rFonts w:ascii="Arial" w:cs="Arial" w:eastAsia="Arial" w:hAnsi="Arial"/>
          <w:sz w:val="18"/>
          <w:szCs w:val="18"/>
          <w:color w:val="0000EE"/>
        </w:rPr>
      </w:pPr>
    </w:p>
    <w:p>
      <w:pPr>
        <w:ind w:left="1540" w:right="160" w:hanging="322"/>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November 7, 2006, including any amendments or reports filed for the purpose of updating such description.</w:t>
      </w:r>
    </w:p>
    <w:p>
      <w:pPr>
        <w:spacing w:after="0" w:line="170"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or telephone number:</w:t>
      </w:r>
    </w:p>
    <w:p>
      <w:pPr>
        <w:spacing w:after="0" w:line="225"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Emergent BioSolutions Inc.</w:t>
      </w:r>
    </w:p>
    <w:p>
      <w:pPr>
        <w:spacing w:after="0" w:line="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400 Professional Drive</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Gaithersburg, Maryland, 20879</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0000EE"/>
        </w:rPr>
      </w:pPr>
    </w:p>
    <w:p>
      <w:pPr>
        <w:ind w:left="5500" w:hanging="438"/>
        <w:spacing w:after="0"/>
        <w:tabs>
          <w:tab w:leader="none" w:pos="5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631-3200</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120"/>
          </w:cols>
          <w:pgMar w:left="320" w:top="675"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and the continued impact of the COVID-19 pandemic,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 You are cautioned that these forward-looking statements are only predictions and are subject to risks, uncertainties and assumptions that are referenced in the section of any accompanying prospectus supplement entitled “Risk Factors.” You should also carefully review the sections titled “Risk Factors” and cautionary statements included under the headings “Special Note Regarding Forward-Looking Statements,” “Cautionary Note Regarding Forward-Looking Statements” and “Safe Harbor Statement” described in the other documents we file from time to time with the SEC, including, but not limited to, our most recent Annual Report on Form 10-K, our Quarterly Reports on Form 10-Q and our Current Reports on Form 8-K. We undertake no obligation to revise or update any forward-looking statements, except to the extent required by law.</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675"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a global life sciences company focused on providing innovative preparedness and response solutions addressing accidental, deliberate and naturally occurring public health threats (“PHTs”). Our solutions include a product portfolio, a product development pipeline portfolio, and a portfolio of contract development and manufacturing (“CDMO”) services.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were incorporated in the State of Michigan in May 1998 and subsequently reorganized as a Delaware corporation in June 2004. Our common stock is traded on the New York Stock Exchange under the ticker symbol “EBS.” Our principal executive offices are located at 400 Professional Drive, Gaithersburg, Maryland 20879. Our telephone number is (240) 631-3200, and our website address is www.emergentbiosolutions.com. We have included our website address as an inactive textual reference only. The information contained on, or that can be accessed through, our website is not a part of this prospectus.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types of PHTs we are currently addressing are focused on the following five categories:</w:t>
      </w:r>
    </w:p>
    <w:p>
      <w:pPr>
        <w:spacing w:after="0" w:line="131" w:lineRule="exact"/>
        <w:rPr>
          <w:sz w:val="20"/>
          <w:szCs w:val="20"/>
          <w:color w:val="auto"/>
        </w:rPr>
      </w:pPr>
    </w:p>
    <w:p>
      <w:pPr>
        <w:ind w:left="1540" w:hanging="32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chemical, biological, radiological, nuclear and explosives (“CBRNE”);</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emerging infectious diseases (“EID”);</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health;</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emerging health crises; and</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acute/emergency care.</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product portfolio comprises ten marketed products (vaccines, therapeutics, and drug-device combination products) that are sold to government and commercial customers. Our product portfolio also includes two product candidates, designated AV7909 (vaccine) and Trobigard Auto-Injector (drug-device combination), that are not approved by the FDA or any other regulatory health authority, but which are procured under special circumstances by certain government agencies.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product development pipeline portfolio consists of a diversified mix of both pre-clinical and clinical-stage product candidates, encompassing a mix of vaccines, therapeutics and drug-device combination products. In some cases, certain candidates are supported by external, non-dilutive funding sources (government agencies, non-governmental organizations, pharma/biotech innovators). Certain other candidates are supported solely by internal funding sources.</w:t>
      </w:r>
    </w:p>
    <w:p>
      <w:pPr>
        <w:spacing w:after="0" w:line="187"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Our portfolio of CDMO services consists of three distinct but interrelated service pillars: development services (process and analytical development); drug substance manufacturing; and drug product manufacturing (fill/finish) and packaging. These services, which we refer to as “molecule-to-market” offerings, employ five technology platforms (mammalian, microbial, viral, plasma and gene therapy) across a network of nine geographically distinct development and manufacturing sites operated by us for our internal products and pipeline and CDMO services, for both clinical-stage projects and commercial-stage projects. We direct these CDMO services for a variety of third-party customers, including innovative pharmaceutical companies, government agencies and non-government organizations.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revenues are derived from a combination of the sale and procurement of our product portfolio and the provision of our CDMO services to external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675"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intend to use the net proceeds from the sale of any securities offered under this prospectus for general corporate purposes unless otherwise indicated in the applicable prospectus supplement. General corporate purposes may include, but is not limited to,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net proceeds.</w:t>
      </w:r>
    </w:p>
    <w:p>
      <w:pPr>
        <w:spacing w:after="0" w:line="17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Unless otherwise set forth in a prospectus supplement, we will not receive any proceeds from the sale of any securities by any selling security holders.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SELLING SECURITY HOLDERS</w:t>
      </w:r>
    </w:p>
    <w:p>
      <w:pPr>
        <w:spacing w:after="0" w:line="22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addition to covering the offering of the securities by us, this prospectus covers the offering of securities by selling security holders. Information about selling security holders, if any, will be set forth in a prospectus supplement, in an amendment to the registration statement of which this prospectus is a part or in other filings we make with the SEC under the Exchange Act, which are incorporated by reference.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DESCRIPTION OF DEBT SECURITIES</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Emergent BioSolutions Inc. excluding, unless the context otherwise requires or as otherwise expressly stated, our subsidiaries.</w:t>
      </w:r>
    </w:p>
    <w:p>
      <w:pPr>
        <w:spacing w:after="0" w:line="19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certain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6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560" w:hanging="33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560" w:right="100" w:hanging="334"/>
        <w:spacing w:after="0" w:line="277"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67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560" w:right="720" w:hanging="334"/>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560" w:right="60" w:hanging="334"/>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will be issued in definitive or global form or in definitive form only upon satisfaction of certain conditions;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 and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Terms of the Senior Debt Securities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8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560" w:hanging="334"/>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560" w:right="100" w:hanging="334"/>
        <w:spacing w:after="0" w:line="311" w:lineRule="auto"/>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that all conditions precedent provided for in the senior indenture relating to such transaction have been complied with.</w:t>
      </w:r>
    </w:p>
    <w:p>
      <w:pPr>
        <w:spacing w:after="0" w:line="149"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675"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under the senior indenture with respect to senior debt securities of each series:</w:t>
      </w:r>
    </w:p>
    <w:p>
      <w:pPr>
        <w:spacing w:after="0" w:line="76" w:lineRule="exact"/>
        <w:rPr>
          <w:sz w:val="20"/>
          <w:szCs w:val="20"/>
          <w:color w:val="auto"/>
        </w:rPr>
      </w:pPr>
    </w:p>
    <w:p>
      <w:pPr>
        <w:ind w:left="560" w:right="160" w:hanging="334"/>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90 days (or such other period as may be specified for such series);</w:t>
      </w:r>
    </w:p>
    <w:p>
      <w:pPr>
        <w:spacing w:after="0" w:line="75" w:lineRule="exact"/>
        <w:rPr>
          <w:rFonts w:ascii="Arial" w:cs="Arial" w:eastAsia="Arial" w:hAnsi="Arial"/>
          <w:sz w:val="18"/>
          <w:szCs w:val="18"/>
          <w:color w:val="auto"/>
        </w:rPr>
      </w:pPr>
    </w:p>
    <w:p>
      <w:pPr>
        <w:ind w:left="560" w:right="120" w:hanging="334"/>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75" w:lineRule="exact"/>
        <w:rPr>
          <w:rFonts w:ascii="Arial" w:cs="Arial" w:eastAsia="Arial" w:hAnsi="Arial"/>
          <w:sz w:val="18"/>
          <w:szCs w:val="18"/>
          <w:color w:val="auto"/>
        </w:rPr>
      </w:pPr>
    </w:p>
    <w:p>
      <w:pPr>
        <w:ind w:left="560" w:right="140" w:hanging="334"/>
        <w:spacing w:after="0" w:line="259"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560" w:hanging="334"/>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560" w:right="580" w:hanging="334"/>
        <w:spacing w:after="0" w:line="563"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 The default by us under any other debt, including any other series of debt securities, is not a default under the senior indenture.</w:t>
      </w:r>
    </w:p>
    <w:p>
      <w:pPr>
        <w:spacing w:after="0" w:line="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00" w:lineRule="exact"/>
        <w:rPr>
          <w:sz w:val="20"/>
          <w:szCs w:val="20"/>
          <w:color w:val="auto"/>
        </w:rPr>
      </w:pPr>
    </w:p>
    <w:p>
      <w:pPr>
        <w:ind w:left="560" w:hanging="334"/>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560" w:hanging="334"/>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560" w:right="20" w:hanging="334"/>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560" w:right="200" w:hanging="334"/>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560" w:right="140" w:hanging="334"/>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560" w:right="120" w:hanging="334"/>
        <w:spacing w:after="0" w:line="25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8"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675"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will apply to any series of debt securities issued under the indentures.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560" w:hanging="334"/>
        <w:spacing w:after="0" w:line="259"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560" w:right="20" w:hanging="334"/>
        <w:spacing w:after="0" w:line="257"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93" w:lineRule="exact"/>
        <w:rPr>
          <w:rFonts w:ascii="Arial" w:cs="Arial" w:eastAsia="Arial" w:hAnsi="Arial"/>
          <w:sz w:val="18"/>
          <w:szCs w:val="18"/>
          <w:color w:val="auto"/>
        </w:rPr>
      </w:pPr>
    </w:p>
    <w:p>
      <w:pPr>
        <w:ind w:left="560" w:hanging="33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560" w:right="100" w:hanging="334"/>
        <w:spacing w:after="0" w:line="259"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560" w:right="220" w:hanging="334"/>
        <w:spacing w:after="0" w:line="263"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hanging="334"/>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560" w:hanging="334"/>
        <w:spacing w:after="0" w:line="263"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560" w:right="320" w:hanging="334"/>
        <w:spacing w:after="0" w:line="277"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560" w:right="60" w:hanging="334"/>
        <w:spacing w:after="0" w:line="34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29" w:lineRule="exact"/>
        <w:rPr>
          <w:rFonts w:ascii="Arial" w:cs="Arial" w:eastAsia="Arial" w:hAnsi="Arial"/>
          <w:sz w:val="16"/>
          <w:szCs w:val="16"/>
          <w:color w:val="auto"/>
        </w:rPr>
      </w:pPr>
    </w:p>
    <w:p>
      <w:pPr>
        <w:ind w:left="560" w:right="20" w:hanging="334"/>
        <w:spacing w:after="0" w:line="34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29" w:lineRule="exact"/>
        <w:rPr>
          <w:rFonts w:ascii="Arial" w:cs="Arial" w:eastAsia="Arial" w:hAnsi="Arial"/>
          <w:sz w:val="16"/>
          <w:szCs w:val="16"/>
          <w:color w:val="auto"/>
        </w:rPr>
      </w:pPr>
    </w:p>
    <w:p>
      <w:pPr>
        <w:ind w:left="560" w:hanging="334"/>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560" w:right="180" w:hanging="334"/>
        <w:spacing w:after="0" w:line="308" w:lineRule="auto"/>
        <w:tabs>
          <w:tab w:leader="none" w:pos="5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51" w:lineRule="exact"/>
        <w:rPr>
          <w:rFonts w:ascii="Arial" w:cs="Arial" w:eastAsia="Arial" w:hAnsi="Arial"/>
          <w:sz w:val="17"/>
          <w:szCs w:val="17"/>
          <w:color w:val="auto"/>
        </w:rPr>
      </w:pPr>
    </w:p>
    <w:p>
      <w:pPr>
        <w:ind w:left="560" w:right="120" w:hanging="334"/>
        <w:spacing w:after="0" w:line="301"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62" w:lineRule="exact"/>
        <w:rPr>
          <w:rFonts w:ascii="Arial" w:cs="Arial" w:eastAsia="Arial" w:hAnsi="Arial"/>
          <w:sz w:val="16"/>
          <w:szCs w:val="16"/>
          <w:color w:val="auto"/>
        </w:rPr>
      </w:pPr>
    </w:p>
    <w:p>
      <w:pPr>
        <w:ind w:left="560" w:hanging="334"/>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to the senior debt securities of any series so long as no senior debt securities of such series are outstanding; or</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560" w:hanging="33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reduces the principal amount of original issue discount securities payable upon acceleration of maturity or the amount provable in bankruptcy;</w:t>
      </w:r>
    </w:p>
    <w:p>
      <w:pPr>
        <w:spacing w:after="0" w:line="1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12</w:t>
      </w:r>
    </w:p>
    <w:p>
      <w:pPr>
        <w:sectPr>
          <w:pgSz w:w="11900" w:h="16838" w:orient="portrait"/>
          <w:cols w:equalWidth="0" w:num="1">
            <w:col w:w="11140"/>
          </w:cols>
          <w:pgMar w:left="320" w:top="675"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hanging="334"/>
        <w:spacing w:after="0" w:line="277"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560" w:right="760" w:hanging="334"/>
        <w:spacing w:after="0" w:line="308" w:lineRule="auto"/>
        <w:tabs>
          <w:tab w:leader="none" w:pos="5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560" w:right="40" w:hanging="334"/>
        <w:spacing w:after="0" w:line="263"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560" w:right="180" w:hanging="334"/>
        <w:spacing w:after="0" w:line="277"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or other property in accordance with the terms of the senior debt securities; or</w:t>
      </w:r>
    </w:p>
    <w:p>
      <w:pPr>
        <w:spacing w:after="0" w:line="75" w:lineRule="exact"/>
        <w:rPr>
          <w:rFonts w:ascii="Arial" w:cs="Arial" w:eastAsia="Arial" w:hAnsi="Arial"/>
          <w:sz w:val="18"/>
          <w:szCs w:val="18"/>
          <w:color w:val="auto"/>
        </w:rPr>
      </w:pPr>
    </w:p>
    <w:p>
      <w:pPr>
        <w:ind w:left="560" w:hanging="334"/>
        <w:spacing w:after="0" w:line="277"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i w:val="1"/>
          <w:iCs w:val="1"/>
          <w:color w:val="auto"/>
        </w:rPr>
        <w:t xml:space="preserve">No Personal Liability of Incorporators, Stockholders, Officers, Directors. </w:t>
      </w:r>
      <w:r>
        <w:rPr>
          <w:rFonts w:ascii="Arial" w:cs="Arial" w:eastAsia="Arial" w:hAnsi="Arial"/>
          <w:sz w:val="16"/>
          <w:szCs w:val="16"/>
          <w:color w:val="auto"/>
        </w:rPr>
        <w:t>The senior indenture provides that no recourse shall be had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i w:val="1"/>
          <w:iCs w:val="1"/>
          <w:color w:val="auto"/>
        </w:rPr>
        <w:t xml:space="preserve">Concerning the Trustee. </w:t>
      </w:r>
      <w:r>
        <w:rPr>
          <w:rFonts w:ascii="Arial" w:cs="Arial" w:eastAsia="Arial" w:hAnsi="Arial"/>
          <w:sz w:val="17"/>
          <w:szCs w:val="17"/>
          <w:color w:val="auto"/>
        </w:rPr>
        <w:t>The senior indenture provides that, except during the continuance of an event of default, the trustee will not be liable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New York.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Terms of the Subordinated Debt Securities</w:t>
      </w:r>
    </w:p>
    <w:p>
      <w:pPr>
        <w:spacing w:after="0" w:line="117"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6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560" w:hanging="334"/>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of the lease obligations that are capitalized on the books of that person in accordance with generally accepted accounting principles;</w:t>
      </w:r>
    </w:p>
    <w:p>
      <w:pPr>
        <w:spacing w:after="0" w:line="142" w:lineRule="exact"/>
        <w:rPr>
          <w:rFonts w:ascii="Arial" w:cs="Arial" w:eastAsia="Arial" w:hAnsi="Arial"/>
          <w:sz w:val="17"/>
          <w:szCs w:val="17"/>
          <w:color w:val="auto"/>
        </w:rPr>
      </w:pPr>
    </w:p>
    <w:p>
      <w:pPr>
        <w:ind w:left="560" w:right="100" w:hanging="334"/>
        <w:spacing w:after="0" w:line="263"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560" w:right="220" w:hanging="334"/>
        <w:spacing w:after="0" w:line="277"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675"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DESCRIPTION OF CAPITAL STOCK</w:t>
      </w:r>
    </w:p>
    <w:p>
      <w:pPr>
        <w:spacing w:after="0" w:line="225"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by-laws, which are filed as exhibits to the registration statement of which this prospectus forms a part, for the provisions that are important to you.</w:t>
      </w:r>
    </w:p>
    <w:p>
      <w:pPr>
        <w:spacing w:after="0" w:line="18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Our authorized capital stock consists of 200,000,000 shares of common stock, $0.001 par value per share, and 15,000,000 shares of preferred stock, $0.001 par value per share, of which 100,000 shares have been designated as series A junior participating preferred stock. As of July 23, 2021, 53,700,729 shares of common stock were outstanding and no shares of preferred stock were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Annual meetings of our stockholders are held on the date designated in accordance with our by-laws. Written notice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our Board of Directors, our Chairman of the Board of Directors, our Chief Executive Officer or our President, but such special meetings may not be called by any other person or persons. Except as may be otherwise provided by applicable law, our restated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9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per share with respect to each matter presented to our stockholders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holders of our common stock are entitled to vote and do not have cumulative voting rights. An election of directors by our stockholders is determined by a plurality of the votes cast by the stockholders entitled to vote on the election.</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our common stock are entitled to receive proportionately any dividends as may be declared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preferential dividend rights of outstanding preferred stock. However, we currently do not pay dividends on our common stock as of the date of this prospectus.</w:t>
      </w:r>
    </w:p>
    <w:p>
      <w:pPr>
        <w:spacing w:after="0" w:line="184"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or dissolution, the holders of our common stock are entitled to receive ratably all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the payment of all debts and other liabilities and subject to the prior rights of any outstanding preferred stock.</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our common stock have no preemptive, subscription, redemption or conversion rights. The rights,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privileges of holders of our common stock are subject to and may be adversely affected by the rights of the holders of shares of any series of preferred stock that we may designate and issue in the future.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Broadridge Financial Solutions, Inc. is transfer agent and registrar for our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67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our preferred stock, our board may determine not to seek stockholder approval. The specific terms of any series of preferred stock offered pursuant to this prospectus will be described in the prospectus supplement relating to that series of preferred stock. Currently, we have no shares of preferred stock outstanding. Our board of directors authorized 100,000 shares of series A junior participating preferred stock for issuance under our prior stockholder rights plan, which expired on November 14, 2016. See “Stockholder Rights Plan” below.</w:t>
      </w:r>
    </w:p>
    <w:p>
      <w:pPr>
        <w:spacing w:after="0" w:line="17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560" w:right="220" w:hanging="334"/>
        <w:spacing w:after="0" w:line="277"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560" w:right="780" w:hanging="334"/>
        <w:spacing w:after="0" w:line="277"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7" w:lineRule="exact"/>
        <w:rPr>
          <w:sz w:val="20"/>
          <w:szCs w:val="20"/>
          <w:color w:val="auto"/>
        </w:rPr>
      </w:pPr>
    </w:p>
    <w:p>
      <w:pPr>
        <w:ind w:left="560" w:right="260" w:hanging="334"/>
        <w:spacing w:after="0" w:line="277"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675"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right="680" w:hanging="334"/>
        <w:spacing w:after="0" w:line="308" w:lineRule="auto"/>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parity with all equity securities issued by us, the terms of which specifically provide that such equity securities rank on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560" w:right="340" w:hanging="334"/>
        <w:spacing w:after="0" w:line="277"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the preferred stock of each series will be entitled to receive, when, as and if declared by our board of directors,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5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 then, before we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w:t>
      </w:r>
      <w:r>
        <w:rPr>
          <w:rFonts w:ascii="Arial" w:cs="Arial" w:eastAsia="Arial" w:hAnsi="Arial"/>
          <w:sz w:val="16"/>
          <w:szCs w:val="16"/>
          <w:i w:val="1"/>
          <w:iCs w:val="1"/>
          <w:color w:val="auto"/>
        </w:rPr>
        <w:t xml:space="preserve"> </w:t>
      </w:r>
      <w:r>
        <w:rPr>
          <w:rFonts w:ascii="Arial" w:cs="Arial" w:eastAsia="Arial" w:hAnsi="Arial"/>
          <w:sz w:val="16"/>
          <w:szCs w:val="16"/>
          <w:color w:val="auto"/>
        </w:rPr>
        <w:t>our option, as a whole or in part, in each case upon the terms, at the times and at the redemption prices set forth in such prospectus supplement.</w:t>
      </w:r>
    </w:p>
    <w:p>
      <w:pPr>
        <w:spacing w:after="0" w:line="12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72" w:lineRule="exact"/>
        <w:rPr>
          <w:sz w:val="20"/>
          <w:szCs w:val="20"/>
          <w:color w:val="auto"/>
        </w:rPr>
      </w:pPr>
    </w:p>
    <w:p>
      <w:pPr>
        <w:ind w:left="560" w:right="440" w:hanging="334"/>
        <w:spacing w:after="0" w:line="342" w:lineRule="auto"/>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will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560" w:right="40" w:hanging="334"/>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will contemporaneously declare and pay or set aside funds to pay full dividends for the then current dividend period.</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 addition, we will not acquire any preferred stock of a series unless:</w:t>
      </w:r>
    </w:p>
    <w:p>
      <w:pPr>
        <w:spacing w:after="0" w:line="130" w:lineRule="exact"/>
        <w:rPr>
          <w:rFonts w:ascii="Arial" w:cs="Arial" w:eastAsia="Arial" w:hAnsi="Arial"/>
          <w:sz w:val="18"/>
          <w:szCs w:val="18"/>
          <w:color w:val="auto"/>
        </w:rPr>
      </w:pPr>
    </w:p>
    <w:p>
      <w:pPr>
        <w:ind w:left="560" w:right="80" w:hanging="334"/>
        <w:spacing w:after="0" w:line="263"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will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560" w:right="100" w:hanging="334"/>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will contemporaneously declare and pay or set aside funds to pay full dividends on the preferred stock of such series for the then current dividend period.</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560" w:hanging="334"/>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675"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hanging="334"/>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specific number of shares to be redeemed from each such holder if fewer than all the shares of any series are to be redeemed.</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Transfer Agent and Registrar</w:t>
      </w:r>
      <w:r>
        <w:rPr>
          <w:rFonts w:ascii="Arial" w:cs="Arial" w:eastAsia="Arial" w:hAnsi="Arial"/>
          <w:sz w:val="16"/>
          <w:szCs w:val="16"/>
          <w:color w:val="auto"/>
        </w:rPr>
        <w:t>. The transfer agent and registrar for the preferred stock will be set forth in the applicable prospectus supplement.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 Rights Plan</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Board of Directors may implement a stockholder rights plan without stockholder approval, which may have anti-takeover effects.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of Our Certificate of Incorporation and By-laws and Delaware Law That May Have Anti-Takeover Effects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675"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July 23, 2021, Fuad El-Hibri, our executive chairman, was the beneficial owner of approximately 9% of our outstanding common stock. As a result, Mr. El-Hibri has significant influence over the election of the members of our board of directors. The percentage ownership of our common stock by Mr. El-Hibri following the offering and sale of our securities under this prospectus will be summarized in the prospectus supplement relating to such offering. This control could discourage others from initiating a potential merger, takeover or other change of control transaction that other stockholders may view as beneficial.</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 xml:space="preserve">Number of Directors. </w:t>
      </w:r>
      <w:r>
        <w:rPr>
          <w:rFonts w:ascii="Arial" w:cs="Arial" w:eastAsia="Arial" w:hAnsi="Arial"/>
          <w:sz w:val="18"/>
          <w:szCs w:val="18"/>
          <w:color w:val="auto"/>
        </w:rPr>
        <w:t>Subject to the rights of holders of any series of preferred stock to elect directors, our board of directors will establish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directors.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Staggered Board; Removal of Directors. </w:t>
      </w:r>
      <w:r>
        <w:rPr>
          <w:rFonts w:ascii="Arial" w:cs="Arial" w:eastAsia="Arial" w:hAnsi="Arial"/>
          <w:sz w:val="18"/>
          <w:szCs w:val="18"/>
          <w:color w:val="auto"/>
        </w:rPr>
        <w:t>Our certificate of incorporation and our by-laws divide our directors into three classes with staggered</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terms. Our directors may be removed from office only for cause and only by the affirmative vote of holders of our capital stock representing at least 75% of the voting power of all outstanding stock entitled to vote.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Any vacancy on our board of directors, including a vacancy resulting from an enlargement of our board of directors, may be filled only by the affirmative vote of a majority of our directors present at a meeting duly held at which a quorum is present.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70"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 xml:space="preserve">Stockholder Action by Written Consent; Special Meetings. </w:t>
      </w:r>
      <w:r>
        <w:rPr>
          <w:rFonts w:ascii="Arial" w:cs="Arial" w:eastAsia="Arial" w:hAnsi="Arial"/>
          <w:sz w:val="17"/>
          <w:szCs w:val="17"/>
          <w:color w:val="auto"/>
        </w:rPr>
        <w:t>Our certificate of incorporation and our by-laws provide that any action required or</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board of directors, our chairman of the board or our president.</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an advance notice procedure for stockholder proposals to be brought before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including proposed nominations of persons for election to the board of directors.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6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Delaware Business Combination Statute. </w:t>
      </w:r>
      <w:r>
        <w:rPr>
          <w:rFonts w:ascii="Arial" w:cs="Arial" w:eastAsia="Arial" w:hAnsi="Arial"/>
          <w:sz w:val="16"/>
          <w:szCs w:val="16"/>
          <w:color w:val="auto"/>
        </w:rPr>
        <w:t>We are subject to Section 203 of the DGCL (“Section 203”), which prohibits a Delaware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67" w:lineRule="exact"/>
        <w:rPr>
          <w:sz w:val="20"/>
          <w:szCs w:val="20"/>
          <w:color w:val="auto"/>
        </w:rPr>
      </w:pPr>
    </w:p>
    <w:p>
      <w:pPr>
        <w:ind w:left="560" w:right="700" w:hanging="334"/>
        <w:spacing w:after="0" w:line="277"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 and</w:t>
      </w:r>
    </w:p>
    <w:p>
      <w:pPr>
        <w:spacing w:after="0" w:line="75" w:lineRule="exact"/>
        <w:rPr>
          <w:rFonts w:ascii="Arial" w:cs="Arial" w:eastAsia="Arial" w:hAnsi="Arial"/>
          <w:sz w:val="18"/>
          <w:szCs w:val="18"/>
          <w:color w:val="auto"/>
        </w:rPr>
      </w:pPr>
    </w:p>
    <w:p>
      <w:pPr>
        <w:jc w:val="both"/>
        <w:ind w:left="560" w:right="160" w:hanging="334"/>
        <w:spacing w:after="0" w:line="257"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675"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480" w:hanging="334"/>
        <w:spacing w:after="0" w:line="263"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 general, Section 203 defines business combinations to include the following:</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sale, lease, transfer, pledge or other disposition of 10% or more of the assets of the corporation to or with the interested stockholder;</w:t>
      </w:r>
    </w:p>
    <w:p>
      <w:pPr>
        <w:spacing w:after="0" w:line="142" w:lineRule="exact"/>
        <w:rPr>
          <w:rFonts w:ascii="Arial" w:cs="Arial" w:eastAsia="Arial" w:hAnsi="Arial"/>
          <w:sz w:val="17"/>
          <w:szCs w:val="17"/>
          <w:color w:val="auto"/>
        </w:rPr>
      </w:pPr>
    </w:p>
    <w:p>
      <w:pPr>
        <w:ind w:left="560" w:right="540" w:hanging="334"/>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560" w:right="700" w:hanging="334"/>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560" w:right="420" w:hanging="334"/>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Super-Majority Voting. </w:t>
      </w:r>
      <w:r>
        <w:rPr>
          <w:rFonts w:ascii="Arial" w:cs="Arial" w:eastAsia="Arial" w:hAnsi="Arial"/>
          <w:sz w:val="17"/>
          <w:szCs w:val="17"/>
          <w:color w:val="auto"/>
        </w:rPr>
        <w:t>The DGCL provides generally that the affirmative vote of a majority of the shares entitled to vote on any matter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amend a corporation’s certificate of incorporation or by-laws, unless a corporation’s certificate of incorporation or by-laws, as the case may be, requires a greater percentage. The affirmative vote of holders of our capital stock representing at least 75% of the voting power of all outstanding stock entitled to vote is required to amend or repeal the provisions of our certificate of incorporation described in this section entitled “Provisions of Our Certificate of Incorporation and By-laws and Delaware Law That May Have Anti-Takeover Effects.”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Limitation of Liability and Indemnification of Officers and Directors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certificate of incorporation contains provisions permitted under the DGCL relating to the liability of directors. The provisions eliminate a director’s liability for monetary damages for a breach of fiduciary duty, except in circumstances involving wrongful acts, such as the breach of a director’s duty of loyalty or acts or omissions that involve intentional misconduct or a knowing violation of law. Further, our certificate of incorporation contains provisions to indemnify our directors and officers to the fullest extent permitted by the DGCL. We have entered into agreements to indemnify our directors and executive officers. These agreements, among other things, provide that we will indemnify the director or executive officer to the fullest extent permitted by law for claims arising in his or her capacity as a director, officer, manager, employee, agent or representative of us. The indemnification agreements also establish the procedures that will apply in the event a director or officer makes a claim for indemnification.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Registration Rights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Biovac, L.L.C. and Intervac, L.L.C. hold an aggregate of 3,664,618 shares of our common stock as of July 23, 2021 and have the right to require us to register these shares of common stock under the Securities Act under specified circumstances, including any additional shares issued or distributed by way of a dividend, stock split or other distribution in respect of these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 rights may require that we register all or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the registration rights for sale under the Securities Act. These holders may demand registration of our common stock so long as the aggregate offering price to the public of the shares requested to be registered is at least $25,000,000. We are required to effect only one demand registration, subject to specified exceptions.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675"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i w:val="1"/>
          <w:iCs w:val="1"/>
          <w:color w:val="auto"/>
        </w:rPr>
        <w:t xml:space="preserve">Incidental Registration Rights. </w:t>
      </w:r>
      <w:r>
        <w:rPr>
          <w:rFonts w:ascii="Arial" w:cs="Arial" w:eastAsia="Arial" w:hAnsi="Arial"/>
          <w:sz w:val="16"/>
          <w:szCs w:val="16"/>
          <w:color w:val="auto"/>
        </w:rPr>
        <w:t>If we propose to file a registration statement under the Securities Act either for our own account or for the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of other stockholders (other than in connection with a registration statement on Form S-8 or Form S-4 or to cover securities proposed to be issued in exchange for securities or assets of another corporation), the holders of registrable shares will be entitled to notice of the registration and we will be required to use our commercially reasonable efforts to register all or a portion of any registrable shares then held by such holders that they request that we register. In the event that any registration in which the holders of registrable shares participate pursuant to our stockholders agreement is an underwritten public offering, we agree to enter into an underwriting agreement containing such terms as are customary.</w:t>
      </w:r>
    </w:p>
    <w:p>
      <w:pPr>
        <w:spacing w:after="0" w:line="16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to limit the number of shares included in the offering. We are required to pay one-half of all fees, costs and expenses of any demand registration, other than underwriting discounts and commissions.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and Other Distributions</w:t>
      </w:r>
    </w:p>
    <w:p>
      <w:pPr>
        <w:spacing w:after="0" w:line="11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675"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Liquidation Preference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Withdrawal of Stock</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of Depositary Shares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Voting the Preferred Stock</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675" w:right="5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Charges of Depositary</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and Termination of the Deposit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92" w:lineRule="exact"/>
        <w:rPr>
          <w:sz w:val="20"/>
          <w:szCs w:val="20"/>
          <w:color w:val="auto"/>
        </w:rPr>
      </w:pPr>
    </w:p>
    <w:p>
      <w:pPr>
        <w:ind w:left="560" w:hanging="334"/>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560" w:right="160" w:hanging="334"/>
        <w:spacing w:after="0" w:line="277"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Resignation and Removal of Depositary</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Notices</w:t>
      </w:r>
    </w:p>
    <w:p>
      <w:pPr>
        <w:spacing w:after="0" w:line="117"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Limitation of Liability</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675"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DESCRIPTION OF UNITS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issue units comprised of one or more of the other securities that may be offered under this prospectus, in any combination. The following, together with the additional information we may include in the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Any applicable prospectus supplement will describe:</w:t>
      </w:r>
    </w:p>
    <w:p>
      <w:pPr>
        <w:spacing w:after="0" w:line="92" w:lineRule="exact"/>
        <w:rPr>
          <w:sz w:val="20"/>
          <w:szCs w:val="20"/>
          <w:color w:val="auto"/>
        </w:rPr>
      </w:pPr>
    </w:p>
    <w:p>
      <w:pPr>
        <w:ind w:left="1100" w:right="1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675"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DESCRIPTION OF WARRANTS</w:t>
      </w:r>
    </w:p>
    <w:p>
      <w:pPr>
        <w:spacing w:after="0" w:line="22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560" w:hanging="334"/>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560" w:right="40" w:hanging="334"/>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560" w:right="380" w:hanging="334"/>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153" w:lineRule="exact"/>
        <w:rPr>
          <w:rFonts w:ascii="Arial" w:cs="Arial" w:eastAsia="Arial" w:hAnsi="Arial"/>
          <w:sz w:val="16"/>
          <w:szCs w:val="16"/>
          <w:color w:val="auto"/>
        </w:rPr>
      </w:pPr>
    </w:p>
    <w:p>
      <w:pPr>
        <w:ind w:left="560" w:right="60" w:hanging="334"/>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560" w:right="100" w:hanging="334"/>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560" w:right="160" w:hanging="334"/>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675"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FORMS OF SECURITIES</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Securities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issue the debt securities,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 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67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675"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PLAN OF DISTRIBUTION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any selling security holder may sell securities:</w:t>
      </w:r>
    </w:p>
    <w:p>
      <w:pPr>
        <w:spacing w:after="0" w:line="131" w:lineRule="exact"/>
        <w:rPr>
          <w:sz w:val="20"/>
          <w:szCs w:val="20"/>
          <w:color w:val="auto"/>
        </w:rPr>
      </w:pPr>
    </w:p>
    <w:p>
      <w:pPr>
        <w:ind w:left="560" w:hanging="334"/>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52" w:lineRule="exact"/>
        <w:rPr>
          <w:sz w:val="20"/>
          <w:szCs w:val="20"/>
          <w:color w:val="auto"/>
        </w:rPr>
      </w:pPr>
    </w:p>
    <w:p>
      <w:pPr>
        <w:ind w:left="560" w:hanging="33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may also engage in “at the market” offerings, as defined in Rule 415 under the Securities Act of 1933, as amended, including sales made directly on the NYSE or sales made to or through a market maker other than on an exchange.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560" w:hanging="3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560" w:hanging="3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675"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 dealer is utilized in the sale of the securities in respect of which this prospectus is delivered, we or any selling security holder will sell such securities to the dealer, as principal. The dealer may then resell such securities to the public at varying prices to be determined by such dealer at the time of resale.</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so indicated in the applicable prospectus supplement, we or any selling security holder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00" w:lineRule="exact"/>
        <w:rPr>
          <w:sz w:val="20"/>
          <w:szCs w:val="20"/>
          <w:color w:val="auto"/>
        </w:rPr>
      </w:pPr>
    </w:p>
    <w:p>
      <w:pPr>
        <w:ind w:left="560" w:right="400" w:hanging="334"/>
        <w:spacing w:after="0" w:line="277"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560" w:hanging="334"/>
        <w:spacing w:after="0" w:line="263"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or any selling security holder in the ordinary course of business.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675"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LEGAL MATTERS</w:t>
      </w:r>
    </w:p>
    <w:p>
      <w:pPr>
        <w:spacing w:after="0" w:line="22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Unless the applicable prospectus supplement indicates otherwise, the validity of each of the offered securities when, and if issued hereunder, will be passed upon for us by Daniel Woubishet, Associate General Counsel and Assistant Corporate Secretary of the company. Mr. Woubishet is compensated by the company as an employee and holds awards granted under the company’s Stock Incentive Plan.</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EXPERTS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and schedule included in our Annual Report on Form 10-K for the year ended December 31, 2020, and the effectiveness of our internal control over financial reporting as of December 31, 2020, as set forth in their reports, which are incorporated by reference in this prospectus and elsewhere in the registration statement. Our financial statements and schedule are incorporated by reference in reliance on Ernst &amp; Young LLP’s reports, given on their authority as experts in accounting and auditing.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67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348615</wp:posOffset>
            </wp:positionV>
            <wp:extent cx="159448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15944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359"/>
        <w:spacing w:after="0"/>
        <w:tabs>
          <w:tab w:leader="none" w:pos="2680" w:val="left"/>
        </w:tabs>
        <w:rPr>
          <w:sz w:val="20"/>
          <w:szCs w:val="20"/>
          <w:color w:val="auto"/>
        </w:rPr>
      </w:pPr>
      <w:r>
        <w:rPr>
          <w:rFonts w:ascii="Arial" w:cs="Arial" w:eastAsia="Arial" w:hAnsi="Arial"/>
          <w:sz w:val="29"/>
          <w:szCs w:val="29"/>
          <w:b w:val="1"/>
          <w:bCs w:val="1"/>
          <w:color w:val="auto"/>
        </w:rPr>
        <w:t>Evercore ISI</w:t>
      </w:r>
      <w:r>
        <w:rPr>
          <w:sz w:val="20"/>
          <w:szCs w:val="20"/>
          <w:color w:val="auto"/>
        </w:rPr>
        <w:tab/>
      </w:r>
      <w:r>
        <w:rPr>
          <w:rFonts w:ascii="Arial" w:cs="Arial" w:eastAsia="Arial" w:hAnsi="Arial"/>
          <w:sz w:val="27"/>
          <w:szCs w:val="27"/>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50" w:name="page51"/>
    <w:bookmarkEnd w:id="50"/>
    <w:p>
      <w:pPr>
        <w:ind w:left="4"/>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Calculation of Filing Fee Table</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424(b)(5)</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54" w:type="dxa"/>
        <w:tblCellMar>
          <w:top w:w="0" w:type="dxa"/>
          <w:left w:w="0" w:type="dxa"/>
          <w:bottom w:w="0" w:type="dxa"/>
          <w:right w:w="0" w:type="dxa"/>
        </w:tblCellMar>
      </w:tblPr>
      <w:tr>
        <w:trPr>
          <w:trHeight w:val="130"/>
        </w:trPr>
        <w:tc>
          <w:tcPr>
            <w:tcW w:w="1020" w:type="dxa"/>
            <w:vAlign w:val="bottom"/>
            <w:tcBorders>
              <w:top w:val="single" w:sz="8" w:color="auto"/>
              <w:left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136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ind w:left="80"/>
              <w:spacing w:after="0" w:line="131" w:lineRule="exact"/>
              <w:rPr>
                <w:sz w:val="20"/>
                <w:szCs w:val="20"/>
                <w:color w:val="auto"/>
              </w:rPr>
            </w:pPr>
            <w:r>
              <w:rPr>
                <w:rFonts w:ascii="Arial" w:cs="Arial" w:eastAsia="Arial" w:hAnsi="Arial"/>
                <w:sz w:val="13"/>
                <w:szCs w:val="13"/>
                <w:b w:val="1"/>
                <w:bCs w:val="1"/>
                <w:color w:val="auto"/>
              </w:rPr>
              <w:t>Filing Fee</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w w:val="97"/>
              </w:rPr>
              <w:t>Previously</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Paid In</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w w:val="89"/>
              </w:rPr>
              <w:t>Connection</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with</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Proposed</w:t>
            </w:r>
          </w:p>
        </w:tc>
        <w:tc>
          <w:tcPr>
            <w:tcW w:w="11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Carry</w:t>
            </w: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Unsold</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Maximum</w:t>
            </w:r>
          </w:p>
        </w:tc>
        <w:tc>
          <w:tcPr>
            <w:tcW w:w="11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Maximum</w:t>
            </w: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Carry</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Carry</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w w:val="97"/>
              </w:rPr>
              <w:t>Forward</w:t>
            </w: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Securities</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2"/>
              <w:spacing w:after="0" w:line="135" w:lineRule="exact"/>
              <w:rPr>
                <w:sz w:val="20"/>
                <w:szCs w:val="20"/>
                <w:color w:val="auto"/>
              </w:rPr>
            </w:pPr>
            <w:r>
              <w:rPr>
                <w:rFonts w:ascii="Arial" w:cs="Arial" w:eastAsia="Arial" w:hAnsi="Arial"/>
                <w:sz w:val="13"/>
                <w:szCs w:val="13"/>
                <w:b w:val="1"/>
                <w:bCs w:val="1"/>
                <w:color w:val="auto"/>
                <w:w w:val="94"/>
              </w:rPr>
              <w:t>or Carry</w:t>
            </w: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Offering</w:t>
            </w:r>
          </w:p>
        </w:tc>
        <w:tc>
          <w:tcPr>
            <w:tcW w:w="11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Aggregate</w:t>
            </w: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Amount of</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w w:val="97"/>
              </w:rPr>
              <w:t>Forward</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w w:val="97"/>
              </w:rPr>
              <w:t>Forward</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Initial</w:t>
            </w: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to be</w:t>
            </w:r>
          </w:p>
        </w:tc>
      </w:tr>
      <w:tr>
        <w:trPr>
          <w:trHeight w:val="135"/>
        </w:trPr>
        <w:tc>
          <w:tcPr>
            <w:tcW w:w="10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Security</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Forward</w:t>
            </w:r>
          </w:p>
        </w:tc>
        <w:tc>
          <w:tcPr>
            <w:tcW w:w="6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7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Price Per</w:t>
            </w:r>
          </w:p>
        </w:tc>
        <w:tc>
          <w:tcPr>
            <w:tcW w:w="11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Offering</w:t>
            </w:r>
          </w:p>
        </w:tc>
        <w:tc>
          <w:tcPr>
            <w:tcW w:w="108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b w:val="1"/>
                <w:bCs w:val="1"/>
                <w:color w:val="auto"/>
              </w:rPr>
              <w:t>Fee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Form</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File</w:t>
            </w:r>
          </w:p>
        </w:tc>
        <w:tc>
          <w:tcPr>
            <w:tcW w:w="6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w w:val="92"/>
              </w:rPr>
              <w:t>Effective</w:t>
            </w:r>
          </w:p>
        </w:tc>
        <w:tc>
          <w:tcPr>
            <w:tcW w:w="7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b w:val="1"/>
                <w:bCs w:val="1"/>
                <w:color w:val="auto"/>
              </w:rPr>
              <w:t>Carried</w:t>
            </w:r>
          </w:p>
        </w:tc>
      </w:tr>
      <w:tr>
        <w:trPr>
          <w:trHeight w:val="165"/>
        </w:trPr>
        <w:tc>
          <w:tcPr>
            <w:tcW w:w="10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 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w:t>
            </w:r>
          </w:p>
        </w:tc>
        <w:tc>
          <w:tcPr>
            <w:tcW w:w="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Unit</w:t>
            </w:r>
          </w:p>
        </w:tc>
        <w:tc>
          <w:tcPr>
            <w:tcW w:w="1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Price</w:t>
            </w:r>
          </w:p>
        </w:tc>
        <w:tc>
          <w:tcPr>
            <w:tcW w:w="1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Rate</w:t>
            </w:r>
          </w:p>
        </w:tc>
        <w:tc>
          <w:tcPr>
            <w:tcW w:w="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Fee</w:t>
            </w:r>
          </w:p>
        </w:tc>
        <w:tc>
          <w:tcPr>
            <w:tcW w:w="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Type</w:t>
            </w:r>
          </w:p>
        </w:tc>
        <w:tc>
          <w:tcPr>
            <w:tcW w:w="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Date</w:t>
            </w:r>
          </w:p>
        </w:tc>
        <w:tc>
          <w:tcPr>
            <w:tcW w:w="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Forward</w:t>
            </w:r>
          </w:p>
        </w:tc>
      </w:tr>
      <w:tr>
        <w:trPr>
          <w:trHeight w:val="211"/>
        </w:trPr>
        <w:tc>
          <w:tcPr>
            <w:tcW w:w="10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Newly Registered Securities</w:t>
            </w: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10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i w:val="1"/>
                <w:iCs w:val="1"/>
                <w:color w:val="auto"/>
              </w:rPr>
              <w:t>Primary</w:t>
            </w: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195"/>
        </w:trPr>
        <w:tc>
          <w:tcPr>
            <w:tcW w:w="1020" w:type="dxa"/>
            <w:vAlign w:val="bottom"/>
            <w:tcBorders>
              <w:left w:val="single" w:sz="8" w:color="auto"/>
              <w:right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w w:val="87"/>
              </w:rPr>
              <w:t>Fees to Be</w:t>
            </w:r>
          </w:p>
        </w:tc>
        <w:tc>
          <w:tcPr>
            <w:tcW w:w="62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Equity</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Common Stock,</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457(o)</w:t>
            </w:r>
          </w:p>
        </w:tc>
        <w:tc>
          <w:tcPr>
            <w:tcW w:w="60" w:type="dxa"/>
            <w:vAlign w:val="bottom"/>
          </w:tcPr>
          <w:p>
            <w:pPr>
              <w:spacing w:after="0"/>
              <w:rPr>
                <w:sz w:val="16"/>
                <w:szCs w:val="16"/>
                <w:color w:val="auto"/>
              </w:rPr>
            </w:pPr>
          </w:p>
        </w:tc>
        <w:tc>
          <w:tcPr>
            <w:tcW w:w="66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N/A</w:t>
            </w:r>
          </w:p>
        </w:tc>
        <w:tc>
          <w:tcPr>
            <w:tcW w:w="7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N/A</w:t>
            </w:r>
          </w:p>
        </w:tc>
        <w:tc>
          <w:tcPr>
            <w:tcW w:w="1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2"/>
              </w:rPr>
              <w:t>$150,000,000</w:t>
            </w:r>
          </w:p>
        </w:tc>
        <w:tc>
          <w:tcPr>
            <w:tcW w:w="1080" w:type="dxa"/>
            <w:vAlign w:val="bottom"/>
            <w:tcBorders>
              <w:right w:val="single" w:sz="8" w:color="auto"/>
            </w:tcBorders>
          </w:tcPr>
          <w:p>
            <w:pPr>
              <w:jc w:val="right"/>
              <w:ind w:right="28"/>
              <w:spacing w:after="0" w:line="195" w:lineRule="exact"/>
              <w:rPr>
                <w:sz w:val="20"/>
                <w:szCs w:val="20"/>
                <w:color w:val="auto"/>
              </w:rPr>
            </w:pPr>
            <w:r>
              <w:rPr>
                <w:rFonts w:ascii="Arial" w:cs="Arial" w:eastAsia="Arial" w:hAnsi="Arial"/>
                <w:sz w:val="18"/>
                <w:szCs w:val="18"/>
                <w:color w:val="auto"/>
              </w:rPr>
              <w:t>0.00011020</w:t>
            </w:r>
          </w:p>
        </w:tc>
        <w:tc>
          <w:tcPr>
            <w:tcW w:w="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$16,530</w:t>
            </w: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102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Paid</w:t>
            </w: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0"/>
        </w:trPr>
        <w:tc>
          <w:tcPr>
            <w:tcW w:w="10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$0.001 per share</w:t>
            </w:r>
          </w:p>
        </w:tc>
        <w:tc>
          <w:tcPr>
            <w:tcW w:w="760" w:type="dxa"/>
            <w:vAlign w:val="bottom"/>
            <w:tcBorders>
              <w:bottom w:val="single" w:sz="8" w:color="auto"/>
              <w:right w:val="single" w:sz="8" w:color="auto"/>
            </w:tcBorders>
          </w:tcPr>
          <w:p>
            <w:pPr>
              <w:jc w:val="center"/>
              <w:spacing w:after="0" w:line="231" w:lineRule="exact"/>
              <w:rPr>
                <w:sz w:val="20"/>
                <w:szCs w:val="20"/>
                <w:color w:val="auto"/>
              </w:rPr>
            </w:pPr>
            <w:r>
              <w:rPr>
                <w:rFonts w:ascii="Arial" w:cs="Arial" w:eastAsia="Arial" w:hAnsi="Arial"/>
                <w:sz w:val="18"/>
                <w:szCs w:val="18"/>
                <w:color w:val="auto"/>
                <w:w w:val="89"/>
              </w:rPr>
              <w:t>457(r)</w:t>
            </w:r>
            <w:r>
              <w:rPr>
                <w:rFonts w:ascii="Arial" w:cs="Arial" w:eastAsia="Arial" w:hAnsi="Arial"/>
                <w:sz w:val="23"/>
                <w:szCs w:val="23"/>
                <w:color w:val="auto"/>
                <w:w w:val="89"/>
                <w:vertAlign w:val="superscript"/>
              </w:rPr>
              <w:t>(1)</w:t>
            </w: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195"/>
        </w:trPr>
        <w:tc>
          <w:tcPr>
            <w:tcW w:w="10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Fees</w:t>
            </w:r>
          </w:p>
        </w:tc>
        <w:tc>
          <w:tcPr>
            <w:tcW w:w="620" w:type="dxa"/>
            <w:vAlign w:val="bottom"/>
            <w:tcBorders>
              <w:right w:val="single" w:sz="8" w:color="auto"/>
            </w:tcBorders>
          </w:tcPr>
          <w:p>
            <w:pPr>
              <w:jc w:val="right"/>
              <w:ind w:right="61"/>
              <w:spacing w:after="0" w:line="195" w:lineRule="exact"/>
              <w:rPr>
                <w:sz w:val="20"/>
                <w:szCs w:val="20"/>
                <w:color w:val="auto"/>
              </w:rPr>
            </w:pPr>
            <w:r>
              <w:rPr>
                <w:rFonts w:ascii="Arial" w:cs="Arial" w:eastAsia="Arial" w:hAnsi="Arial"/>
                <w:sz w:val="18"/>
                <w:szCs w:val="18"/>
                <w:color w:val="auto"/>
              </w:rPr>
              <w:t>N/A</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60" w:type="dxa"/>
            <w:vAlign w:val="bottom"/>
          </w:tcPr>
          <w:p>
            <w:pPr>
              <w:spacing w:after="0"/>
              <w:rPr>
                <w:sz w:val="16"/>
                <w:szCs w:val="16"/>
                <w:color w:val="auto"/>
              </w:rPr>
            </w:pPr>
          </w:p>
        </w:tc>
        <w:tc>
          <w:tcPr>
            <w:tcW w:w="66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N/A</w:t>
            </w:r>
          </w:p>
        </w:tc>
        <w:tc>
          <w:tcPr>
            <w:tcW w:w="7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N/A</w:t>
            </w:r>
          </w:p>
        </w:tc>
        <w:tc>
          <w:tcPr>
            <w:tcW w:w="1160" w:type="dxa"/>
            <w:vAlign w:val="bottom"/>
            <w:tcBorders>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w:t>
            </w:r>
          </w:p>
        </w:tc>
        <w:tc>
          <w:tcPr>
            <w:tcW w:w="10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Previously</w:t>
            </w: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0"/>
        </w:trPr>
        <w:tc>
          <w:tcPr>
            <w:tcW w:w="102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Paid</w:t>
            </w: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10"/>
        </w:trPr>
        <w:tc>
          <w:tcPr>
            <w:tcW w:w="10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Carry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73"/>
              </w:rPr>
              <w:t>Forward Securities</w:t>
            </w:r>
          </w:p>
        </w:tc>
        <w:tc>
          <w:tcPr>
            <w:tcW w:w="10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195"/>
        </w:trPr>
        <w:tc>
          <w:tcPr>
            <w:tcW w:w="10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Carry</w:t>
            </w:r>
          </w:p>
        </w:tc>
        <w:tc>
          <w:tcPr>
            <w:tcW w:w="620" w:type="dxa"/>
            <w:vAlign w:val="bottom"/>
            <w:tcBorders>
              <w:right w:val="single" w:sz="8" w:color="auto"/>
            </w:tcBorders>
          </w:tcPr>
          <w:p>
            <w:pPr>
              <w:jc w:val="right"/>
              <w:ind w:right="61"/>
              <w:spacing w:after="0" w:line="195" w:lineRule="exact"/>
              <w:rPr>
                <w:sz w:val="20"/>
                <w:szCs w:val="20"/>
                <w:color w:val="auto"/>
              </w:rPr>
            </w:pPr>
            <w:r>
              <w:rPr>
                <w:rFonts w:ascii="Arial" w:cs="Arial" w:eastAsia="Arial" w:hAnsi="Arial"/>
                <w:sz w:val="18"/>
                <w:szCs w:val="18"/>
                <w:color w:val="auto"/>
              </w:rPr>
              <w:t>N/A</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7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60" w:type="dxa"/>
            <w:vAlign w:val="bottom"/>
          </w:tcPr>
          <w:p>
            <w:pPr>
              <w:spacing w:after="0"/>
              <w:rPr>
                <w:sz w:val="16"/>
                <w:szCs w:val="16"/>
                <w:color w:val="auto"/>
              </w:rPr>
            </w:pPr>
          </w:p>
        </w:tc>
        <w:tc>
          <w:tcPr>
            <w:tcW w:w="66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N/A</w:t>
            </w:r>
          </w:p>
        </w:tc>
        <w:tc>
          <w:tcPr>
            <w:tcW w:w="74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N/A</w:t>
            </w:r>
          </w:p>
        </w:tc>
        <w:tc>
          <w:tcPr>
            <w:tcW w:w="1160" w:type="dxa"/>
            <w:vAlign w:val="bottom"/>
            <w:tcBorders>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w:t>
            </w:r>
          </w:p>
        </w:tc>
        <w:tc>
          <w:tcPr>
            <w:tcW w:w="10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16"/>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Forward</w:t>
            </w:r>
          </w:p>
        </w:tc>
        <w:tc>
          <w:tcPr>
            <w:tcW w:w="6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09"/>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3"/>
              </w:rPr>
              <w:t>Total Offering</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Amounts</w:t>
            </w: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$150,000,000</w:t>
            </w: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$16,530</w:t>
            </w: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8"/>
                <w:szCs w:val="18"/>
                <w:b w:val="1"/>
                <w:bCs w:val="1"/>
                <w:color w:val="auto"/>
                <w:w w:val="89"/>
              </w:rPr>
              <w:t>Total Fees Previously Paid</w:t>
            </w:r>
          </w:p>
        </w:tc>
        <w:tc>
          <w:tcPr>
            <w:tcW w:w="6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09"/>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8"/>
                <w:szCs w:val="18"/>
                <w:b w:val="1"/>
                <w:bCs w:val="1"/>
                <w:color w:val="auto"/>
                <w:w w:val="87"/>
              </w:rPr>
              <w:t>Total Fee Offsets</w:t>
            </w:r>
          </w:p>
        </w:tc>
        <w:tc>
          <w:tcPr>
            <w:tcW w:w="6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10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8"/>
                <w:szCs w:val="18"/>
                <w:b w:val="1"/>
                <w:bCs w:val="1"/>
                <w:color w:val="auto"/>
                <w:w w:val="90"/>
              </w:rPr>
              <w:t>Net Fee Due</w:t>
            </w:r>
          </w:p>
        </w:tc>
        <w:tc>
          <w:tcPr>
            <w:tcW w:w="6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$16,530</w:t>
            </w: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444" w:right="240" w:hanging="444"/>
        <w:spacing w:after="0" w:line="259" w:lineRule="auto"/>
        <w:tabs>
          <w:tab w:leader="none" w:pos="4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filing fee is calculated and is being paid pursuant to Rules 456(o) and 457(r) under the Securities Act of 1933, as amended (the “Securities Act”), based on the proposed maximum aggregate offering price. The registrant initially deferred payment of the registration fees for its Registration Statement on Form S-3 (File No. 333-258634) filed by the Registrant with the Securities and Exchange Commission on August 9, 2021 pursuant to Rules 456(b) and 457(r) under the Securities Act.</w:t>
      </w:r>
    </w:p>
    <w:sectPr>
      <w:pgSz w:w="11900" w:h="16838" w:orient="portrait"/>
      <w:cols w:equalWidth="0" w:num="1">
        <w:col w:w="10964"/>
      </w:cols>
      <w:pgMar w:left="436"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lowerLetter"/>
      <w:start w:val="26"/>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240"/>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240"/>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jpe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31" Type="http://schemas.openxmlformats.org/officeDocument/2006/relationships/hyperlink" Target="http://www.sec.gov/ix?doc=/Archives/edgar/data/0001367644/000136764423000046/ebs-20221231.htm" TargetMode="External"/><Relationship Id="rId32" Type="http://schemas.openxmlformats.org/officeDocument/2006/relationships/hyperlink" Target="http://www.sec.gov/ix?doc=/Archives/edgar/data/0001367644/000119312523111976/d479088ddefr14a.htm" TargetMode="External"/><Relationship Id="rId33" Type="http://schemas.openxmlformats.org/officeDocument/2006/relationships/hyperlink" Target="http://www.sec.gov/ix?doc=/Archives/edgar/data/0001367644/000136764423000088/ebs-20230331.htm" TargetMode="External"/><Relationship Id="rId34" Type="http://schemas.openxmlformats.org/officeDocument/2006/relationships/hyperlink" Target="http://www.sec.gov/ix?doc=/Archives/edgar/data/0001367644/000136764423000004/ebs-20230109.htm" TargetMode="External"/><Relationship Id="rId35" Type="http://schemas.openxmlformats.org/officeDocument/2006/relationships/hyperlink" Target="http://www.sec.gov/ix?doc=/Archives/edgar/data/0001367644/000136764423000091/ebs-20230515.htm" TargetMode="External"/><Relationship Id="rId36" Type="http://schemas.openxmlformats.org/officeDocument/2006/relationships/hyperlink" Target="http://www.sec.gov/ix?doc=/Archives/edgar/data/0001367644/000119312523147301/d499270d8k.htm" TargetMode="External"/><Relationship Id="rId37" Type="http://schemas.openxmlformats.org/officeDocument/2006/relationships/hyperlink" Target="http://www.sec.gov/ix?doc=/Archives/edgar/data/0001367644/000136764421000033/ebs-20201231.htm" TargetMode="External"/><Relationship Id="rId44" Type="http://schemas.openxmlformats.org/officeDocument/2006/relationships/hyperlink" Target="http://www.sec.gov/ix?doc=/Archives/edgar/data/1367644/000136764421000033/ebs-20201231.htm" TargetMode="External"/><Relationship Id="rId45" Type="http://schemas.openxmlformats.org/officeDocument/2006/relationships/hyperlink" Target="http://www.sec.gov/ix?doc=/Archives/edgar/data/1367644/000136764421000115/ebs-20210630.htm" TargetMode="External"/><Relationship Id="rId46" Type="http://schemas.openxmlformats.org/officeDocument/2006/relationships/hyperlink" Target="http://www.sec.gov/ix?doc=/Archives/edgar/data/1367644/000136764421000083/ebs-20210512.htm" TargetMode="External"/><Relationship Id="rId47" Type="http://schemas.openxmlformats.org/officeDocument/2006/relationships/hyperlink" Target="http://www.sec.gov/ix?doc=/Archives/edgar/data/1367644/000136764421000099/ebs-20210520.htm" TargetMode="External"/><Relationship Id="rId48" Type="http://schemas.openxmlformats.org/officeDocument/2006/relationships/hyperlink" Target="http://www.sec.gov/ix?doc=/Archives/edgar/data/1367644/000136764421000107/ebs-20210713.htm" TargetMode="External"/><Relationship Id="rId49" Type="http://schemas.openxmlformats.org/officeDocument/2006/relationships/hyperlink" Target="http://www.sec.gov/ix?doc=/Archives/edgar/data/1367644/000136764421000110/ebs-20210720.htm" TargetMode="External"/><Relationship Id="rId50" Type="http://schemas.openxmlformats.org/officeDocument/2006/relationships/hyperlink" Target="http://www.sec.gov/ix?doc=/Archives/edgar/data/1367644/000136764421000112/ebs-20210729.htm" TargetMode="External"/><Relationship Id="rId51" Type="http://schemas.openxmlformats.org/officeDocument/2006/relationships/hyperlink" Target="http://www.sec.gov/Archives/edgar/data/1367644/000095013306004758/w26891e8v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2023-05-18T06:50:24Z</dcterms:created>
  <dcterms:modified xsi:type="dcterms:W3CDTF">2023-05-18T06:50:24Z</dcterms:modified>
</cp:coreProperties>
</file>