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3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397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Kramer Robert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2273 RESEARCH BLVD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11/05/2012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20"/>
              <w:spacing w:after="0"/>
              <w:rPr>
                <w:sz w:val="20"/>
                <w:szCs w:val="20"/>
                <w:color w:val="auto"/>
              </w:rPr>
            </w:pPr>
            <w:r>
              <w:rPr>
                <w:rFonts w:ascii="Arial" w:cs="Arial" w:eastAsia="Arial" w:hAnsi="Arial"/>
                <w:sz w:val="17"/>
                <w:szCs w:val="17"/>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ROCKVILLE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MD</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20850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560" w:type="dxa"/>
            <w:vAlign w:val="bottom"/>
            <w:gridSpan w:val="7"/>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2740" w:type="dxa"/>
            <w:vAlign w:val="bottom"/>
            <w:tcBorders>
              <w:bottom w:val="single" w:sz="8" w:color="2C2C2C"/>
            </w:tcBorders>
            <w:gridSpan w:val="5"/>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11/05/2012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2"/>
              </w:rPr>
              <w:t>11,531</w:t>
            </w:r>
            <w:r>
              <w:rPr>
                <w:rFonts w:ascii="Arial" w:cs="Arial" w:eastAsia="Arial" w:hAnsi="Arial"/>
                <w:sz w:val="22"/>
                <w:szCs w:val="22"/>
                <w:color w:val="008000"/>
                <w:w w:val="82"/>
                <w:vertAlign w:val="superscript"/>
              </w:rPr>
              <w:t>(3)</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4"/>
          </w:tcPr>
          <w:p>
            <w:pPr>
              <w:jc w:val="right"/>
              <w:ind w:right="359"/>
              <w:spacing w:after="0"/>
              <w:rPr>
                <w:sz w:val="20"/>
                <w:szCs w:val="20"/>
                <w:color w:val="auto"/>
              </w:rPr>
            </w:pPr>
            <w:r>
              <w:rPr>
                <w:rFonts w:ascii="Arial" w:cs="Arial" w:eastAsia="Arial" w:hAnsi="Arial"/>
                <w:sz w:val="17"/>
                <w:szCs w:val="17"/>
                <w:color w:val="0000FF"/>
              </w:rPr>
              <w:t>25,371</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80" w:type="dxa"/>
            <w:vAlign w:val="bottom"/>
            <w:gridSpan w:val="3"/>
          </w:tcPr>
          <w:p>
            <w:pPr>
              <w:ind w:left="60"/>
              <w:spacing w:after="0" w:line="214" w:lineRule="exact"/>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4"/>
          </w:tcPr>
          <w:p>
            <w:pPr>
              <w:jc w:val="right"/>
              <w:ind w:right="319"/>
              <w:spacing w:after="0"/>
              <w:rPr>
                <w:sz w:val="20"/>
                <w:szCs w:val="20"/>
                <w:color w:val="auto"/>
              </w:rPr>
            </w:pPr>
            <w:r>
              <w:rPr>
                <w:rFonts w:ascii="Arial" w:cs="Arial" w:eastAsia="Arial" w:hAnsi="Arial"/>
                <w:sz w:val="17"/>
                <w:szCs w:val="17"/>
                <w:color w:val="0000FF"/>
              </w:rPr>
              <w:t>856,043</w:t>
            </w:r>
          </w:p>
        </w:tc>
        <w:tc>
          <w:tcPr>
            <w:tcW w:w="32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BioPharm,</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23,062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14.41</w:t>
            </w:r>
          </w:p>
        </w:tc>
        <w:tc>
          <w:tcPr>
            <w:tcW w:w="140" w:type="dxa"/>
            <w:vAlign w:val="bottom"/>
          </w:tcPr>
          <w:p>
            <w:pPr>
              <w:spacing w:after="0"/>
              <w:rPr>
                <w:sz w:val="11"/>
                <w:szCs w:val="11"/>
                <w:color w:val="auto"/>
              </w:rPr>
            </w:pPr>
          </w:p>
        </w:tc>
        <w:tc>
          <w:tcPr>
            <w:tcW w:w="1080" w:type="dxa"/>
            <w:vAlign w:val="bottom"/>
          </w:tcPr>
          <w:p>
            <w:pPr>
              <w:ind w:left="280"/>
              <w:spacing w:after="0" w:line="132" w:lineRule="exact"/>
              <w:rPr>
                <w:sz w:val="20"/>
                <w:szCs w:val="20"/>
                <w:color w:val="auto"/>
              </w:rPr>
            </w:pPr>
            <w:r>
              <w:rPr>
                <w:rFonts w:ascii="Arial" w:cs="Arial" w:eastAsia="Arial" w:hAnsi="Arial"/>
                <w:sz w:val="13"/>
                <w:szCs w:val="13"/>
                <w:color w:val="0000FF"/>
              </w:rPr>
              <w:t>11/05/2012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3"/>
                <w:szCs w:val="13"/>
                <w:color w:val="0000FF"/>
              </w:rPr>
              <w:t>23,062</w:t>
            </w: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3"/>
                <w:szCs w:val="13"/>
                <w:color w:val="0000FF"/>
              </w:rPr>
              <w:t>11/04/2019</w:t>
            </w:r>
          </w:p>
        </w:tc>
        <w:tc>
          <w:tcPr>
            <w:tcW w:w="6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20" w:type="dxa"/>
            <w:vAlign w:val="bottom"/>
            <w:gridSpan w:val="3"/>
          </w:tcPr>
          <w:p>
            <w:pPr>
              <w:ind w:left="3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60"/>
              <w:spacing w:after="0" w:line="132" w:lineRule="exact"/>
              <w:rPr>
                <w:sz w:val="20"/>
                <w:szCs w:val="20"/>
                <w:color w:val="auto"/>
              </w:rPr>
            </w:pPr>
            <w:r>
              <w:rPr>
                <w:rFonts w:ascii="Arial" w:cs="Arial" w:eastAsia="Arial" w:hAnsi="Arial"/>
                <w:sz w:val="13"/>
                <w:szCs w:val="13"/>
                <w:color w:val="0000FF"/>
              </w:rPr>
              <w:t>23,062</w:t>
            </w:r>
          </w:p>
        </w:tc>
        <w:tc>
          <w:tcPr>
            <w:tcW w:w="560" w:type="dxa"/>
            <w:vAlign w:val="bottom"/>
          </w:tcPr>
          <w:p>
            <w:pPr>
              <w:ind w:left="380"/>
              <w:spacing w:after="0" w:line="132"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Kramer's direct holdings include restricted stock units granted under the Second Amended and Restated Emergent BioSolutions Inc. 2006 Stock Incentive Plan and shares distributed from BioPharm, L.L.C. to Mr. Kramer through RKRAMER L.L.C.</w:t>
      </w:r>
    </w:p>
    <w:p>
      <w:pPr>
        <w:spacing w:after="0" w:line="9" w:lineRule="exact"/>
        <w:rPr>
          <w:rFonts w:ascii="Arial" w:cs="Arial" w:eastAsia="Arial" w:hAnsi="Arial"/>
          <w:sz w:val="13"/>
          <w:szCs w:val="13"/>
          <w:color w:val="008000"/>
        </w:rPr>
      </w:pPr>
    </w:p>
    <w:p>
      <w:pPr>
        <w:ind w:left="40" w:right="40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Kramer is the general manager of RKRAMER, L.L.C., which holds 21.01% of the equity interest in BioPharm, L.L.C. BioPharm, L.L.C. is the direct owner of 856,043 shares of Common Stock. Mr. Kramer disclaims beneficial ownership of these shares for purposes of Section 16, except to the extent of his pecuniary interest in 181,746 units in BioPharm L.L.C. held directly through RKRAMER L.L.C.</w:t>
      </w: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Exercisable in three equal installments on November 4, 2013, November 4, 2014 and November 4, 2015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/s/Robert G. Kramer</w:t>
            </w:r>
          </w:p>
        </w:tc>
        <w:tc>
          <w:tcPr>
            <w:tcW w:w="780" w:type="dxa"/>
            <w:vAlign w:val="bottom"/>
          </w:tcPr>
          <w:p>
            <w:pPr>
              <w:spacing w:after="0"/>
              <w:rPr>
                <w:sz w:val="20"/>
                <w:szCs w:val="20"/>
                <w:color w:val="auto"/>
              </w:rPr>
            </w:pPr>
            <w:r>
              <w:rPr>
                <w:rFonts w:ascii="Arial" w:cs="Arial" w:eastAsia="Arial" w:hAnsi="Arial"/>
                <w:sz w:val="17"/>
                <w:szCs w:val="17"/>
                <w:color w:val="0000FF"/>
                <w:w w:val="89"/>
              </w:rPr>
              <w:t>01/18/2013</w:t>
            </w:r>
          </w:p>
        </w:tc>
      </w:tr>
      <w:tr>
        <w:trPr>
          <w:trHeight w:val="20"/>
        </w:trPr>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956"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2019-12-17T04:55:47Z</dcterms:created>
  <dcterms:modified xsi:type="dcterms:W3CDTF">2019-12-17T04:55:47Z</dcterms:modified>
</cp:coreProperties>
</file>