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4, 2020</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Borders>
              <w:bottom w:val="single" w:sz="8" w:color="auto"/>
            </w:tcBorders>
          </w:tcPr>
          <w:p>
            <w:pPr>
              <w:jc w:val="center"/>
              <w:ind w:right="850"/>
              <w:spacing w:after="0"/>
              <w:rPr>
                <w:sz w:val="20"/>
                <w:szCs w:val="20"/>
                <w:color w:val="auto"/>
              </w:rPr>
            </w:pPr>
            <w:r>
              <w:rPr>
                <w:rFonts w:ascii="Arial" w:cs="Arial" w:eastAsia="Arial" w:hAnsi="Arial"/>
                <w:sz w:val="18"/>
                <w:szCs w:val="18"/>
                <w:color w:val="auto"/>
                <w:w w:val="89"/>
              </w:rPr>
              <w:t>Delaware</w:t>
            </w:r>
          </w:p>
        </w:tc>
        <w:tc>
          <w:tcPr>
            <w:tcW w:w="236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90"/>
              </w:rPr>
              <w:t>001-33137</w:t>
            </w:r>
          </w:p>
        </w:tc>
        <w:tc>
          <w:tcPr>
            <w:tcW w:w="41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9"/>
              </w:rPr>
              <w:t>14-1902018</w:t>
            </w:r>
          </w:p>
        </w:tc>
      </w:tr>
      <w:tr>
        <w:trPr>
          <w:trHeight w:val="195"/>
        </w:trPr>
        <w:tc>
          <w:tcPr>
            <w:tcW w:w="4780" w:type="dxa"/>
            <w:vAlign w:val="bottom"/>
          </w:tcPr>
          <w:p>
            <w:pPr>
              <w:jc w:val="center"/>
              <w:ind w:right="850"/>
              <w:spacing w:after="0" w:line="195" w:lineRule="exact"/>
              <w:rPr>
                <w:sz w:val="20"/>
                <w:szCs w:val="20"/>
                <w:color w:val="auto"/>
              </w:rPr>
            </w:pPr>
            <w:r>
              <w:rPr>
                <w:rFonts w:ascii="Arial" w:cs="Arial" w:eastAsia="Arial" w:hAnsi="Arial"/>
                <w:sz w:val="18"/>
                <w:szCs w:val="18"/>
                <w:color w:val="auto"/>
                <w:w w:val="90"/>
              </w:rPr>
              <w:t>(State or Other Juris-</w:t>
            </w:r>
          </w:p>
        </w:tc>
        <w:tc>
          <w:tcPr>
            <w:tcW w:w="2360" w:type="dxa"/>
            <w:vAlign w:val="bottom"/>
          </w:tcPr>
          <w:p>
            <w:pPr>
              <w:jc w:val="center"/>
              <w:ind w:right="470"/>
              <w:spacing w:after="0" w:line="195" w:lineRule="exact"/>
              <w:rPr>
                <w:sz w:val="20"/>
                <w:szCs w:val="20"/>
                <w:color w:val="auto"/>
              </w:rPr>
            </w:pPr>
            <w:r>
              <w:rPr>
                <w:rFonts w:ascii="Arial" w:cs="Arial" w:eastAsia="Arial" w:hAnsi="Arial"/>
                <w:sz w:val="18"/>
                <w:szCs w:val="18"/>
                <w:color w:val="auto"/>
                <w:w w:val="91"/>
              </w:rPr>
              <w:t>(Commission</w:t>
            </w:r>
          </w:p>
        </w:tc>
        <w:tc>
          <w:tcPr>
            <w:tcW w:w="4100" w:type="dxa"/>
            <w:vAlign w:val="bottom"/>
          </w:tcPr>
          <w:p>
            <w:pPr>
              <w:jc w:val="center"/>
              <w:ind w:left="31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780" w:type="dxa"/>
            <w:vAlign w:val="bottom"/>
          </w:tcPr>
          <w:p>
            <w:pPr>
              <w:jc w:val="center"/>
              <w:ind w:right="850"/>
              <w:spacing w:after="0"/>
              <w:rPr>
                <w:sz w:val="20"/>
                <w:szCs w:val="20"/>
                <w:color w:val="auto"/>
              </w:rPr>
            </w:pPr>
            <w:r>
              <w:rPr>
                <w:rFonts w:ascii="Arial" w:cs="Arial" w:eastAsia="Arial" w:hAnsi="Arial"/>
                <w:sz w:val="18"/>
                <w:szCs w:val="18"/>
                <w:color w:val="auto"/>
                <w:w w:val="94"/>
              </w:rPr>
              <w:t>diction of Incorporation</w:t>
            </w:r>
          </w:p>
        </w:tc>
        <w:tc>
          <w:tcPr>
            <w:tcW w:w="2360" w:type="dxa"/>
            <w:vAlign w:val="bottom"/>
          </w:tcPr>
          <w:p>
            <w:pPr>
              <w:jc w:val="center"/>
              <w:ind w:right="450"/>
              <w:spacing w:after="0"/>
              <w:rPr>
                <w:sz w:val="20"/>
                <w:szCs w:val="20"/>
                <w:color w:val="auto"/>
              </w:rPr>
            </w:pPr>
            <w:r>
              <w:rPr>
                <w:rFonts w:ascii="Arial" w:cs="Arial" w:eastAsia="Arial" w:hAnsi="Arial"/>
                <w:sz w:val="18"/>
                <w:szCs w:val="18"/>
                <w:color w:val="auto"/>
                <w:w w:val="94"/>
              </w:rPr>
              <w:t>File Number)</w:t>
            </w:r>
          </w:p>
        </w:tc>
        <w:tc>
          <w:tcPr>
            <w:tcW w:w="410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780" w:type="dxa"/>
            <w:vAlign w:val="bottom"/>
          </w:tcPr>
          <w:p>
            <w:pPr>
              <w:jc w:val="center"/>
              <w:ind w:left="850"/>
              <w:spacing w:after="0"/>
              <w:rPr>
                <w:sz w:val="20"/>
                <w:szCs w:val="20"/>
                <w:color w:val="auto"/>
              </w:rPr>
            </w:pPr>
            <w:r>
              <w:rPr>
                <w:rFonts w:ascii="Arial" w:cs="Arial" w:eastAsia="Arial" w:hAnsi="Arial"/>
                <w:sz w:val="18"/>
                <w:szCs w:val="18"/>
                <w:color w:val="auto"/>
                <w:w w:val="91"/>
              </w:rPr>
              <w:t>400 Professional Drive, Suite 400</w:t>
            </w:r>
          </w:p>
        </w:tc>
        <w:tc>
          <w:tcPr>
            <w:tcW w:w="23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478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1"/>
              </w:rPr>
              <w:t>Gaithersburg, Maryland</w:t>
            </w:r>
          </w:p>
        </w:tc>
        <w:tc>
          <w:tcPr>
            <w:tcW w:w="236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20879</w:t>
            </w:r>
          </w:p>
        </w:tc>
      </w:tr>
      <w:tr>
        <w:trPr>
          <w:trHeight w:val="224"/>
        </w:trPr>
        <w:tc>
          <w:tcPr>
            <w:tcW w:w="4780" w:type="dxa"/>
            <w:vAlign w:val="bottom"/>
          </w:tcPr>
          <w:p>
            <w:pPr>
              <w:jc w:val="center"/>
              <w:ind w:left="8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19"/>
                <w:szCs w:val="19"/>
                <w:color w:val="auto"/>
              </w:rPr>
            </w:pPr>
          </w:p>
        </w:tc>
        <w:tc>
          <w:tcPr>
            <w:tcW w:w="410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(240) 631-3200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1120" w:hanging="464"/>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060" w:firstLine="656"/>
        <w:spacing w:after="0" w:line="500" w:lineRule="auto"/>
        <w:tabs>
          <w:tab w:leader="none" w:pos="112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980" w:type="dxa"/>
            <w:vAlign w:val="bottom"/>
          </w:tcPr>
          <w:p>
            <w:pPr>
              <w:jc w:val="center"/>
              <w:ind w:left="150"/>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42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0"/>
              </w:rPr>
              <w:t>Title of each class</w:t>
            </w:r>
          </w:p>
        </w:tc>
        <w:tc>
          <w:tcPr>
            <w:tcW w:w="3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Trading Symbol(s)</w:t>
            </w:r>
          </w:p>
        </w:tc>
        <w:tc>
          <w:tcPr>
            <w:tcW w:w="39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7"/>
              </w:rPr>
              <w:t>registered</w:t>
            </w:r>
          </w:p>
        </w:tc>
      </w:tr>
      <w:tr>
        <w:trPr>
          <w:trHeight w:val="224"/>
        </w:trPr>
        <w:tc>
          <w:tcPr>
            <w:tcW w:w="4240" w:type="dxa"/>
            <w:vAlign w:val="bottom"/>
          </w:tcPr>
          <w:p>
            <w:pPr>
              <w:jc w:val="center"/>
              <w:ind w:right="310"/>
              <w:spacing w:after="0"/>
              <w:rPr>
                <w:sz w:val="20"/>
                <w:szCs w:val="20"/>
                <w:color w:val="auto"/>
              </w:rPr>
            </w:pPr>
            <w:r>
              <w:rPr>
                <w:rFonts w:ascii="Arial" w:cs="Arial" w:eastAsia="Arial" w:hAnsi="Arial"/>
                <w:sz w:val="18"/>
                <w:szCs w:val="18"/>
                <w:color w:val="auto"/>
                <w:w w:val="89"/>
              </w:rPr>
              <w:t>Common Stock, Par Value $0.001 per share</w:t>
            </w:r>
          </w:p>
        </w:tc>
        <w:tc>
          <w:tcPr>
            <w:tcW w:w="3020" w:type="dxa"/>
            <w:vAlign w:val="bottom"/>
          </w:tcPr>
          <w:p>
            <w:pPr>
              <w:jc w:val="center"/>
              <w:ind w:right="50"/>
              <w:spacing w:after="0"/>
              <w:rPr>
                <w:sz w:val="20"/>
                <w:szCs w:val="20"/>
                <w:color w:val="auto"/>
              </w:rPr>
            </w:pPr>
            <w:r>
              <w:rPr>
                <w:rFonts w:ascii="Arial" w:cs="Arial" w:eastAsia="Arial" w:hAnsi="Arial"/>
                <w:sz w:val="18"/>
                <w:szCs w:val="18"/>
                <w:color w:val="auto"/>
                <w:w w:val="88"/>
              </w:rPr>
              <w:t>EBS</w:t>
            </w:r>
          </w:p>
        </w:tc>
        <w:tc>
          <w:tcPr>
            <w:tcW w:w="3980" w:type="dxa"/>
            <w:vAlign w:val="bottom"/>
          </w:tcPr>
          <w:p>
            <w:pPr>
              <w:jc w:val="center"/>
              <w:ind w:left="190"/>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pacing w:after="0" w:line="203"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3.875% Senior Unsecured Notes due 2028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Indenture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7, 2020, Emergent BioSolutions Inc. (the “Company”) completed its previously announced offering of $450 million aggregate principal amount of 3.875% Senior Unsecured Notes due 2028 (the “Notes”).</w:t>
      </w:r>
    </w:p>
    <w:p>
      <w:pPr>
        <w:spacing w:after="0" w:line="17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Notes were issued pursuant to an indenture, dated as of August 7, 2020 (the “Indenture”), by and among the Company, certain subsidiaries of the Company party thereto as guarantors and U.S. Bank National Association, as trustee. The Notes are fully and unconditionally guaranteed, jointly and severally, on an unsecured basis, by each of the Company’s direct and indirect subsidiaries that guarantee debt under its credit facilities. The Notes are senior unsecured obligations of the Company, and the Notes and their guarantees rank equally in right of payment with all of the Company’s and the guarantors’ existing and future unsubordinated indebtedness, but are effectively junior to all of the Company’s and the guarantors’ existing and future secured indebtedness (including the Company’s credit facilities), to the extent of the value of the assets securing that indebtedness. In addition, the Notes are structurally subordinated to all of the existing and future obligations of the Company’s subsidiaries that do not guarantee the Notes.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on the Notes will be payable on February 15 and August 15 of each year until maturity, commencing on February 15, 2021. The Notes will mature on August 15, 2028.</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or after August 15, 2023, the Company may, at its option, redeem the Notes, in whole or in part, at the applicable redemption prices set forth in the Indenture, plus accrued and unpaid interest, if any, to, but excluding, the date of redemption. Prior to August 15, 2023 the Company may redeem all or a portion of the Notes at a redemption price equal to 100% of the principal amount of the Notes plus a “make-whole” premium described in the Indenture, plus accrued and unpaid interest, if any, to, but excluding, the date of redemption. Prior to August 15, 2023, the Company may redeem up to 40% of the aggregate principal amount of the Notes using the net cash proceeds of certain equity offerings at the redemption price set forth in the Indenture. Upon the occurrence of a “change of control” (as defined in the Indenture), the Company must offer to repurchase the Notes at a purchase price of 101% of the principal amount of such Notes plus accrued and unpaid interest, if any, to, but excluding, the repurchase date.</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certain qualifications and exceptions, the Indenture restricts the Company’s and its restricted subsidiaries’ ability to, among other things: (i) incur or guarantee additional debt or issue certain preferred stock; (ii) make certain investments; (iii) create restrictions on the payment of dividends or other amounts from certain of the Company’s restricted subsidiaries; (iv) enter into certain transactions with affiliates; (v) merge or consolidate with another person, or sell or otherwise dispose of all or substantially all of the Company’s assets; (vi) sell certain assets, including capital stock of the Company’s subsidiaries; (vii) designate the Company’s subsidiaries as unrestricted subsidiaries; (viii) pay dividends, redeem or repurchase capital stock or make other restricted payments; and (ix) incur certain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120"/>
        <w:spacing w:after="0" w:line="308" w:lineRule="auto"/>
        <w:rPr>
          <w:sz w:val="20"/>
          <w:szCs w:val="20"/>
          <w:color w:val="auto"/>
        </w:rPr>
      </w:pPr>
      <w:r>
        <w:rPr>
          <w:rFonts w:ascii="Arial" w:cs="Arial" w:eastAsia="Arial" w:hAnsi="Arial"/>
          <w:sz w:val="17"/>
          <w:szCs w:val="17"/>
          <w:color w:val="auto"/>
        </w:rPr>
        <w:t>The Indenture provides for events of default that, if certain events occur, would permit the trustee or holders of at least 25% in aggregate principal amount of the Notes then outstanding to declare the principal of and unpaid interest on the Notes to be immediately due and payable.</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full text of the Indenture. A copy of the Indenture is filed herewith as Exhibit 4.1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Purchase Agreement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Notes described above were offered and sold pursuant to a purchase agreement, dated August 4, 2020 (the “Purchase Agreement”), by and among the Company, the subsidiaries of the Company named therein as guarantors, and Wells Fargo Securities, LLC, as representative of the several initial purchasers identified therein (collectively, the “Initial Purchasers”). The Notes were resold to persons reasonably believed to be “qualified institutional buyers” pursuant to Rule 144A under the Securities Act of 1933 (as amended, the “Securities Act”) and to non-U.S. persons outside the United States pursuant to Regulation S under the Securities Act. The Notes have not been registered for sale under the Securities Act or any state securities laws and may not be offered or sold in the United States absent registration or an applicable exemption from the registration requirements of the Securities Act and applicable state laws. This Form 8-K does not constitute an offer to sell any securities or a solicitation of an offer to purchase any securities.</w:t>
      </w:r>
    </w:p>
    <w:p>
      <w:pPr>
        <w:spacing w:after="0" w:line="16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foregoing description of the Purchase Agreement does not purport to be complete and is qualified in its entirety by reference to the full text of the Purchase Agreement. A copy of the Purchase Agreement is filed herewith as Exhibit 10.1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Agreement Amendment</w:t>
      </w:r>
    </w:p>
    <w:p>
      <w:pPr>
        <w:spacing w:after="0" w:line="225" w:lineRule="exact"/>
        <w:rPr>
          <w:sz w:val="20"/>
          <w:szCs w:val="20"/>
          <w:color w:val="auto"/>
        </w:rPr>
      </w:pPr>
    </w:p>
    <w:p>
      <w:pPr>
        <w:ind w:right="440"/>
        <w:spacing w:after="0" w:line="272" w:lineRule="auto"/>
        <w:rPr>
          <w:sz w:val="20"/>
          <w:szCs w:val="20"/>
          <w:color w:val="auto"/>
        </w:rPr>
      </w:pPr>
      <w:r>
        <w:rPr>
          <w:rFonts w:ascii="Arial" w:cs="Arial" w:eastAsia="Arial" w:hAnsi="Arial"/>
          <w:sz w:val="17"/>
          <w:szCs w:val="17"/>
          <w:color w:val="auto"/>
        </w:rPr>
        <w:t>On August 7, 2020, the Company entered into that certain Second Amendment to Amended and Restated Credit Agreement (the “Credit Agreement Amendment”) among the Company, as borrower, certain subsidiaries of the Company, as guarantors, Wells Fargo Bank, National Association, as administrative agent (in such capacity, the “Administrative Agent”), and certain lenders party thereto. The Credit Agreement Amendment amends the Amended and Restated Credit Agreement, dated as of October 15, 2018, among the Company, the lenders party thereto from time to time and the Administrative Agent (as previously amended and supplemented, the “Existing Credit Agreement”) relating to the Company’s senior secured credit facilities consisting of a senior revolving credit facility (the “Revolving Credit Facility”) and senior term loan facility (the “Term Loan Facility,” and together with the Revolving Credit Facility, the “Senior Secured Credit Facility”).</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Credit Agreement Amendment amends the Existing Credit Agreement to expressly permit the incurrence of the indebtedness with respect to the Notes. The Credit Agreement Amendment also amends the consolidated net leverage ratio financial covenant by increasing the maximum level to 4.50 to 1.00 (subject to an increase to 5.00 to 1.00 for an applicable four quarter period, at the election of the Company, in connection with a permitted acquisition having an aggregate consideration in excess of $75.0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line="254" w:lineRule="auto"/>
        <w:rPr>
          <w:sz w:val="20"/>
          <w:szCs w:val="20"/>
          <w:color w:val="auto"/>
        </w:rPr>
      </w:pPr>
      <w:r>
        <w:rPr>
          <w:rFonts w:ascii="Arial" w:cs="Arial" w:eastAsia="Arial" w:hAnsi="Arial"/>
          <w:sz w:val="18"/>
          <w:szCs w:val="18"/>
          <w:color w:val="auto"/>
        </w:rPr>
        <w:t>In addition, the Credit Agreement Amendment increases the applicable margin by 0.25% if our consolidated net leverage ratio equals or exceeds 3.50 to 1.00, such that borrowings under the Revolving Credit Facility and the outstanding principal amount of the Term Loan Facility shall bear interest at a rate per annum equal to (a) a eurocurrency rate plus a margin ranging from 1.25% to 2.25% per annum, depending on our consolidated net leverage ratio or (b) a base rate (which is the highest of the prime rate, the federal funds rate plus 0.50%, and a eurocurrency rate for an interest period of one month plus 1%) plus a margin ranging from 0.25% to 1.25%, depending on our consolidated net leverage ratio. In addition, the commitment fee that we are required to pay in respect of the average daily unused commitments under the Revolving Credit Facility shall be 0.15% to 0.35% per annum, depending on our consolidated net leverage ratio.</w:t>
      </w:r>
    </w:p>
    <w:p>
      <w:pPr>
        <w:spacing w:after="0" w:line="19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Credit Agreement Amendment also amends the Existing Credit Agreement to permit incremental term loan facilities or one or more increases in the commitments under the Revolving Credit Facility in an aggregate amount not to exceed an amount of additional indebtedness that would cause the consolidated secured net leverage ratio of the Company to exceed 2.75 to 1.00, plus an amount equal to the greater of $300 million and 100% of Consolidated EBITDA (as defined in the Existing Credit Agreement) of the Company, plus the amount of any permanent reductions in the Revolving Credit Facility commitments, plus the amount of optional prepayments of the outstanding Term Loan Facility. The Credit Agreement Amendment also amends certain affirmative covenants, negative covenants and events of default thereunder.</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foregoing description of the Credit Agreement Amendment does not purport to be complete and is qualified in its entirety by reference to the full text of the Credit Agreement Amendment. A copy of the Credit Agreement Amendment is filed herewith as Exhibit 10.2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Form 8-K is incorporated into this Item 2.03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7, 2020, the Company issued a press release announcing the closing of the offering. A copy of the press release is attached hereto as Exhibit 99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00" w:hanging="447"/>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4" w:name="page5"/>
    <w:bookmarkEnd w:id="4"/>
    <w:p>
      <w:pPr>
        <w:spacing w:after="0"/>
        <w:tabs>
          <w:tab w:leader="none" w:pos="15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4.1</w:t>
              </w:r>
            </w:hyperlink>
          </w:p>
        </w:tc>
        <w:tc>
          <w:tcPr>
            <w:tcW w:w="9560" w:type="dxa"/>
            <w:vAlign w:val="bottom"/>
            <w:gridSpan w:val="4"/>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Indenture, dated as of August 7, 2020, by and among the Company, certain subsidiaries of the Company and U.S. Bank National</w:t>
              </w:r>
            </w:hyperlink>
          </w:p>
        </w:tc>
      </w:tr>
      <w:tr>
        <w:trPr>
          <w:trHeight w:val="196"/>
        </w:trPr>
        <w:tc>
          <w:tcPr>
            <w:tcW w:w="1580" w:type="dxa"/>
            <w:vAlign w:val="bottom"/>
          </w:tcPr>
          <w:p>
            <w:pPr>
              <w:spacing w:after="0"/>
              <w:rPr>
                <w:sz w:val="17"/>
                <w:szCs w:val="17"/>
                <w:color w:val="auto"/>
              </w:rPr>
            </w:pPr>
          </w:p>
        </w:tc>
        <w:tc>
          <w:tcPr>
            <w:tcW w:w="92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Association, as trustee.</w:t>
              </w:r>
            </w:hyperlink>
          </w:p>
        </w:tc>
        <w:tc>
          <w:tcPr>
            <w:tcW w:w="300" w:type="dxa"/>
            <w:vAlign w:val="bottom"/>
            <w:gridSpan w:val="2"/>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53"/>
        </w:trPr>
        <w:tc>
          <w:tcPr>
            <w:tcW w:w="15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4.2</w:t>
              </w:r>
            </w:hyperlink>
          </w:p>
        </w:tc>
        <w:tc>
          <w:tcPr>
            <w:tcW w:w="956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Form of 3.875% Senior Unsecured Note due 2028 (included in Exhibit 4.1).</w:t>
              </w:r>
            </w:hyperlink>
          </w:p>
        </w:tc>
      </w:tr>
      <w:tr>
        <w:trPr>
          <w:trHeight w:val="391"/>
        </w:trPr>
        <w:tc>
          <w:tcPr>
            <w:tcW w:w="158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10.1</w:t>
              </w:r>
              <w:r>
                <w:rPr>
                  <w:rFonts w:ascii="Arial" w:cs="Arial" w:eastAsia="Arial" w:hAnsi="Arial"/>
                  <w:sz w:val="18"/>
                  <w:szCs w:val="18"/>
                  <w:u w:val="single" w:color="auto"/>
                  <w:color w:val="2B2B2B"/>
                </w:rPr>
                <w:t>†</w:t>
              </w:r>
            </w:hyperlink>
          </w:p>
        </w:tc>
        <w:tc>
          <w:tcPr>
            <w:tcW w:w="93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Purchase Agreement, dated as of August 4, 2020, by and among the Company, the subsidiaries of the Company named therein as</w:t>
              </w:r>
            </w:hyperlink>
          </w:p>
        </w:tc>
        <w:tc>
          <w:tcPr>
            <w:tcW w:w="260" w:type="dxa"/>
            <w:vAlign w:val="bottom"/>
          </w:tcPr>
          <w:p>
            <w:pPr>
              <w:spacing w:after="0"/>
              <w:rPr>
                <w:sz w:val="24"/>
                <w:szCs w:val="24"/>
                <w:color w:val="auto"/>
              </w:rPr>
            </w:pPr>
          </w:p>
        </w:tc>
      </w:tr>
      <w:tr>
        <w:trPr>
          <w:trHeight w:val="237"/>
        </w:trPr>
        <w:tc>
          <w:tcPr>
            <w:tcW w:w="1580" w:type="dxa"/>
            <w:vAlign w:val="bottom"/>
          </w:tcPr>
          <w:p>
            <w:pPr>
              <w:spacing w:after="0"/>
              <w:rPr>
                <w:sz w:val="20"/>
                <w:szCs w:val="20"/>
                <w:color w:val="auto"/>
              </w:rPr>
            </w:pPr>
          </w:p>
        </w:tc>
        <w:tc>
          <w:tcPr>
            <w:tcW w:w="9560" w:type="dxa"/>
            <w:vAlign w:val="bottom"/>
            <w:gridSpan w:val="4"/>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guarantors, and Wells Fargo Securities, LLC, as representative of the several initial purchasers identified therein.</w:t>
              </w:r>
            </w:hyperlink>
          </w:p>
        </w:tc>
      </w:tr>
      <w:tr>
        <w:trPr>
          <w:trHeight w:val="432"/>
        </w:trPr>
        <w:tc>
          <w:tcPr>
            <w:tcW w:w="1580" w:type="dxa"/>
            <w:vAlign w:val="bottom"/>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10.2</w:t>
              </w:r>
            </w:hyperlink>
          </w:p>
        </w:tc>
        <w:tc>
          <w:tcPr>
            <w:tcW w:w="9560" w:type="dxa"/>
            <w:vAlign w:val="bottom"/>
            <w:gridSpan w:val="4"/>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Second Amendment to Amended and Restated Credit Agreement, dated August 7, 2020.</w:t>
              </w:r>
            </w:hyperlink>
          </w:p>
        </w:tc>
      </w:tr>
      <w:tr>
        <w:trPr>
          <w:trHeight w:val="432"/>
        </w:trPr>
        <w:tc>
          <w:tcPr>
            <w:tcW w:w="1580" w:type="dxa"/>
            <w:vAlign w:val="bottom"/>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99</w:t>
              </w:r>
            </w:hyperlink>
          </w:p>
        </w:tc>
        <w:tc>
          <w:tcPr>
            <w:tcW w:w="9560" w:type="dxa"/>
            <w:vAlign w:val="bottom"/>
            <w:gridSpan w:val="4"/>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Press release issued by the Company on August 7, 2020.</w:t>
              </w:r>
            </w:hyperlink>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101</w:t>
            </w:r>
          </w:p>
        </w:tc>
        <w:tc>
          <w:tcPr>
            <w:tcW w:w="9560" w:type="dxa"/>
            <w:vAlign w:val="bottom"/>
            <w:gridSpan w:val="4"/>
          </w:tcPr>
          <w:p>
            <w:pPr>
              <w:spacing w:after="0"/>
              <w:rPr>
                <w:sz w:val="20"/>
                <w:szCs w:val="20"/>
                <w:color w:val="auto"/>
              </w:rPr>
            </w:pPr>
            <w:r>
              <w:rPr>
                <w:rFonts w:ascii="Arial" w:cs="Arial" w:eastAsia="Arial" w:hAnsi="Arial"/>
                <w:sz w:val="18"/>
                <w:szCs w:val="18"/>
                <w:color w:val="auto"/>
                <w:w w:val="91"/>
              </w:rPr>
              <w:t>Emergent BioSolutions Inc. Current Report on Form 8-K, dated August 7, 2020, formatted in XBRL (Extensible Business Reporting</w:t>
            </w:r>
          </w:p>
        </w:tc>
      </w:tr>
      <w:tr>
        <w:trPr>
          <w:trHeight w:val="216"/>
        </w:trPr>
        <w:tc>
          <w:tcPr>
            <w:tcW w:w="1580" w:type="dxa"/>
            <w:vAlign w:val="bottom"/>
          </w:tcPr>
          <w:p>
            <w:pPr>
              <w:spacing w:after="0"/>
              <w:rPr>
                <w:sz w:val="18"/>
                <w:szCs w:val="18"/>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1"/>
              </w:rPr>
              <w:t>Language): Cover Page. The instance document does not appear in the Interactive Data File because its XBRL tags are embedded</w:t>
            </w:r>
          </w:p>
        </w:tc>
      </w:tr>
      <w:tr>
        <w:trPr>
          <w:trHeight w:val="230"/>
        </w:trPr>
        <w:tc>
          <w:tcPr>
            <w:tcW w:w="1580" w:type="dxa"/>
            <w:vAlign w:val="bottom"/>
          </w:tcPr>
          <w:p>
            <w:pPr>
              <w:spacing w:after="0"/>
              <w:rPr>
                <w:sz w:val="20"/>
                <w:szCs w:val="20"/>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220" w:right="1140" w:firstLine="328"/>
        <w:spacing w:after="0" w:line="277" w:lineRule="auto"/>
        <w:tabs>
          <w:tab w:leader="none" w:pos="679" w:val="left"/>
        </w:tabs>
        <w:numPr>
          <w:ilvl w:val="0"/>
          <w:numId w:val="3"/>
        </w:numPr>
        <w:rPr>
          <w:rFonts w:ascii="Arial" w:cs="Arial" w:eastAsia="Arial" w:hAnsi="Arial"/>
          <w:sz w:val="18"/>
          <w:szCs w:val="18"/>
          <w:color w:val="2B2B2B"/>
        </w:rPr>
      </w:pPr>
      <w:r>
        <w:rPr>
          <w:rFonts w:ascii="Arial" w:cs="Arial" w:eastAsia="Arial" w:hAnsi="Arial"/>
          <w:sz w:val="18"/>
          <w:szCs w:val="18"/>
          <w:color w:val="2B2B2B"/>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EMERGENT BIOSOLUTIONS INC.</w:t>
            </w: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August 7, 2020</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Richard S. Lindahl</w:t>
            </w:r>
          </w:p>
        </w:tc>
      </w:tr>
      <w:tr>
        <w:trPr>
          <w:trHeight w:val="195"/>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 Lindahl</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432"/>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4.1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AND EACH OF THE GUARANTORS FROM TIME TO TIME PARTY HERETO</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3.875% SENIOR UNSECURED NOTES DUE 2028</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August 7, 2020</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640" w:type="dxa"/>
            <w:vAlign w:val="bottom"/>
          </w:tcPr>
          <w:p>
            <w:pPr>
              <w:jc w:val="center"/>
              <w:ind w:left="1070"/>
              <w:spacing w:after="0"/>
              <w:rPr>
                <w:sz w:val="20"/>
                <w:szCs w:val="20"/>
                <w:color w:val="auto"/>
              </w:rPr>
            </w:pPr>
            <w:r>
              <w:rPr>
                <w:rFonts w:ascii="Arial" w:cs="Arial" w:eastAsia="Arial" w:hAnsi="Arial"/>
                <w:sz w:val="18"/>
                <w:szCs w:val="18"/>
                <w:b w:val="1"/>
                <w:bCs w:val="1"/>
                <w:color w:val="auto"/>
                <w:w w:val="98"/>
              </w:rPr>
              <w:t>TABLE OF CONTENTS</w:t>
            </w: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38"/>
        </w:trPr>
        <w:tc>
          <w:tcPr>
            <w:tcW w:w="1220" w:type="dxa"/>
            <w:vAlign w:val="bottom"/>
          </w:tcPr>
          <w:p>
            <w:pPr>
              <w:spacing w:after="0"/>
              <w:rPr>
                <w:sz w:val="24"/>
                <w:szCs w:val="24"/>
                <w:color w:val="auto"/>
              </w:rPr>
            </w:pPr>
          </w:p>
        </w:tc>
        <w:tc>
          <w:tcPr>
            <w:tcW w:w="764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I</w:t>
            </w:r>
          </w:p>
        </w:tc>
        <w:tc>
          <w:tcPr>
            <w:tcW w:w="20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DEFINITIONS AND INCORPORATION BY REFERENCE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1.01</w:t>
            </w:r>
          </w:p>
        </w:tc>
        <w:tc>
          <w:tcPr>
            <w:tcW w:w="76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1.02</w:t>
            </w:r>
          </w:p>
        </w:tc>
        <w:tc>
          <w:tcPr>
            <w:tcW w:w="7640" w:type="dxa"/>
            <w:vAlign w:val="bottom"/>
          </w:tcPr>
          <w:p>
            <w:pPr>
              <w:ind w:left="140"/>
              <w:spacing w:after="0"/>
              <w:rPr>
                <w:sz w:val="20"/>
                <w:szCs w:val="20"/>
                <w:color w:val="auto"/>
              </w:rPr>
            </w:pPr>
            <w:r>
              <w:rPr>
                <w:rFonts w:ascii="Arial" w:cs="Arial" w:eastAsia="Arial" w:hAnsi="Arial"/>
                <w:sz w:val="18"/>
                <w:szCs w:val="18"/>
                <w:color w:val="auto"/>
              </w:rPr>
              <w:t>Other Definitions.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1.03</w:t>
            </w:r>
          </w:p>
        </w:tc>
        <w:tc>
          <w:tcPr>
            <w:tcW w:w="7640" w:type="dxa"/>
            <w:vAlign w:val="bottom"/>
          </w:tcPr>
          <w:p>
            <w:pPr>
              <w:ind w:left="140"/>
              <w:spacing w:after="0"/>
              <w:rPr>
                <w:sz w:val="20"/>
                <w:szCs w:val="20"/>
                <w:color w:val="auto"/>
              </w:rPr>
            </w:pPr>
            <w:r>
              <w:rPr>
                <w:rFonts w:ascii="Arial" w:cs="Arial" w:eastAsia="Arial" w:hAnsi="Arial"/>
                <w:sz w:val="18"/>
                <w:szCs w:val="18"/>
                <w:color w:val="auto"/>
              </w:rPr>
              <w:t>Rules of Construction.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1.04</w:t>
            </w:r>
          </w:p>
        </w:tc>
        <w:tc>
          <w:tcPr>
            <w:tcW w:w="7640" w:type="dxa"/>
            <w:vAlign w:val="bottom"/>
          </w:tcPr>
          <w:p>
            <w:pPr>
              <w:ind w:left="140"/>
              <w:spacing w:after="0"/>
              <w:rPr>
                <w:sz w:val="20"/>
                <w:szCs w:val="20"/>
                <w:color w:val="auto"/>
              </w:rPr>
            </w:pPr>
            <w:r>
              <w:rPr>
                <w:rFonts w:ascii="Arial" w:cs="Arial" w:eastAsia="Arial" w:hAnsi="Arial"/>
                <w:sz w:val="18"/>
                <w:szCs w:val="18"/>
                <w:color w:val="auto"/>
              </w:rPr>
              <w:t>Certain Calculations under this Indenture.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1220" w:type="dxa"/>
            <w:vAlign w:val="bottom"/>
            <w:vMerge w:val="restart"/>
          </w:tcPr>
          <w:p>
            <w:pPr>
              <w:spacing w:after="0"/>
              <w:rPr>
                <w:sz w:val="20"/>
                <w:szCs w:val="20"/>
                <w:color w:val="auto"/>
              </w:rPr>
            </w:pPr>
            <w:r>
              <w:rPr>
                <w:rFonts w:ascii="Arial" w:cs="Arial" w:eastAsia="Arial" w:hAnsi="Arial"/>
                <w:sz w:val="18"/>
                <w:szCs w:val="18"/>
                <w:color w:val="auto"/>
              </w:rPr>
              <w:t>THE NOTES</w:t>
            </w:r>
          </w:p>
        </w:tc>
        <w:tc>
          <w:tcPr>
            <w:tcW w:w="764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II</w:t>
            </w:r>
          </w:p>
        </w:tc>
        <w:tc>
          <w:tcPr>
            <w:tcW w:w="238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2.01</w:t>
            </w:r>
          </w:p>
        </w:tc>
        <w:tc>
          <w:tcPr>
            <w:tcW w:w="7640" w:type="dxa"/>
            <w:vAlign w:val="bottom"/>
          </w:tcPr>
          <w:p>
            <w:pPr>
              <w:ind w:left="140"/>
              <w:spacing w:after="0"/>
              <w:rPr>
                <w:sz w:val="20"/>
                <w:szCs w:val="20"/>
                <w:color w:val="auto"/>
              </w:rPr>
            </w:pPr>
            <w:r>
              <w:rPr>
                <w:rFonts w:ascii="Arial" w:cs="Arial" w:eastAsia="Arial" w:hAnsi="Arial"/>
                <w:sz w:val="18"/>
                <w:szCs w:val="18"/>
                <w:color w:val="auto"/>
              </w:rPr>
              <w:t>Form and Dating.</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2.02</w:t>
            </w:r>
          </w:p>
        </w:tc>
        <w:tc>
          <w:tcPr>
            <w:tcW w:w="7640" w:type="dxa"/>
            <w:vAlign w:val="bottom"/>
          </w:tcPr>
          <w:p>
            <w:pPr>
              <w:ind w:left="140"/>
              <w:spacing w:after="0"/>
              <w:rPr>
                <w:sz w:val="20"/>
                <w:szCs w:val="20"/>
                <w:color w:val="auto"/>
              </w:rPr>
            </w:pPr>
            <w:r>
              <w:rPr>
                <w:rFonts w:ascii="Arial" w:cs="Arial" w:eastAsia="Arial" w:hAnsi="Arial"/>
                <w:sz w:val="18"/>
                <w:szCs w:val="18"/>
                <w:color w:val="auto"/>
              </w:rPr>
              <w:t>Execution and Authentication.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2.03</w:t>
            </w:r>
          </w:p>
        </w:tc>
        <w:tc>
          <w:tcPr>
            <w:tcW w:w="7640" w:type="dxa"/>
            <w:vAlign w:val="bottom"/>
          </w:tcPr>
          <w:p>
            <w:pPr>
              <w:ind w:left="140"/>
              <w:spacing w:after="0"/>
              <w:rPr>
                <w:sz w:val="20"/>
                <w:szCs w:val="20"/>
                <w:color w:val="auto"/>
              </w:rPr>
            </w:pPr>
            <w:r>
              <w:rPr>
                <w:rFonts w:ascii="Arial" w:cs="Arial" w:eastAsia="Arial" w:hAnsi="Arial"/>
                <w:sz w:val="18"/>
                <w:szCs w:val="18"/>
                <w:color w:val="auto"/>
              </w:rPr>
              <w:t>Registrar and Paying Agent.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2.04</w:t>
            </w:r>
          </w:p>
        </w:tc>
        <w:tc>
          <w:tcPr>
            <w:tcW w:w="7640" w:type="dxa"/>
            <w:vAlign w:val="bottom"/>
          </w:tcPr>
          <w:p>
            <w:pPr>
              <w:ind w:left="140"/>
              <w:spacing w:after="0"/>
              <w:rPr>
                <w:sz w:val="20"/>
                <w:szCs w:val="20"/>
                <w:color w:val="auto"/>
              </w:rPr>
            </w:pPr>
            <w:r>
              <w:rPr>
                <w:rFonts w:ascii="Arial" w:cs="Arial" w:eastAsia="Arial" w:hAnsi="Arial"/>
                <w:sz w:val="18"/>
                <w:szCs w:val="18"/>
                <w:color w:val="auto"/>
              </w:rPr>
              <w:t>Paying Agent to Hold Money in Trust.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2.05</w:t>
            </w:r>
          </w:p>
        </w:tc>
        <w:tc>
          <w:tcPr>
            <w:tcW w:w="7640" w:type="dxa"/>
            <w:vAlign w:val="bottom"/>
          </w:tcPr>
          <w:p>
            <w:pPr>
              <w:ind w:left="140"/>
              <w:spacing w:after="0"/>
              <w:rPr>
                <w:sz w:val="20"/>
                <w:szCs w:val="20"/>
                <w:color w:val="auto"/>
              </w:rPr>
            </w:pPr>
            <w:r>
              <w:rPr>
                <w:rFonts w:ascii="Arial" w:cs="Arial" w:eastAsia="Arial" w:hAnsi="Arial"/>
                <w:sz w:val="18"/>
                <w:szCs w:val="18"/>
                <w:color w:val="auto"/>
              </w:rPr>
              <w:t>Holder Lists.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2.06</w:t>
            </w:r>
          </w:p>
        </w:tc>
        <w:tc>
          <w:tcPr>
            <w:tcW w:w="7640" w:type="dxa"/>
            <w:vAlign w:val="bottom"/>
          </w:tcPr>
          <w:p>
            <w:pPr>
              <w:ind w:left="140"/>
              <w:spacing w:after="0"/>
              <w:rPr>
                <w:sz w:val="20"/>
                <w:szCs w:val="20"/>
                <w:color w:val="auto"/>
              </w:rPr>
            </w:pPr>
            <w:r>
              <w:rPr>
                <w:rFonts w:ascii="Arial" w:cs="Arial" w:eastAsia="Arial" w:hAnsi="Arial"/>
                <w:sz w:val="18"/>
                <w:szCs w:val="18"/>
                <w:color w:val="auto"/>
              </w:rPr>
              <w:t>Transfer and Exchange.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2.07</w:t>
            </w:r>
          </w:p>
        </w:tc>
        <w:tc>
          <w:tcPr>
            <w:tcW w:w="7640" w:type="dxa"/>
            <w:vAlign w:val="bottom"/>
          </w:tcPr>
          <w:p>
            <w:pPr>
              <w:ind w:left="140"/>
              <w:spacing w:after="0"/>
              <w:rPr>
                <w:sz w:val="20"/>
                <w:szCs w:val="20"/>
                <w:color w:val="auto"/>
              </w:rPr>
            </w:pPr>
            <w:r>
              <w:rPr>
                <w:rFonts w:ascii="Arial" w:cs="Arial" w:eastAsia="Arial" w:hAnsi="Arial"/>
                <w:sz w:val="18"/>
                <w:szCs w:val="18"/>
                <w:color w:val="auto"/>
              </w:rPr>
              <w:t>Replacement Notes.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2.08</w:t>
            </w:r>
          </w:p>
        </w:tc>
        <w:tc>
          <w:tcPr>
            <w:tcW w:w="7640" w:type="dxa"/>
            <w:vAlign w:val="bottom"/>
          </w:tcPr>
          <w:p>
            <w:pPr>
              <w:ind w:left="140"/>
              <w:spacing w:after="0"/>
              <w:rPr>
                <w:sz w:val="20"/>
                <w:szCs w:val="20"/>
                <w:color w:val="auto"/>
              </w:rPr>
            </w:pPr>
            <w:r>
              <w:rPr>
                <w:rFonts w:ascii="Arial" w:cs="Arial" w:eastAsia="Arial" w:hAnsi="Arial"/>
                <w:sz w:val="18"/>
                <w:szCs w:val="18"/>
                <w:color w:val="auto"/>
              </w:rPr>
              <w:t>Outstanding Notes.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2.09</w:t>
            </w:r>
          </w:p>
        </w:tc>
        <w:tc>
          <w:tcPr>
            <w:tcW w:w="7640" w:type="dxa"/>
            <w:vAlign w:val="bottom"/>
          </w:tcPr>
          <w:p>
            <w:pPr>
              <w:ind w:left="140"/>
              <w:spacing w:after="0"/>
              <w:rPr>
                <w:sz w:val="20"/>
                <w:szCs w:val="20"/>
                <w:color w:val="auto"/>
              </w:rPr>
            </w:pPr>
            <w:r>
              <w:rPr>
                <w:rFonts w:ascii="Arial" w:cs="Arial" w:eastAsia="Arial" w:hAnsi="Arial"/>
                <w:sz w:val="18"/>
                <w:szCs w:val="18"/>
                <w:color w:val="auto"/>
              </w:rPr>
              <w:t>Treasury Notes.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2.10</w:t>
            </w:r>
          </w:p>
        </w:tc>
        <w:tc>
          <w:tcPr>
            <w:tcW w:w="7640" w:type="dxa"/>
            <w:vAlign w:val="bottom"/>
          </w:tcPr>
          <w:p>
            <w:pPr>
              <w:ind w:left="140"/>
              <w:spacing w:after="0"/>
              <w:rPr>
                <w:sz w:val="20"/>
                <w:szCs w:val="20"/>
                <w:color w:val="auto"/>
              </w:rPr>
            </w:pPr>
            <w:r>
              <w:rPr>
                <w:rFonts w:ascii="Arial" w:cs="Arial" w:eastAsia="Arial" w:hAnsi="Arial"/>
                <w:sz w:val="18"/>
                <w:szCs w:val="18"/>
                <w:color w:val="auto"/>
              </w:rPr>
              <w:t>Temporary Notes.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2.11</w:t>
            </w:r>
          </w:p>
        </w:tc>
        <w:tc>
          <w:tcPr>
            <w:tcW w:w="764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2.12</w:t>
            </w:r>
          </w:p>
        </w:tc>
        <w:tc>
          <w:tcPr>
            <w:tcW w:w="7640" w:type="dxa"/>
            <w:vAlign w:val="bottom"/>
          </w:tcPr>
          <w:p>
            <w:pPr>
              <w:ind w:left="140"/>
              <w:spacing w:after="0"/>
              <w:rPr>
                <w:sz w:val="20"/>
                <w:szCs w:val="20"/>
                <w:color w:val="auto"/>
              </w:rPr>
            </w:pPr>
            <w:r>
              <w:rPr>
                <w:rFonts w:ascii="Arial" w:cs="Arial" w:eastAsia="Arial" w:hAnsi="Arial"/>
                <w:sz w:val="18"/>
                <w:szCs w:val="18"/>
                <w:color w:val="auto"/>
              </w:rPr>
              <w:t>Defaulted Interest.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2.13</w:t>
            </w:r>
          </w:p>
        </w:tc>
        <w:tc>
          <w:tcPr>
            <w:tcW w:w="7640" w:type="dxa"/>
            <w:vAlign w:val="bottom"/>
          </w:tcPr>
          <w:p>
            <w:pPr>
              <w:ind w:left="140"/>
              <w:spacing w:after="0"/>
              <w:rPr>
                <w:sz w:val="20"/>
                <w:szCs w:val="20"/>
                <w:color w:val="auto"/>
              </w:rPr>
            </w:pPr>
            <w:r>
              <w:rPr>
                <w:rFonts w:ascii="Arial" w:cs="Arial" w:eastAsia="Arial" w:hAnsi="Arial"/>
                <w:sz w:val="18"/>
                <w:szCs w:val="18"/>
                <w:color w:val="auto"/>
              </w:rPr>
              <w:t>CUSIP, ISIN and Common Code Numbers.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4"/>
                <w:szCs w:val="24"/>
                <w:color w:val="auto"/>
              </w:rPr>
            </w:pPr>
          </w:p>
        </w:tc>
        <w:tc>
          <w:tcPr>
            <w:tcW w:w="764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III</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REDEMPTION AND PREPAYMENT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3.01</w:t>
            </w:r>
          </w:p>
        </w:tc>
        <w:tc>
          <w:tcPr>
            <w:tcW w:w="7640" w:type="dxa"/>
            <w:vAlign w:val="bottom"/>
          </w:tcPr>
          <w:p>
            <w:pPr>
              <w:ind w:left="140"/>
              <w:spacing w:after="0"/>
              <w:rPr>
                <w:sz w:val="20"/>
                <w:szCs w:val="20"/>
                <w:color w:val="auto"/>
              </w:rPr>
            </w:pPr>
            <w:r>
              <w:rPr>
                <w:rFonts w:ascii="Arial" w:cs="Arial" w:eastAsia="Arial" w:hAnsi="Arial"/>
                <w:sz w:val="18"/>
                <w:szCs w:val="18"/>
                <w:color w:val="auto"/>
              </w:rPr>
              <w:t>Notices to Trustee.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3.02</w:t>
            </w:r>
          </w:p>
        </w:tc>
        <w:tc>
          <w:tcPr>
            <w:tcW w:w="7640" w:type="dxa"/>
            <w:vAlign w:val="bottom"/>
          </w:tcPr>
          <w:p>
            <w:pPr>
              <w:ind w:left="140"/>
              <w:spacing w:after="0"/>
              <w:rPr>
                <w:sz w:val="20"/>
                <w:szCs w:val="20"/>
                <w:color w:val="auto"/>
              </w:rPr>
            </w:pPr>
            <w:r>
              <w:rPr>
                <w:rFonts w:ascii="Arial" w:cs="Arial" w:eastAsia="Arial" w:hAnsi="Arial"/>
                <w:sz w:val="18"/>
                <w:szCs w:val="18"/>
                <w:color w:val="auto"/>
              </w:rPr>
              <w:t>Selection of Notes to Be Redeemed or Purchased.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3.03</w:t>
            </w:r>
          </w:p>
        </w:tc>
        <w:tc>
          <w:tcPr>
            <w:tcW w:w="7640" w:type="dxa"/>
            <w:vAlign w:val="bottom"/>
          </w:tcPr>
          <w:p>
            <w:pPr>
              <w:ind w:left="140"/>
              <w:spacing w:after="0"/>
              <w:rPr>
                <w:sz w:val="20"/>
                <w:szCs w:val="20"/>
                <w:color w:val="auto"/>
              </w:rPr>
            </w:pPr>
            <w:r>
              <w:rPr>
                <w:rFonts w:ascii="Arial" w:cs="Arial" w:eastAsia="Arial" w:hAnsi="Arial"/>
                <w:sz w:val="18"/>
                <w:szCs w:val="18"/>
                <w:color w:val="auto"/>
              </w:rPr>
              <w:t>Notice of Redemption.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3.04</w:t>
            </w:r>
          </w:p>
        </w:tc>
        <w:tc>
          <w:tcPr>
            <w:tcW w:w="7640" w:type="dxa"/>
            <w:vAlign w:val="bottom"/>
          </w:tcPr>
          <w:p>
            <w:pPr>
              <w:ind w:left="140"/>
              <w:spacing w:after="0"/>
              <w:rPr>
                <w:sz w:val="20"/>
                <w:szCs w:val="20"/>
                <w:color w:val="auto"/>
              </w:rPr>
            </w:pPr>
            <w:r>
              <w:rPr>
                <w:rFonts w:ascii="Arial" w:cs="Arial" w:eastAsia="Arial" w:hAnsi="Arial"/>
                <w:sz w:val="18"/>
                <w:szCs w:val="18"/>
                <w:color w:val="auto"/>
              </w:rPr>
              <w:t>Effect of Notice of Redemption.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3.05</w:t>
            </w:r>
          </w:p>
        </w:tc>
        <w:tc>
          <w:tcPr>
            <w:tcW w:w="7640" w:type="dxa"/>
            <w:vAlign w:val="bottom"/>
          </w:tcPr>
          <w:p>
            <w:pPr>
              <w:ind w:left="140"/>
              <w:spacing w:after="0"/>
              <w:rPr>
                <w:sz w:val="20"/>
                <w:szCs w:val="20"/>
                <w:color w:val="auto"/>
              </w:rPr>
            </w:pPr>
            <w:r>
              <w:rPr>
                <w:rFonts w:ascii="Arial" w:cs="Arial" w:eastAsia="Arial" w:hAnsi="Arial"/>
                <w:sz w:val="18"/>
                <w:szCs w:val="18"/>
                <w:color w:val="auto"/>
              </w:rPr>
              <w:t>Deposit of Redemption or Purchase Price.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3.06</w:t>
            </w:r>
          </w:p>
        </w:tc>
        <w:tc>
          <w:tcPr>
            <w:tcW w:w="7640" w:type="dxa"/>
            <w:vAlign w:val="bottom"/>
          </w:tcPr>
          <w:p>
            <w:pPr>
              <w:ind w:left="140"/>
              <w:spacing w:after="0"/>
              <w:rPr>
                <w:sz w:val="20"/>
                <w:szCs w:val="20"/>
                <w:color w:val="auto"/>
              </w:rPr>
            </w:pPr>
            <w:r>
              <w:rPr>
                <w:rFonts w:ascii="Arial" w:cs="Arial" w:eastAsia="Arial" w:hAnsi="Arial"/>
                <w:sz w:val="18"/>
                <w:szCs w:val="18"/>
                <w:color w:val="auto"/>
              </w:rPr>
              <w:t>Notes Redeemed or Purchased in Part.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3.07</w:t>
            </w:r>
          </w:p>
        </w:tc>
        <w:tc>
          <w:tcPr>
            <w:tcW w:w="7640" w:type="dxa"/>
            <w:vAlign w:val="bottom"/>
          </w:tcPr>
          <w:p>
            <w:pPr>
              <w:ind w:left="140"/>
              <w:spacing w:after="0"/>
              <w:rPr>
                <w:sz w:val="20"/>
                <w:szCs w:val="20"/>
                <w:color w:val="auto"/>
              </w:rPr>
            </w:pPr>
            <w:r>
              <w:rPr>
                <w:rFonts w:ascii="Arial" w:cs="Arial" w:eastAsia="Arial" w:hAnsi="Arial"/>
                <w:sz w:val="18"/>
                <w:szCs w:val="18"/>
                <w:color w:val="auto"/>
              </w:rPr>
              <w:t>Optional Redemption.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3.08</w:t>
            </w:r>
          </w:p>
        </w:tc>
        <w:tc>
          <w:tcPr>
            <w:tcW w:w="7640" w:type="dxa"/>
            <w:vAlign w:val="bottom"/>
          </w:tcPr>
          <w:p>
            <w:pPr>
              <w:ind w:left="140"/>
              <w:spacing w:after="0"/>
              <w:rPr>
                <w:sz w:val="20"/>
                <w:szCs w:val="20"/>
                <w:color w:val="auto"/>
              </w:rPr>
            </w:pPr>
            <w:r>
              <w:rPr>
                <w:rFonts w:ascii="Arial" w:cs="Arial" w:eastAsia="Arial" w:hAnsi="Arial"/>
                <w:sz w:val="18"/>
                <w:szCs w:val="18"/>
                <w:color w:val="auto"/>
              </w:rPr>
              <w:t>Mandatory Redemption.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3.09</w:t>
            </w:r>
          </w:p>
        </w:tc>
        <w:tc>
          <w:tcPr>
            <w:tcW w:w="7640" w:type="dxa"/>
            <w:vAlign w:val="bottom"/>
          </w:tcPr>
          <w:p>
            <w:pPr>
              <w:ind w:left="140"/>
              <w:spacing w:after="0"/>
              <w:rPr>
                <w:sz w:val="20"/>
                <w:szCs w:val="20"/>
                <w:color w:val="auto"/>
              </w:rPr>
            </w:pPr>
            <w:r>
              <w:rPr>
                <w:rFonts w:ascii="Arial" w:cs="Arial" w:eastAsia="Arial" w:hAnsi="Arial"/>
                <w:sz w:val="18"/>
                <w:szCs w:val="18"/>
                <w:color w:val="auto"/>
              </w:rPr>
              <w:t>Offer to Purchase by Application of Excess Proceeds.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32"/>
        </w:trPr>
        <w:tc>
          <w:tcPr>
            <w:tcW w:w="1220" w:type="dxa"/>
            <w:vAlign w:val="bottom"/>
            <w:vMerge w:val="restart"/>
          </w:tcPr>
          <w:p>
            <w:pPr>
              <w:spacing w:after="0"/>
              <w:rPr>
                <w:sz w:val="20"/>
                <w:szCs w:val="20"/>
                <w:color w:val="auto"/>
              </w:rPr>
            </w:pPr>
            <w:r>
              <w:rPr>
                <w:rFonts w:ascii="Arial" w:cs="Arial" w:eastAsia="Arial" w:hAnsi="Arial"/>
                <w:sz w:val="18"/>
                <w:szCs w:val="18"/>
                <w:color w:val="auto"/>
              </w:rPr>
              <w:t>COVENANTS</w:t>
            </w:r>
          </w:p>
        </w:tc>
        <w:tc>
          <w:tcPr>
            <w:tcW w:w="7640" w:type="dxa"/>
            <w:vAlign w:val="bottom"/>
          </w:tcPr>
          <w:p>
            <w:pPr>
              <w:ind w:left="4080"/>
              <w:spacing w:after="0"/>
              <w:rPr>
                <w:sz w:val="20"/>
                <w:szCs w:val="20"/>
                <w:color w:val="auto"/>
              </w:rPr>
            </w:pPr>
            <w:r>
              <w:rPr>
                <w:rFonts w:ascii="Arial" w:cs="Arial" w:eastAsia="Arial" w:hAnsi="Arial"/>
                <w:sz w:val="18"/>
                <w:szCs w:val="18"/>
                <w:b w:val="1"/>
                <w:bCs w:val="1"/>
                <w:color w:val="auto"/>
              </w:rPr>
              <w:t>ARTICLE IV</w:t>
            </w:r>
          </w:p>
        </w:tc>
        <w:tc>
          <w:tcPr>
            <w:tcW w:w="2380" w:type="dxa"/>
            <w:vAlign w:val="bottom"/>
            <w:gridSpan w:val="2"/>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4.01</w:t>
            </w:r>
          </w:p>
        </w:tc>
        <w:tc>
          <w:tcPr>
            <w:tcW w:w="7640" w:type="dxa"/>
            <w:vAlign w:val="bottom"/>
          </w:tcPr>
          <w:p>
            <w:pPr>
              <w:ind w:left="140"/>
              <w:spacing w:after="0"/>
              <w:rPr>
                <w:sz w:val="20"/>
                <w:szCs w:val="20"/>
                <w:color w:val="auto"/>
              </w:rPr>
            </w:pPr>
            <w:r>
              <w:rPr>
                <w:rFonts w:ascii="Arial" w:cs="Arial" w:eastAsia="Arial" w:hAnsi="Arial"/>
                <w:sz w:val="18"/>
                <w:szCs w:val="18"/>
                <w:color w:val="auto"/>
              </w:rPr>
              <w:t>Payment of Notes.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4.02</w:t>
            </w:r>
          </w:p>
        </w:tc>
        <w:tc>
          <w:tcPr>
            <w:tcW w:w="7640" w:type="dxa"/>
            <w:vAlign w:val="bottom"/>
          </w:tcPr>
          <w:p>
            <w:pPr>
              <w:ind w:left="140"/>
              <w:spacing w:after="0"/>
              <w:rPr>
                <w:sz w:val="20"/>
                <w:szCs w:val="20"/>
                <w:color w:val="auto"/>
              </w:rPr>
            </w:pPr>
            <w:r>
              <w:rPr>
                <w:rFonts w:ascii="Arial" w:cs="Arial" w:eastAsia="Arial" w:hAnsi="Arial"/>
                <w:sz w:val="18"/>
                <w:szCs w:val="18"/>
                <w:color w:val="auto"/>
              </w:rPr>
              <w:t>Maintenance of Office or Agency.</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4.03</w:t>
            </w:r>
          </w:p>
        </w:tc>
        <w:tc>
          <w:tcPr>
            <w:tcW w:w="7640" w:type="dxa"/>
            <w:vAlign w:val="bottom"/>
          </w:tcPr>
          <w:p>
            <w:pPr>
              <w:ind w:left="140"/>
              <w:spacing w:after="0"/>
              <w:rPr>
                <w:sz w:val="20"/>
                <w:szCs w:val="20"/>
                <w:color w:val="auto"/>
              </w:rPr>
            </w:pPr>
            <w:r>
              <w:rPr>
                <w:rFonts w:ascii="Arial" w:cs="Arial" w:eastAsia="Arial" w:hAnsi="Arial"/>
                <w:sz w:val="18"/>
                <w:szCs w:val="18"/>
                <w:color w:val="auto"/>
              </w:rPr>
              <w:t>Reports.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4.04</w:t>
            </w:r>
          </w:p>
        </w:tc>
        <w:tc>
          <w:tcPr>
            <w:tcW w:w="7640" w:type="dxa"/>
            <w:vAlign w:val="bottom"/>
          </w:tcPr>
          <w:p>
            <w:pPr>
              <w:ind w:left="140"/>
              <w:spacing w:after="0"/>
              <w:rPr>
                <w:sz w:val="20"/>
                <w:szCs w:val="20"/>
                <w:color w:val="auto"/>
              </w:rPr>
            </w:pPr>
            <w:r>
              <w:rPr>
                <w:rFonts w:ascii="Arial" w:cs="Arial" w:eastAsia="Arial" w:hAnsi="Arial"/>
                <w:sz w:val="18"/>
                <w:szCs w:val="18"/>
                <w:color w:val="auto"/>
              </w:rPr>
              <w:t>Compliance Certificate.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4.05</w:t>
            </w:r>
          </w:p>
        </w:tc>
        <w:tc>
          <w:tcPr>
            <w:tcW w:w="7640" w:type="dxa"/>
            <w:vAlign w:val="bottom"/>
          </w:tcPr>
          <w:p>
            <w:pPr>
              <w:ind w:left="140"/>
              <w:spacing w:after="0"/>
              <w:rPr>
                <w:sz w:val="20"/>
                <w:szCs w:val="20"/>
                <w:color w:val="auto"/>
              </w:rPr>
            </w:pPr>
            <w:r>
              <w:rPr>
                <w:rFonts w:ascii="Arial" w:cs="Arial" w:eastAsia="Arial" w:hAnsi="Arial"/>
                <w:sz w:val="18"/>
                <w:szCs w:val="18"/>
                <w:color w:val="auto"/>
              </w:rPr>
              <w:t>Taxes.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4.06</w:t>
            </w:r>
          </w:p>
        </w:tc>
        <w:tc>
          <w:tcPr>
            <w:tcW w:w="7640" w:type="dxa"/>
            <w:vAlign w:val="bottom"/>
          </w:tcPr>
          <w:p>
            <w:pPr>
              <w:ind w:left="140"/>
              <w:spacing w:after="0"/>
              <w:rPr>
                <w:sz w:val="20"/>
                <w:szCs w:val="20"/>
                <w:color w:val="auto"/>
              </w:rPr>
            </w:pPr>
            <w:r>
              <w:rPr>
                <w:rFonts w:ascii="Arial" w:cs="Arial" w:eastAsia="Arial" w:hAnsi="Arial"/>
                <w:sz w:val="18"/>
                <w:szCs w:val="18"/>
                <w:color w:val="auto"/>
              </w:rPr>
              <w:t>Stay, Extension and Usury Laws.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4.07</w:t>
            </w:r>
          </w:p>
        </w:tc>
        <w:tc>
          <w:tcPr>
            <w:tcW w:w="7640" w:type="dxa"/>
            <w:vAlign w:val="bottom"/>
          </w:tcPr>
          <w:p>
            <w:pPr>
              <w:ind w:left="140"/>
              <w:spacing w:after="0"/>
              <w:rPr>
                <w:sz w:val="20"/>
                <w:szCs w:val="20"/>
                <w:color w:val="auto"/>
              </w:rPr>
            </w:pPr>
            <w:r>
              <w:rPr>
                <w:rFonts w:ascii="Arial" w:cs="Arial" w:eastAsia="Arial" w:hAnsi="Arial"/>
                <w:sz w:val="18"/>
                <w:szCs w:val="18"/>
                <w:color w:val="auto"/>
              </w:rPr>
              <w:t>Restricted Payments.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4.08</w:t>
            </w:r>
          </w:p>
        </w:tc>
        <w:tc>
          <w:tcPr>
            <w:tcW w:w="7640" w:type="dxa"/>
            <w:vAlign w:val="bottom"/>
          </w:tcPr>
          <w:p>
            <w:pPr>
              <w:ind w:left="140"/>
              <w:spacing w:after="0"/>
              <w:rPr>
                <w:sz w:val="20"/>
                <w:szCs w:val="20"/>
                <w:color w:val="auto"/>
              </w:rPr>
            </w:pPr>
            <w:r>
              <w:rPr>
                <w:rFonts w:ascii="Arial" w:cs="Arial" w:eastAsia="Arial" w:hAnsi="Arial"/>
                <w:sz w:val="18"/>
                <w:szCs w:val="18"/>
                <w:color w:val="auto"/>
              </w:rPr>
              <w:t>Dividend and Other Payment Restrictions Affecting Restricted Subsidiaries.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4.09</w:t>
            </w:r>
          </w:p>
        </w:tc>
        <w:tc>
          <w:tcPr>
            <w:tcW w:w="7640" w:type="dxa"/>
            <w:vAlign w:val="bottom"/>
          </w:tcPr>
          <w:p>
            <w:pPr>
              <w:ind w:left="140"/>
              <w:spacing w:after="0"/>
              <w:rPr>
                <w:sz w:val="20"/>
                <w:szCs w:val="20"/>
                <w:color w:val="auto"/>
              </w:rPr>
            </w:pPr>
            <w:r>
              <w:rPr>
                <w:rFonts w:ascii="Arial" w:cs="Arial" w:eastAsia="Arial" w:hAnsi="Arial"/>
                <w:sz w:val="18"/>
                <w:szCs w:val="18"/>
                <w:color w:val="auto"/>
              </w:rPr>
              <w:t>Incurrence of Indebtedness and Issuance of Preferred Stock.</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4.10</w:t>
            </w:r>
          </w:p>
        </w:tc>
        <w:tc>
          <w:tcPr>
            <w:tcW w:w="7640" w:type="dxa"/>
            <w:vAlign w:val="bottom"/>
          </w:tcPr>
          <w:p>
            <w:pPr>
              <w:ind w:left="140"/>
              <w:spacing w:after="0"/>
              <w:rPr>
                <w:sz w:val="20"/>
                <w:szCs w:val="20"/>
                <w:color w:val="auto"/>
              </w:rPr>
            </w:pPr>
            <w:r>
              <w:rPr>
                <w:rFonts w:ascii="Arial" w:cs="Arial" w:eastAsia="Arial" w:hAnsi="Arial"/>
                <w:sz w:val="18"/>
                <w:szCs w:val="18"/>
                <w:color w:val="auto"/>
              </w:rPr>
              <w:t>Asset Sales.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38"/>
        </w:trPr>
        <w:tc>
          <w:tcPr>
            <w:tcW w:w="1240" w:type="dxa"/>
            <w:vAlign w:val="bottom"/>
          </w:tcPr>
          <w:p>
            <w:pPr>
              <w:spacing w:after="0"/>
              <w:rPr>
                <w:sz w:val="20"/>
                <w:szCs w:val="20"/>
                <w:color w:val="auto"/>
              </w:rPr>
            </w:pPr>
            <w:r>
              <w:rPr>
                <w:rFonts w:ascii="Arial" w:cs="Arial" w:eastAsia="Arial" w:hAnsi="Arial"/>
                <w:sz w:val="18"/>
                <w:szCs w:val="18"/>
                <w:color w:val="auto"/>
              </w:rPr>
              <w:t>Section 4.11</w:t>
            </w:r>
          </w:p>
        </w:tc>
        <w:tc>
          <w:tcPr>
            <w:tcW w:w="848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c>
          <w:tcPr>
            <w:tcW w:w="118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4.12</w:t>
            </w:r>
          </w:p>
        </w:tc>
        <w:tc>
          <w:tcPr>
            <w:tcW w:w="8480" w:type="dxa"/>
            <w:vAlign w:val="bottom"/>
          </w:tcPr>
          <w:p>
            <w:pPr>
              <w:ind w:left="120"/>
              <w:spacing w:after="0"/>
              <w:rPr>
                <w:sz w:val="20"/>
                <w:szCs w:val="20"/>
                <w:color w:val="auto"/>
              </w:rPr>
            </w:pPr>
            <w:r>
              <w:rPr>
                <w:rFonts w:ascii="Arial" w:cs="Arial" w:eastAsia="Arial" w:hAnsi="Arial"/>
                <w:sz w:val="18"/>
                <w:szCs w:val="18"/>
                <w:color w:val="auto"/>
              </w:rPr>
              <w:t>Liens.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4.13</w:t>
            </w:r>
          </w:p>
        </w:tc>
        <w:tc>
          <w:tcPr>
            <w:tcW w:w="84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4.14</w:t>
            </w:r>
          </w:p>
        </w:tc>
        <w:tc>
          <w:tcPr>
            <w:tcW w:w="8480" w:type="dxa"/>
            <w:vAlign w:val="bottom"/>
          </w:tcPr>
          <w:p>
            <w:pPr>
              <w:ind w:left="120"/>
              <w:spacing w:after="0"/>
              <w:rPr>
                <w:sz w:val="20"/>
                <w:szCs w:val="20"/>
                <w:color w:val="auto"/>
              </w:rPr>
            </w:pPr>
            <w:r>
              <w:rPr>
                <w:rFonts w:ascii="Arial" w:cs="Arial" w:eastAsia="Arial" w:hAnsi="Arial"/>
                <w:sz w:val="18"/>
                <w:szCs w:val="18"/>
                <w:color w:val="auto"/>
              </w:rPr>
              <w:t>Corporate Existence.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4.15</w:t>
            </w:r>
          </w:p>
        </w:tc>
        <w:tc>
          <w:tcPr>
            <w:tcW w:w="8480" w:type="dxa"/>
            <w:vAlign w:val="bottom"/>
          </w:tcPr>
          <w:p>
            <w:pPr>
              <w:ind w:left="120"/>
              <w:spacing w:after="0"/>
              <w:rPr>
                <w:sz w:val="20"/>
                <w:szCs w:val="20"/>
                <w:color w:val="auto"/>
              </w:rPr>
            </w:pPr>
            <w:r>
              <w:rPr>
                <w:rFonts w:ascii="Arial" w:cs="Arial" w:eastAsia="Arial" w:hAnsi="Arial"/>
                <w:sz w:val="18"/>
                <w:szCs w:val="18"/>
                <w:color w:val="auto"/>
              </w:rPr>
              <w:t>Offer to Repurchase Upon Change of Control.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4.16</w:t>
            </w:r>
          </w:p>
        </w:tc>
        <w:tc>
          <w:tcPr>
            <w:tcW w:w="84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4.17</w:t>
            </w:r>
          </w:p>
        </w:tc>
        <w:tc>
          <w:tcPr>
            <w:tcW w:w="84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4.18</w:t>
            </w:r>
          </w:p>
        </w:tc>
        <w:tc>
          <w:tcPr>
            <w:tcW w:w="8480" w:type="dxa"/>
            <w:vAlign w:val="bottom"/>
          </w:tcPr>
          <w:p>
            <w:pPr>
              <w:ind w:left="120"/>
              <w:spacing w:after="0"/>
              <w:rPr>
                <w:sz w:val="20"/>
                <w:szCs w:val="20"/>
                <w:color w:val="auto"/>
              </w:rPr>
            </w:pPr>
            <w:r>
              <w:rPr>
                <w:rFonts w:ascii="Arial" w:cs="Arial" w:eastAsia="Arial" w:hAnsi="Arial"/>
                <w:sz w:val="18"/>
                <w:szCs w:val="18"/>
                <w:color w:val="auto"/>
              </w:rPr>
              <w:t>Additional Note Guarantees.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4.19</w:t>
            </w:r>
          </w:p>
        </w:tc>
        <w:tc>
          <w:tcPr>
            <w:tcW w:w="8480" w:type="dxa"/>
            <w:vAlign w:val="bottom"/>
          </w:tcPr>
          <w:p>
            <w:pPr>
              <w:ind w:left="120"/>
              <w:spacing w:after="0"/>
              <w:rPr>
                <w:sz w:val="20"/>
                <w:szCs w:val="20"/>
                <w:color w:val="auto"/>
              </w:rPr>
            </w:pPr>
            <w:r>
              <w:rPr>
                <w:rFonts w:ascii="Arial" w:cs="Arial" w:eastAsia="Arial" w:hAnsi="Arial"/>
                <w:sz w:val="18"/>
                <w:szCs w:val="18"/>
                <w:color w:val="auto"/>
              </w:rPr>
              <w:t>Designation of Restricted and Unrestricted Subsidiaries.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4.20</w:t>
            </w:r>
          </w:p>
        </w:tc>
        <w:tc>
          <w:tcPr>
            <w:tcW w:w="8480" w:type="dxa"/>
            <w:vAlign w:val="bottom"/>
          </w:tcPr>
          <w:p>
            <w:pPr>
              <w:ind w:left="120"/>
              <w:spacing w:after="0"/>
              <w:rPr>
                <w:sz w:val="20"/>
                <w:szCs w:val="20"/>
                <w:color w:val="auto"/>
              </w:rPr>
            </w:pPr>
            <w:r>
              <w:rPr>
                <w:rFonts w:ascii="Arial" w:cs="Arial" w:eastAsia="Arial" w:hAnsi="Arial"/>
                <w:sz w:val="18"/>
                <w:szCs w:val="18"/>
                <w:color w:val="auto"/>
              </w:rPr>
              <w:t>Covenant Suspension.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1240" w:type="dxa"/>
            <w:vAlign w:val="bottom"/>
            <w:vMerge w:val="restart"/>
          </w:tcPr>
          <w:p>
            <w:pPr>
              <w:spacing w:after="0"/>
              <w:rPr>
                <w:sz w:val="20"/>
                <w:szCs w:val="20"/>
                <w:color w:val="auto"/>
              </w:rPr>
            </w:pPr>
            <w:r>
              <w:rPr>
                <w:rFonts w:ascii="Arial" w:cs="Arial" w:eastAsia="Arial" w:hAnsi="Arial"/>
                <w:sz w:val="18"/>
                <w:szCs w:val="18"/>
                <w:color w:val="auto"/>
                <w:w w:val="96"/>
              </w:rPr>
              <w:t>SUCCESSORS</w:t>
            </w:r>
          </w:p>
        </w:tc>
        <w:tc>
          <w:tcPr>
            <w:tcW w:w="8480" w:type="dxa"/>
            <w:vAlign w:val="bottom"/>
          </w:tcPr>
          <w:p>
            <w:pPr>
              <w:jc w:val="center"/>
              <w:ind w:left="210"/>
              <w:spacing w:after="0"/>
              <w:rPr>
                <w:sz w:val="20"/>
                <w:szCs w:val="20"/>
                <w:color w:val="auto"/>
              </w:rPr>
            </w:pPr>
            <w:r>
              <w:rPr>
                <w:rFonts w:ascii="Arial" w:cs="Arial" w:eastAsia="Arial" w:hAnsi="Arial"/>
                <w:sz w:val="18"/>
                <w:szCs w:val="18"/>
                <w:b w:val="1"/>
                <w:bCs w:val="1"/>
                <w:color w:val="auto"/>
              </w:rPr>
              <w:t>ARTICLE V</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84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5.01</w:t>
            </w:r>
          </w:p>
        </w:tc>
        <w:tc>
          <w:tcPr>
            <w:tcW w:w="8480" w:type="dxa"/>
            <w:vAlign w:val="bottom"/>
          </w:tcPr>
          <w:p>
            <w:pPr>
              <w:ind w:left="120"/>
              <w:spacing w:after="0"/>
              <w:rPr>
                <w:sz w:val="20"/>
                <w:szCs w:val="20"/>
                <w:color w:val="auto"/>
              </w:rPr>
            </w:pPr>
            <w:r>
              <w:rPr>
                <w:rFonts w:ascii="Arial" w:cs="Arial" w:eastAsia="Arial" w:hAnsi="Arial"/>
                <w:sz w:val="18"/>
                <w:szCs w:val="18"/>
                <w:color w:val="auto"/>
              </w:rPr>
              <w:t>Merger, Consolidation or Sale of Assets.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5.02</w:t>
            </w:r>
          </w:p>
        </w:tc>
        <w:tc>
          <w:tcPr>
            <w:tcW w:w="8480" w:type="dxa"/>
            <w:vAlign w:val="bottom"/>
          </w:tcPr>
          <w:p>
            <w:pPr>
              <w:ind w:left="120"/>
              <w:spacing w:after="0"/>
              <w:rPr>
                <w:sz w:val="20"/>
                <w:szCs w:val="20"/>
                <w:color w:val="auto"/>
              </w:rPr>
            </w:pPr>
            <w:r>
              <w:rPr>
                <w:rFonts w:ascii="Arial" w:cs="Arial" w:eastAsia="Arial" w:hAnsi="Arial"/>
                <w:sz w:val="18"/>
                <w:szCs w:val="18"/>
                <w:color w:val="auto"/>
              </w:rPr>
              <w:t>Successor Corporation Substituted.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8480" w:type="dxa"/>
            <w:vAlign w:val="bottom"/>
          </w:tcPr>
          <w:p>
            <w:pPr>
              <w:jc w:val="center"/>
              <w:ind w:left="210"/>
              <w:spacing w:after="0"/>
              <w:rPr>
                <w:sz w:val="20"/>
                <w:szCs w:val="20"/>
                <w:color w:val="auto"/>
              </w:rPr>
            </w:pPr>
            <w:r>
              <w:rPr>
                <w:rFonts w:ascii="Arial" w:cs="Arial" w:eastAsia="Arial" w:hAnsi="Arial"/>
                <w:sz w:val="18"/>
                <w:szCs w:val="18"/>
                <w:b w:val="1"/>
                <w:bCs w:val="1"/>
                <w:color w:val="auto"/>
              </w:rPr>
              <w:t>ARTICLE VI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DEFAULTS AND REMEDIES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6.01</w:t>
            </w:r>
          </w:p>
        </w:tc>
        <w:tc>
          <w:tcPr>
            <w:tcW w:w="848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6.02</w:t>
            </w:r>
          </w:p>
        </w:tc>
        <w:tc>
          <w:tcPr>
            <w:tcW w:w="8480" w:type="dxa"/>
            <w:vAlign w:val="bottom"/>
          </w:tcPr>
          <w:p>
            <w:pPr>
              <w:ind w:left="120"/>
              <w:spacing w:after="0"/>
              <w:rPr>
                <w:sz w:val="20"/>
                <w:szCs w:val="20"/>
                <w:color w:val="auto"/>
              </w:rPr>
            </w:pPr>
            <w:r>
              <w:rPr>
                <w:rFonts w:ascii="Arial" w:cs="Arial" w:eastAsia="Arial" w:hAnsi="Arial"/>
                <w:sz w:val="18"/>
                <w:szCs w:val="18"/>
                <w:color w:val="auto"/>
              </w:rPr>
              <w:t>Acceleration.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6.03</w:t>
            </w:r>
          </w:p>
        </w:tc>
        <w:tc>
          <w:tcPr>
            <w:tcW w:w="8480" w:type="dxa"/>
            <w:vAlign w:val="bottom"/>
          </w:tcPr>
          <w:p>
            <w:pPr>
              <w:ind w:left="120"/>
              <w:spacing w:after="0"/>
              <w:rPr>
                <w:sz w:val="20"/>
                <w:szCs w:val="20"/>
                <w:color w:val="auto"/>
              </w:rPr>
            </w:pPr>
            <w:r>
              <w:rPr>
                <w:rFonts w:ascii="Arial" w:cs="Arial" w:eastAsia="Arial" w:hAnsi="Arial"/>
                <w:sz w:val="18"/>
                <w:szCs w:val="18"/>
                <w:color w:val="auto"/>
              </w:rPr>
              <w:t>Other Remedies.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6.04</w:t>
            </w:r>
          </w:p>
        </w:tc>
        <w:tc>
          <w:tcPr>
            <w:tcW w:w="8480" w:type="dxa"/>
            <w:vAlign w:val="bottom"/>
          </w:tcPr>
          <w:p>
            <w:pPr>
              <w:ind w:left="120"/>
              <w:spacing w:after="0"/>
              <w:rPr>
                <w:sz w:val="20"/>
                <w:szCs w:val="20"/>
                <w:color w:val="auto"/>
              </w:rPr>
            </w:pPr>
            <w:r>
              <w:rPr>
                <w:rFonts w:ascii="Arial" w:cs="Arial" w:eastAsia="Arial" w:hAnsi="Arial"/>
                <w:sz w:val="18"/>
                <w:szCs w:val="18"/>
                <w:color w:val="auto"/>
              </w:rPr>
              <w:t>Waiver of Past Defaults.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6.05</w:t>
            </w:r>
          </w:p>
        </w:tc>
        <w:tc>
          <w:tcPr>
            <w:tcW w:w="8480" w:type="dxa"/>
            <w:vAlign w:val="bottom"/>
          </w:tcPr>
          <w:p>
            <w:pPr>
              <w:ind w:left="120"/>
              <w:spacing w:after="0"/>
              <w:rPr>
                <w:sz w:val="20"/>
                <w:szCs w:val="20"/>
                <w:color w:val="auto"/>
              </w:rPr>
            </w:pPr>
            <w:r>
              <w:rPr>
                <w:rFonts w:ascii="Arial" w:cs="Arial" w:eastAsia="Arial" w:hAnsi="Arial"/>
                <w:sz w:val="18"/>
                <w:szCs w:val="18"/>
                <w:color w:val="auto"/>
              </w:rPr>
              <w:t>Control by Majority.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6.06</w:t>
            </w:r>
          </w:p>
        </w:tc>
        <w:tc>
          <w:tcPr>
            <w:tcW w:w="8480" w:type="dxa"/>
            <w:vAlign w:val="bottom"/>
          </w:tcPr>
          <w:p>
            <w:pPr>
              <w:ind w:left="120"/>
              <w:spacing w:after="0"/>
              <w:rPr>
                <w:sz w:val="20"/>
                <w:szCs w:val="20"/>
                <w:color w:val="auto"/>
              </w:rPr>
            </w:pPr>
            <w:r>
              <w:rPr>
                <w:rFonts w:ascii="Arial" w:cs="Arial" w:eastAsia="Arial" w:hAnsi="Arial"/>
                <w:sz w:val="18"/>
                <w:szCs w:val="18"/>
                <w:color w:val="auto"/>
              </w:rPr>
              <w:t>Limitation on Suits.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6.07</w:t>
            </w:r>
          </w:p>
        </w:tc>
        <w:tc>
          <w:tcPr>
            <w:tcW w:w="8480" w:type="dxa"/>
            <w:vAlign w:val="bottom"/>
          </w:tcPr>
          <w:p>
            <w:pPr>
              <w:ind w:left="120"/>
              <w:spacing w:after="0"/>
              <w:rPr>
                <w:sz w:val="20"/>
                <w:szCs w:val="20"/>
                <w:color w:val="auto"/>
              </w:rPr>
            </w:pPr>
            <w:r>
              <w:rPr>
                <w:rFonts w:ascii="Arial" w:cs="Arial" w:eastAsia="Arial" w:hAnsi="Arial"/>
                <w:sz w:val="18"/>
                <w:szCs w:val="18"/>
                <w:color w:val="auto"/>
              </w:rPr>
              <w:t>Rights of Holders of Notes to Receive Payment.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6.08</w:t>
            </w:r>
          </w:p>
        </w:tc>
        <w:tc>
          <w:tcPr>
            <w:tcW w:w="8480" w:type="dxa"/>
            <w:vAlign w:val="bottom"/>
          </w:tcPr>
          <w:p>
            <w:pPr>
              <w:ind w:left="120"/>
              <w:spacing w:after="0"/>
              <w:rPr>
                <w:sz w:val="20"/>
                <w:szCs w:val="20"/>
                <w:color w:val="auto"/>
              </w:rPr>
            </w:pPr>
            <w:r>
              <w:rPr>
                <w:rFonts w:ascii="Arial" w:cs="Arial" w:eastAsia="Arial" w:hAnsi="Arial"/>
                <w:sz w:val="18"/>
                <w:szCs w:val="18"/>
                <w:color w:val="auto"/>
              </w:rPr>
              <w:t>Collection Suit by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6.09</w:t>
            </w:r>
          </w:p>
        </w:tc>
        <w:tc>
          <w:tcPr>
            <w:tcW w:w="8480" w:type="dxa"/>
            <w:vAlign w:val="bottom"/>
          </w:tcPr>
          <w:p>
            <w:pPr>
              <w:ind w:left="120"/>
              <w:spacing w:after="0"/>
              <w:rPr>
                <w:sz w:val="20"/>
                <w:szCs w:val="20"/>
                <w:color w:val="auto"/>
              </w:rPr>
            </w:pPr>
            <w:r>
              <w:rPr>
                <w:rFonts w:ascii="Arial" w:cs="Arial" w:eastAsia="Arial" w:hAnsi="Arial"/>
                <w:sz w:val="18"/>
                <w:szCs w:val="18"/>
                <w:color w:val="auto"/>
              </w:rPr>
              <w:t>Trustee May File Proofs of Claim.</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8480" w:type="dxa"/>
            <w:vAlign w:val="bottom"/>
          </w:tcPr>
          <w:p>
            <w:pPr>
              <w:ind w:left="120"/>
              <w:spacing w:after="0"/>
              <w:rPr>
                <w:sz w:val="20"/>
                <w:szCs w:val="20"/>
                <w:color w:val="auto"/>
              </w:rPr>
            </w:pPr>
            <w:r>
              <w:rPr>
                <w:rFonts w:ascii="Arial" w:cs="Arial" w:eastAsia="Arial" w:hAnsi="Arial"/>
                <w:sz w:val="18"/>
                <w:szCs w:val="18"/>
                <w:color w:val="auto"/>
              </w:rPr>
              <w:t>Priorities.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6.11</w:t>
            </w:r>
          </w:p>
        </w:tc>
        <w:tc>
          <w:tcPr>
            <w:tcW w:w="848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32"/>
        </w:trPr>
        <w:tc>
          <w:tcPr>
            <w:tcW w:w="1240" w:type="dxa"/>
            <w:vAlign w:val="bottom"/>
            <w:vMerge w:val="restart"/>
          </w:tcPr>
          <w:p>
            <w:pPr>
              <w:spacing w:after="0"/>
              <w:rPr>
                <w:sz w:val="20"/>
                <w:szCs w:val="20"/>
                <w:color w:val="auto"/>
              </w:rPr>
            </w:pPr>
            <w:r>
              <w:rPr>
                <w:rFonts w:ascii="Arial" w:cs="Arial" w:eastAsia="Arial" w:hAnsi="Arial"/>
                <w:sz w:val="18"/>
                <w:szCs w:val="18"/>
                <w:color w:val="auto"/>
              </w:rPr>
              <w:t>TRUSTEE</w:t>
            </w:r>
          </w:p>
        </w:tc>
        <w:tc>
          <w:tcPr>
            <w:tcW w:w="8480" w:type="dxa"/>
            <w:vAlign w:val="bottom"/>
          </w:tcPr>
          <w:p>
            <w:pPr>
              <w:jc w:val="center"/>
              <w:ind w:left="190"/>
              <w:spacing w:after="0"/>
              <w:rPr>
                <w:sz w:val="20"/>
                <w:szCs w:val="20"/>
                <w:color w:val="auto"/>
              </w:rPr>
            </w:pPr>
            <w:r>
              <w:rPr>
                <w:rFonts w:ascii="Arial" w:cs="Arial" w:eastAsia="Arial" w:hAnsi="Arial"/>
                <w:sz w:val="18"/>
                <w:szCs w:val="18"/>
                <w:b w:val="1"/>
                <w:bCs w:val="1"/>
                <w:color w:val="auto"/>
              </w:rPr>
              <w:t>ARTICLE VII</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84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7.01</w:t>
            </w:r>
          </w:p>
        </w:tc>
        <w:tc>
          <w:tcPr>
            <w:tcW w:w="8480" w:type="dxa"/>
            <w:vAlign w:val="bottom"/>
          </w:tcPr>
          <w:p>
            <w:pPr>
              <w:ind w:left="120"/>
              <w:spacing w:after="0"/>
              <w:rPr>
                <w:sz w:val="20"/>
                <w:szCs w:val="20"/>
                <w:color w:val="auto"/>
              </w:rPr>
            </w:pPr>
            <w:r>
              <w:rPr>
                <w:rFonts w:ascii="Arial" w:cs="Arial" w:eastAsia="Arial" w:hAnsi="Arial"/>
                <w:sz w:val="18"/>
                <w:szCs w:val="18"/>
                <w:color w:val="auto"/>
              </w:rPr>
              <w:t>Duties of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7.02</w:t>
            </w:r>
          </w:p>
        </w:tc>
        <w:tc>
          <w:tcPr>
            <w:tcW w:w="8480" w:type="dxa"/>
            <w:vAlign w:val="bottom"/>
          </w:tcPr>
          <w:p>
            <w:pPr>
              <w:ind w:left="120"/>
              <w:spacing w:after="0"/>
              <w:rPr>
                <w:sz w:val="20"/>
                <w:szCs w:val="20"/>
                <w:color w:val="auto"/>
              </w:rPr>
            </w:pPr>
            <w:r>
              <w:rPr>
                <w:rFonts w:ascii="Arial" w:cs="Arial" w:eastAsia="Arial" w:hAnsi="Arial"/>
                <w:sz w:val="18"/>
                <w:szCs w:val="18"/>
                <w:color w:val="auto"/>
              </w:rPr>
              <w:t>Rights of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7.03</w:t>
            </w:r>
          </w:p>
        </w:tc>
        <w:tc>
          <w:tcPr>
            <w:tcW w:w="8480" w:type="dxa"/>
            <w:vAlign w:val="bottom"/>
          </w:tcPr>
          <w:p>
            <w:pPr>
              <w:ind w:left="120"/>
              <w:spacing w:after="0"/>
              <w:rPr>
                <w:sz w:val="20"/>
                <w:szCs w:val="20"/>
                <w:color w:val="auto"/>
              </w:rPr>
            </w:pPr>
            <w:r>
              <w:rPr>
                <w:rFonts w:ascii="Arial" w:cs="Arial" w:eastAsia="Arial" w:hAnsi="Arial"/>
                <w:sz w:val="18"/>
                <w:szCs w:val="18"/>
                <w:color w:val="auto"/>
              </w:rPr>
              <w:t>Individual Rights of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7.04</w:t>
            </w:r>
          </w:p>
        </w:tc>
        <w:tc>
          <w:tcPr>
            <w:tcW w:w="848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7.05</w:t>
            </w:r>
          </w:p>
        </w:tc>
        <w:tc>
          <w:tcPr>
            <w:tcW w:w="8480" w:type="dxa"/>
            <w:vAlign w:val="bottom"/>
          </w:tcPr>
          <w:p>
            <w:pPr>
              <w:ind w:left="120"/>
              <w:spacing w:after="0"/>
              <w:rPr>
                <w:sz w:val="20"/>
                <w:szCs w:val="20"/>
                <w:color w:val="auto"/>
              </w:rPr>
            </w:pPr>
            <w:r>
              <w:rPr>
                <w:rFonts w:ascii="Arial" w:cs="Arial" w:eastAsia="Arial" w:hAnsi="Arial"/>
                <w:sz w:val="18"/>
                <w:szCs w:val="18"/>
                <w:color w:val="auto"/>
              </w:rPr>
              <w:t>Notice of Defaults.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7.06</w:t>
            </w:r>
          </w:p>
        </w:tc>
        <w:tc>
          <w:tcPr>
            <w:tcW w:w="84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7.07</w:t>
            </w:r>
          </w:p>
        </w:tc>
        <w:tc>
          <w:tcPr>
            <w:tcW w:w="8480" w:type="dxa"/>
            <w:vAlign w:val="bottom"/>
          </w:tcPr>
          <w:p>
            <w:pPr>
              <w:ind w:left="120"/>
              <w:spacing w:after="0"/>
              <w:rPr>
                <w:sz w:val="20"/>
                <w:szCs w:val="20"/>
                <w:color w:val="auto"/>
              </w:rPr>
            </w:pPr>
            <w:r>
              <w:rPr>
                <w:rFonts w:ascii="Arial" w:cs="Arial" w:eastAsia="Arial" w:hAnsi="Arial"/>
                <w:sz w:val="18"/>
                <w:szCs w:val="18"/>
                <w:color w:val="auto"/>
              </w:rPr>
              <w:t>Compensation and Indemnity.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7.08</w:t>
            </w:r>
          </w:p>
        </w:tc>
        <w:tc>
          <w:tcPr>
            <w:tcW w:w="8480" w:type="dxa"/>
            <w:vAlign w:val="bottom"/>
          </w:tcPr>
          <w:p>
            <w:pPr>
              <w:ind w:left="120"/>
              <w:spacing w:after="0"/>
              <w:rPr>
                <w:sz w:val="20"/>
                <w:szCs w:val="20"/>
                <w:color w:val="auto"/>
              </w:rPr>
            </w:pPr>
            <w:r>
              <w:rPr>
                <w:rFonts w:ascii="Arial" w:cs="Arial" w:eastAsia="Arial" w:hAnsi="Arial"/>
                <w:sz w:val="18"/>
                <w:szCs w:val="18"/>
                <w:color w:val="auto"/>
              </w:rPr>
              <w:t>Replacement of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7.09</w:t>
            </w:r>
          </w:p>
        </w:tc>
        <w:tc>
          <w:tcPr>
            <w:tcW w:w="8480" w:type="dxa"/>
            <w:vAlign w:val="bottom"/>
          </w:tcPr>
          <w:p>
            <w:pPr>
              <w:ind w:left="120"/>
              <w:spacing w:after="0"/>
              <w:rPr>
                <w:sz w:val="20"/>
                <w:szCs w:val="20"/>
                <w:color w:val="auto"/>
              </w:rPr>
            </w:pPr>
            <w:r>
              <w:rPr>
                <w:rFonts w:ascii="Arial" w:cs="Arial" w:eastAsia="Arial" w:hAnsi="Arial"/>
                <w:sz w:val="18"/>
                <w:szCs w:val="18"/>
                <w:color w:val="auto"/>
              </w:rPr>
              <w:t>Successor Trustee by Merger, etc.</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7.10</w:t>
            </w:r>
          </w:p>
        </w:tc>
        <w:tc>
          <w:tcPr>
            <w:tcW w:w="8480" w:type="dxa"/>
            <w:vAlign w:val="bottom"/>
          </w:tcPr>
          <w:p>
            <w:pPr>
              <w:ind w:left="120"/>
              <w:spacing w:after="0"/>
              <w:rPr>
                <w:sz w:val="20"/>
                <w:szCs w:val="20"/>
                <w:color w:val="auto"/>
              </w:rPr>
            </w:pPr>
            <w:r>
              <w:rPr>
                <w:rFonts w:ascii="Arial" w:cs="Arial" w:eastAsia="Arial" w:hAnsi="Arial"/>
                <w:sz w:val="18"/>
                <w:szCs w:val="18"/>
                <w:color w:val="auto"/>
              </w:rPr>
              <w:t>Eligibility; Disqualification.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8480" w:type="dxa"/>
            <w:vAlign w:val="bottom"/>
          </w:tcPr>
          <w:p>
            <w:pPr>
              <w:jc w:val="center"/>
              <w:ind w:left="190"/>
              <w:spacing w:after="0"/>
              <w:rPr>
                <w:sz w:val="20"/>
                <w:szCs w:val="20"/>
                <w:color w:val="auto"/>
              </w:rPr>
            </w:pPr>
            <w:r>
              <w:rPr>
                <w:rFonts w:ascii="Arial" w:cs="Arial" w:eastAsia="Arial" w:hAnsi="Arial"/>
                <w:sz w:val="18"/>
                <w:szCs w:val="18"/>
                <w:b w:val="1"/>
                <w:bCs w:val="1"/>
                <w:color w:val="auto"/>
              </w:rPr>
              <w:t>ARTICLE VIII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LEGAL DEFEASANCE AND COVENANT DEFEASANCE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8.01</w:t>
            </w:r>
          </w:p>
        </w:tc>
        <w:tc>
          <w:tcPr>
            <w:tcW w:w="8480" w:type="dxa"/>
            <w:vAlign w:val="bottom"/>
          </w:tcPr>
          <w:p>
            <w:pPr>
              <w:ind w:left="120"/>
              <w:spacing w:after="0"/>
              <w:rPr>
                <w:sz w:val="20"/>
                <w:szCs w:val="20"/>
                <w:color w:val="auto"/>
              </w:rPr>
            </w:pPr>
            <w:r>
              <w:rPr>
                <w:rFonts w:ascii="Arial" w:cs="Arial" w:eastAsia="Arial" w:hAnsi="Arial"/>
                <w:sz w:val="18"/>
                <w:szCs w:val="18"/>
                <w:color w:val="auto"/>
              </w:rPr>
              <w:t>Option to Effect Legal Defeasance or Covenant Defeasance.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8.02</w:t>
            </w:r>
          </w:p>
        </w:tc>
        <w:tc>
          <w:tcPr>
            <w:tcW w:w="8480" w:type="dxa"/>
            <w:vAlign w:val="bottom"/>
          </w:tcPr>
          <w:p>
            <w:pPr>
              <w:ind w:left="120"/>
              <w:spacing w:after="0"/>
              <w:rPr>
                <w:sz w:val="20"/>
                <w:szCs w:val="20"/>
                <w:color w:val="auto"/>
              </w:rPr>
            </w:pPr>
            <w:r>
              <w:rPr>
                <w:rFonts w:ascii="Arial" w:cs="Arial" w:eastAsia="Arial" w:hAnsi="Arial"/>
                <w:sz w:val="18"/>
                <w:szCs w:val="18"/>
                <w:color w:val="auto"/>
              </w:rPr>
              <w:t>Legal Defeasance and Discharge.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8.03</w:t>
            </w:r>
          </w:p>
        </w:tc>
        <w:tc>
          <w:tcPr>
            <w:tcW w:w="8480" w:type="dxa"/>
            <w:vAlign w:val="bottom"/>
          </w:tcPr>
          <w:p>
            <w:pPr>
              <w:ind w:left="120"/>
              <w:spacing w:after="0"/>
              <w:rPr>
                <w:sz w:val="20"/>
                <w:szCs w:val="20"/>
                <w:color w:val="auto"/>
              </w:rPr>
            </w:pPr>
            <w:r>
              <w:rPr>
                <w:rFonts w:ascii="Arial" w:cs="Arial" w:eastAsia="Arial" w:hAnsi="Arial"/>
                <w:sz w:val="18"/>
                <w:szCs w:val="18"/>
                <w:color w:val="auto"/>
              </w:rPr>
              <w:t>Covenant Defeasance.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8.04</w:t>
            </w:r>
          </w:p>
        </w:tc>
        <w:tc>
          <w:tcPr>
            <w:tcW w:w="8480" w:type="dxa"/>
            <w:vAlign w:val="bottom"/>
          </w:tcPr>
          <w:p>
            <w:pPr>
              <w:ind w:left="120"/>
              <w:spacing w:after="0"/>
              <w:rPr>
                <w:sz w:val="20"/>
                <w:szCs w:val="20"/>
                <w:color w:val="auto"/>
              </w:rPr>
            </w:pPr>
            <w:r>
              <w:rPr>
                <w:rFonts w:ascii="Arial" w:cs="Arial" w:eastAsia="Arial" w:hAnsi="Arial"/>
                <w:sz w:val="18"/>
                <w:szCs w:val="18"/>
                <w:color w:val="auto"/>
              </w:rPr>
              <w:t>Conditions to Legal or Covenant Defeasance.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8.05</w:t>
            </w:r>
          </w:p>
        </w:tc>
        <w:tc>
          <w:tcPr>
            <w:tcW w:w="8480" w:type="dxa"/>
            <w:vAlign w:val="bottom"/>
          </w:tcPr>
          <w:p>
            <w:pPr>
              <w:ind w:left="12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Section 8.06</w:t>
            </w:r>
          </w:p>
        </w:tc>
        <w:tc>
          <w:tcPr>
            <w:tcW w:w="7820" w:type="dxa"/>
            <w:vAlign w:val="bottom"/>
          </w:tcPr>
          <w:p>
            <w:pPr>
              <w:ind w:left="180"/>
              <w:spacing w:after="0"/>
              <w:rPr>
                <w:sz w:val="20"/>
                <w:szCs w:val="20"/>
                <w:color w:val="auto"/>
              </w:rPr>
            </w:pPr>
            <w:r>
              <w:rPr>
                <w:rFonts w:ascii="Arial" w:cs="Arial" w:eastAsia="Arial" w:hAnsi="Arial"/>
                <w:sz w:val="18"/>
                <w:szCs w:val="18"/>
                <w:color w:val="auto"/>
              </w:rPr>
              <w:t>Repayment to Company.</w:t>
            </w:r>
          </w:p>
        </w:tc>
        <w:tc>
          <w:tcPr>
            <w:tcW w:w="19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8.07</w:t>
            </w:r>
          </w:p>
        </w:tc>
        <w:tc>
          <w:tcPr>
            <w:tcW w:w="782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418"/>
        </w:trPr>
        <w:tc>
          <w:tcPr>
            <w:tcW w:w="1180" w:type="dxa"/>
            <w:vAlign w:val="bottom"/>
          </w:tcPr>
          <w:p>
            <w:pPr>
              <w:spacing w:after="0"/>
              <w:rPr>
                <w:sz w:val="24"/>
                <w:szCs w:val="24"/>
                <w:color w:val="auto"/>
              </w:rPr>
            </w:pPr>
          </w:p>
        </w:tc>
        <w:tc>
          <w:tcPr>
            <w:tcW w:w="7820" w:type="dxa"/>
            <w:vAlign w:val="bottom"/>
          </w:tcPr>
          <w:p>
            <w:pPr>
              <w:jc w:val="center"/>
              <w:ind w:left="990"/>
              <w:spacing w:after="0"/>
              <w:rPr>
                <w:sz w:val="20"/>
                <w:szCs w:val="20"/>
                <w:color w:val="auto"/>
              </w:rPr>
            </w:pPr>
            <w:r>
              <w:rPr>
                <w:rFonts w:ascii="Arial" w:cs="Arial" w:eastAsia="Arial" w:hAnsi="Arial"/>
                <w:sz w:val="18"/>
                <w:szCs w:val="18"/>
                <w:b w:val="1"/>
                <w:bCs w:val="1"/>
                <w:color w:val="auto"/>
              </w:rPr>
              <w:t>ARTICLE IX</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AMENDMENT, SUPPLEMENT AND WAIVER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9.01</w:t>
            </w:r>
          </w:p>
        </w:tc>
        <w:tc>
          <w:tcPr>
            <w:tcW w:w="7820" w:type="dxa"/>
            <w:vAlign w:val="bottom"/>
          </w:tcPr>
          <w:p>
            <w:pPr>
              <w:ind w:left="180"/>
              <w:spacing w:after="0"/>
              <w:rPr>
                <w:sz w:val="20"/>
                <w:szCs w:val="20"/>
                <w:color w:val="auto"/>
              </w:rPr>
            </w:pPr>
            <w:r>
              <w:rPr>
                <w:rFonts w:ascii="Arial" w:cs="Arial" w:eastAsia="Arial" w:hAnsi="Arial"/>
                <w:sz w:val="18"/>
                <w:szCs w:val="18"/>
                <w:color w:val="auto"/>
              </w:rPr>
              <w:t>Without Consent of Holders of Notes.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9.02</w:t>
            </w:r>
          </w:p>
        </w:tc>
        <w:tc>
          <w:tcPr>
            <w:tcW w:w="7820" w:type="dxa"/>
            <w:vAlign w:val="bottom"/>
          </w:tcPr>
          <w:p>
            <w:pPr>
              <w:ind w:left="180"/>
              <w:spacing w:after="0"/>
              <w:rPr>
                <w:sz w:val="20"/>
                <w:szCs w:val="20"/>
                <w:color w:val="auto"/>
              </w:rPr>
            </w:pPr>
            <w:r>
              <w:rPr>
                <w:rFonts w:ascii="Arial" w:cs="Arial" w:eastAsia="Arial" w:hAnsi="Arial"/>
                <w:sz w:val="18"/>
                <w:szCs w:val="18"/>
                <w:color w:val="auto"/>
              </w:rPr>
              <w:t>With Consent of Holders of Notes.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9.03</w:t>
            </w:r>
          </w:p>
        </w:tc>
        <w:tc>
          <w:tcPr>
            <w:tcW w:w="7820" w:type="dxa"/>
            <w:vAlign w:val="bottom"/>
          </w:tcPr>
          <w:p>
            <w:pPr>
              <w:ind w:left="180"/>
              <w:spacing w:after="0"/>
              <w:rPr>
                <w:sz w:val="20"/>
                <w:szCs w:val="20"/>
                <w:color w:val="auto"/>
              </w:rPr>
            </w:pPr>
            <w:r>
              <w:rPr>
                <w:rFonts w:ascii="Arial" w:cs="Arial" w:eastAsia="Arial" w:hAnsi="Arial"/>
                <w:sz w:val="18"/>
                <w:szCs w:val="18"/>
                <w:color w:val="auto"/>
              </w:rPr>
              <w:t>Revocation and Effect of Consents.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9.04</w:t>
            </w:r>
          </w:p>
        </w:tc>
        <w:tc>
          <w:tcPr>
            <w:tcW w:w="7820" w:type="dxa"/>
            <w:vAlign w:val="bottom"/>
          </w:tcPr>
          <w:p>
            <w:pPr>
              <w:ind w:left="180"/>
              <w:spacing w:after="0"/>
              <w:rPr>
                <w:sz w:val="20"/>
                <w:szCs w:val="20"/>
                <w:color w:val="auto"/>
              </w:rPr>
            </w:pPr>
            <w:r>
              <w:rPr>
                <w:rFonts w:ascii="Arial" w:cs="Arial" w:eastAsia="Arial" w:hAnsi="Arial"/>
                <w:sz w:val="18"/>
                <w:szCs w:val="18"/>
                <w:color w:val="auto"/>
              </w:rPr>
              <w:t>Notation on or Exchange of Notes.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9.05</w:t>
            </w:r>
          </w:p>
        </w:tc>
        <w:tc>
          <w:tcPr>
            <w:tcW w:w="7820" w:type="dxa"/>
            <w:vAlign w:val="bottom"/>
          </w:tcPr>
          <w:p>
            <w:pPr>
              <w:ind w:left="180"/>
              <w:spacing w:after="0"/>
              <w:rPr>
                <w:sz w:val="20"/>
                <w:szCs w:val="20"/>
                <w:color w:val="auto"/>
              </w:rPr>
            </w:pPr>
            <w:r>
              <w:rPr>
                <w:rFonts w:ascii="Arial" w:cs="Arial" w:eastAsia="Arial" w:hAnsi="Arial"/>
                <w:sz w:val="18"/>
                <w:szCs w:val="18"/>
                <w:color w:val="auto"/>
              </w:rPr>
              <w:t>Trustee to Sign Amendments, etc.</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1180" w:type="dxa"/>
            <w:vAlign w:val="bottom"/>
          </w:tcPr>
          <w:p>
            <w:pPr>
              <w:spacing w:after="0"/>
              <w:rPr>
                <w:sz w:val="24"/>
                <w:szCs w:val="24"/>
                <w:color w:val="auto"/>
              </w:rPr>
            </w:pPr>
          </w:p>
        </w:tc>
        <w:tc>
          <w:tcPr>
            <w:tcW w:w="7820" w:type="dxa"/>
            <w:vAlign w:val="bottom"/>
          </w:tcPr>
          <w:p>
            <w:pPr>
              <w:jc w:val="center"/>
              <w:ind w:left="970"/>
              <w:spacing w:after="0"/>
              <w:rPr>
                <w:sz w:val="20"/>
                <w:szCs w:val="20"/>
                <w:color w:val="auto"/>
              </w:rPr>
            </w:pPr>
            <w:r>
              <w:rPr>
                <w:rFonts w:ascii="Arial" w:cs="Arial" w:eastAsia="Arial" w:hAnsi="Arial"/>
                <w:sz w:val="18"/>
                <w:szCs w:val="18"/>
                <w:b w:val="1"/>
                <w:bCs w:val="1"/>
                <w:color w:val="auto"/>
              </w:rPr>
              <w:t>ARTICLE X</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NOTE GUARANTEES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10.01</w:t>
            </w:r>
          </w:p>
        </w:tc>
        <w:tc>
          <w:tcPr>
            <w:tcW w:w="7820" w:type="dxa"/>
            <w:vAlign w:val="bottom"/>
          </w:tcPr>
          <w:p>
            <w:pPr>
              <w:ind w:left="180"/>
              <w:spacing w:after="0"/>
              <w:rPr>
                <w:sz w:val="20"/>
                <w:szCs w:val="20"/>
                <w:color w:val="auto"/>
              </w:rPr>
            </w:pPr>
            <w:r>
              <w:rPr>
                <w:rFonts w:ascii="Arial" w:cs="Arial" w:eastAsia="Arial" w:hAnsi="Arial"/>
                <w:sz w:val="18"/>
                <w:szCs w:val="18"/>
                <w:color w:val="auto"/>
              </w:rPr>
              <w:t>Guarantee.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10.02</w:t>
            </w:r>
          </w:p>
        </w:tc>
        <w:tc>
          <w:tcPr>
            <w:tcW w:w="7820" w:type="dxa"/>
            <w:vAlign w:val="bottom"/>
          </w:tcPr>
          <w:p>
            <w:pPr>
              <w:ind w:left="180"/>
              <w:spacing w:after="0"/>
              <w:rPr>
                <w:sz w:val="20"/>
                <w:szCs w:val="20"/>
                <w:color w:val="auto"/>
              </w:rPr>
            </w:pPr>
            <w:r>
              <w:rPr>
                <w:rFonts w:ascii="Arial" w:cs="Arial" w:eastAsia="Arial" w:hAnsi="Arial"/>
                <w:sz w:val="18"/>
                <w:szCs w:val="18"/>
                <w:color w:val="auto"/>
              </w:rPr>
              <w:t>Limitation on Guarantor Liability.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10.03</w:t>
            </w:r>
          </w:p>
        </w:tc>
        <w:tc>
          <w:tcPr>
            <w:tcW w:w="7820" w:type="dxa"/>
            <w:vAlign w:val="bottom"/>
          </w:tcPr>
          <w:p>
            <w:pPr>
              <w:ind w:left="180"/>
              <w:spacing w:after="0"/>
              <w:rPr>
                <w:sz w:val="20"/>
                <w:szCs w:val="20"/>
                <w:color w:val="auto"/>
              </w:rPr>
            </w:pPr>
            <w:r>
              <w:rPr>
                <w:rFonts w:ascii="Arial" w:cs="Arial" w:eastAsia="Arial" w:hAnsi="Arial"/>
                <w:sz w:val="18"/>
                <w:szCs w:val="18"/>
                <w:color w:val="auto"/>
              </w:rPr>
              <w:t>Execution and Delivery of Note Guarantee.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10.04</w:t>
            </w:r>
          </w:p>
        </w:tc>
        <w:tc>
          <w:tcPr>
            <w:tcW w:w="7820" w:type="dxa"/>
            <w:vAlign w:val="bottom"/>
          </w:tcPr>
          <w:p>
            <w:pPr>
              <w:ind w:left="180"/>
              <w:spacing w:after="0"/>
              <w:rPr>
                <w:sz w:val="20"/>
                <w:szCs w:val="20"/>
                <w:color w:val="auto"/>
              </w:rPr>
            </w:pPr>
            <w:r>
              <w:rPr>
                <w:rFonts w:ascii="Arial" w:cs="Arial" w:eastAsia="Arial" w:hAnsi="Arial"/>
                <w:sz w:val="18"/>
                <w:szCs w:val="18"/>
                <w:color w:val="auto"/>
              </w:rPr>
              <w:t>Guarantors May Consolidate, etc., on Certain Terms.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10.05</w:t>
            </w:r>
          </w:p>
        </w:tc>
        <w:tc>
          <w:tcPr>
            <w:tcW w:w="7820" w:type="dxa"/>
            <w:vAlign w:val="bottom"/>
          </w:tcPr>
          <w:p>
            <w:pPr>
              <w:ind w:left="180"/>
              <w:spacing w:after="0"/>
              <w:rPr>
                <w:sz w:val="20"/>
                <w:szCs w:val="20"/>
                <w:color w:val="auto"/>
              </w:rPr>
            </w:pPr>
            <w:r>
              <w:rPr>
                <w:rFonts w:ascii="Arial" w:cs="Arial" w:eastAsia="Arial" w:hAnsi="Arial"/>
                <w:sz w:val="18"/>
                <w:szCs w:val="18"/>
                <w:color w:val="auto"/>
              </w:rPr>
              <w:t>Releases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418"/>
        </w:trPr>
        <w:tc>
          <w:tcPr>
            <w:tcW w:w="1180" w:type="dxa"/>
            <w:vAlign w:val="bottom"/>
          </w:tcPr>
          <w:p>
            <w:pPr>
              <w:spacing w:after="0"/>
              <w:rPr>
                <w:sz w:val="24"/>
                <w:szCs w:val="24"/>
                <w:color w:val="auto"/>
              </w:rPr>
            </w:pPr>
          </w:p>
        </w:tc>
        <w:tc>
          <w:tcPr>
            <w:tcW w:w="7820" w:type="dxa"/>
            <w:vAlign w:val="bottom"/>
          </w:tcPr>
          <w:p>
            <w:pPr>
              <w:jc w:val="center"/>
              <w:ind w:left="990"/>
              <w:spacing w:after="0"/>
              <w:rPr>
                <w:sz w:val="20"/>
                <w:szCs w:val="20"/>
                <w:color w:val="auto"/>
              </w:rPr>
            </w:pPr>
            <w:r>
              <w:rPr>
                <w:rFonts w:ascii="Arial" w:cs="Arial" w:eastAsia="Arial" w:hAnsi="Arial"/>
                <w:sz w:val="18"/>
                <w:szCs w:val="18"/>
                <w:b w:val="1"/>
                <w:bCs w:val="1"/>
                <w:color w:val="auto"/>
              </w:rPr>
              <w:t>ARTICLE XI</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SATISFACTION AND DISCHARGE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11.01</w:t>
            </w:r>
          </w:p>
        </w:tc>
        <w:tc>
          <w:tcPr>
            <w:tcW w:w="7820" w:type="dxa"/>
            <w:vAlign w:val="bottom"/>
          </w:tcPr>
          <w:p>
            <w:pPr>
              <w:ind w:left="180"/>
              <w:spacing w:after="0"/>
              <w:rPr>
                <w:sz w:val="20"/>
                <w:szCs w:val="20"/>
                <w:color w:val="auto"/>
              </w:rPr>
            </w:pPr>
            <w:r>
              <w:rPr>
                <w:rFonts w:ascii="Arial" w:cs="Arial" w:eastAsia="Arial" w:hAnsi="Arial"/>
                <w:sz w:val="18"/>
                <w:szCs w:val="18"/>
                <w:color w:val="auto"/>
              </w:rPr>
              <w:t>Satisfaction and Discharge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11.02</w:t>
            </w:r>
          </w:p>
        </w:tc>
        <w:tc>
          <w:tcPr>
            <w:tcW w:w="7820" w:type="dxa"/>
            <w:vAlign w:val="bottom"/>
          </w:tcPr>
          <w:p>
            <w:pPr>
              <w:ind w:left="180"/>
              <w:spacing w:after="0"/>
              <w:rPr>
                <w:sz w:val="20"/>
                <w:szCs w:val="20"/>
                <w:color w:val="auto"/>
              </w:rPr>
            </w:pPr>
            <w:r>
              <w:rPr>
                <w:rFonts w:ascii="Arial" w:cs="Arial" w:eastAsia="Arial" w:hAnsi="Arial"/>
                <w:sz w:val="18"/>
                <w:szCs w:val="18"/>
                <w:color w:val="auto"/>
              </w:rPr>
              <w:t>Application of Trust Money.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418"/>
        </w:trPr>
        <w:tc>
          <w:tcPr>
            <w:tcW w:w="1180" w:type="dxa"/>
            <w:vAlign w:val="bottom"/>
          </w:tcPr>
          <w:p>
            <w:pPr>
              <w:spacing w:after="0"/>
              <w:rPr>
                <w:sz w:val="24"/>
                <w:szCs w:val="24"/>
                <w:color w:val="auto"/>
              </w:rPr>
            </w:pPr>
          </w:p>
        </w:tc>
        <w:tc>
          <w:tcPr>
            <w:tcW w:w="7820" w:type="dxa"/>
            <w:vAlign w:val="bottom"/>
          </w:tcPr>
          <w:p>
            <w:pPr>
              <w:jc w:val="center"/>
              <w:ind w:left="970"/>
              <w:spacing w:after="0"/>
              <w:rPr>
                <w:sz w:val="20"/>
                <w:szCs w:val="20"/>
                <w:color w:val="auto"/>
              </w:rPr>
            </w:pPr>
            <w:r>
              <w:rPr>
                <w:rFonts w:ascii="Arial" w:cs="Arial" w:eastAsia="Arial" w:hAnsi="Arial"/>
                <w:sz w:val="18"/>
                <w:szCs w:val="18"/>
                <w:b w:val="1"/>
                <w:bCs w:val="1"/>
                <w:color w:val="auto"/>
              </w:rPr>
              <w:t>ARTICLE XII</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12.01</w:t>
            </w:r>
          </w:p>
        </w:tc>
        <w:tc>
          <w:tcPr>
            <w:tcW w:w="7820" w:type="dxa"/>
            <w:vAlign w:val="bottom"/>
          </w:tcPr>
          <w:p>
            <w:pPr>
              <w:ind w:left="180"/>
              <w:spacing w:after="0"/>
              <w:rPr>
                <w:sz w:val="20"/>
                <w:szCs w:val="20"/>
                <w:color w:val="auto"/>
              </w:rPr>
            </w:pPr>
            <w:r>
              <w:rPr>
                <w:rFonts w:ascii="Arial" w:cs="Arial" w:eastAsia="Arial" w:hAnsi="Arial"/>
                <w:sz w:val="18"/>
                <w:szCs w:val="18"/>
                <w:color w:val="auto"/>
              </w:rPr>
              <w:t>Notices.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12.02</w:t>
            </w:r>
          </w:p>
        </w:tc>
        <w:tc>
          <w:tcPr>
            <w:tcW w:w="7820" w:type="dxa"/>
            <w:vAlign w:val="bottom"/>
          </w:tcPr>
          <w:p>
            <w:pPr>
              <w:ind w:left="180"/>
              <w:spacing w:after="0"/>
              <w:rPr>
                <w:sz w:val="20"/>
                <w:szCs w:val="20"/>
                <w:color w:val="auto"/>
              </w:rPr>
            </w:pPr>
            <w:r>
              <w:rPr>
                <w:rFonts w:ascii="Arial" w:cs="Arial" w:eastAsia="Arial" w:hAnsi="Arial"/>
                <w:sz w:val="18"/>
                <w:szCs w:val="18"/>
                <w:color w:val="auto"/>
              </w:rPr>
              <w:t>Communication by Holders of Notes with Other Holders of Notes.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The Company, the Trustee, the Registrar and anyone else shall have the protection of TIA §312(c).</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12.03</w:t>
            </w:r>
          </w:p>
        </w:tc>
        <w:tc>
          <w:tcPr>
            <w:tcW w:w="7820" w:type="dxa"/>
            <w:vAlign w:val="bottom"/>
          </w:tcPr>
          <w:p>
            <w:pPr>
              <w:ind w:left="180"/>
              <w:spacing w:after="0"/>
              <w:rPr>
                <w:sz w:val="20"/>
                <w:szCs w:val="20"/>
                <w:color w:val="auto"/>
              </w:rPr>
            </w:pPr>
            <w:r>
              <w:rPr>
                <w:rFonts w:ascii="Arial" w:cs="Arial" w:eastAsia="Arial" w:hAnsi="Arial"/>
                <w:sz w:val="18"/>
                <w:szCs w:val="18"/>
                <w:color w:val="auto"/>
              </w:rPr>
              <w:t>Certificate and Opinion as to Conditions Precedent.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12.04</w:t>
            </w:r>
          </w:p>
        </w:tc>
        <w:tc>
          <w:tcPr>
            <w:tcW w:w="7820" w:type="dxa"/>
            <w:vAlign w:val="bottom"/>
          </w:tcPr>
          <w:p>
            <w:pPr>
              <w:ind w:left="180"/>
              <w:spacing w:after="0"/>
              <w:rPr>
                <w:sz w:val="20"/>
                <w:szCs w:val="20"/>
                <w:color w:val="auto"/>
              </w:rPr>
            </w:pPr>
            <w:r>
              <w:rPr>
                <w:rFonts w:ascii="Arial" w:cs="Arial" w:eastAsia="Arial" w:hAnsi="Arial"/>
                <w:sz w:val="18"/>
                <w:szCs w:val="18"/>
                <w:color w:val="auto"/>
              </w:rPr>
              <w:t>Statements Required in Certificate or Opinion.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12.05</w:t>
            </w:r>
          </w:p>
        </w:tc>
        <w:tc>
          <w:tcPr>
            <w:tcW w:w="7820" w:type="dxa"/>
            <w:vAlign w:val="bottom"/>
          </w:tcPr>
          <w:p>
            <w:pPr>
              <w:ind w:left="180"/>
              <w:spacing w:after="0"/>
              <w:rPr>
                <w:sz w:val="20"/>
                <w:szCs w:val="20"/>
                <w:color w:val="auto"/>
              </w:rPr>
            </w:pPr>
            <w:r>
              <w:rPr>
                <w:rFonts w:ascii="Arial" w:cs="Arial" w:eastAsia="Arial" w:hAnsi="Arial"/>
                <w:sz w:val="18"/>
                <w:szCs w:val="18"/>
                <w:color w:val="auto"/>
              </w:rPr>
              <w:t>Rules by Trustee and Agents.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12.06</w:t>
            </w:r>
          </w:p>
        </w:tc>
        <w:tc>
          <w:tcPr>
            <w:tcW w:w="7820" w:type="dxa"/>
            <w:vAlign w:val="bottom"/>
          </w:tcPr>
          <w:p>
            <w:pPr>
              <w:ind w:left="18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12.07</w:t>
            </w:r>
          </w:p>
        </w:tc>
        <w:tc>
          <w:tcPr>
            <w:tcW w:w="782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12.08</w:t>
            </w:r>
          </w:p>
        </w:tc>
        <w:tc>
          <w:tcPr>
            <w:tcW w:w="7820" w:type="dxa"/>
            <w:vAlign w:val="bottom"/>
          </w:tcPr>
          <w:p>
            <w:pPr>
              <w:ind w:left="180"/>
              <w:spacing w:after="0"/>
              <w:rPr>
                <w:sz w:val="20"/>
                <w:szCs w:val="20"/>
                <w:color w:val="auto"/>
              </w:rPr>
            </w:pPr>
            <w:r>
              <w:rPr>
                <w:rFonts w:ascii="Arial" w:cs="Arial" w:eastAsia="Arial" w:hAnsi="Arial"/>
                <w:sz w:val="18"/>
                <w:szCs w:val="18"/>
                <w:color w:val="auto"/>
              </w:rPr>
              <w:t>No Adverse Interpretation of Other Agreements.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12.09</w:t>
            </w:r>
          </w:p>
        </w:tc>
        <w:tc>
          <w:tcPr>
            <w:tcW w:w="7820" w:type="dxa"/>
            <w:vAlign w:val="bottom"/>
          </w:tcPr>
          <w:p>
            <w:pPr>
              <w:ind w:left="180"/>
              <w:spacing w:after="0"/>
              <w:rPr>
                <w:sz w:val="20"/>
                <w:szCs w:val="20"/>
                <w:color w:val="auto"/>
              </w:rPr>
            </w:pPr>
            <w:r>
              <w:rPr>
                <w:rFonts w:ascii="Arial" w:cs="Arial" w:eastAsia="Arial" w:hAnsi="Arial"/>
                <w:sz w:val="18"/>
                <w:szCs w:val="18"/>
                <w:color w:val="auto"/>
              </w:rPr>
              <w:t>Successors.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12.10</w:t>
            </w:r>
          </w:p>
        </w:tc>
        <w:tc>
          <w:tcPr>
            <w:tcW w:w="782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12.11</w:t>
            </w:r>
          </w:p>
        </w:tc>
        <w:tc>
          <w:tcPr>
            <w:tcW w:w="7820" w:type="dxa"/>
            <w:vAlign w:val="bottom"/>
          </w:tcPr>
          <w:p>
            <w:pPr>
              <w:ind w:left="180"/>
              <w:spacing w:after="0"/>
              <w:rPr>
                <w:sz w:val="20"/>
                <w:szCs w:val="20"/>
                <w:color w:val="auto"/>
              </w:rPr>
            </w:pPr>
            <w:r>
              <w:rPr>
                <w:rFonts w:ascii="Arial" w:cs="Arial" w:eastAsia="Arial" w:hAnsi="Arial"/>
                <w:sz w:val="18"/>
                <w:szCs w:val="18"/>
                <w:color w:val="auto"/>
              </w:rPr>
              <w:t>Counterpart Originals.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12.12</w:t>
            </w:r>
          </w:p>
        </w:tc>
        <w:tc>
          <w:tcPr>
            <w:tcW w:w="7820" w:type="dxa"/>
            <w:vAlign w:val="bottom"/>
          </w:tcPr>
          <w:p>
            <w:pPr>
              <w:ind w:left="180"/>
              <w:spacing w:after="0"/>
              <w:rPr>
                <w:sz w:val="20"/>
                <w:szCs w:val="20"/>
                <w:color w:val="auto"/>
              </w:rPr>
            </w:pPr>
            <w:r>
              <w:rPr>
                <w:rFonts w:ascii="Arial" w:cs="Arial" w:eastAsia="Arial" w:hAnsi="Arial"/>
                <w:sz w:val="18"/>
                <w:szCs w:val="18"/>
                <w:color w:val="auto"/>
              </w:rPr>
              <w:t>Table of Contents, Headings, etc.</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12.13</w:t>
            </w:r>
          </w:p>
        </w:tc>
        <w:tc>
          <w:tcPr>
            <w:tcW w:w="782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12.14</w:t>
            </w:r>
          </w:p>
        </w:tc>
        <w:tc>
          <w:tcPr>
            <w:tcW w:w="782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12.15</w:t>
            </w:r>
          </w:p>
        </w:tc>
        <w:tc>
          <w:tcPr>
            <w:tcW w:w="7820" w:type="dxa"/>
            <w:vAlign w:val="bottom"/>
          </w:tcPr>
          <w:p>
            <w:pPr>
              <w:ind w:left="180"/>
              <w:spacing w:after="0"/>
              <w:rPr>
                <w:sz w:val="20"/>
                <w:szCs w:val="20"/>
                <w:color w:val="auto"/>
              </w:rPr>
            </w:pPr>
            <w:r>
              <w:rPr>
                <w:rFonts w:ascii="Arial" w:cs="Arial" w:eastAsia="Arial" w:hAnsi="Arial"/>
                <w:sz w:val="18"/>
                <w:szCs w:val="18"/>
                <w:color w:val="auto"/>
              </w:rPr>
              <w:t>Electronic Delivery.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12.16</w:t>
            </w:r>
          </w:p>
        </w:tc>
        <w:tc>
          <w:tcPr>
            <w:tcW w:w="7820" w:type="dxa"/>
            <w:vAlign w:val="bottom"/>
          </w:tcPr>
          <w:p>
            <w:pPr>
              <w:ind w:left="180"/>
              <w:spacing w:after="0"/>
              <w:rPr>
                <w:sz w:val="20"/>
                <w:szCs w:val="20"/>
                <w:color w:val="auto"/>
              </w:rPr>
            </w:pPr>
            <w:r>
              <w:rPr>
                <w:rFonts w:ascii="Arial" w:cs="Arial" w:eastAsia="Arial" w:hAnsi="Arial"/>
                <w:sz w:val="18"/>
                <w:szCs w:val="18"/>
                <w:color w:val="auto"/>
              </w:rPr>
              <w:t>Submission to Jurisdiction.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12.17</w:t>
            </w:r>
          </w:p>
        </w:tc>
        <w:tc>
          <w:tcPr>
            <w:tcW w:w="7820" w:type="dxa"/>
            <w:vAlign w:val="bottom"/>
          </w:tcPr>
          <w:p>
            <w:pPr>
              <w:ind w:left="180"/>
              <w:spacing w:after="0"/>
              <w:rPr>
                <w:sz w:val="20"/>
                <w:szCs w:val="20"/>
                <w:color w:val="auto"/>
              </w:rPr>
            </w:pPr>
            <w:r>
              <w:rPr>
                <w:rFonts w:ascii="Arial" w:cs="Arial" w:eastAsia="Arial" w:hAnsi="Arial"/>
                <w:sz w:val="18"/>
                <w:szCs w:val="18"/>
                <w:color w:val="auto"/>
              </w:rPr>
              <w:t>Foreign Account Tax Compliance Act (FATCA).</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12.18</w:t>
            </w:r>
          </w:p>
        </w:tc>
        <w:tc>
          <w:tcPr>
            <w:tcW w:w="7820" w:type="dxa"/>
            <w:vAlign w:val="bottom"/>
          </w:tcPr>
          <w:p>
            <w:pPr>
              <w:ind w:left="180"/>
              <w:spacing w:after="0"/>
              <w:rPr>
                <w:sz w:val="20"/>
                <w:szCs w:val="20"/>
                <w:color w:val="auto"/>
              </w:rPr>
            </w:pPr>
            <w:r>
              <w:rPr>
                <w:rFonts w:ascii="Arial" w:cs="Arial" w:eastAsia="Arial" w:hAnsi="Arial"/>
                <w:sz w:val="18"/>
                <w:szCs w:val="18"/>
                <w:color w:val="auto"/>
              </w:rPr>
              <w:t>Concerning the TIA.</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12.19</w:t>
            </w:r>
          </w:p>
        </w:tc>
        <w:tc>
          <w:tcPr>
            <w:tcW w:w="7820" w:type="dxa"/>
            <w:vAlign w:val="bottom"/>
          </w:tcPr>
          <w:p>
            <w:pPr>
              <w:ind w:left="180"/>
              <w:spacing w:after="0"/>
              <w:rPr>
                <w:sz w:val="20"/>
                <w:szCs w:val="20"/>
                <w:color w:val="auto"/>
              </w:rPr>
            </w:pPr>
            <w:r>
              <w:rPr>
                <w:rFonts w:ascii="Arial" w:cs="Arial" w:eastAsia="Arial" w:hAnsi="Arial"/>
                <w:sz w:val="18"/>
                <w:szCs w:val="18"/>
                <w:color w:val="auto"/>
              </w:rPr>
              <w:t>Record Date.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12.20</w:t>
            </w:r>
          </w:p>
        </w:tc>
        <w:tc>
          <w:tcPr>
            <w:tcW w:w="7820" w:type="dxa"/>
            <w:vAlign w:val="bottom"/>
          </w:tcPr>
          <w:p>
            <w:pPr>
              <w:ind w:left="180"/>
              <w:spacing w:after="0"/>
              <w:rPr>
                <w:sz w:val="20"/>
                <w:szCs w:val="20"/>
                <w:color w:val="auto"/>
              </w:rPr>
            </w:pPr>
            <w:r>
              <w:rPr>
                <w:rFonts w:ascii="Arial" w:cs="Arial" w:eastAsia="Arial" w:hAnsi="Arial"/>
                <w:sz w:val="18"/>
                <w:szCs w:val="18"/>
                <w:color w:val="auto"/>
              </w:rPr>
              <w:t>U.S.A. Patriot Act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12.21</w:t>
            </w:r>
          </w:p>
        </w:tc>
        <w:tc>
          <w:tcPr>
            <w:tcW w:w="7820" w:type="dxa"/>
            <w:vAlign w:val="bottom"/>
          </w:tcPr>
          <w:p>
            <w:pPr>
              <w:ind w:left="180"/>
              <w:spacing w:after="0"/>
              <w:rPr>
                <w:sz w:val="20"/>
                <w:szCs w:val="20"/>
                <w:color w:val="auto"/>
              </w:rPr>
            </w:pPr>
            <w:r>
              <w:rPr>
                <w:rFonts w:ascii="Arial" w:cs="Arial" w:eastAsia="Arial" w:hAnsi="Arial"/>
                <w:sz w:val="18"/>
                <w:szCs w:val="18"/>
                <w:color w:val="auto"/>
              </w:rPr>
              <w:t>Legal Holidays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94</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EXHIBITS</w:t>
            </w:r>
          </w:p>
        </w:tc>
        <w:tc>
          <w:tcPr>
            <w:tcW w:w="10140" w:type="dxa"/>
            <w:vAlign w:val="bottom"/>
          </w:tcPr>
          <w:p>
            <w:pPr>
              <w:spacing w:after="0"/>
              <w:rPr>
                <w:sz w:val="20"/>
                <w:szCs w:val="20"/>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Exhibit A</w:t>
            </w:r>
          </w:p>
        </w:tc>
        <w:tc>
          <w:tcPr>
            <w:tcW w:w="10140" w:type="dxa"/>
            <w:vAlign w:val="bottom"/>
          </w:tcPr>
          <w:p>
            <w:pPr>
              <w:ind w:left="260"/>
              <w:spacing w:after="0"/>
              <w:rPr>
                <w:sz w:val="20"/>
                <w:szCs w:val="20"/>
                <w:color w:val="auto"/>
              </w:rPr>
            </w:pPr>
            <w:r>
              <w:rPr>
                <w:rFonts w:ascii="Arial" w:cs="Arial" w:eastAsia="Arial" w:hAnsi="Arial"/>
                <w:sz w:val="18"/>
                <w:szCs w:val="18"/>
                <w:color w:val="auto"/>
              </w:rPr>
              <w:t>FORM OF NOTE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B</w:t>
            </w:r>
          </w:p>
        </w:tc>
        <w:tc>
          <w:tcPr>
            <w:tcW w:w="10140" w:type="dxa"/>
            <w:vAlign w:val="bottom"/>
          </w:tcPr>
          <w:p>
            <w:pPr>
              <w:ind w:left="260"/>
              <w:spacing w:after="0"/>
              <w:rPr>
                <w:sz w:val="20"/>
                <w:szCs w:val="20"/>
                <w:color w:val="auto"/>
              </w:rPr>
            </w:pPr>
            <w:r>
              <w:rPr>
                <w:rFonts w:ascii="Arial" w:cs="Arial" w:eastAsia="Arial" w:hAnsi="Arial"/>
                <w:sz w:val="18"/>
                <w:szCs w:val="18"/>
                <w:color w:val="auto"/>
              </w:rPr>
              <w:t>FORM OF CERTIFICATE OF TRANSFER</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C</w:t>
            </w:r>
          </w:p>
        </w:tc>
        <w:tc>
          <w:tcPr>
            <w:tcW w:w="10140" w:type="dxa"/>
            <w:vAlign w:val="bottom"/>
          </w:tcPr>
          <w:p>
            <w:pPr>
              <w:ind w:left="260"/>
              <w:spacing w:after="0"/>
              <w:rPr>
                <w:sz w:val="20"/>
                <w:szCs w:val="20"/>
                <w:color w:val="auto"/>
              </w:rPr>
            </w:pPr>
            <w:r>
              <w:rPr>
                <w:rFonts w:ascii="Arial" w:cs="Arial" w:eastAsia="Arial" w:hAnsi="Arial"/>
                <w:sz w:val="18"/>
                <w:szCs w:val="18"/>
                <w:color w:val="auto"/>
              </w:rPr>
              <w:t>FORM OF CERTIFICATE OF EXCHANGE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D</w:t>
            </w:r>
          </w:p>
        </w:tc>
        <w:tc>
          <w:tcPr>
            <w:tcW w:w="10140" w:type="dxa"/>
            <w:vAlign w:val="bottom"/>
          </w:tcPr>
          <w:p>
            <w:pPr>
              <w:ind w:left="260"/>
              <w:spacing w:after="0"/>
              <w:rPr>
                <w:sz w:val="20"/>
                <w:szCs w:val="20"/>
                <w:color w:val="auto"/>
              </w:rPr>
            </w:pPr>
            <w:r>
              <w:rPr>
                <w:rFonts w:ascii="Arial" w:cs="Arial" w:eastAsia="Arial" w:hAnsi="Arial"/>
                <w:sz w:val="18"/>
                <w:szCs w:val="18"/>
                <w:color w:val="auto"/>
              </w:rPr>
              <w:t>FORM OF CERTIFICATE OF ACQUIRING INSTITUTIONAL ACCREDITED INVESTOR</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Exhibit E</w:t>
            </w:r>
          </w:p>
        </w:tc>
        <w:tc>
          <w:tcPr>
            <w:tcW w:w="10140" w:type="dxa"/>
            <w:vAlign w:val="bottom"/>
          </w:tcPr>
          <w:p>
            <w:pPr>
              <w:ind w:left="260"/>
              <w:spacing w:after="0"/>
              <w:rPr>
                <w:sz w:val="20"/>
                <w:szCs w:val="20"/>
                <w:color w:val="auto"/>
              </w:rPr>
            </w:pPr>
            <w:r>
              <w:rPr>
                <w:rFonts w:ascii="Arial" w:cs="Arial" w:eastAsia="Arial" w:hAnsi="Arial"/>
                <w:sz w:val="18"/>
                <w:szCs w:val="18"/>
                <w:color w:val="auto"/>
              </w:rPr>
              <w:t>FORM OF SUPPLEMENTAL INDENTURE</w:t>
            </w:r>
          </w:p>
        </w:tc>
      </w:tr>
      <w:tr>
        <w:trPr>
          <w:trHeight w:val="648"/>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ind w:left="438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240"/>
          </w:cols>
          <w:pgMar w:left="320" w:top="935" w:right="339" w:bottom="1440" w:gutter="0" w:footer="0" w:header="0"/>
        </w:sectPr>
      </w:pPr>
    </w:p>
    <w:bookmarkStart w:id="11" w:name="page12"/>
    <w:bookmarkEnd w:id="11"/>
    <w:p>
      <w:pPr>
        <w:ind w:right="500" w:firstLine="648"/>
        <w:spacing w:after="0" w:line="277" w:lineRule="auto"/>
        <w:rPr>
          <w:sz w:val="20"/>
          <w:szCs w:val="20"/>
          <w:color w:val="auto"/>
        </w:rPr>
      </w:pPr>
      <w:r>
        <w:rPr>
          <w:rFonts w:ascii="Arial" w:cs="Arial" w:eastAsia="Arial" w:hAnsi="Arial"/>
          <w:sz w:val="18"/>
          <w:szCs w:val="18"/>
          <w:color w:val="auto"/>
        </w:rPr>
        <w:t>INDENTURE dated as of August 7, 2020 among Emergent BioSolutions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Guarantors (as defined below) from time to time party hereto and U.S. Bank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the Guarantors from time to time party hereto and the Trustee agree as follows for the benefit of each other and for the equal and ratable benefit of the Holders (as defined below) of the 3.875% Senior Unsecured Notes due 2028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i w:val="1"/>
          <w:iCs w:val="1"/>
          <w:color w:val="auto"/>
        </w:rPr>
        <w:t>Definitions.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144A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Acquired Debt</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jc w:val="both"/>
        <w:ind w:left="660" w:right="60" w:firstLine="644"/>
        <w:spacing w:after="0" w:line="263" w:lineRule="auto"/>
        <w:tabs>
          <w:tab w:leader="none" w:pos="205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Acquired EBITDA</w:t>
      </w:r>
      <w:r>
        <w:rPr>
          <w:rFonts w:ascii="Arial" w:cs="Arial" w:eastAsia="Arial" w:hAnsi="Arial"/>
          <w:sz w:val="17"/>
          <w:szCs w:val="17"/>
          <w:color w:val="auto"/>
        </w:rPr>
        <w:t>” means, with respect to any Person or business acquired pursuant to a Permitted Acquisition for any period, the amount for such period of Consolidated EBITDA of any such Person or business so acquired (determined using such definitions as if references to the Company and its Restricted Subsidiaries therein were to such Person or business), as calculated by the Company in good faith and which shall be factually supported by historical financial statements; provided, that, notwithstanding the foregoing to the contrary, in determining Acquired EBITDA for any Person or business that does not have historical financial accounting periods which coincide with that of the financial accounting periods of the Company and its Restricted Subsidiaries (a) references to Measurement Period in any applicable definitions shall be deemed to mean the same relevant period as the applicable period of determination for the Company and its Restricted Subsidiaries and (b) to the extent the commencement of any such Measurement Period shall occur during a fiscal quarter of such acquired Person or business (such that only a portion of such fiscal quarter shall be included in such Measurement Period), Acquired EBITDA for the portion of such fiscal quarter so included in such Measurement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Measurement Period and the denominator of which shall be actual months in such fiscal quarter.</w:t>
      </w:r>
    </w:p>
    <w:p>
      <w:pPr>
        <w:spacing w:after="0" w:line="17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Acquired Interest Charges</w:t>
      </w:r>
      <w:r>
        <w:rPr>
          <w:rFonts w:ascii="Arial" w:cs="Arial" w:eastAsia="Arial" w:hAnsi="Arial"/>
          <w:sz w:val="16"/>
          <w:szCs w:val="16"/>
          <w:color w:val="auto"/>
        </w:rPr>
        <w:t>” means, with respect to any Person or business acquired pursuant to a Permitted Acquisition for any period, the amount for such period of Consolidated Interest Charges of any such Person or business so acquired (determined using such definitions as if references to the Company and its Restricted Subsidiaries therein were to such Person or business), as calculated by the Company in good faith and which shall be factually supported by historical financial statements; provided, that, notwithstanding the foregoing to the contrary, in determining Acquired Interest Charges for any Person or business that does not have historical financial accounting periods which coincide with that of the financial accounting periods of the Company and its Restricted Subsidiaries (a) references to Measurement Period in any applicable definitions shall be deemed to mean the same relevant period as the applicable period of determination for the Company and its Restricted Subsidiaries and (b) to the extent the commencement of any such Measurement Period shall occur during a fiscal quarter of such acquired Person or business (such that only a portion of such fiscal quarter shall be included in such Measurement Period), Acquired Interest Charges for the portion of such fiscal quarter so included in such Measurement Period shall be deemed to be an amount equal to (x) Acquired Interest Charges otherwise attributable to the entire fiscal quarter (determined in a manner consistent with the terms set forth above) multiplied by (y) a fraction, the numerator of which shall be the number of days of such fiscal quarter included in the relevant Measurement Period and the denominator of which shall be actual days in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means a transaction, or any series of related transactions, consummated on or after the date of this Indenture, by which the Company or any of its Restricted Subsidiaries (x) acquires any going business or all or substantially all of the assets of any Person, or division, line of business or business unit thereof, whether through purchase of assets, merger or otherwise or (y)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 (in each case, referred to herein as the “Acquired Entity”).</w:t>
      </w:r>
    </w:p>
    <w:p>
      <w:pPr>
        <w:spacing w:after="0" w:line="17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additional Notes (other than the Initial Notes) issued under this Indenture in accordance with Sections 2.02 and 4.09 hereof, as part of the same series as the Initial Notes.</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have correlative meanings.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any Registrar, co-registrar, Custodian, Paying Agent or additional 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2060" w:hanging="756"/>
        <w:spacing w:after="0"/>
        <w:tabs>
          <w:tab w:leader="none" w:pos="2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225" w:lineRule="exact"/>
        <w:rPr>
          <w:rFonts w:ascii="Arial" w:cs="Arial" w:eastAsia="Arial" w:hAnsi="Arial"/>
          <w:sz w:val="18"/>
          <w:szCs w:val="18"/>
          <w:color w:val="auto"/>
        </w:rPr>
      </w:pPr>
    </w:p>
    <w:p>
      <w:pPr>
        <w:ind w:left="660" w:right="60" w:firstLine="644"/>
        <w:spacing w:after="0" w:line="301" w:lineRule="auto"/>
        <w:tabs>
          <w:tab w:leader="none" w:pos="205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excess, if any, of (a) the present value (discounted semi-annually) at such redemption date of (i) the redemption price of such Note at August 15, 2023 (such redemption price being set forth in the table appearing in Section 3.07(e) hereof), plus (ii) all required interest payments due on such Note through August 15, 2023 (excluding accrued but unpaid interest to the redemption date), computed using a discount rate equal to the Treasury Rate as of such redemption date plus 50 basis points, over (b) the then outstanding principal amount of such Note.</w:t>
      </w:r>
    </w:p>
    <w:p>
      <w:pPr>
        <w:spacing w:after="0" w:line="15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payment, tender, redemption, transfer or exchange of or for beneficial interests in any Global Note, the rules and procedures of the Depositary, Euroclear and Clearstream that apply to such matter.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Approved Commercial Bank</w:t>
      </w:r>
      <w:r>
        <w:rPr>
          <w:rFonts w:ascii="Arial" w:cs="Arial" w:eastAsia="Arial" w:hAnsi="Arial"/>
          <w:sz w:val="17"/>
          <w:szCs w:val="17"/>
          <w:color w:val="auto"/>
        </w:rPr>
        <w:t>” means a commercial bank with a consolidated combined capital and surplus of at least $5,000,000,000.</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ind w:left="660" w:right="80" w:firstLine="644"/>
        <w:spacing w:after="0" w:line="259" w:lineRule="auto"/>
        <w:tabs>
          <w:tab w:leader="none" w:pos="205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whether effected pursuant to a Division or otherwise, of any assets or rights, other than sales of inventory and equipment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lease, conveyance or other disposition of all or substantially all of the assets of the Company and its Restricted Subsidiaries taken as a whole shall be governed by Section 4.15 and/or the provisions described in Section 5.01 and not by Section 4.10;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400" w:firstLine="644"/>
        <w:spacing w:after="0" w:line="277" w:lineRule="auto"/>
        <w:tabs>
          <w:tab w:leader="none" w:pos="13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issuance of Equity Interests in any of the Company’s Restricted Subsidiaries or the sale by the Company or any of its Restricted Subsidiaries of Equity Interests in any of its Restricted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preceding, none of the following items shall be deemed to be an Asset Sale:</w:t>
      </w:r>
    </w:p>
    <w:p>
      <w:pPr>
        <w:spacing w:after="0" w:line="225" w:lineRule="exact"/>
        <w:rPr>
          <w:sz w:val="20"/>
          <w:szCs w:val="20"/>
          <w:color w:val="auto"/>
        </w:rPr>
      </w:pPr>
    </w:p>
    <w:p>
      <w:pPr>
        <w:ind w:left="1400" w:hanging="756"/>
        <w:spacing w:after="0"/>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involves assets having a Fair Market Value of less than $20.0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ind w:left="1400" w:hanging="756"/>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sale, discount, lease, conveyance or other disposition of assets between or among the Company and its 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right="40" w:firstLine="644"/>
        <w:spacing w:after="0" w:line="311" w:lineRule="auto"/>
        <w:tabs>
          <w:tab w:leader="none" w:pos="1398"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an issuance of Equity Interests by the Company, an issuance of Equity Interests by a Restricted Subsidiary of the Company to the Company or to a Restricted Subsidiary of the Company or an issuance of Equity Interests by a Restricted Subsidiary of the Company to the Company or to a Restricted Subsidiary of the Company and to other holders of the Equity Interests of the Company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w:t>
      </w:r>
    </w:p>
    <w:p>
      <w:pPr>
        <w:spacing w:after="0" w:line="148" w:lineRule="exact"/>
        <w:rPr>
          <w:rFonts w:ascii="Arial" w:cs="Arial" w:eastAsia="Arial" w:hAnsi="Arial"/>
          <w:sz w:val="16"/>
          <w:szCs w:val="16"/>
          <w:color w:val="auto"/>
        </w:rPr>
      </w:pPr>
    </w:p>
    <w:p>
      <w:pPr>
        <w:ind w:right="80" w:firstLine="644"/>
        <w:spacing w:after="0" w:line="259" w:lineRule="auto"/>
        <w:tabs>
          <w:tab w:leader="none" w:pos="13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discount, lease, sublease, assignment, license or sublicense, conveyance or other disposition of products, services, assets or accounts receivable in the ordinary course of business, any sale or other disposition of surplus, damaged, worn-out or obsolete assets in the ordinary course of business, and any release of intangible claims or rights in connection with the loss or settlement of a bona fide lawsuit, dispute or other controversy;</w:t>
      </w:r>
    </w:p>
    <w:p>
      <w:pPr>
        <w:spacing w:after="0" w:line="186"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or other disposition of the Capital Stock or property or assets of any Unrestricted Subsidiary;</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Restricted Payment that does not violate Section 4.07 or a Permitted Investment;</w:t>
      </w:r>
    </w:p>
    <w:p>
      <w:pPr>
        <w:spacing w:after="0" w:line="225" w:lineRule="exact"/>
        <w:rPr>
          <w:rFonts w:ascii="Arial" w:cs="Arial" w:eastAsia="Arial" w:hAnsi="Arial"/>
          <w:sz w:val="18"/>
          <w:szCs w:val="18"/>
          <w:color w:val="auto"/>
        </w:rPr>
      </w:pPr>
    </w:p>
    <w:p>
      <w:pPr>
        <w:ind w:right="80" w:firstLine="644"/>
        <w:spacing w:after="0" w:line="277" w:lineRule="auto"/>
        <w:tabs>
          <w:tab w:leader="none" w:pos="139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exchange of property pursuant to Section 1031 of the Internal Revenue Code of 1986, as amended, for use in a Permitted Business, as determined in good faith by the Company;</w:t>
      </w:r>
    </w:p>
    <w:p>
      <w:pPr>
        <w:spacing w:after="0" w:line="170"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in the ordinary course of business;</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lease, assignment or sublease of any real or personal property in the ordinary course of business;</w:t>
      </w:r>
    </w:p>
    <w:p>
      <w:pPr>
        <w:spacing w:after="0" w:line="225" w:lineRule="exact"/>
        <w:rPr>
          <w:rFonts w:ascii="Arial" w:cs="Arial" w:eastAsia="Arial" w:hAnsi="Arial"/>
          <w:sz w:val="18"/>
          <w:szCs w:val="18"/>
          <w:color w:val="auto"/>
        </w:rPr>
      </w:pPr>
    </w:p>
    <w:p>
      <w:pPr>
        <w:ind w:right="320" w:firstLine="644"/>
        <w:spacing w:after="0" w:line="308" w:lineRule="auto"/>
        <w:tabs>
          <w:tab w:leader="none" w:pos="139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sale or disposition of any assets or property received as a result of foreclosure by the Company or any of its Restricted Subsidiaries on any secured Investment or any other transfer of title with respect to any secured Investment in default;</w:t>
      </w:r>
    </w:p>
    <w:p>
      <w:pPr>
        <w:spacing w:after="0" w:line="146" w:lineRule="exact"/>
        <w:rPr>
          <w:rFonts w:ascii="Arial" w:cs="Arial" w:eastAsia="Arial" w:hAnsi="Arial"/>
          <w:sz w:val="17"/>
          <w:szCs w:val="17"/>
          <w:color w:val="auto"/>
        </w:rPr>
      </w:pPr>
    </w:p>
    <w:p>
      <w:pPr>
        <w:ind w:firstLine="644"/>
        <w:spacing w:after="0" w:line="277" w:lineRule="auto"/>
        <w:tabs>
          <w:tab w:leader="none" w:pos="13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surrender or waiver of contract rights or the settlement, release or surrender of contract, tort or other claims of any kind, in each case, in the ordinary course of business;</w:t>
      </w:r>
    </w:p>
    <w:p>
      <w:pPr>
        <w:spacing w:after="0" w:line="170"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disposition governed by and effected in compliance with Section 5.01 hereof;</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creation of any Permitted Lien and any dispositions in connection with Permitted Liens;</w:t>
      </w:r>
    </w:p>
    <w:p>
      <w:pPr>
        <w:spacing w:after="0" w:line="225" w:lineRule="exact"/>
        <w:rPr>
          <w:rFonts w:ascii="Arial" w:cs="Arial" w:eastAsia="Arial" w:hAnsi="Arial"/>
          <w:sz w:val="18"/>
          <w:szCs w:val="18"/>
          <w:color w:val="auto"/>
        </w:rPr>
      </w:pPr>
    </w:p>
    <w:p>
      <w:pPr>
        <w:ind w:right="520" w:firstLine="644"/>
        <w:spacing w:after="0" w:line="277" w:lineRule="auto"/>
        <w:tabs>
          <w:tab w:leader="none" w:pos="1398"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dispositions of accounts receivables in connection with the compromise, settlement write-off or collection thereof or in bankruptcy or similar proceedings;</w:t>
      </w:r>
    </w:p>
    <w:p>
      <w:pPr>
        <w:spacing w:after="0" w:line="3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0"/>
          </w:cols>
          <w:pgMar w:left="980" w:top="908" w:right="439" w:bottom="1440" w:gutter="0" w:footer="0" w:header="0"/>
        </w:sectPr>
      </w:pPr>
    </w:p>
    <w:bookmarkStart w:id="14" w:name="page15"/>
    <w:bookmarkEnd w:id="14"/>
    <w:p>
      <w:pPr>
        <w:ind w:left="660" w:right="180" w:firstLine="644"/>
        <w:spacing w:after="0" w:line="263" w:lineRule="auto"/>
        <w:tabs>
          <w:tab w:leader="none" w:pos="20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lapse or abandonment in the ordinary course of business of any registrations or application for registration of any patents, trademarks, copyrights, and other intellectual property rights not necessary in the conduct of the business of the Company and its Restricted Subsidiaries;</w:t>
      </w:r>
    </w:p>
    <w:p>
      <w:pPr>
        <w:spacing w:after="0" w:line="183" w:lineRule="exact"/>
        <w:rPr>
          <w:rFonts w:ascii="Arial" w:cs="Arial" w:eastAsia="Arial" w:hAnsi="Arial"/>
          <w:sz w:val="18"/>
          <w:szCs w:val="18"/>
          <w:color w:val="auto"/>
        </w:rPr>
      </w:pPr>
    </w:p>
    <w:p>
      <w:pPr>
        <w:jc w:val="both"/>
        <w:ind w:left="660" w:right="40" w:firstLine="644"/>
        <w:spacing w:after="0" w:line="263" w:lineRule="auto"/>
        <w:tabs>
          <w:tab w:leader="none" w:pos="20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 of non-core assets acquired in connection with a Permitted Acquisition which, within six (6) months after the date of such Permitted Acquisition, are designated in writing to the Trustee as being held for sale and not for the continued operation of the Company or any of its Subsidiaries;</w:t>
      </w:r>
    </w:p>
    <w:p>
      <w:pPr>
        <w:spacing w:after="0" w:line="183" w:lineRule="exact"/>
        <w:rPr>
          <w:rFonts w:ascii="Arial" w:cs="Arial" w:eastAsia="Arial" w:hAnsi="Arial"/>
          <w:sz w:val="18"/>
          <w:szCs w:val="18"/>
          <w:color w:val="auto"/>
        </w:rPr>
      </w:pPr>
    </w:p>
    <w:p>
      <w:pPr>
        <w:jc w:val="both"/>
        <w:ind w:left="660" w:right="80" w:firstLine="644"/>
        <w:spacing w:after="0" w:line="263" w:lineRule="auto"/>
        <w:tabs>
          <w:tab w:leader="none" w:pos="20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dispositions of Investments in joint ventures (regardless of the form of legal entity) to the extent required by, or made pursuant to, customary buy/sell arrangements (including, without limitation, any puts, calls or deadlock buyouts) between the joint venture parties set forth in joint venture arrangements and similar binding arrangements; and</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dispositions in connection with any Permitted Bond Hedge Transaction or any Permitted Warrant Transaction.</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Attributable Indebtedness</w:t>
      </w:r>
      <w:r>
        <w:rPr>
          <w:rFonts w:ascii="Arial" w:cs="Arial" w:eastAsia="Arial" w:hAnsi="Arial"/>
          <w:sz w:val="16"/>
          <w:szCs w:val="16"/>
          <w:color w:val="auto"/>
        </w:rPr>
        <w:t>” means, on any date, (a) in respect of any Capital Lease Obligation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provided that for purposes of this definition and any related calculations, all obligations of the Company and its Restricted Subsidiaries that are or would be characterized as an operating lease as determined in accordance with GAAP as in effect on December 15, 2018 (whether or not such operating lease was in effect on such date) shall continue to be accounted for as an operating lease (and not as a capital lease) regardless of any change in GAAP following December 15, 2018 (or any change in the implementation in GAAP for future periods that were contemplated as of December 15, 2018), and (c) all Synthetic Debt of such Person.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w:t>
      </w:r>
      <w:r>
        <w:rPr>
          <w:rFonts w:ascii="Arial" w:cs="Arial" w:eastAsia="Arial" w:hAnsi="Arial"/>
          <w:sz w:val="16"/>
          <w:szCs w:val="16"/>
          <w:b w:val="1"/>
          <w:bCs w:val="1"/>
          <w:i w:val="1"/>
          <w:iCs w:val="1"/>
          <w:color w:val="auto"/>
        </w:rPr>
        <w:t>Beneficially Owns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Beneficially Owned</w:t>
      </w:r>
      <w:r>
        <w:rPr>
          <w:rFonts w:ascii="Arial" w:cs="Arial" w:eastAsia="Arial" w:hAnsi="Arial"/>
          <w:sz w:val="16"/>
          <w:szCs w:val="16"/>
          <w:color w:val="auto"/>
        </w:rPr>
        <w:t>” have a corresponding meaning.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w:t>
      </w:r>
    </w:p>
    <w:p>
      <w:pPr>
        <w:spacing w:after="0" w:line="225" w:lineRule="exact"/>
        <w:rPr>
          <w:sz w:val="20"/>
          <w:szCs w:val="20"/>
          <w:color w:val="auto"/>
        </w:rPr>
      </w:pPr>
    </w:p>
    <w:p>
      <w:pPr>
        <w:ind w:left="660" w:right="460" w:firstLine="644"/>
        <w:spacing w:after="0" w:line="277" w:lineRule="auto"/>
        <w:tabs>
          <w:tab w:leader="none" w:pos="20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660" w:right="460" w:firstLine="644"/>
        <w:spacing w:after="0" w:line="277" w:lineRule="auto"/>
        <w:tabs>
          <w:tab w:leader="none" w:pos="20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each day which is not a Legal Holiday.</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 provided that for purposes of this definition and any related calculations, all obligations of the Company and its Restricted Subsidiaries that are or would be characterized as an operating lease as determined in accordance with GAAP as in effect on December 15, 2018 (whether or not such operating lease was in effect on such date) shall continue to be accounted for as an operating lease (and not as a capital lease) regardless of any change in GAAP following December 15, 2018 (or any change in the implementation in GAAP for future periods that were contemplated as of December 15, 2018).</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2060" w:hanging="756"/>
        <w:spacing w:after="0"/>
        <w:tabs>
          <w:tab w:leader="none" w:pos="2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right="40" w:firstLine="644"/>
        <w:spacing w:after="0" w:line="277" w:lineRule="auto"/>
        <w:tabs>
          <w:tab w:leader="none" w:pos="20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interests; and</w:t>
      </w:r>
    </w:p>
    <w:p>
      <w:pPr>
        <w:spacing w:after="0" w:line="210" w:lineRule="exact"/>
        <w:rPr>
          <w:rFonts w:ascii="Arial" w:cs="Arial" w:eastAsia="Arial" w:hAnsi="Arial"/>
          <w:sz w:val="17"/>
          <w:szCs w:val="17"/>
          <w:color w:val="auto"/>
        </w:rPr>
      </w:pPr>
    </w:p>
    <w:p>
      <w:pPr>
        <w:ind w:left="660" w:right="80" w:firstLine="644"/>
        <w:spacing w:after="0" w:line="263" w:lineRule="auto"/>
        <w:tabs>
          <w:tab w:leader="none" w:pos="20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Equivalents</w:t>
      </w:r>
      <w:r>
        <w:rPr>
          <w:rFonts w:ascii="Arial" w:cs="Arial" w:eastAsia="Arial" w:hAnsi="Arial"/>
          <w:sz w:val="18"/>
          <w:szCs w:val="18"/>
          <w:color w:val="auto"/>
        </w:rPr>
        <w:t>” means any of the following types of Investments, to the extent owned by the Company or any of its Restricted Subsidiaries free and clear of all Liens (other than (x) Liens created under the Credit Agreement and (y) to the extent incurred in the ordinary course of business and not securing any Indebtedness, customary Liens (including rights of setoff) of banking institutions arising as a matter of law with respect to deposits maintained with such Person):</w:t>
      </w:r>
    </w:p>
    <w:p>
      <w:pPr>
        <w:spacing w:after="0" w:line="187" w:lineRule="exact"/>
        <w:rPr>
          <w:sz w:val="20"/>
          <w:szCs w:val="20"/>
          <w:color w:val="auto"/>
        </w:rPr>
      </w:pPr>
    </w:p>
    <w:p>
      <w:pPr>
        <w:ind w:left="660" w:firstLine="644"/>
        <w:spacing w:after="0" w:line="263" w:lineRule="auto"/>
        <w:tabs>
          <w:tab w:leader="none" w:pos="2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183" w:lineRule="exact"/>
        <w:rPr>
          <w:rFonts w:ascii="Arial" w:cs="Arial" w:eastAsia="Arial" w:hAnsi="Arial"/>
          <w:sz w:val="18"/>
          <w:szCs w:val="18"/>
          <w:color w:val="auto"/>
        </w:rPr>
      </w:pPr>
    </w:p>
    <w:p>
      <w:pPr>
        <w:ind w:left="660" w:right="120" w:firstLine="644"/>
        <w:spacing w:after="0" w:line="257" w:lineRule="auto"/>
        <w:tabs>
          <w:tab w:leader="none" w:pos="2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 (A) is a lender under the Credit Agreement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has combined capital and surplus of at least $1,000,000,000, in each case with maturities of not more than 180 days from the date of acquisition thereof;</w:t>
      </w:r>
    </w:p>
    <w:p>
      <w:pPr>
        <w:spacing w:after="0" w:line="187" w:lineRule="exact"/>
        <w:rPr>
          <w:rFonts w:ascii="Arial" w:cs="Arial" w:eastAsia="Arial" w:hAnsi="Arial"/>
          <w:sz w:val="18"/>
          <w:szCs w:val="18"/>
          <w:color w:val="auto"/>
        </w:rPr>
      </w:pPr>
    </w:p>
    <w:p>
      <w:pPr>
        <w:ind w:left="660" w:right="20" w:firstLine="644"/>
        <w:spacing w:after="0" w:line="263" w:lineRule="auto"/>
        <w:tabs>
          <w:tab w:leader="none" w:pos="2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 and</w:t>
      </w:r>
    </w:p>
    <w:p>
      <w:pPr>
        <w:spacing w:after="0" w:line="183" w:lineRule="exact"/>
        <w:rPr>
          <w:rFonts w:ascii="Arial" w:cs="Arial" w:eastAsia="Arial" w:hAnsi="Arial"/>
          <w:sz w:val="18"/>
          <w:szCs w:val="18"/>
          <w:color w:val="auto"/>
        </w:rPr>
      </w:pPr>
    </w:p>
    <w:p>
      <w:pPr>
        <w:ind w:left="660" w:right="200" w:firstLine="644"/>
        <w:spacing w:after="0" w:line="259" w:lineRule="auto"/>
        <w:tabs>
          <w:tab w:leader="none" w:pos="2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(1), (2) and (3) of this definition.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an event or series of events by which: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60" w:right="60" w:firstLine="644"/>
        <w:spacing w:after="0" w:line="291" w:lineRule="auto"/>
        <w:tabs>
          <w:tab w:leader="none" w:pos="2058"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50%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66" w:lineRule="exact"/>
        <w:rPr>
          <w:rFonts w:ascii="Arial" w:cs="Arial" w:eastAsia="Arial" w:hAnsi="Arial"/>
          <w:sz w:val="16"/>
          <w:szCs w:val="16"/>
          <w:color w:val="auto"/>
        </w:rPr>
      </w:pPr>
    </w:p>
    <w:p>
      <w:pPr>
        <w:ind w:left="660" w:right="60" w:firstLine="644"/>
        <w:spacing w:after="0" w:line="287" w:lineRule="auto"/>
        <w:tabs>
          <w:tab w:leader="none" w:pos="2058" w:val="left"/>
        </w:tabs>
        <w:numPr>
          <w:ilvl w:val="1"/>
          <w:numId w:val="14"/>
        </w:numPr>
        <w:rPr>
          <w:rFonts w:ascii="Arial" w:cs="Arial" w:eastAsia="Arial" w:hAnsi="Arial"/>
          <w:sz w:val="16"/>
          <w:szCs w:val="16"/>
          <w:color w:val="auto"/>
        </w:rPr>
      </w:pPr>
      <w:r>
        <w:rPr>
          <w:rFonts w:ascii="Arial" w:cs="Arial" w:eastAsia="Arial" w:hAnsi="Arial"/>
          <w:sz w:val="16"/>
          <w:szCs w:val="16"/>
          <w:color w:val="auto"/>
        </w:rPr>
        <w:t>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w:t>
      </w:r>
    </w:p>
    <w:p>
      <w:pPr>
        <w:spacing w:after="0" w:line="2" w:lineRule="exact"/>
        <w:rPr>
          <w:rFonts w:ascii="Arial" w:cs="Arial" w:eastAsia="Arial" w:hAnsi="Arial"/>
          <w:sz w:val="16"/>
          <w:szCs w:val="16"/>
          <w:color w:val="auto"/>
        </w:rPr>
      </w:pPr>
    </w:p>
    <w:p>
      <w:pPr>
        <w:ind w:left="660" w:right="200" w:hanging="4"/>
        <w:spacing w:after="0" w:line="253" w:lineRule="auto"/>
        <w:tabs>
          <w:tab w:leader="none" w:pos="8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(in each case, with such approval either by a specific vote or by approval of the Company’s proxy statement in which such member was named as a nominee for election as a director).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Clearstream</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Emergent BioSolutions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EBITDA</w:t>
      </w:r>
      <w:r>
        <w:rPr>
          <w:rFonts w:ascii="Arial" w:cs="Arial" w:eastAsia="Arial" w:hAnsi="Arial"/>
          <w:sz w:val="16"/>
          <w:szCs w:val="16"/>
          <w:color w:val="auto"/>
        </w:rPr>
        <w:t>” means, for any Measurement Period, for the Company and its Restricted Subsidiaries on a consolidated basis, an amount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equal to:</w:t>
      </w:r>
    </w:p>
    <w:p>
      <w:pPr>
        <w:spacing w:after="0" w:line="211" w:lineRule="exact"/>
        <w:rPr>
          <w:sz w:val="20"/>
          <w:szCs w:val="20"/>
          <w:color w:val="auto"/>
        </w:rPr>
      </w:pPr>
    </w:p>
    <w:p>
      <w:pPr>
        <w:ind w:left="2060" w:hanging="756"/>
        <w:spacing w:after="0"/>
        <w:tabs>
          <w:tab w:leader="none" w:pos="2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0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without duplication, the sum of following to the extent deducted in calculating such Consolidated Net Income (other than as set forth in clause (vi)(E)) in accordance with GAAP for such period:</w:t>
      </w:r>
    </w:p>
    <w:p>
      <w:pPr>
        <w:spacing w:after="0" w:line="170" w:lineRule="exact"/>
        <w:rPr>
          <w:sz w:val="20"/>
          <w:szCs w:val="20"/>
          <w:color w:val="auto"/>
        </w:rPr>
      </w:pPr>
    </w:p>
    <w:p>
      <w:pPr>
        <w:ind w:left="2060" w:hanging="756"/>
        <w:spacing w:after="0"/>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Interest Charges for such period;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provision for federal, state, local and foreign income taxes payable by the Company and its Restricted Subsidiaries;</w:t>
      </w:r>
    </w:p>
    <w:p>
      <w:pPr>
        <w:spacing w:after="0" w:line="236" w:lineRule="exact"/>
        <w:rPr>
          <w:rFonts w:ascii="Arial" w:cs="Arial" w:eastAsia="Arial" w:hAnsi="Arial"/>
          <w:sz w:val="17"/>
          <w:szCs w:val="17"/>
          <w:color w:val="auto"/>
        </w:rPr>
      </w:pPr>
    </w:p>
    <w:p>
      <w:pPr>
        <w:ind w:left="2060" w:hanging="756"/>
        <w:spacing w:after="0"/>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225" w:lineRule="exact"/>
        <w:rPr>
          <w:rFonts w:ascii="Arial" w:cs="Arial" w:eastAsia="Arial" w:hAnsi="Arial"/>
          <w:sz w:val="18"/>
          <w:szCs w:val="18"/>
          <w:color w:val="auto"/>
        </w:rPr>
      </w:pPr>
    </w:p>
    <w:p>
      <w:pPr>
        <w:ind w:left="980" w:right="140" w:firstLine="324"/>
        <w:spacing w:after="0" w:line="308" w:lineRule="auto"/>
        <w:tabs>
          <w:tab w:leader="none" w:pos="20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non-cash expenses, excluding any non-cash expense that represents an accrual for a cash expense to be taken in a future period and any non-cash expense that relates to the write-down or write-off of accounts receivable or inventory;</w:t>
      </w:r>
    </w:p>
    <w:p>
      <w:pPr>
        <w:spacing w:after="0" w:line="146" w:lineRule="exact"/>
        <w:rPr>
          <w:rFonts w:ascii="Arial" w:cs="Arial" w:eastAsia="Arial" w:hAnsi="Arial"/>
          <w:sz w:val="17"/>
          <w:szCs w:val="17"/>
          <w:color w:val="auto"/>
        </w:rPr>
      </w:pPr>
    </w:p>
    <w:p>
      <w:pPr>
        <w:ind w:left="980" w:right="60" w:firstLine="324"/>
        <w:spacing w:after="0" w:line="263" w:lineRule="auto"/>
        <w:tabs>
          <w:tab w:leader="none" w:pos="20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transaction fees, charge and other amounts related to the Transactions or the Credit Facilities and any amendment or other modification to this Indenture, the Credit Facilities or documents related thereto, in each case to the extent paid within six months of the Issue Date or the effectiveness of such amendment or other modifications;</w:t>
      </w:r>
    </w:p>
    <w:p>
      <w:pPr>
        <w:spacing w:after="0" w:line="183" w:lineRule="exact"/>
        <w:rPr>
          <w:rFonts w:ascii="Arial" w:cs="Arial" w:eastAsia="Arial" w:hAnsi="Arial"/>
          <w:sz w:val="18"/>
          <w:szCs w:val="18"/>
          <w:color w:val="auto"/>
        </w:rPr>
      </w:pPr>
    </w:p>
    <w:p>
      <w:pPr>
        <w:ind w:left="980" w:firstLine="324"/>
        <w:spacing w:after="0" w:line="286" w:lineRule="auto"/>
        <w:tabs>
          <w:tab w:leader="none" w:pos="21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 costs and expenses in connection with any Acquisitions (including, without limitation, any financing fees, merger and acquisition fees, legal fees and expenses, due diligence fees or any other fees and expenses in connection therewith), whether or not consummated, (B) other unusual and non-recurring cash expenses or charges, (C) to the extent incurred in connection with a Permitted Acquisition, one-time non-recurring severance charges incurred within twelve (12) months of such Permitted Acquisition, (D) cash restructuring charges with respect to acquisitions permitted by this Indenture or otherwise and (E) synergies, operating expense reductions and other net cost savings and integration costs projected by the Company in connection with Permitted Acquisitions that have been consummated during the applicable Measurement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synergies, expense reductions and cost savings are reasonably identifiable, factually supportable, expected to have a continuing impact on the operations of the Company and its Restricted Subsidiaries and have been determined by the Company in good faith to be reasonably anticipated to be realizable within 12 months following any such Permitted Acquisition and (ii) no such amounts shall be added pursuant to this clause to the extent duplicative of any expenses or charges otherwise added to Consolidated EBITDA, whether through a Pro Forma Adjustment or otherwise;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2060" w:hanging="756"/>
        <w:spacing w:after="0"/>
        <w:tabs>
          <w:tab w:leader="none" w:pos="2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the extent covered by insurance and actually reimbursed, expenses with respect to liability or casualty events or business</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interruption;</w:t>
      </w:r>
    </w:p>
    <w:p>
      <w:pPr>
        <w:spacing w:after="0" w:line="210" w:lineRule="exact"/>
        <w:rPr>
          <w:rFonts w:ascii="Arial" w:cs="Arial" w:eastAsia="Arial" w:hAnsi="Arial"/>
          <w:sz w:val="16"/>
          <w:szCs w:val="16"/>
          <w:color w:val="auto"/>
        </w:rPr>
      </w:pPr>
    </w:p>
    <w:p>
      <w:pPr>
        <w:ind w:left="2060" w:hanging="756"/>
        <w:spacing w:after="0"/>
        <w:tabs>
          <w:tab w:leader="none" w:pos="2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any net after-tax effect of loss for such period attributable to the early extinguishment of any Hedge Agreement; </w:t>
      </w:r>
      <w:r>
        <w:rPr>
          <w:rFonts w:ascii="Arial" w:cs="Arial" w:eastAsia="Arial" w:hAnsi="Arial"/>
          <w:sz w:val="17"/>
          <w:szCs w:val="17"/>
          <w:u w:val="single" w:color="auto"/>
          <w:color w:val="auto"/>
        </w:rPr>
        <w:t>minus</w:t>
      </w:r>
    </w:p>
    <w:p>
      <w:pPr>
        <w:spacing w:after="0" w:line="237" w:lineRule="exact"/>
        <w:rPr>
          <w:sz w:val="20"/>
          <w:szCs w:val="20"/>
          <w:color w:val="auto"/>
        </w:rPr>
      </w:pPr>
    </w:p>
    <w:p>
      <w:pPr>
        <w:ind w:left="2060" w:hanging="756"/>
        <w:spacing w:after="0"/>
        <w:tabs>
          <w:tab w:leader="none" w:pos="2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without duplication, the following to the extent included in calculating such Consolidated Net Income:</w:t>
      </w:r>
    </w:p>
    <w:p>
      <w:pPr>
        <w:spacing w:after="0" w:line="225" w:lineRule="exact"/>
        <w:rPr>
          <w:sz w:val="20"/>
          <w:szCs w:val="20"/>
          <w:color w:val="auto"/>
        </w:rPr>
      </w:pPr>
    </w:p>
    <w:p>
      <w:pPr>
        <w:ind w:left="2060" w:hanging="756"/>
        <w:spacing w:after="0"/>
        <w:tabs>
          <w:tab w:leader="none" w:pos="2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local and foreign income tax credits of the Company and its Restricted Subsidiaries for such period;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non-cash items increasing Consolidated Net Income for such period;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net after-tax effect of income for such period attributable to the early extinguishment of any Hedge Agreement; and</w:t>
      </w:r>
    </w:p>
    <w:p>
      <w:pPr>
        <w:spacing w:after="0" w:line="236" w:lineRule="exact"/>
        <w:rPr>
          <w:rFonts w:ascii="Arial" w:cs="Arial" w:eastAsia="Arial" w:hAnsi="Arial"/>
          <w:sz w:val="17"/>
          <w:szCs w:val="17"/>
          <w:color w:val="auto"/>
        </w:rPr>
      </w:pPr>
    </w:p>
    <w:p>
      <w:pPr>
        <w:ind w:left="980" w:right="240" w:firstLine="324"/>
        <w:spacing w:after="0" w:line="277" w:lineRule="auto"/>
        <w:tabs>
          <w:tab w:leader="none" w:pos="20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cash expense made during such period which represents the reversal of any non-cash expense that was added in a prior period pursuant to clause (2)(iv) above.</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Notwithstanding the foregoing to the contrary, (w) the aggregate amount added pursuant to clause (2)(vi) contained in this definition above for any period shall in no event exceed 20% of Consolidated EBITDA for such period (calculated prior to any such add-backs pursuant to clause (2)(vi)), (x) there shall be included in determining Consolidated EBITDA for any period, without duplication, the Acquired EBITDA of any Person or business, or attributable to any property or asset, acquired by the Company or its Restricted Subsidiaries during such period (but not the Acquired EBITDA of any related Person or business or any Acquired EBITDA attributable to any assets or property, in each case to the extent not so acquired) in connection with a Permitted Acquisition to the extent not subsequently sold, transferred, abandoned or otherwise disposed by the Company or such Restricted Subsidiary, based on the actual Acquired EBITDA of such acquired entity or business for such period (including the portion thereof occurring prior to such acquisition or conversion) and (y) there shall be excluded in determining Consolidated EBITDA for any period, without duplication, the Disposed EBITDA of any Person or business, or attributable to any property or asset, disposed of by the Company or any of its Restricted Subsidiaries during such period in connection with a Specified Disposition or discontinuation of operations, based on the Disposed EBITDA of such disposed entity or business or discontinued operations for such period (including the portion thereof occurring prior to such disposition or discontinuation).</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8" w:name="page19"/>
    <w:bookmarkEnd w:id="18"/>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Funded Indebtedness</w:t>
      </w:r>
      <w:r>
        <w:rPr>
          <w:rFonts w:ascii="Arial" w:cs="Arial" w:eastAsia="Arial" w:hAnsi="Arial"/>
          <w:sz w:val="16"/>
          <w:szCs w:val="16"/>
          <w:color w:val="auto"/>
        </w:rPr>
        <w:t>” means, as of any date of determination, for the Company and its Restricted Subsidiaries on a consolidated basis in accordance with applicable principles of consolidation under GAAP,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standby letters of credit, bankers’ acceptances, bank guaranties, surety bonds and similar instruments (in the case of surety bonds and similar instruments, to the extent included as a liability on the consolidated balance sheet of the Company and its Restricted Subsidiaries in accordance with GAAP), (d) all obligations in respect of the deferred purchase price of property or services (including, without limitation, in the form of earnouts, milestones and other contingent payment obligations to the extent included as a liability on the consolidated balance sheet of the Company and its Restricted Subsidiaries in accordance with GAAP) (other than trade accounts payable in the ordinary course of business), provided that royalties (and other contingent payment obligations in the nature of a royalty payment (including those calculated based on a percentage of sales)) shall only be included in “Consolidated Funded Indebtedness” to the extent such liability exceeds the corresponding intangible item included on the consolidated balance sheet of the Company and its Restricted Subsidiaries, provided that any such corresponding intangible item shall be discernible and reasonably identifiable, (e) all Attributable Indebtedness in respect of Capital Lease Obligations and Synthetic Lease Obligations, (f) without duplication, all Guarantees with respect to outstanding Indebtedness of the types specified in clauses (a) through (e) above of Persons other than the Company or any Restricted Subsidiary, and (g) all Indebtedness of the types referred to in clauses</w:t>
      </w:r>
    </w:p>
    <w:p>
      <w:pPr>
        <w:spacing w:after="0" w:line="1" w:lineRule="exact"/>
        <w:rPr>
          <w:sz w:val="20"/>
          <w:szCs w:val="20"/>
          <w:color w:val="auto"/>
        </w:rPr>
      </w:pPr>
    </w:p>
    <w:p>
      <w:pPr>
        <w:ind w:right="20" w:firstLine="8"/>
        <w:spacing w:after="0" w:line="255"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w:t>
      </w:r>
    </w:p>
    <w:p>
      <w:pPr>
        <w:spacing w:after="0" w:line="19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Consolidated Interest Charges</w:t>
      </w:r>
      <w:r>
        <w:rPr>
          <w:rFonts w:ascii="Arial" w:cs="Arial" w:eastAsia="Arial" w:hAnsi="Arial"/>
          <w:sz w:val="17"/>
          <w:szCs w:val="17"/>
          <w:color w:val="auto"/>
        </w:rPr>
        <w:t>” means, for any Measurement Period, for the Company and its Restricted Subsidiaries on a consolidated basis, the sum of (a) all interest, premium payments, debt discount, fees, charges and related expenses of the Company and its Restricted Subsidiaries in connection with borrowed money (including capitalized interest) or in connection with the deferred purchase price of assets, in each case to the extent treated as interest in accordance with GAAP (excluding customary arrangement, upfront, administrative agency and amendment fees (in each case, to the extent not in the nature of interest charges) incurred in connection with the Credit Agreement or the Convertible Senior Notes) and (b) the portion of rent expense of the Company and its Restricted Subsidiaries under Capital Lease Obligations that is treated as interest in accordance with GAAP, in each case, of or by the Company and its Restricted Subsidiaries on a consolidated basis for such Measurement Period. Notwithstanding the foregoing, during any Measurement Period in which any Permitted Acquisition is consummated (x) Consolidated Interest Charges for such Measurement Period shall be calculated on a pro forma basis as if such Permitted Acquisition had been consummated on the first day of such Measurement Period and (y) there shall be included in determining the Consolidated Interest Charges for such period, without duplication, the Acquired Interest Charges of any Person or business, or attributable to any property or asset, acquired by the Company or any Restricted Subsidiary during such period (but not the Acquired Interest Charges of any related Person or business or any Acquired Interest Charges attributable to any assets or property, in each case to the extent not so acquired) in connection with such Permitted Acquisition to the extent not subsequently sold, transferred, abandoned or otherwise disposed by the Company or such Restricted Subsidiary, based on the actual Acquired Interest Charges of such acquired entity or business for such period (including the portion thereof occurring prior to such acquisition or conversion).</w:t>
      </w:r>
    </w:p>
    <w:p>
      <w:pPr>
        <w:spacing w:after="0" w:line="18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Consolidated Net Income</w:t>
      </w:r>
      <w:r>
        <w:rPr>
          <w:rFonts w:ascii="Arial" w:cs="Arial" w:eastAsia="Arial" w:hAnsi="Arial"/>
          <w:sz w:val="17"/>
          <w:szCs w:val="17"/>
          <w:color w:val="auto"/>
        </w:rPr>
        <w:t xml:space="preserve">” means, at any date of determination, the net income (or loss) of the Company and its Restricted Subsidiaries on a consolidated basis for the most recently completed Measurement Period, determined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shall exclude (a) non-cash extraordinary, unusual or non-recurring gains and extraordinary, unusual or non-recurring losses for such Measurement Period, and (b) any income (or loss) for such Measurement Period of any Person if such Person is not a Restricted Subsidiary, except that the Company’s equity in the net income of any such Person for such Measurement Period shall be included in Consolidated Net Income up to the net amount of cash actually received by the Company or a Restricted Subsidiary from such Person during such Measurement Period as a dividend or other distribution (and in the case of a dividend or other distribution to a Restricted Subsidiary, such Restricted Subsidiary is not precluded from further distributing such amount to the Company as described in clause (b) of this proviso).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Indebtedness</w:t>
      </w:r>
      <w:r>
        <w:rPr>
          <w:rFonts w:ascii="Arial" w:cs="Arial" w:eastAsia="Arial" w:hAnsi="Arial"/>
          <w:sz w:val="18"/>
          <w:szCs w:val="18"/>
          <w:color w:val="auto"/>
        </w:rPr>
        <w:t>” means Indebtedness of the Company or any Restricted Subsidiary (which may be guaranteed by the Company or any Restricted Subsidiary) permitted to be incurred hereunder that is either (a) convertible into or exchangeable for Equity Interests of the Company (and cash in lieu of fractional shares) or cash (in an amount determined by reference to the price of such Equity Interests or a market measure of such Equity Interests), or a combination thereof, or (b) sold as units with call options, warrants or rights to purchase (or substantially equivalent derivative transactions) that are exercisable for Equity Interests (other than Disqualified Stock) of the Company or cash (in an amount determined by reference to the price of such Equity Interests).</w:t>
      </w:r>
    </w:p>
    <w:p>
      <w:pPr>
        <w:spacing w:after="0" w:line="19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Senior Notes</w:t>
      </w:r>
      <w:r>
        <w:rPr>
          <w:rFonts w:ascii="Arial" w:cs="Arial" w:eastAsia="Arial" w:hAnsi="Arial"/>
          <w:sz w:val="18"/>
          <w:szCs w:val="18"/>
          <w:color w:val="auto"/>
        </w:rPr>
        <w:t>” means the 2.875% Convertible Senior Notes due 2021, issued by the Company pursuant to the Convertible Senior Notes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Convertible Senior Notes Indenture</w:t>
      </w:r>
      <w:r>
        <w:rPr>
          <w:rFonts w:ascii="Arial" w:cs="Arial" w:eastAsia="Arial" w:hAnsi="Arial"/>
          <w:sz w:val="16"/>
          <w:szCs w:val="16"/>
          <w:color w:val="auto"/>
        </w:rPr>
        <w:t>” means the Indenture dated as of January 29, 2014 between the Company, as Company, and Wells Fargo,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Trust Office</w:t>
      </w:r>
      <w:r>
        <w:rPr>
          <w:rFonts w:ascii="Arial" w:cs="Arial" w:eastAsia="Arial" w:hAnsi="Arial"/>
          <w:sz w:val="16"/>
          <w:szCs w:val="16"/>
          <w:color w:val="auto"/>
        </w:rPr>
        <w:t>” means an office of the Trustee at which at any time its corporate trust business with respect to this Indenture shall be administered, which office at the date hereof (x) solely for purposes of surrender for registration of transfer or exchange or for presentation for payment is located at 111 Fillmore Avenue, St. Paul, MN 55107, Attention: Emergent BioSolutions, Inc., and (y) for all other purposes is located at One Federal Street,</w:t>
      </w:r>
    </w:p>
    <w:p>
      <w:pPr>
        <w:spacing w:after="0" w:line="2" w:lineRule="exact"/>
        <w:rPr>
          <w:sz w:val="20"/>
          <w:szCs w:val="20"/>
          <w:color w:val="auto"/>
        </w:rPr>
      </w:pPr>
    </w:p>
    <w:p>
      <w:pPr>
        <w:ind w:right="200"/>
        <w:spacing w:after="0" w:line="221" w:lineRule="auto"/>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02110, Attention: Emergent BioSolutions, Inc.,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20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means that certain Amended and Restated Credit Agreement, dated as of October 15, 2018 (as may be amended, amended and restated, supplemented or otherwise modified from time to time) among the Company, the lenders from time to time party thereto and Wells Fargo Bank, National Association, as administrative agent, providing for a term loan facility and revolving credit borrowings, including any related notes, guarantees, collateral documents, instruments and agreements executed in connection therewith, and, in each case, as amended, modified, restated, renewed, increased, supplemented, refunded, replaced (whether upon or after termination or otherwise) or refinanced (including by means of sales of debt securities to institutional investors) in whole or in part from time to time, including increases in principal amount and extensions of term loans of other financings.</w:t>
      </w:r>
    </w:p>
    <w:p>
      <w:pPr>
        <w:spacing w:after="0" w:line="19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Credit Facilities</w:t>
      </w:r>
      <w:r>
        <w:rPr>
          <w:rFonts w:ascii="Arial" w:cs="Arial" w:eastAsia="Arial" w:hAnsi="Arial"/>
          <w:sz w:val="16"/>
          <w:szCs w:val="16"/>
          <w:color w:val="auto"/>
        </w:rPr>
        <w:t>” means one or more debt facilities (including, without limitation, the Credit Agreement), financing arrangements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capital markets debt financings, notes, letters of credit or bank guarantees, as amended, modified, restated, renewed, increased, supplemented, refunded, replaced (whether upon or after termination or otherwise) or refinanced (including by means of sales of debt securities to institutional investors) in whole or in part from time to time, including any such amendment, modification, restatement, renewal, increase, supplement, refunding, replacement, or refinancing that increases the amount permitted to be borrowed thereunder or alters the maturity thereof. The Credit Agreement hereby is designated by the Company as a Credit Facility.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the Trustee, as custodian with respect to the Global Notes,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Default</w:t>
      </w:r>
      <w:r>
        <w:rPr>
          <w:rFonts w:ascii="Arial" w:cs="Arial" w:eastAsia="Arial" w:hAnsi="Arial"/>
          <w:sz w:val="17"/>
          <w:szCs w:val="17"/>
          <w:color w:val="auto"/>
        </w:rPr>
        <w:t>” means any event that is, or with the passage of time or the giving of notice or both would be, unless cured or waived, an 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substantially in the form of Exhibit A hereto except that such Note shall not bear the Global Note Legend and shall not have the “Schedule of Exchanges of Interests in the Global Note” attached thereto.</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right="4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Derivative Instrument</w:t>
      </w:r>
      <w:r>
        <w:rPr>
          <w:rFonts w:ascii="Arial" w:cs="Arial" w:eastAsia="Arial" w:hAnsi="Arial"/>
          <w:sz w:val="17"/>
          <w:szCs w:val="17"/>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a Screened Affiliate) is a party (whether or not requiring further performance by such Person), the value and/or cash flows of which (or any material portion thereof) are materially affected by the value and/or performance of the Notes and/ or the creditworthiness of the Company and/or any one or more of the Guarantors (the “Performance References”).</w:t>
      </w:r>
    </w:p>
    <w:p>
      <w:pPr>
        <w:spacing w:after="0" w:line="176"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Non-cash Consideration</w:t>
      </w:r>
      <w:r>
        <w:rPr>
          <w:rFonts w:ascii="Arial" w:cs="Arial" w:eastAsia="Arial" w:hAnsi="Arial"/>
          <w:sz w:val="18"/>
          <w:szCs w:val="18"/>
          <w:color w:val="auto"/>
        </w:rPr>
        <w:t>” means the Fair Market Value of non-cash consideration received by the Company or a Restricted Subsidiary in connection with an Asset Sale that is so designated as Designated Non-cash Consideration pursuant to an Officer’s Certificate delivered to the Trustee, setting forth the basis of such valuation, less the amount of cash or Cash Equivalents received in connection with a subsequent sale of such Designated Non-cash Consideration.</w:t>
      </w:r>
    </w:p>
    <w:p>
      <w:pPr>
        <w:spacing w:after="0" w:line="18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Disposed EBITDA</w:t>
      </w:r>
      <w:r>
        <w:rPr>
          <w:rFonts w:ascii="Arial" w:cs="Arial" w:eastAsia="Arial" w:hAnsi="Arial"/>
          <w:sz w:val="18"/>
          <w:szCs w:val="18"/>
          <w:color w:val="auto"/>
        </w:rPr>
        <w:t>” shall mean, with respect to any Person or business disposed of for any period, the amount for such period of Consolidated EBITDA of any such Person or business so disposed (determined using such definitions as if references to the Company and its Restricted Subsidiaries therein were to such Person or business), as calculated by the Company in good faith.</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Disqualified Stock</w:t>
      </w:r>
      <w:r>
        <w:rPr>
          <w:rFonts w:ascii="Arial" w:cs="Arial" w:eastAsia="Arial" w:hAnsi="Arial"/>
          <w:sz w:val="17"/>
          <w:szCs w:val="17"/>
          <w:color w:val="auto"/>
        </w:rPr>
        <w:t>” means, with respect to any Person, any Equity Interests of such Person that, by its terms (or by the terms of any security or other Equity Interest into which it is convertible or for which it is exchangeable) or upon the happening of any event or condition or pursuant to any agreement,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in cash of the Notes, (b) is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in cash of the Notes, in whole or in part, (c) provides for the scheduled payments of dividends in cash or (d) is or may be convertible into or exchangeable for Indebtedness or any other Equity Interest that would constitute Disqualified Stock, in each case, prior to the date that is ninety-one (91) days after the latest scheduled maturity date of the loans and commitments; provided that Equity Interests issued pursuant to a plan for the benefit of employees of the Company or its Restricted Subsidiaries or by any such plan to such employees shall not constitute Disqualified Stock solely because it may be required to be repurchased by Company or its Restricted Subsidiaries in order to satisfy applicable statutory or regulatory obligations.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Dividing Person</w:t>
      </w:r>
      <w:r>
        <w:rPr>
          <w:rFonts w:ascii="Arial" w:cs="Arial" w:eastAsia="Arial" w:hAnsi="Arial"/>
          <w:sz w:val="18"/>
          <w:szCs w:val="18"/>
          <w:color w:val="auto"/>
        </w:rPr>
        <w:t>” has the meaning assigned to it in the definition of “</w:t>
      </w:r>
      <w:r>
        <w:rPr>
          <w:rFonts w:ascii="Arial" w:cs="Arial" w:eastAsia="Arial" w:hAnsi="Arial"/>
          <w:sz w:val="18"/>
          <w:szCs w:val="18"/>
          <w:b w:val="1"/>
          <w:bCs w:val="1"/>
          <w:i w:val="1"/>
          <w:iCs w:val="1"/>
          <w:color w:val="auto"/>
        </w:rPr>
        <w:t>Division</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b w:val="1"/>
          <w:bCs w:val="1"/>
          <w:i w:val="1"/>
          <w:iCs w:val="1"/>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Division Successor</w:t>
      </w:r>
      <w:r>
        <w:rPr>
          <w:rFonts w:ascii="Arial" w:cs="Arial" w:eastAsia="Arial" w:hAnsi="Arial"/>
          <w:sz w:val="16"/>
          <w:szCs w:val="16"/>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4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Domestic Subsidiary</w:t>
      </w:r>
      <w:r>
        <w:rPr>
          <w:rFonts w:ascii="Arial" w:cs="Arial" w:eastAsia="Arial" w:hAnsi="Arial"/>
          <w:sz w:val="18"/>
          <w:szCs w:val="18"/>
          <w:color w:val="auto"/>
        </w:rPr>
        <w:t>” means any Subsidiary of the Company that was formed under the laws of the United States or any state or commonwealth of the United States or under the laws of the District of Columbia.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1" w:name="page22"/>
    <w:bookmarkEnd w:id="21"/>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Offering</w:t>
      </w:r>
      <w:r>
        <w:rPr>
          <w:rFonts w:ascii="Arial" w:cs="Arial" w:eastAsia="Arial" w:hAnsi="Arial"/>
          <w:sz w:val="18"/>
          <w:szCs w:val="18"/>
          <w:color w:val="auto"/>
        </w:rPr>
        <w:t>” means an offer and sale for cash of Capital Stock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Euroclear</w:t>
      </w:r>
      <w:r>
        <w:rPr>
          <w:rFonts w:ascii="Arial" w:cs="Arial" w:eastAsia="Arial" w:hAnsi="Arial"/>
          <w:sz w:val="18"/>
          <w:szCs w:val="18"/>
          <w:color w:val="auto"/>
        </w:rPr>
        <w:t>” means Euroclear Bank, S.A./N.V., as operator of the Euroclear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Indebtedness</w:t>
      </w:r>
      <w:r>
        <w:rPr>
          <w:rFonts w:ascii="Arial" w:cs="Arial" w:eastAsia="Arial" w:hAnsi="Arial"/>
          <w:sz w:val="18"/>
          <w:szCs w:val="18"/>
          <w:color w:val="auto"/>
        </w:rPr>
        <w:t>” means Indebtedness of the Company and its Subsidiaries (other than Indebtedness under the Credit Agreement) in existence on the date hereof, until such amounts are repaid.</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Board of Directors of the Company (unless otherwise provided in this Indenture).</w:t>
      </w:r>
    </w:p>
    <w:p>
      <w:pPr>
        <w:spacing w:after="0" w:line="12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Fixed Charge Coverage Ratio</w:t>
      </w:r>
      <w:r>
        <w:rPr>
          <w:rFonts w:ascii="Arial" w:cs="Arial" w:eastAsia="Arial" w:hAnsi="Arial"/>
          <w:sz w:val="16"/>
          <w:szCs w:val="16"/>
          <w:color w:val="auto"/>
        </w:rPr>
        <w:t>” means with respect to any specified Person for any period, the ratio of the Consolidated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b w:val="1"/>
          <w:bCs w:val="1"/>
          <w:i w:val="1"/>
          <w:iCs w:val="1"/>
          <w:color w:val="auto"/>
        </w:rPr>
        <w:t>Calculation Date</w:t>
      </w:r>
      <w:r>
        <w:rPr>
          <w:rFonts w:ascii="Arial" w:cs="Arial" w:eastAsia="Arial" w:hAnsi="Arial"/>
          <w:sz w:val="16"/>
          <w:szCs w:val="16"/>
          <w:color w:val="auto"/>
        </w:rPr>
        <w:t>”), then the Fixed Charge Coverage Ratio shall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25" w:lineRule="exact"/>
        <w:rPr>
          <w:sz w:val="20"/>
          <w:szCs w:val="20"/>
          <w:color w:val="auto"/>
        </w:rPr>
      </w:pPr>
    </w:p>
    <w:p>
      <w:pPr>
        <w:ind w:left="660" w:right="20" w:firstLine="644"/>
        <w:spacing w:after="0" w:line="257" w:lineRule="auto"/>
        <w:tabs>
          <w:tab w:leader="none" w:pos="20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shall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as if they had occurred on the first day of the four-quarter reference period;</w:t>
      </w:r>
    </w:p>
    <w:p>
      <w:pPr>
        <w:spacing w:after="0" w:line="187" w:lineRule="exact"/>
        <w:rPr>
          <w:rFonts w:ascii="Arial" w:cs="Arial" w:eastAsia="Arial" w:hAnsi="Arial"/>
          <w:sz w:val="18"/>
          <w:szCs w:val="18"/>
          <w:color w:val="auto"/>
        </w:rPr>
      </w:pPr>
    </w:p>
    <w:p>
      <w:pPr>
        <w:ind w:left="660" w:right="80" w:firstLine="644"/>
        <w:spacing w:after="0" w:line="277" w:lineRule="auto"/>
        <w:tabs>
          <w:tab w:leader="none" w:pos="20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in accordance with GAAP, and operations or businesses (and ownership interests therein) disposed of prior to the Calculation Date, shall be excluded;</w:t>
      </w:r>
    </w:p>
    <w:p>
      <w:pPr>
        <w:spacing w:after="0" w:line="170" w:lineRule="exact"/>
        <w:rPr>
          <w:rFonts w:ascii="Arial" w:cs="Arial" w:eastAsia="Arial" w:hAnsi="Arial"/>
          <w:sz w:val="18"/>
          <w:szCs w:val="18"/>
          <w:color w:val="auto"/>
        </w:rPr>
      </w:pPr>
    </w:p>
    <w:p>
      <w:pPr>
        <w:ind w:left="660" w:right="40" w:firstLine="644"/>
        <w:spacing w:after="0" w:line="259" w:lineRule="auto"/>
        <w:tabs>
          <w:tab w:leader="none" w:pos="20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(and ownership interests therein) disposed of prior to the Calculation Date, shall be excluded, but only to the extent that the obligations giving rise to such Fixed Charges shall not be obligations of the specified Person or any of its Restricted Subsidiaries following the Calculation Date;</w:t>
      </w:r>
    </w:p>
    <w:p>
      <w:pPr>
        <w:spacing w:after="0" w:line="186" w:lineRule="exact"/>
        <w:rPr>
          <w:rFonts w:ascii="Arial" w:cs="Arial" w:eastAsia="Arial" w:hAnsi="Arial"/>
          <w:sz w:val="18"/>
          <w:szCs w:val="18"/>
          <w:color w:val="auto"/>
        </w:rPr>
      </w:pPr>
    </w:p>
    <w:p>
      <w:pPr>
        <w:ind w:left="660" w:right="160" w:firstLine="644"/>
        <w:spacing w:after="0" w:line="277" w:lineRule="auto"/>
        <w:tabs>
          <w:tab w:leader="none" w:pos="20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shall be deemed to have been a Restricted Subsidiary at all times during such four-quarter period;</w:t>
      </w:r>
    </w:p>
    <w:p>
      <w:pPr>
        <w:spacing w:after="0" w:line="170" w:lineRule="exact"/>
        <w:rPr>
          <w:rFonts w:ascii="Arial" w:cs="Arial" w:eastAsia="Arial" w:hAnsi="Arial"/>
          <w:sz w:val="18"/>
          <w:szCs w:val="18"/>
          <w:color w:val="auto"/>
        </w:rPr>
      </w:pPr>
    </w:p>
    <w:p>
      <w:pPr>
        <w:ind w:left="660" w:firstLine="644"/>
        <w:spacing w:after="0" w:line="277" w:lineRule="auto"/>
        <w:tabs>
          <w:tab w:leader="none" w:pos="20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shall be deemed not to have been a Restricted Subsidiary at any time during such four-quarter period; and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 w:name="page23"/>
    <w:bookmarkEnd w:id="22"/>
    <w:p>
      <w:pPr>
        <w:jc w:val="both"/>
        <w:ind w:left="660" w:right="80" w:firstLine="644"/>
        <w:spacing w:after="0" w:line="286" w:lineRule="auto"/>
        <w:tabs>
          <w:tab w:leader="none" w:pos="20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any Indebtedness bears a floating rate of interest, the interest expense on such Indebtedness shall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225" w:lineRule="exact"/>
        <w:rPr>
          <w:sz w:val="20"/>
          <w:szCs w:val="20"/>
          <w:color w:val="auto"/>
        </w:rPr>
      </w:pPr>
    </w:p>
    <w:p>
      <w:pPr>
        <w:ind w:left="660" w:right="140" w:firstLine="644"/>
        <w:spacing w:after="0" w:line="296" w:lineRule="auto"/>
        <w:tabs>
          <w:tab w:leader="none" w:pos="20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Indebtedness, commissions, discounts and other fees and charges incurred in respect of letter of credit or bankers’ acceptance financings, and net of the effect of all payments made or received pursuant to Hedging Obligations; </w:t>
      </w:r>
      <w:r>
        <w:rPr>
          <w:rFonts w:ascii="Arial" w:cs="Arial" w:eastAsia="Arial" w:hAnsi="Arial"/>
          <w:sz w:val="16"/>
          <w:szCs w:val="16"/>
          <w:i w:val="1"/>
          <w:iCs w:val="1"/>
          <w:color w:val="auto"/>
        </w:rPr>
        <w:t>plus</w:t>
      </w:r>
    </w:p>
    <w:p>
      <w:pPr>
        <w:spacing w:after="0" w:line="161" w:lineRule="exact"/>
        <w:rPr>
          <w:rFonts w:ascii="Arial" w:cs="Arial" w:eastAsia="Arial" w:hAnsi="Arial"/>
          <w:sz w:val="16"/>
          <w:szCs w:val="16"/>
          <w:color w:val="auto"/>
        </w:rPr>
      </w:pPr>
    </w:p>
    <w:p>
      <w:pPr>
        <w:ind w:left="2060" w:hanging="756"/>
        <w:spacing w:after="0"/>
        <w:tabs>
          <w:tab w:leader="none" w:pos="2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that was capitalized during such period; </w:t>
      </w:r>
      <w:r>
        <w:rPr>
          <w:rFonts w:ascii="Arial" w:cs="Arial" w:eastAsia="Arial" w:hAnsi="Arial"/>
          <w:sz w:val="16"/>
          <w:szCs w:val="16"/>
          <w:i w:val="1"/>
          <w:iCs w:val="1"/>
          <w:color w:val="auto"/>
        </w:rPr>
        <w:t>plus</w:t>
      </w:r>
    </w:p>
    <w:p>
      <w:pPr>
        <w:spacing w:after="0" w:line="248" w:lineRule="exact"/>
        <w:rPr>
          <w:rFonts w:ascii="Arial" w:cs="Arial" w:eastAsia="Arial" w:hAnsi="Arial"/>
          <w:sz w:val="16"/>
          <w:szCs w:val="16"/>
          <w:color w:val="auto"/>
        </w:rPr>
      </w:pPr>
    </w:p>
    <w:p>
      <w:pPr>
        <w:ind w:left="660" w:right="120" w:firstLine="644"/>
        <w:spacing w:after="0" w:line="381" w:lineRule="auto"/>
        <w:tabs>
          <w:tab w:leader="none" w:pos="2058"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5"/>
          <w:szCs w:val="15"/>
          <w:i w:val="1"/>
          <w:iCs w:val="1"/>
          <w:color w:val="auto"/>
        </w:rPr>
        <w:t>plus</w:t>
      </w:r>
    </w:p>
    <w:p>
      <w:pPr>
        <w:spacing w:after="0" w:line="100" w:lineRule="exact"/>
        <w:rPr>
          <w:rFonts w:ascii="Arial" w:cs="Arial" w:eastAsia="Arial" w:hAnsi="Arial"/>
          <w:sz w:val="15"/>
          <w:szCs w:val="15"/>
          <w:color w:val="auto"/>
        </w:rPr>
      </w:pPr>
    </w:p>
    <w:p>
      <w:pPr>
        <w:ind w:left="660" w:right="80" w:firstLine="644"/>
        <w:spacing w:after="0" w:line="296" w:lineRule="auto"/>
        <w:tabs>
          <w:tab w:leader="none" w:pos="20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product of (a) all dividends, whether paid or accrued and whether or not in cash, on any series of preferred stock or Disqualified Stock of such Person or any of its Restricted Subsidiaries, other than dividends on Equity Interests payable or accruing solely in Equity Interests of the Company (other than Disqualified Stock) or to the Company or a Restricted Subsidiary of the Company, times (b) a fraction, the numerator of which is one and the denominator of which is one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then current combined federal, state and local statutory tax rate of such Person, expressed as a decimal, in each case, determined on a consolidated basis and in accordance with GAAP.</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any direct or indirect Subsidiary of the Company that is not a Domestic Subsidiary.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Depositary or its nominee, substantially in the form of Exhibit A hereto and that bears the Global Note Legend and that has the “Schedule of Exchanges of Interests in the Global Note” attached thereto, issued in accordance with Section 2.01, 2.06(b)(3), 2.06(b)(4), or 2.06(d)(2).</w:t>
      </w:r>
    </w:p>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2.06(f)(2), which is required to be placed on all Global Notes issued under this Indenture.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 Securities</w:t>
      </w:r>
      <w:r>
        <w:rPr>
          <w:rFonts w:ascii="Arial" w:cs="Arial" w:eastAsia="Arial" w:hAnsi="Arial"/>
          <w:sz w:val="18"/>
          <w:szCs w:val="18"/>
          <w:color w:val="auto"/>
        </w:rPr>
        <w:t>” means direct obligations of, or obligations guaranteed by, the United States of America, and the payment for which the United States pledges its full faith and credit.</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 w:name="page24"/>
    <w:bookmarkEnd w:id="23"/>
    <w:p>
      <w:pPr>
        <w:ind w:right="2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Guarantee</w:t>
      </w:r>
      <w:r>
        <w:rPr>
          <w:rFonts w:ascii="Arial" w:cs="Arial" w:eastAsia="Arial" w:hAnsi="Arial"/>
          <w:sz w:val="17"/>
          <w:szCs w:val="17"/>
          <w:color w:val="auto"/>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Guarantee shall not include the pledge of the Capital Stock of an Unrestricted Subsidiary to secure Indebtedness of such Unrestricted Subsidiary.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means each of:</w:t>
      </w:r>
    </w:p>
    <w:p>
      <w:pPr>
        <w:spacing w:after="0" w:line="225" w:lineRule="exact"/>
        <w:rPr>
          <w:sz w:val="20"/>
          <w:szCs w:val="20"/>
          <w:color w:val="auto"/>
        </w:rPr>
      </w:pPr>
    </w:p>
    <w:p>
      <w:pPr>
        <w:ind w:left="660" w:right="180" w:firstLine="644"/>
        <w:spacing w:after="0" w:line="277" w:lineRule="auto"/>
        <w:tabs>
          <w:tab w:leader="none" w:pos="20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Restricted Subsidiaries existing on the date of this Indenture and that executes this Indenture (if any) and that guarantees borrowings by the Company under the Credit Agreement; and</w:t>
      </w:r>
    </w:p>
    <w:p>
      <w:pPr>
        <w:spacing w:after="0" w:line="170" w:lineRule="exact"/>
        <w:rPr>
          <w:rFonts w:ascii="Arial" w:cs="Arial" w:eastAsia="Arial" w:hAnsi="Arial"/>
          <w:sz w:val="18"/>
          <w:szCs w:val="18"/>
          <w:color w:val="auto"/>
        </w:rPr>
      </w:pPr>
    </w:p>
    <w:p>
      <w:pPr>
        <w:jc w:val="both"/>
        <w:ind w:left="660" w:right="100" w:firstLine="644"/>
        <w:spacing w:after="0" w:line="263" w:lineRule="auto"/>
        <w:tabs>
          <w:tab w:leader="none" w:pos="20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Subsidiary of the Company that executes a Note Guarantee in accordance with the provisions of this Indenture, and their respective successors and assigns, in each case, until the Note Guarantee of such Person has been released in accordance with the provisions of this Indenture.</w:t>
      </w:r>
    </w:p>
    <w:p>
      <w:pPr>
        <w:spacing w:after="0" w:line="18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Hedge Agreement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78"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Hedging Obligations</w:t>
      </w:r>
      <w:r>
        <w:rPr>
          <w:rFonts w:ascii="Arial" w:cs="Arial" w:eastAsia="Arial" w:hAnsi="Arial"/>
          <w:sz w:val="16"/>
          <w:szCs w:val="16"/>
          <w:color w:val="auto"/>
        </w:rPr>
        <w:t>” means, with respect to any specified Person, the obligations of such Person under any Hedge Agreement; provided, that no obligation in respect of any Permitted Bond Hedge Transaction or Permitted Warrant Transaction shall, in each case, constitute a Hedging Obligation.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the Person in whose name a Note is registered.</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IAI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340" w:right="520" w:firstLine="316"/>
        <w:spacing w:after="0" w:line="277" w:lineRule="auto"/>
        <w:tabs>
          <w:tab w:leader="none" w:pos="13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left="340" w:firstLine="316"/>
        <w:spacing w:after="0" w:line="277" w:lineRule="auto"/>
        <w:tabs>
          <w:tab w:leader="none" w:pos="13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letters of credit, bankers’ acceptances, bank guaranties, surety bonds and similar instruments (excluding letters of credit issued in respect of trade payables);</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obligations of such Person under any Hedge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jc w:val="both"/>
        <w:ind w:left="340" w:right="80" w:firstLine="316"/>
        <w:spacing w:after="0" w:line="259" w:lineRule="auto"/>
        <w:tabs>
          <w:tab w:leader="none" w:pos="13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(including, without limitation, in the form of earnouts, milestones and other contingent payment obligations but not until such obligations become a liability on the consolidated balance sheet of such Person in accordance with GAAP) of property or services (other than trade accounts payable in the ordinary course of business and, in each case, not past due for more than 60 days after the date on which such trade account payable was created);</w:t>
      </w:r>
    </w:p>
    <w:p>
      <w:pPr>
        <w:spacing w:after="0" w:line="186" w:lineRule="exact"/>
        <w:rPr>
          <w:rFonts w:ascii="Arial" w:cs="Arial" w:eastAsia="Arial" w:hAnsi="Arial"/>
          <w:sz w:val="18"/>
          <w:szCs w:val="18"/>
          <w:color w:val="auto"/>
        </w:rPr>
      </w:pPr>
    </w:p>
    <w:p>
      <w:pPr>
        <w:jc w:val="both"/>
        <w:ind w:left="340" w:right="220" w:firstLine="316"/>
        <w:spacing w:after="0" w:line="263" w:lineRule="auto"/>
        <w:tabs>
          <w:tab w:leader="none" w:pos="14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3" w:lineRule="exact"/>
        <w:rPr>
          <w:rFonts w:ascii="Arial" w:cs="Arial" w:eastAsia="Arial" w:hAnsi="Arial"/>
          <w:sz w:val="18"/>
          <w:szCs w:val="18"/>
          <w:color w:val="auto"/>
        </w:rPr>
      </w:pPr>
    </w:p>
    <w:p>
      <w:pPr>
        <w:ind w:left="340" w:right="200" w:firstLine="316"/>
        <w:spacing w:after="0" w:line="277" w:lineRule="auto"/>
        <w:tabs>
          <w:tab w:leader="none" w:pos="13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Attributable Indebtedness in respect of Capital Lease Obligations and Synthetic Lease Obligations of such Person and all Synthetic Debt of such Person;</w:t>
      </w:r>
    </w:p>
    <w:p>
      <w:pPr>
        <w:spacing w:after="0" w:line="170" w:lineRule="exact"/>
        <w:rPr>
          <w:rFonts w:ascii="Arial" w:cs="Arial" w:eastAsia="Arial" w:hAnsi="Arial"/>
          <w:sz w:val="18"/>
          <w:szCs w:val="18"/>
          <w:color w:val="auto"/>
        </w:rPr>
      </w:pPr>
    </w:p>
    <w:p>
      <w:pPr>
        <w:ind w:left="340" w:right="140" w:firstLine="316"/>
        <w:spacing w:after="0" w:line="311" w:lineRule="auto"/>
        <w:tabs>
          <w:tab w:leader="none" w:pos="136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obligations of such Person in respect of Disqualified Stock of such Person or any other Person, valued, in the case of a redeemable preferred interest, at the greater of its voluntary or involuntary liquidation preference plus accrued and unpaid dividends, in each case to the extent required to be included as a liability on the consolidated balance sheet of the Company and its Restricted Subsidiaries in accordance with GAAP; and</w:t>
      </w:r>
    </w:p>
    <w:p>
      <w:pPr>
        <w:spacing w:after="0" w:line="148" w:lineRule="exact"/>
        <w:rPr>
          <w:rFonts w:ascii="Arial" w:cs="Arial" w:eastAsia="Arial" w:hAnsi="Arial"/>
          <w:sz w:val="16"/>
          <w:szCs w:val="16"/>
          <w:color w:val="auto"/>
        </w:rPr>
      </w:pPr>
    </w:p>
    <w:p>
      <w:pPr>
        <w:ind w:left="1360" w:hanging="704"/>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For all purposes hereof, the Indebtedness of any Person (x)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and (y) shall not include (i) prepaid or deferred revenue arising in the ordinary course of business and</w:t>
      </w:r>
    </w:p>
    <w:p>
      <w:pPr>
        <w:spacing w:after="0" w:line="2" w:lineRule="exact"/>
        <w:rPr>
          <w:sz w:val="20"/>
          <w:szCs w:val="20"/>
          <w:color w:val="auto"/>
        </w:rPr>
      </w:pPr>
    </w:p>
    <w:p>
      <w:pPr>
        <w:ind w:right="80" w:firstLine="8"/>
        <w:spacing w:after="0" w:line="260"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endorsements of checks or drafts arising in the ordinary course of business. The amount of any net obligation under any Hedge Agreement on any date shall be deemed to be the Swap Termination Value thereof as of such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Notes</w:t>
      </w:r>
      <w:r>
        <w:rPr>
          <w:rFonts w:ascii="Arial" w:cs="Arial" w:eastAsia="Arial" w:hAnsi="Arial"/>
          <w:sz w:val="18"/>
          <w:szCs w:val="18"/>
          <w:color w:val="auto"/>
        </w:rPr>
        <w:t>” means the first $450.0 million aggregate principal amount of Notes issued under this Indenture on the date hereof.</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Purchasers</w:t>
      </w:r>
      <w:r>
        <w:rPr>
          <w:rFonts w:ascii="Arial" w:cs="Arial" w:eastAsia="Arial" w:hAnsi="Arial"/>
          <w:sz w:val="18"/>
          <w:szCs w:val="18"/>
          <w:color w:val="auto"/>
        </w:rPr>
        <w:t>” means each of Wells Fargo Securities, LLC, J.P. Morgan Securities LLC, PNC Capital Markets LLC, RBC Capital Markets, LLC, BMO Capital Markets Corp., Capital One Securities, Inc., Citizens Capital Markets, Inc., Huntington Securities, Inc., MUFG Securities Americas Inc., Truist Securities, Inc. and Regions Securities LLC.</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 who is not also a QIB.</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Grade Ratings</w:t>
      </w:r>
      <w:r>
        <w:rPr>
          <w:rFonts w:ascii="Arial" w:cs="Arial" w:eastAsia="Arial" w:hAnsi="Arial"/>
          <w:sz w:val="18"/>
          <w:szCs w:val="18"/>
          <w:color w:val="auto"/>
        </w:rPr>
        <w:t>” means a rating equal to or higher than Baa3 (or the equivalent) by Moody’s and BBB- (or the equivalent) by S&amp;P, in each case with a stable or better outlook, or if either S&amp;P or Moody’s is not providing a rating on the Notes at any time, an equivalent rating by any other Rating Agency.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 w:name="page26"/>
    <w:bookmarkEnd w:id="25"/>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Investments</w:t>
      </w:r>
      <w:r>
        <w:rPr>
          <w:rFonts w:ascii="Arial" w:cs="Arial" w:eastAsia="Arial" w:hAnsi="Arial"/>
          <w:sz w:val="16"/>
          <w:szCs w:val="16"/>
          <w:color w:val="auto"/>
        </w:rPr>
        <w:t xml:space="preserve">” means, with respect to any Person, all direct or indirect investments by such Person in other Persons (including Affiliates) in the forms of loans or other extensions of credit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Company’s Investments in such Subsidiary that were not sold or disposed of in an amount determined as provided in the final paragraph of Section 4.07 hereof. The acquisition by the Company or any Subsidiary of the Company of a Person that holds an Investment in a third Person shall be deemed to be an Investment by the Company or such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shall be determined at the time the Investment is made and without giving effect to subsequent changes in value, reduced by any dividend, distribution, interest payment, return of capital, repayment or other amount received in cash and Cash Equivalents by the Company or a Restricted Subsidiary in respect of such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described above that reduces the amount of such Investment shall not be included for purposes of calculating the amount of Restricted Payments that may be made pursuant to paragraph (3) of the second paragraph of Section 4.07.</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August 7, 2020, the date of the original issuance of the Notes under this Indenture.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Holiday</w:t>
      </w:r>
      <w:r>
        <w:rPr>
          <w:rFonts w:ascii="Arial" w:cs="Arial" w:eastAsia="Arial" w:hAnsi="Arial"/>
          <w:sz w:val="18"/>
          <w:szCs w:val="18"/>
          <w:color w:val="auto"/>
        </w:rPr>
        <w:t>” means a Saturday, a Sunday or a day on which banking institutions in The City of New York or at a place of payment are authorized or required by law, regulation or executive order to remain closed.</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Condition Transaction</w:t>
      </w:r>
      <w:r>
        <w:rPr>
          <w:rFonts w:ascii="Arial" w:cs="Arial" w:eastAsia="Arial" w:hAnsi="Arial"/>
          <w:sz w:val="18"/>
          <w:szCs w:val="18"/>
          <w:color w:val="auto"/>
        </w:rPr>
        <w:t>” means (a) any Acquisition or similar material Investment, the consummation of which is not conditioned on the availability of, or on obtaining, third party financing or (b) any redemption or repayment of Indebtedness requiring irrevocable advance notice or any irrevocable offer to purchase Indebtedness that is not subject to obtaining third party financing.</w:t>
      </w:r>
    </w:p>
    <w:p>
      <w:pPr>
        <w:spacing w:after="0" w:line="1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Long Derivative Instrument</w:t>
      </w:r>
      <w:r>
        <w:rPr>
          <w:rFonts w:ascii="Arial" w:cs="Arial" w:eastAsia="Arial" w:hAnsi="Arial"/>
          <w:sz w:val="17"/>
          <w:szCs w:val="17"/>
          <w:color w:val="auto"/>
        </w:rPr>
        <w:t>” means a Derivative Instrument (i) the value of which generally increases, and/ 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Measurement Period</w:t>
      </w:r>
      <w:r>
        <w:rPr>
          <w:rFonts w:ascii="Arial" w:cs="Arial" w:eastAsia="Arial" w:hAnsi="Arial"/>
          <w:sz w:val="18"/>
          <w:szCs w:val="18"/>
          <w:color w:val="auto"/>
        </w:rPr>
        <w:t>” means, at any date of determination, the most recently completed four fiscal quarters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Net Proceeds</w:t>
      </w:r>
      <w:r>
        <w:rPr>
          <w:rFonts w:ascii="Arial" w:cs="Arial" w:eastAsia="Arial" w:hAnsi="Arial"/>
          <w:sz w:val="17"/>
          <w:szCs w:val="17"/>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(1) the direct costs relating to such Asset Sale, including, without limitation, legal, accounting and investment banking fees, and sales or brokerage commissions, and any relocation expenses incurred as a result of the Asset Sale, (2) taxes paid or payable as a result of the Asset Sale, in each case, after taking into account any available tax credits or deductions and any tax sharing arrangements, (3) amounts required to be applied to the repayment of Indebtedness, other than Indebtedness under a Credit Facility, secured by a Lien on the asset or assets that were the subject of such Asset Sale, (4) all distributions and other payments required to be made to any Person owning a beneficial interest in assets subject to sale or minority interest holders in Subsidiaries or joint ventures as a result of such Asset Sale, (5) any reserve, established in accordance with GAAP, against any liabilities associated with the assets disposed of in such Asset Sale and retained by the Company or any Restricted Subsidiary of the Company after such Asset Sale and (6) any reserve, established in accordance with GAAP, with respect to the purchase price adjustments or indemnification obligations relating to such Asset Sale or otherwise in connection with such Asset Sale.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Short</w:t>
      </w:r>
      <w:r>
        <w:rPr>
          <w:rFonts w:ascii="Arial" w:cs="Arial" w:eastAsia="Arial" w:hAnsi="Arial"/>
          <w:sz w:val="18"/>
          <w:szCs w:val="18"/>
          <w:color w:val="auto"/>
        </w:rPr>
        <w:t>” means, with respect to a Holder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International Swaps and Derivatives Association, Inc. Credit Derivatives Definitions) to have occurred with respect to any Company or any Guarantor immediately prior to such date of determination.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Debt</w:t>
      </w:r>
      <w:r>
        <w:rPr>
          <w:rFonts w:ascii="Arial" w:cs="Arial" w:eastAsia="Arial" w:hAnsi="Arial"/>
          <w:sz w:val="18"/>
          <w:szCs w:val="18"/>
          <w:color w:val="auto"/>
        </w:rPr>
        <w:t>” means Indebtedness:</w:t>
      </w:r>
    </w:p>
    <w:p>
      <w:pPr>
        <w:spacing w:after="0" w:line="225" w:lineRule="exact"/>
        <w:rPr>
          <w:sz w:val="20"/>
          <w:szCs w:val="20"/>
          <w:color w:val="auto"/>
        </w:rPr>
      </w:pPr>
    </w:p>
    <w:p>
      <w:pPr>
        <w:ind w:left="660" w:right="220" w:firstLine="644"/>
        <w:spacing w:after="0" w:line="311" w:lineRule="auto"/>
        <w:tabs>
          <w:tab w:leader="none" w:pos="205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to which neither the Company nor any of its Restricted Subsidiaries (a) provides credit support of any kind (including any undertaking, agreement or instrument that would constitute Indebtedness) (other than the stock of an Unrestricted Subsidiary pledged to secure Indebtedness of such Unrestricted Subsidiary), (b) is directly or indirectly liable as a guarantor or otherwise, or (c) constitutes the lender;</w:t>
      </w:r>
    </w:p>
    <w:p>
      <w:pPr>
        <w:spacing w:after="0" w:line="148" w:lineRule="exact"/>
        <w:rPr>
          <w:rFonts w:ascii="Arial" w:cs="Arial" w:eastAsia="Arial" w:hAnsi="Arial"/>
          <w:sz w:val="16"/>
          <w:szCs w:val="16"/>
          <w:color w:val="auto"/>
        </w:rPr>
      </w:pPr>
    </w:p>
    <w:p>
      <w:pPr>
        <w:jc w:val="both"/>
        <w:ind w:left="660" w:right="40" w:firstLine="644"/>
        <w:spacing w:after="0" w:line="259" w:lineRule="auto"/>
        <w:tabs>
          <w:tab w:leader="none" w:pos="20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of the Indebtedness to be accelerated or payable prior to its Stated Maturity; and</w:t>
      </w:r>
    </w:p>
    <w:p>
      <w:pPr>
        <w:spacing w:after="0" w:line="186" w:lineRule="exact"/>
        <w:rPr>
          <w:rFonts w:ascii="Arial" w:cs="Arial" w:eastAsia="Arial" w:hAnsi="Arial"/>
          <w:sz w:val="18"/>
          <w:szCs w:val="18"/>
          <w:color w:val="auto"/>
        </w:rPr>
      </w:pPr>
    </w:p>
    <w:p>
      <w:pPr>
        <w:ind w:left="660" w:firstLine="644"/>
        <w:spacing w:after="0" w:line="263" w:lineRule="auto"/>
        <w:tabs>
          <w:tab w:leader="none" w:pos="20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shall not have any recourse to the stock or assets of the Company or any of its Restricted Subsidiaries (other than the stock of an Unrestricted Subsidiary pledged to secure Indebtedness of such Unrestricted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 Guarantee</w:t>
      </w:r>
      <w:r>
        <w:rPr>
          <w:rFonts w:ascii="Arial" w:cs="Arial" w:eastAsia="Arial" w:hAnsi="Arial"/>
          <w:sz w:val="18"/>
          <w:szCs w:val="18"/>
          <w:color w:val="auto"/>
        </w:rPr>
        <w:t>” means the Guarantee by each Guarantor of the Company’s obligations under this Indenture and the Notes, executed pursuant to the provisions of this Indenture.</w:t>
      </w:r>
    </w:p>
    <w:p>
      <w:pPr>
        <w:spacing w:after="0" w:line="170"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Memorandum</w:t>
      </w:r>
      <w:r>
        <w:rPr>
          <w:rFonts w:ascii="Arial" w:cs="Arial" w:eastAsia="Arial" w:hAnsi="Arial"/>
          <w:sz w:val="18"/>
          <w:szCs w:val="18"/>
          <w:color w:val="auto"/>
        </w:rPr>
        <w:t>” means that certain offering memorandum related to the offering of the Notes dated August 4, 2020, pursuant to which the Notes were first offered to eligible purchasers in a private placement.</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with respect to the Company or any other obligor upon the Notes, the Chairman of the Board, the President, the Chief Executive Officer, the Chief Financial Officer, any Vice President, the Controller, the Treasurer or the Secretary (a) of such Person or (b) if such Person is owned or managed by a single entity, of such entity (or any other individual designated as an “Officer” for the purposes of this Indenture by the Board of Directors).</w:t>
      </w:r>
    </w:p>
    <w:p>
      <w:pPr>
        <w:spacing w:after="0" w:line="1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with respect to the Company or any other obligor upon the Notes, a certificate signed by one Officer of such Person that meets the requirements of Section 12.04 hereof.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from legal counsel that meets the requirements of Section 12.04. The counsel may be an employee of or counsel to the Company or any Subsidiary of the Company or other counsel reasonably acceptable to the Trustee.</w:t>
      </w:r>
    </w:p>
    <w:p>
      <w:pPr>
        <w:spacing w:after="0" w:line="17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Acquisition</w:t>
      </w:r>
      <w:r>
        <w:rPr>
          <w:rFonts w:ascii="Arial" w:cs="Arial" w:eastAsia="Arial" w:hAnsi="Arial"/>
          <w:sz w:val="16"/>
          <w:szCs w:val="16"/>
          <w:color w:val="auto"/>
        </w:rPr>
        <w:t>” means an Acquisition of a Person or property of which the lines of business are substantially the same as one or more of the principal businesses of the Company and its Restricted Subsidiaries in the ordinary course or another business reasonably related thereto that constitutes (i) a Permitted Investment or (ii) a Restricted Investment that was permitted under Section 4.07 at the time such Restricted Investment was made.</w:t>
      </w:r>
    </w:p>
    <w:p>
      <w:pPr>
        <w:spacing w:after="0" w:line="14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Bond Hedge Transaction</w:t>
      </w:r>
      <w:r>
        <w:rPr>
          <w:rFonts w:ascii="Arial" w:cs="Arial" w:eastAsia="Arial" w:hAnsi="Arial"/>
          <w:sz w:val="18"/>
          <w:szCs w:val="18"/>
          <w:color w:val="auto"/>
        </w:rPr>
        <w:t>” means any bond hedge or call or capped call option (or similar transaction) on the Company’s Equity Interests in connection with the issuance of any Convertible Indebtedness; provided that the purchase price for such Permitted Bond Hedge Transaction, less the proceeds received from the sale of any related Permitted Warrant Transaction does not exceed the net proceeds received from the sale of such Convertible Indebtedness.</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70"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Business</w:t>
      </w:r>
      <w:r>
        <w:rPr>
          <w:rFonts w:ascii="Arial" w:cs="Arial" w:eastAsia="Arial" w:hAnsi="Arial"/>
          <w:sz w:val="18"/>
          <w:szCs w:val="18"/>
          <w:color w:val="auto"/>
        </w:rPr>
        <w:t>” means the lines of business engaged in by the Company or any Restricted Subsidiary on the Issue Date and any business reasonably related, complementary, corollary, synergistic or ancillary thereto (including related, complementary, synergistic or ancillary technologies) or reasonable extensions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left="2060" w:hanging="756"/>
        <w:spacing w:after="0"/>
        <w:tabs>
          <w:tab w:leader="none" w:pos="2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Investment in cash and Cash Equivalents;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Investment by the Company or any Restricted Subsidiary of the Company in a Person, if as a result of such Investment:</w:t>
      </w:r>
    </w:p>
    <w:p>
      <w:pPr>
        <w:spacing w:after="0" w:line="248" w:lineRule="exact"/>
        <w:rPr>
          <w:rFonts w:ascii="Arial" w:cs="Arial" w:eastAsia="Arial" w:hAnsi="Arial"/>
          <w:sz w:val="16"/>
          <w:szCs w:val="16"/>
          <w:color w:val="auto"/>
        </w:rPr>
      </w:pPr>
    </w:p>
    <w:p>
      <w:pPr>
        <w:ind w:left="2700" w:hanging="748"/>
        <w:spacing w:after="0"/>
        <w:tabs>
          <w:tab w:leader="none" w:pos="2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including by means of a Division; or</w:t>
      </w:r>
    </w:p>
    <w:p>
      <w:pPr>
        <w:spacing w:after="0" w:line="225" w:lineRule="exact"/>
        <w:rPr>
          <w:rFonts w:ascii="Arial" w:cs="Arial" w:eastAsia="Arial" w:hAnsi="Arial"/>
          <w:sz w:val="18"/>
          <w:szCs w:val="18"/>
          <w:color w:val="auto"/>
        </w:rPr>
      </w:pPr>
    </w:p>
    <w:p>
      <w:pPr>
        <w:ind w:left="1300" w:right="60" w:firstLine="652"/>
        <w:spacing w:after="0" w:line="277" w:lineRule="auto"/>
        <w:tabs>
          <w:tab w:leader="none" w:pos="26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170" w:lineRule="exact"/>
        <w:rPr>
          <w:rFonts w:ascii="Arial" w:cs="Arial" w:eastAsia="Arial" w:hAnsi="Arial"/>
          <w:sz w:val="18"/>
          <w:szCs w:val="18"/>
          <w:color w:val="auto"/>
        </w:rPr>
      </w:pPr>
    </w:p>
    <w:p>
      <w:pPr>
        <w:ind w:left="660" w:right="160" w:firstLine="644"/>
        <w:spacing w:after="0" w:line="277" w:lineRule="auto"/>
        <w:tabs>
          <w:tab w:leader="none" w:pos="20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4.10 hereof;</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acquisition of assets or Capital Stock solely in exchange for the issuance of Equity Interests (other than Disqualified Stock)</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Company;</w:t>
      </w:r>
    </w:p>
    <w:p>
      <w:pPr>
        <w:spacing w:after="0" w:line="210" w:lineRule="exact"/>
        <w:rPr>
          <w:rFonts w:ascii="Arial" w:cs="Arial" w:eastAsia="Arial" w:hAnsi="Arial"/>
          <w:sz w:val="16"/>
          <w:szCs w:val="16"/>
          <w:color w:val="auto"/>
        </w:rPr>
      </w:pPr>
    </w:p>
    <w:p>
      <w:pPr>
        <w:ind w:left="660" w:right="200" w:firstLine="644"/>
        <w:spacing w:after="0" w:line="277" w:lineRule="auto"/>
        <w:tabs>
          <w:tab w:leader="none" w:pos="20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obligations of trade creditors or customers that were incurred in the ordinary course of business of the Company or any of its Restricted Subsidiaries and any Investments received in compromise or resolution of:</w:t>
      </w:r>
    </w:p>
    <w:p>
      <w:pPr>
        <w:spacing w:after="0" w:line="170" w:lineRule="exact"/>
        <w:rPr>
          <w:rFonts w:ascii="Arial" w:cs="Arial" w:eastAsia="Arial" w:hAnsi="Arial"/>
          <w:sz w:val="18"/>
          <w:szCs w:val="18"/>
          <w:color w:val="auto"/>
        </w:rPr>
      </w:pPr>
    </w:p>
    <w:p>
      <w:pPr>
        <w:ind w:left="1300" w:right="280" w:firstLine="652"/>
        <w:spacing w:after="0" w:line="263" w:lineRule="auto"/>
        <w:tabs>
          <w:tab w:leader="none" w:pos="26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w:t>
      </w:r>
    </w:p>
    <w:p>
      <w:pPr>
        <w:spacing w:after="0" w:line="183" w:lineRule="exact"/>
        <w:rPr>
          <w:rFonts w:ascii="Arial" w:cs="Arial" w:eastAsia="Arial" w:hAnsi="Arial"/>
          <w:sz w:val="18"/>
          <w:szCs w:val="18"/>
          <w:color w:val="auto"/>
        </w:rPr>
      </w:pPr>
    </w:p>
    <w:p>
      <w:pPr>
        <w:ind w:left="2700" w:hanging="748"/>
        <w:spacing w:after="0"/>
        <w:tabs>
          <w:tab w:leader="none" w:pos="2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litigation, arbitration or other disputes with Persons who are not Affiliates;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4" w:right="60" w:firstLine="644"/>
        <w:spacing w:after="0" w:line="311" w:lineRule="auto"/>
        <w:tabs>
          <w:tab w:leader="none" w:pos="1402" w:val="left"/>
        </w:tabs>
        <w:numPr>
          <w:ilvl w:val="1"/>
          <w:numId w:val="31"/>
        </w:numPr>
        <w:rPr>
          <w:rFonts w:ascii="Arial" w:cs="Arial" w:eastAsia="Arial" w:hAnsi="Arial"/>
          <w:sz w:val="16"/>
          <w:szCs w:val="16"/>
          <w:color w:val="auto"/>
        </w:rPr>
      </w:pPr>
      <w:r>
        <w:rPr>
          <w:rFonts w:ascii="Arial" w:cs="Arial" w:eastAsia="Arial" w:hAnsi="Arial"/>
          <w:sz w:val="16"/>
          <w:szCs w:val="16"/>
          <w:color w:val="auto"/>
        </w:rPr>
        <w:t>advances to officers, directors and employees of the Company and its Restricted Subsidiaries (i) in an aggregate amount not to exceed $750,000 at any time outstanding, for travel, entertainment, relocation and analogous ordinary business purposes and (ii) in an aggregate amount not to exceed $750,000 at any time outstanding, in connection with such Person’s purchase of Equity Interests of the Company;</w:t>
      </w:r>
    </w:p>
    <w:p>
      <w:pPr>
        <w:spacing w:after="0" w:line="148" w:lineRule="exact"/>
        <w:rPr>
          <w:rFonts w:ascii="Arial" w:cs="Arial" w:eastAsia="Arial" w:hAnsi="Arial"/>
          <w:sz w:val="16"/>
          <w:szCs w:val="16"/>
          <w:color w:val="auto"/>
        </w:rPr>
      </w:pPr>
    </w:p>
    <w:p>
      <w:pPr>
        <w:ind w:left="1404" w:hanging="756"/>
        <w:spacing w:after="0"/>
        <w:tabs>
          <w:tab w:leader="none" w:pos="1404"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repurchases of the Notes (including the Note Guarantees);</w:t>
      </w:r>
    </w:p>
    <w:p>
      <w:pPr>
        <w:spacing w:after="0" w:line="225" w:lineRule="exact"/>
        <w:rPr>
          <w:rFonts w:ascii="Arial" w:cs="Arial" w:eastAsia="Arial" w:hAnsi="Arial"/>
          <w:sz w:val="18"/>
          <w:szCs w:val="18"/>
          <w:color w:val="auto"/>
        </w:rPr>
      </w:pPr>
    </w:p>
    <w:p>
      <w:pPr>
        <w:ind w:left="4" w:right="200" w:firstLine="644"/>
        <w:spacing w:after="0" w:line="275" w:lineRule="auto"/>
        <w:tabs>
          <w:tab w:leader="none" w:pos="1402"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Investment in existence, or made pursuant to legally binding written commitments in existence, on the date of this Indenture or any Investment consisting of any extension, modification or renewal of any Investment existing on the date of this Indenture (excluding any such extension, modification or renewal involving additional advances, contributions or other investments of cash or property or other increases thereof unless it is a result of the accrual or accretion of interest or original issue discount or payment-in-kind pursuant to the terms, as of the date of this Indenture, of the original Investment so extended, modified or renewed);</w:t>
      </w:r>
    </w:p>
    <w:p>
      <w:pPr>
        <w:spacing w:after="0" w:line="176" w:lineRule="exact"/>
        <w:rPr>
          <w:rFonts w:ascii="Arial" w:cs="Arial" w:eastAsia="Arial" w:hAnsi="Arial"/>
          <w:sz w:val="17"/>
          <w:szCs w:val="17"/>
          <w:color w:val="auto"/>
        </w:rPr>
      </w:pPr>
    </w:p>
    <w:p>
      <w:pPr>
        <w:ind w:left="4" w:right="720" w:firstLine="644"/>
        <w:spacing w:after="0" w:line="277" w:lineRule="auto"/>
        <w:tabs>
          <w:tab w:leader="none" w:pos="1395" w:val="left"/>
        </w:tabs>
        <w:numPr>
          <w:ilvl w:val="1"/>
          <w:numId w:val="31"/>
        </w:numPr>
        <w:rPr>
          <w:rFonts w:ascii="Arial" w:cs="Arial" w:eastAsia="Arial" w:hAnsi="Arial"/>
          <w:sz w:val="18"/>
          <w:szCs w:val="18"/>
          <w:color w:val="auto"/>
        </w:rPr>
      </w:pPr>
      <w:r>
        <w:rPr>
          <w:rFonts w:ascii="Arial" w:cs="Arial" w:eastAsia="Arial" w:hAnsi="Arial"/>
          <w:sz w:val="18"/>
          <w:szCs w:val="18"/>
          <w:color w:val="auto"/>
        </w:rPr>
        <w:t>guarantees of indebtedness of the Company or a Restricted Subsidiary permitted under Section 4.09 and performance guarantees in the ordinary course of business;</w:t>
      </w:r>
    </w:p>
    <w:p>
      <w:pPr>
        <w:spacing w:after="0" w:line="170" w:lineRule="exact"/>
        <w:rPr>
          <w:rFonts w:ascii="Arial" w:cs="Arial" w:eastAsia="Arial" w:hAnsi="Arial"/>
          <w:sz w:val="18"/>
          <w:szCs w:val="18"/>
          <w:color w:val="auto"/>
        </w:rPr>
      </w:pPr>
    </w:p>
    <w:p>
      <w:pPr>
        <w:ind w:left="4" w:right="260" w:firstLine="644"/>
        <w:spacing w:after="0" w:line="277" w:lineRule="auto"/>
        <w:tabs>
          <w:tab w:leader="none" w:pos="140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Investment made in connection with the purchase price adjustments, contingent purchase price payments, milestones or other earn-out obligations paid in connection with any Investment otherwise permitted under this Indenture;</w:t>
      </w:r>
    </w:p>
    <w:p>
      <w:pPr>
        <w:spacing w:after="0" w:line="170" w:lineRule="exact"/>
        <w:rPr>
          <w:rFonts w:ascii="Arial" w:cs="Arial" w:eastAsia="Arial" w:hAnsi="Arial"/>
          <w:sz w:val="18"/>
          <w:szCs w:val="18"/>
          <w:color w:val="auto"/>
        </w:rPr>
      </w:pPr>
    </w:p>
    <w:p>
      <w:pPr>
        <w:ind w:left="4" w:right="100" w:firstLine="644"/>
        <w:spacing w:after="0" w:line="287" w:lineRule="auto"/>
        <w:tabs>
          <w:tab w:leader="none" w:pos="1402"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Investments consisting of (i) purchases and acquisitions of inventory, supplies, materials and equipment or purchases of contracts or licenses or leases of intellectual property, (ii) pledges or deposits with respect to leases or utilities provided to third parties, (iii) loans and advances to officers, directors and employees for business related travel expenses, moving expenses and other similar expenses or</w:t>
      </w:r>
    </w:p>
    <w:p>
      <w:pPr>
        <w:spacing w:after="0" w:line="2" w:lineRule="exact"/>
        <w:rPr>
          <w:rFonts w:ascii="Arial" w:cs="Arial" w:eastAsia="Arial" w:hAnsi="Arial"/>
          <w:sz w:val="16"/>
          <w:szCs w:val="16"/>
          <w:color w:val="auto"/>
        </w:rPr>
      </w:pPr>
    </w:p>
    <w:p>
      <w:pPr>
        <w:ind w:left="4" w:hanging="4"/>
        <w:spacing w:after="0" w:line="255" w:lineRule="auto"/>
        <w:tabs>
          <w:tab w:leader="none" w:pos="3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advances to customers or suppliers in the ordinary course of business that are, in conformity with GAAP, recorded as accounts receivable, prepaid expenses or deposits on the balance sheet of the Company or the Restricted Subsidiaries and endorsements for collection or deposit, in any case, in the ordinary course of business and otherwise in accordance with this Indenture;</w:t>
      </w:r>
    </w:p>
    <w:p>
      <w:pPr>
        <w:spacing w:after="0" w:line="189" w:lineRule="exact"/>
        <w:rPr>
          <w:rFonts w:ascii="Arial" w:cs="Arial" w:eastAsia="Arial" w:hAnsi="Arial"/>
          <w:sz w:val="18"/>
          <w:szCs w:val="18"/>
          <w:color w:val="auto"/>
        </w:rPr>
      </w:pPr>
    </w:p>
    <w:p>
      <w:pPr>
        <w:ind w:left="4" w:right="260" w:firstLine="644"/>
        <w:spacing w:after="0" w:line="277" w:lineRule="auto"/>
        <w:tabs>
          <w:tab w:leader="none" w:pos="140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Investment to the extent that the consideration therefor is Capital Stock (other than Disqualified Stock) of the Company and only to the extent that the Cumulative Credit is not increased thereby;</w:t>
      </w:r>
    </w:p>
    <w:p>
      <w:pPr>
        <w:spacing w:after="0" w:line="170" w:lineRule="exact"/>
        <w:rPr>
          <w:rFonts w:ascii="Arial" w:cs="Arial" w:eastAsia="Arial" w:hAnsi="Arial"/>
          <w:sz w:val="18"/>
          <w:szCs w:val="18"/>
          <w:color w:val="auto"/>
        </w:rPr>
      </w:pPr>
    </w:p>
    <w:p>
      <w:pPr>
        <w:ind w:left="4" w:right="20" w:firstLine="644"/>
        <w:spacing w:after="0" w:line="263" w:lineRule="auto"/>
        <w:tabs>
          <w:tab w:leader="none" w:pos="1402" w:val="left"/>
        </w:tabs>
        <w:numPr>
          <w:ilvl w:val="1"/>
          <w:numId w:val="32"/>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(15) that are at the time outstanding, not to exceed $150.0 million;</w:t>
      </w:r>
    </w:p>
    <w:p>
      <w:pPr>
        <w:spacing w:after="0" w:line="183" w:lineRule="exact"/>
        <w:rPr>
          <w:rFonts w:ascii="Arial" w:cs="Arial" w:eastAsia="Arial" w:hAnsi="Arial"/>
          <w:sz w:val="18"/>
          <w:szCs w:val="18"/>
          <w:color w:val="auto"/>
        </w:rPr>
      </w:pPr>
    </w:p>
    <w:p>
      <w:pPr>
        <w:ind w:left="4" w:right="120" w:firstLine="644"/>
        <w:spacing w:after="0" w:line="277" w:lineRule="auto"/>
        <w:tabs>
          <w:tab w:leader="none" w:pos="1402"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any Investment (in addition to Investments under the above clauses (1) through (15)), so long as,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 the Total Leverage Ratio shall be no greater than 3.75 to 1.00; and</w:t>
      </w:r>
    </w:p>
    <w:p>
      <w:pPr>
        <w:spacing w:after="0" w:line="170" w:lineRule="exact"/>
        <w:rPr>
          <w:rFonts w:ascii="Arial" w:cs="Arial" w:eastAsia="Arial" w:hAnsi="Arial"/>
          <w:sz w:val="18"/>
          <w:szCs w:val="18"/>
          <w:color w:val="auto"/>
        </w:rPr>
      </w:pPr>
    </w:p>
    <w:p>
      <w:pPr>
        <w:ind w:left="1404" w:hanging="756"/>
        <w:spacing w:after="0"/>
        <w:tabs>
          <w:tab w:leader="none" w:pos="14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Permitted Bond Hedge Transactions.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4" w:right="20" w:firstLine="644"/>
        <w:spacing w:after="0" w:line="263" w:lineRule="auto"/>
        <w:tabs>
          <w:tab w:leader="none" w:pos="14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assets of the Company or any Restricted Subsidiary securing Indebtedness and other Obligations under Credit Facilities that was incurred pursuant to clause (1) of the definition of “Permitted Debt” and/or securing cash management obligations and Hedging Obligations related thereto;</w:t>
      </w:r>
    </w:p>
    <w:p>
      <w:pPr>
        <w:spacing w:after="0" w:line="183" w:lineRule="exact"/>
        <w:rPr>
          <w:rFonts w:ascii="Arial" w:cs="Arial" w:eastAsia="Arial" w:hAnsi="Arial"/>
          <w:sz w:val="18"/>
          <w:szCs w:val="18"/>
          <w:color w:val="auto"/>
        </w:rPr>
      </w:pPr>
    </w:p>
    <w:p>
      <w:pPr>
        <w:ind w:left="1404" w:hanging="756"/>
        <w:spacing w:after="0"/>
        <w:tabs>
          <w:tab w:leader="none" w:pos="14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200" w:lineRule="exact"/>
        <w:rPr>
          <w:sz w:val="20"/>
          <w:szCs w:val="20"/>
          <w:color w:val="auto"/>
        </w:rPr>
      </w:pPr>
    </w:p>
    <w:p>
      <w:pPr>
        <w:spacing w:after="0" w:line="24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29" w:name="page30"/>
    <w:bookmarkEnd w:id="29"/>
    <w:p>
      <w:pPr>
        <w:jc w:val="both"/>
        <w:ind w:left="-460" w:firstLine="644"/>
        <w:spacing w:after="0" w:line="286" w:lineRule="auto"/>
        <w:tabs>
          <w:tab w:leader="none" w:pos="9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Liens on property of a Person existing at the time such Person is merged with or into or consolidated with the Company or any Subsidiary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were not incurred in contemplation of such merger or consolidation and do not extend to any assets other than those of the Person merged into or consolidated with the Company or the Subsidiary and proceeds thereof;</w:t>
      </w:r>
    </w:p>
    <w:p>
      <w:pPr>
        <w:spacing w:after="0" w:line="165" w:lineRule="exact"/>
        <w:rPr>
          <w:rFonts w:ascii="Arial" w:cs="Arial" w:eastAsia="Arial" w:hAnsi="Arial"/>
          <w:sz w:val="17"/>
          <w:szCs w:val="17"/>
          <w:color w:val="auto"/>
        </w:rPr>
      </w:pPr>
    </w:p>
    <w:p>
      <w:pPr>
        <w:ind w:left="-460" w:firstLine="644"/>
        <w:spacing w:after="0" w:line="275" w:lineRule="auto"/>
        <w:tabs>
          <w:tab w:leader="none" w:pos="9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Liens on property (including Capital Stock) existing at the time of acquisition of the property, or the acquisition of the Person owning such property, by the Company or any Subsidiary of the Company (including, without limitation, Liens securing Acquired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were not incurred in contemplation of such acquisition and do not extend to any assets other than those subject to such acquisition (other than pursuant to after acquired property clauses in effect with respect to such Lien at the time of acquisition on property of the type that would have been subject to such Lien notwithstanding the occurrence of such acquisition);</w:t>
      </w:r>
    </w:p>
    <w:p>
      <w:pPr>
        <w:spacing w:after="0" w:line="176" w:lineRule="exact"/>
        <w:rPr>
          <w:rFonts w:ascii="Arial" w:cs="Arial" w:eastAsia="Arial" w:hAnsi="Arial"/>
          <w:sz w:val="17"/>
          <w:szCs w:val="17"/>
          <w:color w:val="auto"/>
        </w:rPr>
      </w:pPr>
    </w:p>
    <w:p>
      <w:pPr>
        <w:ind w:left="-460" w:right="180" w:firstLine="644"/>
        <w:spacing w:after="0" w:line="277" w:lineRule="auto"/>
        <w:tabs>
          <w:tab w:leader="none" w:pos="9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170" w:lineRule="exact"/>
        <w:rPr>
          <w:rFonts w:ascii="Arial" w:cs="Arial" w:eastAsia="Arial" w:hAnsi="Arial"/>
          <w:sz w:val="18"/>
          <w:szCs w:val="18"/>
          <w:color w:val="auto"/>
        </w:rPr>
      </w:pPr>
    </w:p>
    <w:p>
      <w:pPr>
        <w:ind w:left="-460" w:right="40" w:firstLine="644"/>
        <w:spacing w:after="0" w:line="301" w:lineRule="auto"/>
        <w:tabs>
          <w:tab w:leader="none" w:pos="9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purchase money security interests (as defined in Article 9 of the New York Uniform Commercial Code) and other Liens to secure Indebtedness (including Capital Lease Obligations) permitted by clause (3) of Section 4.09(b) covering only the property, plant or equipment (including, without limitation, rental equipment purchased as inventory held for sale or lease) and other assets purchased in accordance with such clause (3) and the proceeds thereof (or in the case of Capital Lease Obligations, acquired with or financed by such Indebtedness);</w:t>
      </w:r>
    </w:p>
    <w:p>
      <w:pPr>
        <w:spacing w:after="0" w:line="157" w:lineRule="exact"/>
        <w:rPr>
          <w:rFonts w:ascii="Arial" w:cs="Arial" w:eastAsia="Arial" w:hAnsi="Arial"/>
          <w:sz w:val="16"/>
          <w:szCs w:val="16"/>
          <w:color w:val="auto"/>
        </w:rPr>
      </w:pPr>
    </w:p>
    <w:p>
      <w:pPr>
        <w:ind w:left="940" w:hanging="756"/>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in existence, or made pursuant to legally binding written commitments in existence, on the Issue Date;</w:t>
      </w:r>
    </w:p>
    <w:p>
      <w:pPr>
        <w:spacing w:after="0" w:line="225" w:lineRule="exact"/>
        <w:rPr>
          <w:rFonts w:ascii="Arial" w:cs="Arial" w:eastAsia="Arial" w:hAnsi="Arial"/>
          <w:sz w:val="18"/>
          <w:szCs w:val="18"/>
          <w:color w:val="auto"/>
        </w:rPr>
      </w:pPr>
    </w:p>
    <w:p>
      <w:pPr>
        <w:ind w:left="-460" w:right="160" w:firstLine="644"/>
        <w:spacing w:after="0" w:line="263" w:lineRule="auto"/>
        <w:tabs>
          <w:tab w:leader="none" w:pos="9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183" w:lineRule="exact"/>
        <w:rPr>
          <w:rFonts w:ascii="Arial" w:cs="Arial" w:eastAsia="Arial" w:hAnsi="Arial"/>
          <w:sz w:val="18"/>
          <w:szCs w:val="18"/>
          <w:color w:val="auto"/>
        </w:rPr>
      </w:pPr>
    </w:p>
    <w:p>
      <w:pPr>
        <w:ind w:left="-460" w:right="120" w:firstLine="644"/>
        <w:spacing w:after="0" w:line="311" w:lineRule="auto"/>
        <w:tabs>
          <w:tab w:leader="none" w:pos="9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landlord’s, mechanics’ Liens and other like Liens, and customary Liens retained by or granted to carriers, landlords and mechanics under the terms of agreements pursuant to which services are rendered or property is leased by such Persons to the Company or any of its Restricted Subsidiaries, in each case, incurred in the ordinary course of business;</w:t>
      </w:r>
    </w:p>
    <w:p>
      <w:pPr>
        <w:spacing w:after="0" w:line="148" w:lineRule="exact"/>
        <w:rPr>
          <w:rFonts w:ascii="Arial" w:cs="Arial" w:eastAsia="Arial" w:hAnsi="Arial"/>
          <w:sz w:val="16"/>
          <w:szCs w:val="16"/>
          <w:color w:val="auto"/>
        </w:rPr>
      </w:pPr>
    </w:p>
    <w:p>
      <w:pPr>
        <w:ind w:left="-460" w:right="120" w:firstLine="644"/>
        <w:spacing w:after="0" w:line="277" w:lineRule="auto"/>
        <w:tabs>
          <w:tab w:leader="none" w:pos="9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leases or subleases granted to others that do not materially interfere with the ordinary course of business of the Company and its Restricted Subsidiaries;</w:t>
      </w:r>
    </w:p>
    <w:p>
      <w:pPr>
        <w:spacing w:after="0" w:line="170" w:lineRule="exact"/>
        <w:rPr>
          <w:rFonts w:ascii="Arial" w:cs="Arial" w:eastAsia="Arial" w:hAnsi="Arial"/>
          <w:sz w:val="18"/>
          <w:szCs w:val="18"/>
          <w:color w:val="auto"/>
        </w:rPr>
      </w:pPr>
    </w:p>
    <w:p>
      <w:pPr>
        <w:ind w:left="-460" w:right="20" w:firstLine="644"/>
        <w:spacing w:after="0" w:line="255" w:lineRule="auto"/>
        <w:tabs>
          <w:tab w:leader="none" w:pos="9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minor survey exceptions, minor encumbrances, special assessments, easements or reservations of, or rights of others for, licenses, rights-of-way, sewers, electric lines, telegraph and telephone lines and other similar purposes, servicing agreements, development rights, site plan agreements and other similar encumbrances incurred in the ordinary course of business or zoning or other restrictions as to the use of real property or Liens incidental to the conduct of business of such Person or to the ownership of its properties, in each case, that were not incurred in connection with Indebtedness and that do not in the aggregate materially adversely affect the value of said properties or materially impair their use in the operation of the business of such Person;</w:t>
      </w:r>
    </w:p>
    <w:p>
      <w:pPr>
        <w:spacing w:after="0" w:line="192" w:lineRule="exact"/>
        <w:rPr>
          <w:rFonts w:ascii="Arial" w:cs="Arial" w:eastAsia="Arial" w:hAnsi="Arial"/>
          <w:sz w:val="18"/>
          <w:szCs w:val="18"/>
          <w:color w:val="auto"/>
        </w:rPr>
      </w:pPr>
    </w:p>
    <w:p>
      <w:pPr>
        <w:ind w:left="940" w:hanging="756"/>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Note Guarantees);</w:t>
      </w:r>
    </w:p>
    <w:p>
      <w:pPr>
        <w:spacing w:after="0" w:line="225" w:lineRule="exact"/>
        <w:rPr>
          <w:rFonts w:ascii="Arial" w:cs="Arial" w:eastAsia="Arial" w:hAnsi="Arial"/>
          <w:sz w:val="18"/>
          <w:szCs w:val="18"/>
          <w:color w:val="auto"/>
        </w:rPr>
      </w:pPr>
    </w:p>
    <w:p>
      <w:pPr>
        <w:ind w:left="940" w:hanging="756"/>
        <w:spacing w:after="0"/>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Liens to secure any Permitted Refinancing Indebtedness permitted to be incurred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248" w:lineRule="exact"/>
        <w:rPr>
          <w:rFonts w:ascii="Arial" w:cs="Arial" w:eastAsia="Arial" w:hAnsi="Arial"/>
          <w:sz w:val="16"/>
          <w:szCs w:val="16"/>
          <w:color w:val="auto"/>
        </w:rPr>
      </w:pPr>
    </w:p>
    <w:p>
      <w:pPr>
        <w:ind w:left="180" w:right="20" w:firstLine="652"/>
        <w:spacing w:after="0" w:line="296" w:lineRule="auto"/>
        <w:tabs>
          <w:tab w:leader="none" w:pos="1567"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new Lien shall be limited to all or part of the same property and assets that secured or, under the written agreements pursuant to which the original Lien arose (including any after acquired property to the extent it could have been subject to the original Lien), could secure the original Lien (</w:t>
      </w:r>
      <w:r>
        <w:rPr>
          <w:rFonts w:ascii="Arial" w:cs="Arial" w:eastAsia="Arial" w:hAnsi="Arial"/>
          <w:sz w:val="16"/>
          <w:szCs w:val="16"/>
          <w:i w:val="1"/>
          <w:iCs w:val="1"/>
          <w:color w:val="auto"/>
        </w:rPr>
        <w:t>plus</w:t>
      </w:r>
      <w:r>
        <w:rPr>
          <w:rFonts w:ascii="Arial" w:cs="Arial" w:eastAsia="Arial" w:hAnsi="Arial"/>
          <w:sz w:val="16"/>
          <w:szCs w:val="16"/>
          <w:color w:val="auto"/>
        </w:rPr>
        <w:t xml:space="preserve"> improvements and accessions to, such property, or proceeds and products or distributions thereof, and customary security deposits and any other assets pursuant to the after- acquired property clauses to the extent such assets secured (or would have secured) the Indebtedness being refinanced, refunded, extended, renewed or replaced); and</w:t>
      </w:r>
    </w:p>
    <w:p>
      <w:pPr>
        <w:spacing w:after="0" w:line="3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0" w:name="page31"/>
    <w:bookmarkEnd w:id="30"/>
    <w:p>
      <w:pPr>
        <w:jc w:val="both"/>
        <w:ind w:left="180" w:right="180" w:firstLine="652"/>
        <w:spacing w:after="0" w:line="311" w:lineRule="auto"/>
        <w:tabs>
          <w:tab w:leader="none" w:pos="157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148" w:lineRule="exact"/>
        <w:rPr>
          <w:rFonts w:ascii="Arial" w:cs="Arial" w:eastAsia="Arial" w:hAnsi="Arial"/>
          <w:sz w:val="16"/>
          <w:szCs w:val="16"/>
          <w:color w:val="auto"/>
        </w:rPr>
      </w:pPr>
    </w:p>
    <w:p>
      <w:pPr>
        <w:ind w:left="-460" w:right="240" w:firstLine="644"/>
        <w:spacing w:after="0" w:line="277"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commercial letters of credit which encumber documents and other property relating to such letters of credit and products and proceeds thereof;</w:t>
      </w:r>
    </w:p>
    <w:p>
      <w:pPr>
        <w:spacing w:after="0" w:line="170" w:lineRule="exact"/>
        <w:rPr>
          <w:rFonts w:ascii="Arial" w:cs="Arial" w:eastAsia="Arial" w:hAnsi="Arial"/>
          <w:sz w:val="18"/>
          <w:szCs w:val="18"/>
          <w:color w:val="auto"/>
        </w:rPr>
      </w:pPr>
    </w:p>
    <w:p>
      <w:pPr>
        <w:ind w:left="-460" w:right="40" w:firstLine="644"/>
        <w:spacing w:after="0" w:line="277"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170" w:lineRule="exact"/>
        <w:rPr>
          <w:rFonts w:ascii="Arial" w:cs="Arial" w:eastAsia="Arial" w:hAnsi="Arial"/>
          <w:sz w:val="18"/>
          <w:szCs w:val="18"/>
          <w:color w:val="auto"/>
        </w:rPr>
      </w:pPr>
    </w:p>
    <w:p>
      <w:pPr>
        <w:ind w:left="-460" w:right="60" w:firstLine="644"/>
        <w:spacing w:after="0" w:line="277"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from precautionary filing of Uniform Commercial Code financing statements in connection with operating leases or purchase or consignment of goods;</w:t>
      </w:r>
    </w:p>
    <w:p>
      <w:pPr>
        <w:spacing w:after="0" w:line="170" w:lineRule="exact"/>
        <w:rPr>
          <w:rFonts w:ascii="Arial" w:cs="Arial" w:eastAsia="Arial" w:hAnsi="Arial"/>
          <w:sz w:val="18"/>
          <w:szCs w:val="18"/>
          <w:color w:val="auto"/>
        </w:rPr>
      </w:pPr>
    </w:p>
    <w:p>
      <w:pPr>
        <w:ind w:left="-460" w:right="120" w:firstLine="644"/>
        <w:spacing w:after="0" w:line="263"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 banking institution arising as a matter of law encumbering deposits (including, without limitation, rights of set-off and credit balances) with respect to deposit accounts (as defined under the Uniform Commercial Code) that are within the general parameters customary to the banking industry;</w:t>
      </w:r>
    </w:p>
    <w:p>
      <w:pPr>
        <w:spacing w:after="0" w:line="183" w:lineRule="exact"/>
        <w:rPr>
          <w:rFonts w:ascii="Arial" w:cs="Arial" w:eastAsia="Arial" w:hAnsi="Arial"/>
          <w:sz w:val="18"/>
          <w:szCs w:val="18"/>
          <w:color w:val="auto"/>
        </w:rPr>
      </w:pPr>
    </w:p>
    <w:p>
      <w:pPr>
        <w:ind w:left="-460" w:right="40" w:firstLine="644"/>
        <w:spacing w:after="0" w:line="286" w:lineRule="auto"/>
        <w:tabs>
          <w:tab w:leader="none" w:pos="938" w:val="left"/>
        </w:tabs>
        <w:numPr>
          <w:ilvl w:val="0"/>
          <w:numId w:val="36"/>
        </w:numPr>
        <w:rPr>
          <w:rFonts w:ascii="Arial" w:cs="Arial" w:eastAsia="Arial" w:hAnsi="Arial"/>
          <w:sz w:val="17"/>
          <w:szCs w:val="17"/>
          <w:color w:val="auto"/>
        </w:rPr>
      </w:pPr>
      <w:r>
        <w:rPr>
          <w:rFonts w:ascii="Arial" w:cs="Arial" w:eastAsia="Arial" w:hAnsi="Arial"/>
          <w:sz w:val="17"/>
          <w:szCs w:val="17"/>
          <w:color w:val="auto"/>
        </w:rPr>
        <w:t>judgment Liens incurred as a result of a judgment by a court of competent jurisdiction that does not otherwise give rise to an Event of Default under this Indenture, so long as any appropriate legal proceedings which may have been duly initiated for the appeal or review of such judgment shall not have been terminated or the period within which such proceedings may be initiated shall not have expired;</w:t>
      </w:r>
    </w:p>
    <w:p>
      <w:pPr>
        <w:spacing w:after="0" w:line="165" w:lineRule="exact"/>
        <w:rPr>
          <w:rFonts w:ascii="Arial" w:cs="Arial" w:eastAsia="Arial" w:hAnsi="Arial"/>
          <w:sz w:val="17"/>
          <w:szCs w:val="17"/>
          <w:color w:val="auto"/>
        </w:rPr>
      </w:pPr>
    </w:p>
    <w:p>
      <w:pPr>
        <w:ind w:left="-460" w:right="620" w:firstLine="644"/>
        <w:spacing w:after="0" w:line="342" w:lineRule="auto"/>
        <w:tabs>
          <w:tab w:leader="none" w:pos="9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Liens securing Indebtedness of Foreign Subsidiaries that are Restricted Subsidiaries incurred pursuant to clause (13) of Section 4.09(b)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extend only to the assets of Foreign Subsidiaries that are Restricted Subsidiaries;</w:t>
      </w:r>
    </w:p>
    <w:p>
      <w:pPr>
        <w:spacing w:after="0" w:line="123" w:lineRule="exact"/>
        <w:rPr>
          <w:rFonts w:ascii="Arial" w:cs="Arial" w:eastAsia="Arial" w:hAnsi="Arial"/>
          <w:sz w:val="16"/>
          <w:szCs w:val="16"/>
          <w:color w:val="auto"/>
        </w:rPr>
      </w:pPr>
    </w:p>
    <w:p>
      <w:pPr>
        <w:ind w:left="-460" w:right="280" w:firstLine="644"/>
        <w:spacing w:after="0" w:line="277"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Equity Interests deemed to exist in connection with any options, put and call agreements, rights of first refusal and similar rights relating to Investments in Persons that are not Subsidiaries under this Indenture;</w:t>
      </w:r>
    </w:p>
    <w:p>
      <w:pPr>
        <w:spacing w:after="0" w:line="170" w:lineRule="exact"/>
        <w:rPr>
          <w:rFonts w:ascii="Arial" w:cs="Arial" w:eastAsia="Arial" w:hAnsi="Arial"/>
          <w:sz w:val="18"/>
          <w:szCs w:val="18"/>
          <w:color w:val="auto"/>
        </w:rPr>
      </w:pPr>
    </w:p>
    <w:p>
      <w:pPr>
        <w:ind w:left="-460" w:right="520" w:firstLine="644"/>
        <w:spacing w:after="0" w:line="342" w:lineRule="auto"/>
        <w:tabs>
          <w:tab w:leader="none" w:pos="9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Liens on property or assets securing Indebtedness used to defease or to satisfy and discharge the Notes in their entirety;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incurrence of such Indebtedness and such defeasance and satisfaction and discharge were not prohibited by this Indenture;</w:t>
      </w:r>
    </w:p>
    <w:p>
      <w:pPr>
        <w:spacing w:after="0" w:line="123" w:lineRule="exact"/>
        <w:rPr>
          <w:rFonts w:ascii="Arial" w:cs="Arial" w:eastAsia="Arial" w:hAnsi="Arial"/>
          <w:sz w:val="16"/>
          <w:szCs w:val="16"/>
          <w:color w:val="auto"/>
        </w:rPr>
      </w:pPr>
    </w:p>
    <w:p>
      <w:pPr>
        <w:ind w:left="-460" w:right="500" w:firstLine="644"/>
        <w:spacing w:after="0" w:line="308" w:lineRule="auto"/>
        <w:tabs>
          <w:tab w:leader="none" w:pos="938"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deposits made in the ordinary course of business to secure liability insurance carriers and Liens on insurance proceeds or unearned premiums incurred in the ordinary course of business in connection with the financing of insurance premiums;</w:t>
      </w:r>
    </w:p>
    <w:p>
      <w:pPr>
        <w:spacing w:after="0" w:line="146" w:lineRule="exact"/>
        <w:rPr>
          <w:rFonts w:ascii="Arial" w:cs="Arial" w:eastAsia="Arial" w:hAnsi="Arial"/>
          <w:sz w:val="17"/>
          <w:szCs w:val="17"/>
          <w:color w:val="auto"/>
        </w:rPr>
      </w:pPr>
    </w:p>
    <w:p>
      <w:pPr>
        <w:ind w:left="-460" w:right="80" w:firstLine="644"/>
        <w:spacing w:after="0" w:line="263"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pledges or deposits under workers’ compensation laws, unemployment insurance laws or similar legislation, or good faith deposits in connection with bids, tenders, contracts (other than for payment of Indebtedness) or leases to which the Company or any Subsidiary of the Company is a party;</w:t>
      </w:r>
    </w:p>
    <w:p>
      <w:pPr>
        <w:spacing w:after="0" w:line="183" w:lineRule="exact"/>
        <w:rPr>
          <w:rFonts w:ascii="Arial" w:cs="Arial" w:eastAsia="Arial" w:hAnsi="Arial"/>
          <w:sz w:val="18"/>
          <w:szCs w:val="18"/>
          <w:color w:val="auto"/>
        </w:rPr>
      </w:pPr>
    </w:p>
    <w:p>
      <w:pPr>
        <w:ind w:left="-460" w:firstLine="644"/>
        <w:spacing w:after="0" w:line="277"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Company or any Subsidiary of the Company with respect to obligations that do not exceed $25.0 million at any one time outstanding;</w:t>
      </w:r>
    </w:p>
    <w:p>
      <w:pPr>
        <w:spacing w:after="0" w:line="3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 w:name="page32"/>
    <w:bookmarkEnd w:id="31"/>
    <w:p>
      <w:pPr>
        <w:ind w:left="-460" w:right="70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on and pledges of the assets or Capital Stock of any Unrestricted Subsidiary securing any Indebtedness or other obligations of such Unrestricted Subsidiary;</w:t>
      </w:r>
    </w:p>
    <w:p>
      <w:pPr>
        <w:spacing w:after="0" w:line="170" w:lineRule="exact"/>
        <w:rPr>
          <w:rFonts w:ascii="Arial" w:cs="Arial" w:eastAsia="Arial" w:hAnsi="Arial"/>
          <w:sz w:val="18"/>
          <w:szCs w:val="18"/>
          <w:color w:val="auto"/>
        </w:rPr>
      </w:pPr>
    </w:p>
    <w:p>
      <w:pPr>
        <w:ind w:left="-460" w:right="48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relating to pooled deposit or sweep accounts to permit satisfaction of overdraft, cash pooling or similar obligations incurred in the ordinary course of business;</w:t>
      </w:r>
    </w:p>
    <w:p>
      <w:pPr>
        <w:spacing w:after="0" w:line="170" w:lineRule="exact"/>
        <w:rPr>
          <w:rFonts w:ascii="Arial" w:cs="Arial" w:eastAsia="Arial" w:hAnsi="Arial"/>
          <w:sz w:val="18"/>
          <w:szCs w:val="18"/>
          <w:color w:val="auto"/>
        </w:rPr>
      </w:pPr>
    </w:p>
    <w:p>
      <w:pPr>
        <w:ind w:left="-460" w:right="120" w:firstLine="644"/>
        <w:spacing w:after="0" w:line="277" w:lineRule="auto"/>
        <w:tabs>
          <w:tab w:leader="none" w:pos="9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in the ordinary course of business;</w:t>
      </w:r>
    </w:p>
    <w:p>
      <w:pPr>
        <w:spacing w:after="0" w:line="170" w:lineRule="exact"/>
        <w:rPr>
          <w:rFonts w:ascii="Arial" w:cs="Arial" w:eastAsia="Arial" w:hAnsi="Arial"/>
          <w:sz w:val="18"/>
          <w:szCs w:val="18"/>
          <w:color w:val="auto"/>
        </w:rPr>
      </w:pPr>
    </w:p>
    <w:p>
      <w:pPr>
        <w:ind w:left="-460" w:right="180" w:firstLine="644"/>
        <w:spacing w:after="0" w:line="263"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made in the ordinary course of business and entered into for bona fide hedging purposes (and not for speculative purposes) as determined in good faith by the Board of Directors or senior management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Hedging Obligations are permitted under this Indenture;</w:t>
      </w:r>
    </w:p>
    <w:p>
      <w:pPr>
        <w:spacing w:after="0" w:line="183" w:lineRule="exact"/>
        <w:rPr>
          <w:rFonts w:ascii="Arial" w:cs="Arial" w:eastAsia="Arial" w:hAnsi="Arial"/>
          <w:sz w:val="18"/>
          <w:szCs w:val="18"/>
          <w:color w:val="auto"/>
        </w:rPr>
      </w:pPr>
    </w:p>
    <w:p>
      <w:pPr>
        <w:ind w:left="-460" w:right="160" w:firstLine="644"/>
        <w:spacing w:after="0" w:line="263"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Liens incurred by the Company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any such Lien is incurred, the obligations secured by such Lien, when added to all other obligations secured by Liens incurred pursuant to this clause (29), shall not exceed the greater of (x) $100.0 million and (y) 5.0% of Total Assets;</w:t>
      </w:r>
    </w:p>
    <w:p>
      <w:pPr>
        <w:spacing w:after="0" w:line="183" w:lineRule="exact"/>
        <w:rPr>
          <w:rFonts w:ascii="Arial" w:cs="Arial" w:eastAsia="Arial" w:hAnsi="Arial"/>
          <w:sz w:val="18"/>
          <w:szCs w:val="18"/>
          <w:color w:val="auto"/>
        </w:rPr>
      </w:pPr>
    </w:p>
    <w:p>
      <w:pPr>
        <w:ind w:left="940" w:hanging="756"/>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deemed to exist in connection with Investments in repurchase agreements that constitute Permitted Investments;</w:t>
      </w:r>
    </w:p>
    <w:p>
      <w:pPr>
        <w:spacing w:after="0" w:line="236" w:lineRule="exact"/>
        <w:rPr>
          <w:rFonts w:ascii="Arial" w:cs="Arial" w:eastAsia="Arial" w:hAnsi="Arial"/>
          <w:sz w:val="17"/>
          <w:szCs w:val="17"/>
          <w:color w:val="auto"/>
        </w:rPr>
      </w:pPr>
    </w:p>
    <w:p>
      <w:pPr>
        <w:ind w:left="-460" w:right="140" w:firstLine="644"/>
        <w:spacing w:after="0" w:line="259"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of Indebtedness under any economic development incentive program from any State or any subdivision (including any city or county) permitted under clause (20) of the definition of “Permitted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at any time encumber any property other than any property located in such State or subdivision giving rise to the Company’s business development activities and such incentive program;</w:t>
      </w:r>
    </w:p>
    <w:p>
      <w:pPr>
        <w:spacing w:after="0" w:line="186" w:lineRule="exact"/>
        <w:rPr>
          <w:rFonts w:ascii="Arial" w:cs="Arial" w:eastAsia="Arial" w:hAnsi="Arial"/>
          <w:sz w:val="18"/>
          <w:szCs w:val="18"/>
          <w:color w:val="auto"/>
        </w:rPr>
      </w:pPr>
    </w:p>
    <w:p>
      <w:pPr>
        <w:ind w:left="940" w:hanging="756"/>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securing Indebtedness permitted under clause (22) of the definition of “Permitted Debt”;</w:t>
      </w:r>
    </w:p>
    <w:p>
      <w:pPr>
        <w:spacing w:after="0" w:line="225" w:lineRule="exact"/>
        <w:rPr>
          <w:rFonts w:ascii="Arial" w:cs="Arial" w:eastAsia="Arial" w:hAnsi="Arial"/>
          <w:sz w:val="18"/>
          <w:szCs w:val="18"/>
          <w:color w:val="auto"/>
        </w:rPr>
      </w:pPr>
    </w:p>
    <w:p>
      <w:pPr>
        <w:ind w:left="-460" w:right="28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and in the ordinary course of business to secure payment of customs duties in connection with the importation of goods;</w:t>
      </w:r>
    </w:p>
    <w:p>
      <w:pPr>
        <w:spacing w:after="0" w:line="170" w:lineRule="exact"/>
        <w:rPr>
          <w:rFonts w:ascii="Arial" w:cs="Arial" w:eastAsia="Arial" w:hAnsi="Arial"/>
          <w:sz w:val="18"/>
          <w:szCs w:val="18"/>
          <w:color w:val="auto"/>
        </w:rPr>
      </w:pPr>
    </w:p>
    <w:p>
      <w:pPr>
        <w:ind w:left="-460" w:right="12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solely on cash earnest money deposits made by the Company or any Restricted Subsidiary in connection with any letter of intent or purchase agreement relating to a Permitted Investment;</w:t>
      </w:r>
    </w:p>
    <w:p>
      <w:pPr>
        <w:spacing w:after="0" w:line="170" w:lineRule="exact"/>
        <w:rPr>
          <w:rFonts w:ascii="Arial" w:cs="Arial" w:eastAsia="Arial" w:hAnsi="Arial"/>
          <w:sz w:val="18"/>
          <w:szCs w:val="18"/>
          <w:color w:val="auto"/>
        </w:rPr>
      </w:pPr>
    </w:p>
    <w:p>
      <w:pPr>
        <w:ind w:left="-460" w:right="56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on deposits and other amounts held in escrow to secure contractual payments (continent or otherwise) payable by Company or any Restricted Subsidiary to a seller after the consummation of a Permitted Investment;</w:t>
      </w:r>
    </w:p>
    <w:p>
      <w:pPr>
        <w:spacing w:after="0" w:line="170" w:lineRule="exact"/>
        <w:rPr>
          <w:rFonts w:ascii="Arial" w:cs="Arial" w:eastAsia="Arial" w:hAnsi="Arial"/>
          <w:sz w:val="18"/>
          <w:szCs w:val="18"/>
          <w:color w:val="auto"/>
        </w:rPr>
      </w:pPr>
    </w:p>
    <w:p>
      <w:pPr>
        <w:ind w:left="-460" w:right="4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in respect to unearned premiums on insurance policies and the proceeds thereof securing the financing of premiums with respect thereto permitted under clause (23)(i) of the definition of “Permitted Debt”;</w:t>
      </w:r>
    </w:p>
    <w:p>
      <w:pPr>
        <w:spacing w:after="0" w:line="170" w:lineRule="exact"/>
        <w:rPr>
          <w:rFonts w:ascii="Arial" w:cs="Arial" w:eastAsia="Arial" w:hAnsi="Arial"/>
          <w:sz w:val="18"/>
          <w:szCs w:val="18"/>
          <w:color w:val="auto"/>
        </w:rPr>
      </w:pPr>
    </w:p>
    <w:p>
      <w:pPr>
        <w:ind w:left="-46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not released, terminated or satisfied of record to the extent the underlying obligation purporting to be secured thereby has been paid or satisfied in full and any obligation to extend credit with respect thereto extinguished;</w:t>
      </w:r>
    </w:p>
    <w:p>
      <w:pPr>
        <w:spacing w:after="0" w:line="170" w:lineRule="exact"/>
        <w:rPr>
          <w:rFonts w:ascii="Arial" w:cs="Arial" w:eastAsia="Arial" w:hAnsi="Arial"/>
          <w:sz w:val="18"/>
          <w:szCs w:val="18"/>
          <w:color w:val="auto"/>
        </w:rPr>
      </w:pPr>
    </w:p>
    <w:p>
      <w:pPr>
        <w:ind w:left="980" w:hanging="796"/>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any of the Restricted Subsidiaries are located;</w:t>
      </w: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2" w:name="page33"/>
    <w:bookmarkEnd w:id="32"/>
    <w:p>
      <w:pPr>
        <w:jc w:val="both"/>
        <w:ind w:left="660" w:right="160" w:firstLine="644"/>
        <w:spacing w:after="0" w:line="342" w:lineRule="auto"/>
        <w:tabs>
          <w:tab w:leader="none" w:pos="1833"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leases or subleases, and licenses or sublicenses (including with respect to intellectual property) granted to others in the ordinary course of business, and Liens on real property which is not owned but is leased or subleased by the Company or any Restricted Subsidiary; and</w:t>
      </w:r>
    </w:p>
    <w:p>
      <w:pPr>
        <w:spacing w:after="0" w:line="123" w:lineRule="exact"/>
        <w:rPr>
          <w:rFonts w:ascii="Arial" w:cs="Arial" w:eastAsia="Arial" w:hAnsi="Arial"/>
          <w:sz w:val="16"/>
          <w:szCs w:val="16"/>
          <w:color w:val="auto"/>
        </w:rPr>
      </w:pPr>
    </w:p>
    <w:p>
      <w:pPr>
        <w:ind w:left="660" w:right="20" w:firstLine="644"/>
        <w:spacing w:after="0" w:line="277" w:lineRule="auto"/>
        <w:tabs>
          <w:tab w:leader="none" w:pos="18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that are contractual rights of set-off relating to purchase orders and other agreements entered into with customers, suppliers or service providers of the Company or any Restricted Subsidiary in the ordinary course of business.</w:t>
      </w:r>
    </w:p>
    <w:p>
      <w:pPr>
        <w:spacing w:after="0" w:line="17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Refinancing Indebtedness</w:t>
      </w:r>
      <w:r>
        <w:rPr>
          <w:rFonts w:ascii="Arial" w:cs="Arial" w:eastAsia="Arial" w:hAnsi="Arial"/>
          <w:sz w:val="18"/>
          <w:szCs w:val="18"/>
          <w:color w:val="auto"/>
        </w:rPr>
        <w:t xml:space="preserve">” means any Indebtedness of the Company or any of its Restricted Subsidiaries issued in exchange for, or the net proceeds of which are used to extend, renew, refund, refinance, replace, defease or discharge other Indebtedness of the Company or any of its Restricted Subsidiaries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left="660" w:right="60" w:firstLine="644"/>
        <w:spacing w:after="0" w:line="311" w:lineRule="auto"/>
        <w:tabs>
          <w:tab w:leader="none" w:pos="20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renewed, refunded, refinanced, replaced, defeased or discharged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all accrued interest on the Indebtedness and the amount of all fees and expenses, including premiums, incurred in connection therewith);</w:t>
      </w:r>
    </w:p>
    <w:p>
      <w:pPr>
        <w:spacing w:after="0" w:line="148" w:lineRule="exact"/>
        <w:rPr>
          <w:rFonts w:ascii="Arial" w:cs="Arial" w:eastAsia="Arial" w:hAnsi="Arial"/>
          <w:sz w:val="16"/>
          <w:szCs w:val="16"/>
          <w:color w:val="auto"/>
        </w:rPr>
      </w:pPr>
    </w:p>
    <w:p>
      <w:pPr>
        <w:ind w:left="660" w:right="40" w:firstLine="644"/>
        <w:spacing w:after="0" w:line="263" w:lineRule="auto"/>
        <w:tabs>
          <w:tab w:leader="none" w:pos="20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renewed, refunded, refinanced, replaced, defeased or discharged;</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20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Indebtedness being extended, renewed, refunded, refinanced, replaced, defeased or discharged is subordinated in right of payment to the Notes, such Permitted Refinancing Indebtedness is subordinated in right of payment to, the Notes on terms at least as favorable to the Holders of Notes as those contained in the documentation governing the Indebtedness being extended, renewed, refunded, refinanced, replaced, defeased or discharged; and</w:t>
      </w:r>
    </w:p>
    <w:p>
      <w:pPr>
        <w:spacing w:after="0" w:line="186" w:lineRule="exact"/>
        <w:rPr>
          <w:rFonts w:ascii="Arial" w:cs="Arial" w:eastAsia="Arial" w:hAnsi="Arial"/>
          <w:sz w:val="18"/>
          <w:szCs w:val="18"/>
          <w:color w:val="auto"/>
        </w:rPr>
      </w:pPr>
    </w:p>
    <w:p>
      <w:pPr>
        <w:ind w:left="660" w:right="200" w:firstLine="644"/>
        <w:spacing w:after="0" w:line="277" w:lineRule="auto"/>
        <w:tabs>
          <w:tab w:leader="none" w:pos="20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Indebtedness is incurred either by the Company or by the Restricted Subsidiary who is the obligor on the Indebtedness being extended, renewed, refunded, refinanced, replaced, defeased or discharged.</w:t>
      </w:r>
    </w:p>
    <w:p>
      <w:pPr>
        <w:spacing w:after="0" w:line="17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Warrant Transaction</w:t>
      </w:r>
      <w:r>
        <w:rPr>
          <w:rFonts w:ascii="Arial" w:cs="Arial" w:eastAsia="Arial" w:hAnsi="Arial"/>
          <w:sz w:val="18"/>
          <w:szCs w:val="18"/>
          <w:color w:val="auto"/>
        </w:rPr>
        <w:t>” means any call option, warrant or right to purchase (or similar transaction), on the Company’s or a Restricted Subsidiary’s Equity Interests, regardless of the issuer or seller thereof, issued substantially concurrently with any purchase of a related Permitted Bond Hedge Transaction.</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Post-Acquisition Period</w:t>
      </w:r>
      <w:r>
        <w:rPr>
          <w:rFonts w:ascii="Arial" w:cs="Arial" w:eastAsia="Arial" w:hAnsi="Arial"/>
          <w:sz w:val="17"/>
          <w:szCs w:val="17"/>
          <w:color w:val="auto"/>
        </w:rPr>
        <w:t>” means, with respect to any Permitted Acquisition or the conversion of any Unrestricted Subsidiary into a Restricted Subsidiary, the period beginning on the date such Permitted Acquisition or conversion is consummated and ending on the last day of the fourth full consecutive fiscal quarter immediately following the date on which such Permitted Acquisition or conversion is consummated.</w:t>
      </w:r>
    </w:p>
    <w:p>
      <w:pPr>
        <w:spacing w:after="0" w:line="1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Legend</w:t>
      </w:r>
      <w:r>
        <w:rPr>
          <w:rFonts w:ascii="Arial" w:cs="Arial" w:eastAsia="Arial" w:hAnsi="Arial"/>
          <w:sz w:val="18"/>
          <w:szCs w:val="18"/>
          <w:color w:val="auto"/>
        </w:rPr>
        <w:t>” means the legend set forth in Section 2.06(f)(1) to be placed on all Notes issued under this Indenture except where otherwise permitted by the provisions of this Indenture.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124" w:right="419" w:bottom="1440" w:gutter="0" w:footer="0" w:header="0"/>
        </w:sectPr>
      </w:pPr>
    </w:p>
    <w:bookmarkStart w:id="33" w:name="page34"/>
    <w:bookmarkEnd w:id="33"/>
    <w:p>
      <w:pPr>
        <w:ind w:right="2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Forma Adjustment</w:t>
      </w:r>
      <w:r>
        <w:rPr>
          <w:rFonts w:ascii="Arial" w:cs="Arial" w:eastAsia="Arial" w:hAnsi="Arial"/>
          <w:sz w:val="16"/>
          <w:szCs w:val="16"/>
          <w:color w:val="auto"/>
        </w:rPr>
        <w:t>” means, for any four consecutive fiscal quarter period that includes all or any part of a fiscal quarter included in any Post-Acquisition Period, with respect to the Acquired EBITDA of the applicable Acquired Entity or converted Restricted Subsidiary or the Consolidated EBITDA, (a) the pro forma increase or decrease in such Acquired EBITDA or such Consolidated EBITDA, as the case may be, that is expected to have a continuing impact and (b) additional good faith pro forma adjustments arising out of cost savings initiatives attributable to such transaction and additional costs associated with the combination of the operations of such Acquired Entity or converted Restricted Subsidiary with the operations of the Company and its Restricted Subsidiaries, in each case being given pro forma effect, which actions (i) have been taken or (ii) will be taken or implemented within the succeeding twelve (12) months following such transaction and, in each case, including, but not limited to, (w) reduction in personnel expenses,</w:t>
      </w:r>
    </w:p>
    <w:p>
      <w:pPr>
        <w:spacing w:after="0" w:line="2"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reduction of costs related to administrative functions, (y) reductions of costs related to leased or owned properties and (z) reductions from the</w:t>
      </w:r>
    </w:p>
    <w:p>
      <w:pPr>
        <w:spacing w:after="0" w:line="20"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consolidation of operations and streamlining of corporate overhead) taking into account, for purposes of determining such compliance, the historical financial statements of the Acquired Entity or converted Restricted Subsidiary and the consolidated financial statements of the Company and its Restricted Subsidiaries, assuming such Permitted Acquisition or conversion, and all other Permitted Acquisitions or conversions that have been consummated during the period, and any Indebtedness or other liabilities repaid in connection therewith had been consummated and incurred or repaid at the beginning of such period (and assuming that such Indebtedness to be incurred bears interest during any portion of the applicable measurement period prior to the relevant acquisition at the interest rate which is or would be in effect with respect to such Indebtedness as at the relevant date of determination); provided that, so long as such actions are initiated during such Post-Acquisition Period or such costs are incurred during such Post-Acquisition Period, as applicable, for purposes of projecting such pro forma increase or decrease to such Acquired EBITDA or such Consolidated EBITDA, as the case may be, it may be assumed that such cost savings will be realizable during the entirety of such four consecutive fiscal quarter period, or such additional costs, as applicable, will be incurred during the entirety of such four consecutive fiscal quarter period; provided further that all such anticipated adjustments for cost savings shall not exceed in the aggregate, for any four consecutive fiscal quarters, an amount equal to 15% of Consolidated EBITDA for such four fiscal quarter period before giving effect to such cost savings; provided further that at the election of the Company, such Pro Forma Adjustment shall not be required to be determined for any Acquired Entity or converted Restricted Subsidiary to the extent the aggregate consideration paid in connection with such acquisition was less than $5.0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Equity Interests</w:t>
      </w:r>
      <w:r>
        <w:rPr>
          <w:rFonts w:ascii="Arial" w:cs="Arial" w:eastAsia="Arial" w:hAnsi="Arial"/>
          <w:sz w:val="18"/>
          <w:szCs w:val="18"/>
          <w:color w:val="auto"/>
        </w:rPr>
        <w:t>” means any Equity Interests that are not Disqualified Stock.</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Rating Agencies</w:t>
      </w:r>
      <w:r>
        <w:rPr>
          <w:rFonts w:ascii="Arial" w:cs="Arial" w:eastAsia="Arial" w:hAnsi="Arial"/>
          <w:sz w:val="16"/>
          <w:szCs w:val="16"/>
          <w:color w:val="auto"/>
        </w:rPr>
        <w:t>” means (i) each of Moody’s and S&amp;P, and (ii) if Moody’s or S&amp;P ceases to rate the Notes for reasons outside of the Company’s control, a nationally recognized rating agency or agencies selected by the Company as a replacement agency for Moody’s or S&amp;P, as the case may be.</w:t>
      </w:r>
    </w:p>
    <w:p>
      <w:pPr>
        <w:spacing w:after="0" w:line="12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Regulated Bank</w:t>
      </w:r>
      <w:r>
        <w:rPr>
          <w:rFonts w:ascii="Arial" w:cs="Arial" w:eastAsia="Arial" w:hAnsi="Arial"/>
          <w:sz w:val="17"/>
          <w:szCs w:val="17"/>
          <w:color w:val="auto"/>
        </w:rPr>
        <w:t>” means (x)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to the extent that (1) all of the Capital Stock of such Affiliate is directly or indirectly owned by either (I) such Person set forth in clause (x) or (II) a parent entity that also owns, directly or indirectly, all of the Capital Stock of such Person set forth in clause (x) and (2) such Affiliate is a securities broker or dealer registered with the SEC under Section 15 of the Exchange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Regulation S Global Note</w:t>
      </w:r>
      <w:r>
        <w:rPr>
          <w:rFonts w:ascii="Arial" w:cs="Arial" w:eastAsia="Arial" w:hAnsi="Arial"/>
          <w:sz w:val="17"/>
          <w:szCs w:val="17"/>
          <w:color w:val="auto"/>
        </w:rPr>
        <w:t>” means a Global Note substantially in the form of Exhibit A hereto bearing the Global Note Legend, Private Placement Legend and Regulation S Legend and deposited with or on behalf of and registered in the name of the Depositary or its nominee, issued in a denomination equal to the outstanding principal amount of the Notes sold in reliance on Rule 903 of Regulation S.</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S Legend</w:t>
      </w:r>
      <w:r>
        <w:rPr>
          <w:rFonts w:ascii="Arial" w:cs="Arial" w:eastAsia="Arial" w:hAnsi="Arial"/>
          <w:sz w:val="18"/>
          <w:szCs w:val="18"/>
          <w:color w:val="auto"/>
        </w:rPr>
        <w:t>” means the legend set forth in Section 2.06(f)(3), which is required to be placed on all Regulation S Global Notes issued under this Indenture.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Replacement Assets</w:t>
      </w:r>
      <w:r>
        <w:rPr>
          <w:rFonts w:ascii="Arial" w:cs="Arial" w:eastAsia="Arial" w:hAnsi="Arial"/>
          <w:sz w:val="18"/>
          <w:szCs w:val="18"/>
          <w:color w:val="auto"/>
        </w:rPr>
        <w:t>” means, on any date, property or assets (other than current assets that are not purchased accounts receivable) of a nature or type or that are used in a Permitted Business (or an Investment in a Permitted Business), which shall include the controlling or majority equity interest in any Person engaged in a Permitted Business.</w:t>
      </w:r>
    </w:p>
    <w:p>
      <w:pPr>
        <w:spacing w:after="0" w:line="18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Responsible Officer</w:t>
      </w:r>
      <w:r>
        <w:rPr>
          <w:rFonts w:ascii="Arial" w:cs="Arial" w:eastAsia="Arial" w:hAnsi="Arial"/>
          <w:sz w:val="18"/>
          <w:szCs w:val="18"/>
          <w:color w:val="auto"/>
        </w:rPr>
        <w:t>” means, when used with respect to the Trustee, any officer within the corporate trust office of the Trustee designated in Section 12.01 of this Indenture having direct responsibility for the administration of this Indenture, or to whom any corporate trust matter is referred because of such person’s knowledge of and familiarity with the particular subject.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Subsidiary</w:t>
      </w:r>
      <w:r>
        <w:rPr>
          <w:rFonts w:ascii="Arial" w:cs="Arial" w:eastAsia="Arial" w:hAnsi="Arial"/>
          <w:sz w:val="17"/>
          <w:szCs w:val="17"/>
          <w:color w:val="auto"/>
        </w:rPr>
        <w:t>” of a Person means any direct or indirect Subsidiary of the referent Person that is not an Unrestricted Subsidiary.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means S&amp;P Global Ratings, a division of S&amp;P Global, Inc.</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Screened Affiliate</w:t>
      </w:r>
      <w:r>
        <w:rPr>
          <w:rFonts w:ascii="Arial" w:cs="Arial" w:eastAsia="Arial" w:hAnsi="Arial"/>
          <w:sz w:val="17"/>
          <w:szCs w:val="17"/>
          <w:color w:val="auto"/>
        </w:rPr>
        <w:t>” means any Affiliate of a Holder of the Notes (i) that makes investment decisions independently from such Holder of the Notes and any other Affiliate of such Holder of the Notes that is not a Screened Affiliate, (ii) that has in place customary information screens between it and such Holder of the Notes and any other Affiliate of such Holder of the Notes that is not a Screened Affiliate and such screens prohibit the sharing of information with respect to the Company or its Subsidiaries, (iii) whose investment policies are not directed by such Holder of the Notes or any other Affiliate of such Holder of the Notes that is acting in concert with such Holder of the Notes in connection with its investment in the Notes, and (iv) whose investment decisions are not influenced by the investment decisions of such Holder of the Notes or any other Affiliate of such Holder of the Notes that is acting in concert with such Holders of the Notes in connection with its investment in the Notes.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Secured Indebtedness</w:t>
      </w:r>
      <w:r>
        <w:rPr>
          <w:rFonts w:ascii="Arial" w:cs="Arial" w:eastAsia="Arial" w:hAnsi="Arial"/>
          <w:sz w:val="16"/>
          <w:szCs w:val="16"/>
          <w:color w:val="auto"/>
        </w:rPr>
        <w:t>” means as of any date of determination, for the Company and its Restricted Subsidiaries on a consolidated basis, all Consolidated Funded Indebtedness as of such date that is secured by a Lien on any assets of the Company or any of its Restricted Subsidiaries.</w:t>
      </w:r>
    </w:p>
    <w:p>
      <w:pPr>
        <w:spacing w:after="0" w:line="124"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Secured Leverage Ratio</w:t>
      </w:r>
      <w:r>
        <w:rPr>
          <w:rFonts w:ascii="Arial" w:cs="Arial" w:eastAsia="Arial" w:hAnsi="Arial"/>
          <w:sz w:val="16"/>
          <w:szCs w:val="16"/>
          <w:color w:val="auto"/>
        </w:rPr>
        <w:t>” means, as of any date of determination, the ratio of (a) (i) Secured Indebtedness as of such date minus (ii) all Unrestricted Cash and Cash Equivalents as of such date, to (b) Consolidated EBITDA for the most recently completed Measurement Period.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Short Derivative Instrument</w:t>
      </w:r>
      <w:r>
        <w:rPr>
          <w:rFonts w:ascii="Arial" w:cs="Arial" w:eastAsia="Arial" w:hAnsi="Arial"/>
          <w:sz w:val="17"/>
          <w:szCs w:val="17"/>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35" w:name="page36"/>
    <w:bookmarkEnd w:id="35"/>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Disposition</w:t>
      </w:r>
      <w:r>
        <w:rPr>
          <w:rFonts w:ascii="Arial" w:cs="Arial" w:eastAsia="Arial" w:hAnsi="Arial"/>
          <w:sz w:val="18"/>
          <w:szCs w:val="18"/>
          <w:color w:val="auto"/>
        </w:rPr>
        <w:t>” means any Asset Sale having gross sales proceeds in excess of $35.0 million.</w:t>
      </w:r>
    </w:p>
    <w:p>
      <w:pPr>
        <w:spacing w:after="0" w:line="225"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Specified Transaction</w:t>
      </w:r>
      <w:r>
        <w:rPr>
          <w:rFonts w:ascii="Arial" w:cs="Arial" w:eastAsia="Arial" w:hAnsi="Arial"/>
          <w:sz w:val="16"/>
          <w:szCs w:val="16"/>
          <w:color w:val="auto"/>
        </w:rPr>
        <w:t>” means any Investment, disposition, incurrence or repayment of Indebtedness, Restricted Payment or Subsidiary designation that by the terms of this Indenture requires a test to be calculated on a “pro forma basis” or after giving “pro forma effect.”</w:t>
      </w:r>
    </w:p>
    <w:p>
      <w:pPr>
        <w:spacing w:after="0" w:line="124"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the payment of interest or principal was scheduled to be paid in the documentation governing such Indebtedness, and shall not include any contingent obligations to repay, redeem or repurchase any such interest or principal prior to the date originally scheduled for the payment thereof.</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left="660" w:right="200" w:firstLine="644"/>
        <w:spacing w:after="0" w:line="257" w:lineRule="auto"/>
        <w:tabs>
          <w:tab w:leader="none" w:pos="20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7" w:lineRule="exact"/>
        <w:rPr>
          <w:rFonts w:ascii="Arial" w:cs="Arial" w:eastAsia="Arial" w:hAnsi="Arial"/>
          <w:sz w:val="18"/>
          <w:szCs w:val="18"/>
          <w:color w:val="auto"/>
        </w:rPr>
      </w:pPr>
    </w:p>
    <w:p>
      <w:pPr>
        <w:ind w:left="660" w:right="260" w:firstLine="644"/>
        <w:spacing w:after="0" w:line="342" w:lineRule="auto"/>
        <w:tabs>
          <w:tab w:leader="none" w:pos="20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Swap Termination Value</w:t>
      </w:r>
      <w:r>
        <w:rPr>
          <w:rFonts w:ascii="Arial" w:cs="Arial" w:eastAsia="Arial" w:hAnsi="Arial"/>
          <w:sz w:val="16"/>
          <w:szCs w:val="16"/>
          <w:color w:val="auto"/>
        </w:rPr>
        <w:t>” means, in respect of any one or more Hedge Agreement,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amount(s) determined as the mark-to-market value(s) for such Hedge Agreements, as determined based upon one or more mid-market or other readily available quotations provided by any recognized dealer in such Hedge Agreements.</w:t>
      </w:r>
    </w:p>
    <w:p>
      <w:pPr>
        <w:spacing w:after="0" w:line="18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Restricted Subsidiaries in accordance with GAAP.</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Synthetic Lease Obligation</w:t>
      </w:r>
      <w:r>
        <w:rPr>
          <w:rFonts w:ascii="Arial" w:cs="Arial" w:eastAsia="Arial" w:hAnsi="Arial"/>
          <w:sz w:val="18"/>
          <w:szCs w:val="18"/>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insolvency or bankruptcy of such Person, would be characterized as the indebtedness of such Person (without regard to accounting treatment).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TIA</w:t>
      </w:r>
      <w:r>
        <w:rPr>
          <w:rFonts w:ascii="Arial" w:cs="Arial" w:eastAsia="Arial" w:hAnsi="Arial"/>
          <w:sz w:val="18"/>
          <w:szCs w:val="18"/>
          <w:color w:val="auto"/>
        </w:rPr>
        <w:t>” means the Trust Indenture Act of 1939, as amended (15 U.S.C. § § 77aaa 77bbbb).</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Assets</w:t>
      </w:r>
      <w:r>
        <w:rPr>
          <w:rFonts w:ascii="Arial" w:cs="Arial" w:eastAsia="Arial" w:hAnsi="Arial"/>
          <w:sz w:val="16"/>
          <w:szCs w:val="16"/>
          <w:color w:val="auto"/>
        </w:rPr>
        <w:t>” means, as of any date of determination, the total assets of the Company and its Restricted Subsidiaries on a consolidated basis, as shown on the most recent balance sheet of the Company and its Restricted Subsidiaries prepared in accordance with GAAP, after giving pro forma effect to any transaction giving rise to the need to make such calculation (including a pro forma application of the use of proceeds therefrom) on such date.</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6" w:name="page37"/>
    <w:bookmarkEnd w:id="36"/>
    <w:p>
      <w:pPr>
        <w:ind w:right="6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Leverage Ratio</w:t>
      </w:r>
      <w:r>
        <w:rPr>
          <w:rFonts w:ascii="Arial" w:cs="Arial" w:eastAsia="Arial" w:hAnsi="Arial"/>
          <w:sz w:val="16"/>
          <w:szCs w:val="16"/>
          <w:color w:val="auto"/>
        </w:rPr>
        <w:t xml:space="preserve">” as of any date of determination, the ratio of (a) (i) Consolidated Funded Indebtedness as of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all Unrestricted Cash and Cash Equivalents as of such date, to (b) Consolidated EBITDA for the most recently completed Measurement Period.</w:t>
      </w:r>
    </w:p>
    <w:p>
      <w:pPr>
        <w:spacing w:after="0" w:line="124"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means, collectively, the execution and delivery of this Indenture and related documentation, the issuance of the Notes offered hereby, the use of the proceeds thereof and the payment of fees, commissions and expenses in connection with the foregoing.</w:t>
      </w:r>
    </w:p>
    <w:p>
      <w:pPr>
        <w:spacing w:after="0" w:line="1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xml:space="preserve">” means, as of any date of determination, the weekly average rounded to the nearest 1/100th of a percentage point (for the most recently completed week for which such information is available as of the date that is two Business Days prior to the redemption date) of the yield to maturity at the time of computation of United States Treasury securities with a constant maturity (as compiled and published in the most recent Federal Reserve Statistical Release H.15 as of the applicable day during such week (or, if such Statistical Release is no longer published, any publicly available source for similar market data)) most nearly equal to the period from the redemption date to August 15, 2023;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the redemption date to August 15, 2023, is not equal to the constant maturity of a United States Treasury security for which such yield is given, the Treasury Rate will be obtained by linear interpolation (calculated to the nearest one-twelfth of a year) from the weekly average yields of United States Treasury securities for which such yields are given, except that if the period from the redemption date to August 15, 2023, is less than one year, the weekly average yield on actively traded United States Treasury securities adjusted to a constant maturity of one year will be used. In each case, the Company or its agent shall obtain the Treasury Rate.</w:t>
      </w:r>
    </w:p>
    <w:p>
      <w:pPr>
        <w:spacing w:after="0" w:line="18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party named as such in the preamble to this Indenture until a successor replaces it in accordance with the applicable provisions of this Indenture and thereafter means the successor serving hereunder.</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Unrestricted Cash and Cash Equivalents</w:t>
      </w:r>
      <w:r>
        <w:rPr>
          <w:rFonts w:ascii="Arial" w:cs="Arial" w:eastAsia="Arial" w:hAnsi="Arial"/>
          <w:sz w:val="17"/>
          <w:szCs w:val="17"/>
          <w:color w:val="auto"/>
        </w:rPr>
        <w:t>” means, as of any date of determination, 100% of all cash and Cash Equivalents held by the Company and its Restricted Subsidiaries in deposit accounts or securities accounts that are unrestricted and not subject to any Lien (other than a Lien securing the Obligations under the Credit Agreement or a Lien pursuant to clause (4) of the definition of “Permitted Liens”).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Unrestricted Definitive Note</w:t>
      </w:r>
      <w:r>
        <w:rPr>
          <w:rFonts w:ascii="Arial" w:cs="Arial" w:eastAsia="Arial" w:hAnsi="Arial"/>
          <w:sz w:val="17"/>
          <w:szCs w:val="17"/>
          <w:color w:val="auto"/>
        </w:rPr>
        <w:t>” means a Definitive Note that does not bear and is not required to bear the Private Placement Legend.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Unrestricted Subsidiary</w:t>
      </w:r>
      <w:r>
        <w:rPr>
          <w:rFonts w:ascii="Arial" w:cs="Arial" w:eastAsia="Arial" w:hAnsi="Arial"/>
          <w:sz w:val="16"/>
          <w:szCs w:val="16"/>
          <w:color w:val="auto"/>
        </w:rPr>
        <w:t>” means any Subsidiary of the Company (and any Subsidiary of such Subsidiary) that is designated by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Directors of the Company as an Unrestricted Subsidiary pursuant to a resolution of the Board of Directors, but only to the extent that such Subsidiary:</w:t>
      </w:r>
    </w:p>
    <w:p>
      <w:pPr>
        <w:spacing w:after="0" w:line="222" w:lineRule="exact"/>
        <w:rPr>
          <w:sz w:val="20"/>
          <w:szCs w:val="20"/>
          <w:color w:val="auto"/>
        </w:rPr>
      </w:pPr>
    </w:p>
    <w:p>
      <w:pPr>
        <w:ind w:left="2060" w:hanging="756"/>
        <w:spacing w:after="0"/>
        <w:tabs>
          <w:tab w:leader="none" w:pos="2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25" w:lineRule="exact"/>
        <w:rPr>
          <w:rFonts w:ascii="Arial" w:cs="Arial" w:eastAsia="Arial" w:hAnsi="Arial"/>
          <w:sz w:val="18"/>
          <w:szCs w:val="18"/>
          <w:color w:val="auto"/>
        </w:rPr>
      </w:pPr>
    </w:p>
    <w:p>
      <w:pPr>
        <w:ind w:left="660" w:right="160" w:firstLine="644"/>
        <w:spacing w:after="0" w:line="259" w:lineRule="auto"/>
        <w:tabs>
          <w:tab w:leader="none" w:pos="20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permitted by Section 4.11 hereof, 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186" w:lineRule="exact"/>
        <w:rPr>
          <w:rFonts w:ascii="Arial" w:cs="Arial" w:eastAsia="Arial" w:hAnsi="Arial"/>
          <w:sz w:val="18"/>
          <w:szCs w:val="18"/>
          <w:color w:val="auto"/>
        </w:rPr>
      </w:pPr>
    </w:p>
    <w:p>
      <w:pPr>
        <w:ind w:left="660" w:right="160" w:firstLine="644"/>
        <w:spacing w:after="0" w:line="263" w:lineRule="auto"/>
        <w:tabs>
          <w:tab w:leader="none" w:pos="20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ind w:left="660" w:right="200" w:firstLine="644"/>
        <w:spacing w:after="0" w:line="277" w:lineRule="auto"/>
        <w:tabs>
          <w:tab w:leader="none" w:pos="20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 (other than through the pledge of Equity Interests in such Unrestricted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237" w:lineRule="exact"/>
        <w:rPr>
          <w:sz w:val="20"/>
          <w:szCs w:val="20"/>
          <w:color w:val="auto"/>
        </w:rPr>
      </w:pPr>
    </w:p>
    <w:p>
      <w:pPr>
        <w:ind w:left="660" w:right="240" w:firstLine="644"/>
        <w:spacing w:after="0" w:line="286" w:lineRule="auto"/>
        <w:tabs>
          <w:tab w:leader="none" w:pos="205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shall elapse between such date and the making of such payment; by</w:t>
      </w:r>
    </w:p>
    <w:p>
      <w:pPr>
        <w:spacing w:after="0" w:line="165" w:lineRule="exact"/>
        <w:rPr>
          <w:rFonts w:ascii="Arial" w:cs="Arial" w:eastAsia="Arial" w:hAnsi="Arial"/>
          <w:sz w:val="17"/>
          <w:szCs w:val="17"/>
          <w:color w:val="auto"/>
        </w:rPr>
      </w:pPr>
    </w:p>
    <w:p>
      <w:pPr>
        <w:ind w:left="2060" w:hanging="756"/>
        <w:spacing w:after="0"/>
        <w:tabs>
          <w:tab w:leader="none" w:pos="2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1.02</w:t>
            </w:r>
          </w:p>
        </w:tc>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Other Definitions.</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Defined in</w:t>
            </w:r>
          </w:p>
        </w:tc>
        <w:tc>
          <w:tcPr>
            <w:tcW w:w="104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24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Section</w:t>
            </w:r>
          </w:p>
        </w:tc>
        <w:tc>
          <w:tcPr>
            <w:tcW w:w="104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78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Acceptable Commitment</w:t>
            </w:r>
            <w:r>
              <w:rPr>
                <w:rFonts w:ascii="Arial" w:cs="Arial" w:eastAsia="Arial" w:hAnsi="Arial"/>
                <w:sz w:val="18"/>
                <w:szCs w:val="18"/>
                <w:color w:val="auto"/>
              </w:rPr>
              <w:t>”</w:t>
            </w:r>
          </w:p>
        </w:tc>
        <w:tc>
          <w:tcPr>
            <w:tcW w:w="3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4.10</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 Transaction</w:t>
            </w:r>
            <w:r>
              <w:rPr>
                <w:rFonts w:ascii="Arial" w:cs="Arial" w:eastAsia="Arial" w:hAnsi="Arial"/>
                <w:sz w:val="18"/>
                <w:szCs w:val="18"/>
                <w:color w:val="auto"/>
              </w:rPr>
              <w:t>”</w:t>
            </w:r>
          </w:p>
        </w:tc>
        <w:tc>
          <w:tcPr>
            <w:tcW w:w="5660" w:type="dxa"/>
            <w:vAlign w:val="bottom"/>
            <w:gridSpan w:val="3"/>
          </w:tcPr>
          <w:p>
            <w:pPr>
              <w:jc w:val="center"/>
              <w:ind w:left="3670"/>
              <w:spacing w:after="0"/>
              <w:rPr>
                <w:sz w:val="20"/>
                <w:szCs w:val="20"/>
                <w:color w:val="auto"/>
              </w:rPr>
            </w:pPr>
            <w:r>
              <w:rPr>
                <w:rFonts w:ascii="Arial" w:cs="Arial" w:eastAsia="Arial" w:hAnsi="Arial"/>
                <w:sz w:val="18"/>
                <w:szCs w:val="18"/>
                <w:color w:val="auto"/>
                <w:w w:val="85"/>
              </w:rPr>
              <w:t>4.11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88"/>
              </w:rPr>
              <w:t>12.17</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Sale Offer</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3.09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Authentication Order</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2.02</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Offer</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4.15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Payment</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4.15</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Payment Date</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4.15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Covenant Defeasance</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8.03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Covenant Suspension Event</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Cumulative Credit</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4.07</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Directing Holder</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2.03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Excess Proceeds</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4.10</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Amounts</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4.13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Disposition</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4.10</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incur</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Incurrence Based Amounts</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4.13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Defeasance</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8.02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Noteholder Direction</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i w:val="1"/>
                <w:iCs w:val="1"/>
                <w:color w:val="auto"/>
                <w:w w:val="98"/>
              </w:rPr>
              <w:t>Offer Amount</w:t>
            </w:r>
            <w:r>
              <w:rPr>
                <w:rFonts w:ascii="Arial" w:cs="Arial" w:eastAsia="Arial" w:hAnsi="Arial"/>
                <w:sz w:val="18"/>
                <w:szCs w:val="18"/>
                <w:color w:val="auto"/>
                <w:w w:val="98"/>
              </w:rPr>
              <w:t>”</w:t>
            </w:r>
          </w:p>
        </w:tc>
        <w:tc>
          <w:tcPr>
            <w:tcW w:w="2400" w:type="dxa"/>
            <w:vAlign w:val="bottom"/>
          </w:tcPr>
          <w:p>
            <w:pPr>
              <w:spacing w:after="0"/>
              <w:rPr>
                <w:sz w:val="18"/>
                <w:szCs w:val="18"/>
                <w:color w:val="auto"/>
              </w:rPr>
            </w:pP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3.09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 Period</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3.09</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i w:val="1"/>
                <w:iCs w:val="1"/>
                <w:color w:val="auto"/>
                <w:w w:val="99"/>
              </w:rPr>
              <w:t>Paying Agent</w:t>
            </w:r>
            <w:r>
              <w:rPr>
                <w:rFonts w:ascii="Arial" w:cs="Arial" w:eastAsia="Arial" w:hAnsi="Arial"/>
                <w:sz w:val="18"/>
                <w:szCs w:val="18"/>
                <w:color w:val="auto"/>
                <w:w w:val="99"/>
              </w:rPr>
              <w:t>”</w:t>
            </w:r>
          </w:p>
        </w:tc>
        <w:tc>
          <w:tcPr>
            <w:tcW w:w="2400" w:type="dxa"/>
            <w:vAlign w:val="bottom"/>
          </w:tcPr>
          <w:p>
            <w:pPr>
              <w:spacing w:after="0"/>
              <w:rPr>
                <w:sz w:val="18"/>
                <w:szCs w:val="18"/>
                <w:color w:val="auto"/>
              </w:rPr>
            </w:pP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Default</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i w:val="1"/>
                <w:iCs w:val="1"/>
                <w:color w:val="auto"/>
                <w:w w:val="89"/>
              </w:rPr>
              <w:t>Permitted Debt</w:t>
            </w:r>
            <w:r>
              <w:rPr>
                <w:rFonts w:ascii="Arial" w:cs="Arial" w:eastAsia="Arial" w:hAnsi="Arial"/>
                <w:sz w:val="18"/>
                <w:szCs w:val="18"/>
                <w:color w:val="auto"/>
                <w:w w:val="89"/>
              </w:rPr>
              <w:t>”</w:t>
            </w:r>
          </w:p>
        </w:tc>
        <w:tc>
          <w:tcPr>
            <w:tcW w:w="2400" w:type="dxa"/>
            <w:vAlign w:val="bottom"/>
          </w:tcPr>
          <w:p>
            <w:pPr>
              <w:spacing w:after="0"/>
              <w:rPr>
                <w:sz w:val="18"/>
                <w:szCs w:val="18"/>
                <w:color w:val="auto"/>
              </w:rPr>
            </w:pP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Position Representation</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Purchase Date</w:t>
            </w:r>
            <w:r>
              <w:rPr>
                <w:rFonts w:ascii="Arial" w:cs="Arial" w:eastAsia="Arial" w:hAnsi="Arial"/>
                <w:sz w:val="18"/>
                <w:szCs w:val="18"/>
                <w:color w:val="auto"/>
                <w:w w:val="91"/>
              </w:rPr>
              <w:t>”</w:t>
            </w:r>
          </w:p>
        </w:tc>
        <w:tc>
          <w:tcPr>
            <w:tcW w:w="2400" w:type="dxa"/>
            <w:vAlign w:val="bottom"/>
          </w:tcPr>
          <w:p>
            <w:pPr>
              <w:spacing w:after="0"/>
              <w:rPr>
                <w:sz w:val="18"/>
                <w:szCs w:val="18"/>
                <w:color w:val="auto"/>
              </w:rPr>
            </w:pP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3.08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Registrar</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3.09</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i w:val="1"/>
                <w:iCs w:val="1"/>
                <w:color w:val="auto"/>
                <w:w w:val="88"/>
              </w:rPr>
              <w:t>Reversion Date</w:t>
            </w:r>
            <w:r>
              <w:rPr>
                <w:rFonts w:ascii="Arial" w:cs="Arial" w:eastAsia="Arial" w:hAnsi="Arial"/>
                <w:sz w:val="18"/>
                <w:szCs w:val="18"/>
                <w:color w:val="auto"/>
                <w:w w:val="88"/>
              </w:rPr>
              <w:t>”</w:t>
            </w:r>
          </w:p>
        </w:tc>
        <w:tc>
          <w:tcPr>
            <w:tcW w:w="240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4.07</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Entity</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Suspended Covenants</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5.01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Period</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Verification Covenant</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tabs>
          <w:tab w:leader="none" w:pos="20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Rules of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rFonts w:ascii="Arial" w:cs="Arial" w:eastAsia="Arial" w:hAnsi="Arial"/>
          <w:sz w:val="18"/>
          <w:szCs w:val="18"/>
          <w:color w:val="auto"/>
        </w:rPr>
      </w:pPr>
    </w:p>
    <w:p>
      <w:pPr>
        <w:ind w:right="360" w:firstLine="656"/>
        <w:spacing w:after="0" w:line="277" w:lineRule="auto"/>
        <w:tabs>
          <w:tab w:leader="none" w:pos="1398"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or the Exchange Act will be deemed to include substitute, replacement of successor sections or rules adopted by the SEC from time to time;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“herein,” “hereof” and other words of similar import refer to this Indenture as a whole and not to any particular Section, Article or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subdivision;</w:t>
      </w:r>
    </w:p>
    <w:p>
      <w:pPr>
        <w:spacing w:after="0" w:line="210" w:lineRule="exact"/>
        <w:rPr>
          <w:rFonts w:ascii="Arial" w:cs="Arial" w:eastAsia="Arial" w:hAnsi="Arial"/>
          <w:sz w:val="16"/>
          <w:szCs w:val="16"/>
          <w:color w:val="auto"/>
        </w:rPr>
      </w:pPr>
    </w:p>
    <w:p>
      <w:pPr>
        <w:ind w:right="660" w:firstLine="656"/>
        <w:spacing w:after="0" w:line="277" w:lineRule="auto"/>
        <w:tabs>
          <w:tab w:leader="none" w:pos="13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unsecured Indebtedness will not be deemed to be subordinate or junior to secured Indebtedness merely by virtue of its nature as unsecured Indebtedness; and</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references to Sections or Articles or Exhibits refer to Sections or Articles or Exhibits of or to this Indenture unless otherwise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indicated.</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Certain Calculations under this Indenture.</w:t>
      </w:r>
    </w:p>
    <w:p>
      <w:pPr>
        <w:spacing w:after="0" w:line="225" w:lineRule="exact"/>
        <w:rPr>
          <w:sz w:val="20"/>
          <w:szCs w:val="20"/>
          <w:color w:val="auto"/>
        </w:rPr>
      </w:pPr>
    </w:p>
    <w:p>
      <w:pPr>
        <w:ind w:right="60" w:firstLine="656"/>
        <w:spacing w:after="0" w:line="291" w:lineRule="auto"/>
        <w:tabs>
          <w:tab w:leader="none" w:pos="1387"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Indenture, unless the context otherwise requires, for purposes of determining compliance with any test contained in this Indenture with respect to any period during which any Specified Transactions occur or, subsequent to such period and prior to or simultaneously with the event for which the calculation is made, the Total Leverage Ratio, the Secured Leverage Ratio and Consolidated EBITDA and any other financial calculation shall be calculated with respect to such period and such Specified Transactions on a “pro forma basis” and shall be calculated for the applicable period of measurement based on the most recently completed period of four consecutive fiscal quarters for which internal financial statements are available immediately preceding the date of such event; provided, that for the avoidance of doubt, the amount of Consolidated Net Income available for Restricted Payments under Section 4.07, Consolidated Net Income shall not be calculated on a “pro forma basis”.</w:t>
      </w:r>
    </w:p>
    <w:p>
      <w:pPr>
        <w:spacing w:after="0" w:line="166" w:lineRule="exact"/>
        <w:rPr>
          <w:rFonts w:ascii="Arial" w:cs="Arial" w:eastAsia="Arial" w:hAnsi="Arial"/>
          <w:sz w:val="16"/>
          <w:szCs w:val="16"/>
          <w:color w:val="auto"/>
        </w:rPr>
      </w:pPr>
    </w:p>
    <w:p>
      <w:pPr>
        <w:ind w:right="400" w:firstLine="656"/>
        <w:spacing w:after="0" w:line="291" w:lineRule="auto"/>
        <w:tabs>
          <w:tab w:leader="none" w:pos="1398" w:val="left"/>
        </w:tabs>
        <w:numPr>
          <w:ilvl w:val="1"/>
          <w:numId w:val="46"/>
        </w:numPr>
        <w:rPr>
          <w:rFonts w:ascii="Arial" w:cs="Arial" w:eastAsia="Arial" w:hAnsi="Arial"/>
          <w:sz w:val="16"/>
          <w:szCs w:val="16"/>
          <w:color w:val="auto"/>
        </w:rPr>
      </w:pPr>
      <w:r>
        <w:rPr>
          <w:rFonts w:ascii="Arial" w:cs="Arial" w:eastAsia="Arial" w:hAnsi="Arial"/>
          <w:sz w:val="16"/>
          <w:szCs w:val="16"/>
          <w:color w:val="auto"/>
        </w:rPr>
        <w:t>For all purposes under this Indenture, with respect to compliance with any test for an applicable period of measurement that is calculated on a “pro forma basis” or after giving “pro forma effect”, (A) to the extent applicable, the Pro Forma Adjustment shall have been made and</w:t>
      </w:r>
    </w:p>
    <w:p>
      <w:pPr>
        <w:ind w:firstLine="8"/>
        <w:spacing w:after="0" w:line="284" w:lineRule="auto"/>
        <w:tabs>
          <w:tab w:leader="none" w:pos="28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of all or substantially all Equity Interests in any Restricted Subsidiary of the Company or any asset of the Company or any of its Restricted Subsidiaries, shall be excluded, and (ii) in the case of a Permitted Acquisition or Investment described in the definition of “Specified Transaction,” shall be included, (b) any retirement of Indebtedness, and (c) any Indebtedness incurred by the Company or any of its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provided that, (1) without limiting the application of the Pro Forma Adjustment pursuant to clause (A) above, the foregoing pro forma adjustments may be applied to any such test solely to the extent that such adjustments are consistent with the definition of “Consolidated EBITDA” and give effect to events (including cost savings, synergies and operating expense reductions) that are (as determined by the Company in good faith) (i) (x) directly attributable to such transaction, (y) expected to have a continuing impact on the Company and its Restricted Subsidiaries and (z) factually supportable or (ii) otherwise consistent with the definition of “Pro Forma Adjustment” and (2) in connection with any Specified Transaction that is the incurrence of Indebtedness in respect of which compliance with any specified leverage ratio test is by the terms of this Indenture required to be calculated on a pro forma basis, the proceeds of such Indebtedness shall not be netted from Indebtedness in the calculation of the applicable leverage ratio test.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9" w:name="page40"/>
    <w:bookmarkEnd w:id="39"/>
    <w:p>
      <w:pPr>
        <w:ind w:left="1400" w:hanging="744"/>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w:t>
      </w:r>
    </w:p>
    <w:p>
      <w:pPr>
        <w:spacing w:after="0" w:line="225" w:lineRule="exact"/>
        <w:rPr>
          <w:sz w:val="20"/>
          <w:szCs w:val="20"/>
          <w:color w:val="auto"/>
        </w:rPr>
      </w:pPr>
    </w:p>
    <w:p>
      <w:pPr>
        <w:ind w:left="340" w:firstLine="316"/>
        <w:spacing w:after="0" w:line="254" w:lineRule="auto"/>
        <w:tabs>
          <w:tab w:leader="none" w:pos="11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any amounts incurred or transactions entered into (or consummated) in reliance on a provision of the same section of this Indenture that does not require compliance with a financial ratio or test (including, without limitation, any Total Leverage Ratio test or any Secured Leverage Ratio test) (any such amounts, the “</w:t>
      </w:r>
      <w:r>
        <w:rPr>
          <w:rFonts w:ascii="Arial" w:cs="Arial" w:eastAsia="Arial" w:hAnsi="Arial"/>
          <w:sz w:val="18"/>
          <w:szCs w:val="18"/>
          <w:b w:val="1"/>
          <w:bCs w:val="1"/>
          <w:i w:val="1"/>
          <w:iCs w:val="1"/>
          <w:color w:val="auto"/>
        </w:rPr>
        <w:t>Fixed Amounts</w:t>
      </w:r>
      <w:r>
        <w:rPr>
          <w:rFonts w:ascii="Arial" w:cs="Arial" w:eastAsia="Arial" w:hAnsi="Arial"/>
          <w:sz w:val="18"/>
          <w:szCs w:val="18"/>
          <w:color w:val="auto"/>
        </w:rPr>
        <w:t>”) substantially concurrently with any amounts incurred or transactions entered into (or consummated) in reliance on a provision of the same section of this Indenture that requires compliance with any such financial ratio or test (any such amounts, the “</w:t>
      </w:r>
      <w:r>
        <w:rPr>
          <w:rFonts w:ascii="Arial" w:cs="Arial" w:eastAsia="Arial" w:hAnsi="Arial"/>
          <w:sz w:val="18"/>
          <w:szCs w:val="18"/>
          <w:b w:val="1"/>
          <w:bCs w:val="1"/>
          <w:i w:val="1"/>
          <w:iCs w:val="1"/>
          <w:color w:val="auto"/>
        </w:rPr>
        <w:t>Incurrence Based Amounts</w:t>
      </w:r>
      <w:r>
        <w:rPr>
          <w:rFonts w:ascii="Arial" w:cs="Arial" w:eastAsia="Arial" w:hAnsi="Arial"/>
          <w:sz w:val="18"/>
          <w:szCs w:val="18"/>
          <w:color w:val="auto"/>
        </w:rPr>
        <w:t>”), it is understood and agreed that, for purposes of this Indenture, the Fixed Amounts under such section and any substantially concurrent borrowings under the revolving credit facility under the Credit Agreement (and any cash proceeds thereof) shall be disregarded in the calculation of the financial ratio or test applicable to the Incurrence Based Amounts in connection with such substantially concurrent incurrence; and</w:t>
      </w:r>
    </w:p>
    <w:p>
      <w:pPr>
        <w:spacing w:after="0" w:line="191" w:lineRule="exact"/>
        <w:rPr>
          <w:rFonts w:ascii="Arial" w:cs="Arial" w:eastAsia="Arial" w:hAnsi="Arial"/>
          <w:sz w:val="18"/>
          <w:szCs w:val="18"/>
          <w:color w:val="auto"/>
        </w:rPr>
      </w:pPr>
    </w:p>
    <w:p>
      <w:pPr>
        <w:ind w:left="340" w:right="200" w:firstLine="316"/>
        <w:spacing w:after="0" w:line="286" w:lineRule="auto"/>
        <w:tabs>
          <w:tab w:leader="none" w:pos="11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the purposes of calculating any leverage ratio in this Indenture, any amount in a currency other than U.S. dollars will be converted to U.S. dollars based on the average exchange rate for such currency for the most recent twelve month period immediately prior to the date of determination determined in a manner consistent with that used in calculating Consolidated EBITDA for the applicable period.</w:t>
      </w:r>
    </w:p>
    <w:p>
      <w:pPr>
        <w:spacing w:after="0" w:line="165" w:lineRule="exact"/>
        <w:rPr>
          <w:sz w:val="20"/>
          <w:szCs w:val="20"/>
          <w:color w:val="auto"/>
        </w:rPr>
      </w:pPr>
    </w:p>
    <w:p>
      <w:pPr>
        <w:ind w:left="1400" w:hanging="744"/>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have no responsibility whatsoever for any calculations under this Indenture.</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w:t>
      </w:r>
    </w:p>
    <w:p>
      <w:pPr>
        <w:spacing w:after="0" w:line="225" w:lineRule="exact"/>
        <w:rPr>
          <w:sz w:val="20"/>
          <w:szCs w:val="20"/>
          <w:color w:val="auto"/>
        </w:rPr>
      </w:pPr>
    </w:p>
    <w:p>
      <w:pPr>
        <w:ind w:right="140" w:firstLine="656"/>
        <w:spacing w:after="0" w:line="263" w:lineRule="auto"/>
        <w:tabs>
          <w:tab w:leader="none" w:pos="1387"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notations, legends or endorsements required by law, stock exchange rule or usage. Each Note will be dated the date of its authentication. The Notes will be issued in minimum denominations of $2,000 and integral multiples of $1,000 in excess thereof.</w:t>
      </w:r>
    </w:p>
    <w:p>
      <w:pPr>
        <w:spacing w:after="0" w:line="1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0" w:name="page41"/>
    <w:bookmarkEnd w:id="40"/>
    <w:p>
      <w:pPr>
        <w:ind w:right="60" w:firstLine="656"/>
        <w:spacing w:after="0" w:line="290" w:lineRule="auto"/>
        <w:tabs>
          <w:tab w:leader="none" w:pos="1397"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Notes issued in global form will be substantially in the form of Exhibit A hereto (including the Global Note Legend</w:t>
      </w:r>
      <w:r>
        <w:rPr>
          <w:rFonts w:ascii="Arial" w:cs="Arial" w:eastAsia="Arial" w:hAnsi="Arial"/>
          <w:sz w:val="16"/>
          <w:szCs w:val="16"/>
          <w:i w:val="1"/>
          <w:iCs w:val="1"/>
          <w:color w:val="auto"/>
        </w:rPr>
        <w:t xml:space="preserve"> </w:t>
      </w:r>
      <w:r>
        <w:rPr>
          <w:rFonts w:ascii="Arial" w:cs="Arial" w:eastAsia="Arial" w:hAnsi="Arial"/>
          <w:sz w:val="16"/>
          <w:szCs w:val="16"/>
          <w:color w:val="auto"/>
        </w:rPr>
        <w:t>thereon and 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w:t>
      </w:r>
    </w:p>
    <w:p>
      <w:pPr>
        <w:spacing w:after="0" w:line="165" w:lineRule="exact"/>
        <w:rPr>
          <w:rFonts w:ascii="Arial" w:cs="Arial" w:eastAsia="Arial" w:hAnsi="Arial"/>
          <w:sz w:val="16"/>
          <w:szCs w:val="16"/>
          <w:color w:val="auto"/>
        </w:rPr>
      </w:pPr>
    </w:p>
    <w:p>
      <w:pPr>
        <w:jc w:val="both"/>
        <w:ind w:right="80" w:firstLine="656"/>
        <w:spacing w:after="0" w:line="311" w:lineRule="auto"/>
        <w:tabs>
          <w:tab w:leader="none" w:pos="1387"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4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 valid.</w:t>
      </w:r>
    </w:p>
    <w:p>
      <w:pPr>
        <w:spacing w:after="0" w:line="2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 Note will not be valid until authenticated by the manual signature of the Trustee. The signature will be conclusive evidence that the Note has been authenticated under this Indenture.</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aggregate principal amount of Notes which may be authenticated under this Indenture is unlimited. The Company may, subject to Article IV of this Indenture and applicable law, issue Additional Notes under this Indenture. The Notes issued on the Issue Date and any Additional Notes subsequently issued will be treated as a single class for all purposes under this Indenture. Furthermore, in the case of Additional Notes having the same “CUSIP” number as the Notes issued on the date hereof, such Additional Notes will be fungible with all other Notes for U.S. federal income tax purposes. At any time and from time to time after the execution of this Indenture, the Trustee will, upon receipt of a written order of the Company signed by at least one Officer of the Company (an “</w:t>
      </w:r>
      <w:r>
        <w:rPr>
          <w:rFonts w:ascii="Arial" w:cs="Arial" w:eastAsia="Arial" w:hAnsi="Arial"/>
          <w:sz w:val="17"/>
          <w:szCs w:val="17"/>
          <w:b w:val="1"/>
          <w:bCs w:val="1"/>
          <w:i w:val="1"/>
          <w:iCs w:val="1"/>
          <w:color w:val="auto"/>
        </w:rPr>
        <w:t>Authentication Order</w:t>
      </w:r>
      <w:r>
        <w:rPr>
          <w:rFonts w:ascii="Arial" w:cs="Arial" w:eastAsia="Arial" w:hAnsi="Arial"/>
          <w:sz w:val="17"/>
          <w:szCs w:val="17"/>
          <w:color w:val="auto"/>
        </w:rPr>
        <w:t>”) and an Opinion of Counsel, authenticate Notes for (a) original issue in an aggregate principal amount specified in such Authentication Order and (b) Additional Notes in such amounts as may be specified from time to time without limit, so long as such issuance is permitted under Article IV of this Indenture and applicable law. The Authentication Order will specify the amount of Notes to be authenticated and the date on which the Notes are to be authenticated.</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Trustee may appoint an authenticating agent reasonably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the Company or an Affiliate of the Company.</w:t>
      </w:r>
    </w:p>
    <w:p>
      <w:pPr>
        <w:spacing w:after="0" w:line="16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will maintain an office or agency where Notes may be presented for registration of transfer or for exchange (“</w:t>
      </w:r>
      <w:r>
        <w:rPr>
          <w:rFonts w:ascii="Arial" w:cs="Arial" w:eastAsia="Arial" w:hAnsi="Arial"/>
          <w:sz w:val="18"/>
          <w:szCs w:val="18"/>
          <w:b w:val="1"/>
          <w:bCs w:val="1"/>
          <w:i w:val="1"/>
          <w:iCs w:val="1"/>
          <w:color w:val="auto"/>
        </w:rPr>
        <w:t>Registrar</w:t>
      </w:r>
      <w:r>
        <w:rPr>
          <w:rFonts w:ascii="Arial" w:cs="Arial" w:eastAsia="Arial" w:hAnsi="Arial"/>
          <w:sz w:val="18"/>
          <w:szCs w:val="18"/>
          <w:color w:val="auto"/>
        </w:rPr>
        <w:t>”) and an office or agency where Notes may be presented for payment (“</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The Registrar will keep a register of the Notes and of their transfer and exchange.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1" w:name="page42"/>
    <w:bookmarkEnd w:id="41"/>
    <w:p>
      <w:pPr>
        <w:ind w:firstLine="648"/>
        <w:spacing w:after="0" w:line="257" w:lineRule="auto"/>
        <w:rPr>
          <w:sz w:val="20"/>
          <w:szCs w:val="20"/>
          <w:color w:val="auto"/>
        </w:rPr>
      </w:pPr>
      <w:r>
        <w:rPr>
          <w:rFonts w:ascii="Arial" w:cs="Arial" w:eastAsia="Arial" w:hAnsi="Arial"/>
          <w:sz w:val="18"/>
          <w:szCs w:val="18"/>
          <w:color w:val="auto"/>
        </w:rPr>
        <w:t>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promptly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8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act as Depositary with respect to the Global Notes. Neither the Trustee nor any Agent shall have responsibility for any actions taken or not taken by DTC or any other Depositary.</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initially appoints the Trustee, and the Trustee hereby agrees, to act as the Registrar and Paying Agent and to act as Custodian with respect to the Global Notes. The Company has entered into a letter of representations with DTC in the form provided by DTC and the Trustee and each Agent are hereby authorized to act in accordance with such letter and Applicable Procedures.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will be responsible for making calculations called for under the Notes, including determination of redemption price, premium, if any, and any additional amounts or other amounts payable on the Notes. The Company will make the calculations in good faith and provide a schedule of its calculations to the Trustee when requested by the Trustee, and the Trustee is entitled to rely conclusively on the accuracy of the Company’s calculations without independent verification.</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will require each Paying Agent other than the Trustee to agree in writing that the Paying Agent will hold in trust for the benefit of Holders or the Trustee all money held by the Paying Agent for the payment of principal or premium, if any, or interest on the Notes, and will promptly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6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Trustee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ind w:right="80" w:firstLine="656"/>
        <w:spacing w:after="0" w:line="286" w:lineRule="auto"/>
        <w:tabs>
          <w:tab w:leader="none" w:pos="1387"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Transfer and Exchange of Global Notes</w:t>
      </w:r>
      <w:r>
        <w:rPr>
          <w:rFonts w:ascii="Arial" w:cs="Arial" w:eastAsia="Arial" w:hAnsi="Arial"/>
          <w:sz w:val="17"/>
          <w:szCs w:val="17"/>
          <w:color w:val="auto"/>
        </w:rPr>
        <w:t>. A Global Note may not be transferred except as a whole by the Depositary to a nominee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by a nominee of the Depositary to the Depositary or to another nominee of the Depositary, or by the Depositary or any such nominee to a successor Depositary or a nominee of such successor Depositary. All Global Notes will be exchangeable for Definitive Notes if:</w:t>
      </w:r>
    </w:p>
    <w:p>
      <w:pPr>
        <w:spacing w:after="0" w:line="165" w:lineRule="exact"/>
        <w:rPr>
          <w:rFonts w:ascii="Arial" w:cs="Arial" w:eastAsia="Arial" w:hAnsi="Arial"/>
          <w:sz w:val="17"/>
          <w:szCs w:val="17"/>
          <w:color w:val="auto"/>
        </w:rPr>
      </w:pPr>
    </w:p>
    <w:p>
      <w:pPr>
        <w:ind w:left="660" w:right="60" w:firstLine="644"/>
        <w:spacing w:after="0" w:line="263" w:lineRule="auto"/>
        <w:tabs>
          <w:tab w:leader="none" w:pos="2013"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2" w:name="page43"/>
    <w:bookmarkEnd w:id="42"/>
    <w:p>
      <w:pPr>
        <w:ind w:left="660" w:right="700" w:firstLine="644"/>
        <w:spacing w:after="0" w:line="277" w:lineRule="auto"/>
        <w:tabs>
          <w:tab w:leader="none" w:pos="20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Upon the occurrence of either of the preceding events in (1) or (2) above, Definitive Notes shall be issued in such names as the Depositary shall instruct the Trustee, and upon the occurrence of the preceding events in (3) above, Definitive Notes shall be issued in exchange for beneficial interests in a Global Note upon request therefor by the Depositary acting upon instruction of the holder of such beneficial interest in such Global Note.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In connection with any proposed exchange of a Global Note for a Definitive Note, the Company shall provide or cause to be provided to the Trustee all information reasonably requested by the Trustee that is necessary to allow the Trustee to comply with any applicable tax reporting obligations. The Trustee may rely on information provided to it and shall have no responsibility to verify or ensure the accuracy of such information.</w:t>
      </w:r>
    </w:p>
    <w:p>
      <w:pPr>
        <w:spacing w:after="0" w:line="185" w:lineRule="exact"/>
        <w:rPr>
          <w:sz w:val="20"/>
          <w:szCs w:val="20"/>
          <w:color w:val="auto"/>
        </w:rPr>
      </w:pPr>
    </w:p>
    <w:p>
      <w:pPr>
        <w:ind w:right="40" w:firstLine="656"/>
        <w:spacing w:after="0" w:line="257" w:lineRule="auto"/>
        <w:tabs>
          <w:tab w:leader="none" w:pos="1397"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87" w:lineRule="exact"/>
        <w:rPr>
          <w:rFonts w:ascii="Arial" w:cs="Arial" w:eastAsia="Arial" w:hAnsi="Arial"/>
          <w:sz w:val="18"/>
          <w:szCs w:val="18"/>
          <w:color w:val="auto"/>
        </w:rPr>
      </w:pPr>
    </w:p>
    <w:p>
      <w:pPr>
        <w:ind w:left="660" w:right="20" w:firstLine="644"/>
        <w:spacing w:after="0" w:line="254" w:lineRule="auto"/>
        <w:tabs>
          <w:tab w:leader="none" w:pos="2013"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Restricted Global Note may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Persons who take delivery thereof in the form of a beneficial interest in the same Restricted Global Note in accordance with the transfer restrictions set forth in the Private Placement Legend;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the expiration of the Restricted Period, transfers of beneficial interests in the Regulation S Global Note may not be made to a U.S. Person or for the account or benefit of a U.S. Person (other than the Initial Purchasers).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94" w:lineRule="exact"/>
        <w:rPr>
          <w:rFonts w:ascii="Arial" w:cs="Arial" w:eastAsia="Arial" w:hAnsi="Arial"/>
          <w:sz w:val="18"/>
          <w:szCs w:val="18"/>
          <w:color w:val="auto"/>
        </w:rPr>
      </w:pPr>
    </w:p>
    <w:p>
      <w:pPr>
        <w:jc w:val="both"/>
        <w:ind w:left="660" w:right="240" w:firstLine="644"/>
        <w:spacing w:after="0" w:line="342" w:lineRule="auto"/>
        <w:tabs>
          <w:tab w:leader="none" w:pos="2013"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Notes. </w:t>
      </w:r>
      <w:r>
        <w:rPr>
          <w:rFonts w:ascii="Arial" w:cs="Arial" w:eastAsia="Arial" w:hAnsi="Arial"/>
          <w:sz w:val="16"/>
          <w:szCs w:val="16"/>
          <w:color w:val="auto"/>
        </w:rPr>
        <w:t>In connection with all transfers and exchanges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interests that are not subject to Section 2.06(b)(1) above, the transferor of such beneficial interest must deliver to the Registrar either:</w:t>
      </w:r>
    </w:p>
    <w:p>
      <w:pPr>
        <w:spacing w:after="0" w:line="123" w:lineRule="exact"/>
        <w:rPr>
          <w:rFonts w:ascii="Arial" w:cs="Arial" w:eastAsia="Arial" w:hAnsi="Arial"/>
          <w:sz w:val="16"/>
          <w:szCs w:val="16"/>
          <w:color w:val="auto"/>
        </w:rPr>
      </w:pPr>
    </w:p>
    <w:p>
      <w:pPr>
        <w:ind w:left="2740" w:hanging="788"/>
        <w:spacing w:after="0"/>
        <w:tabs>
          <w:tab w:leader="none" w:pos="2740" w:val="left"/>
        </w:tabs>
        <w:numPr>
          <w:ilvl w:val="2"/>
          <w:numId w:val="55"/>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ind w:left="1960" w:right="140" w:firstLine="964"/>
        <w:spacing w:after="0" w:line="263" w:lineRule="auto"/>
        <w:tabs>
          <w:tab w:leader="none" w:pos="3642" w:val="left"/>
        </w:tabs>
        <w:numPr>
          <w:ilvl w:val="3"/>
          <w:numId w:val="5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3" w:lineRule="exact"/>
        <w:rPr>
          <w:rFonts w:ascii="Arial" w:cs="Arial" w:eastAsia="Arial" w:hAnsi="Arial"/>
          <w:sz w:val="18"/>
          <w:szCs w:val="18"/>
          <w:color w:val="auto"/>
        </w:rPr>
      </w:pPr>
    </w:p>
    <w:p>
      <w:pPr>
        <w:ind w:left="1960" w:right="220" w:firstLine="964"/>
        <w:spacing w:after="0" w:line="277" w:lineRule="auto"/>
        <w:tabs>
          <w:tab w:leader="none" w:pos="3692" w:val="left"/>
        </w:tabs>
        <w:numPr>
          <w:ilvl w:val="3"/>
          <w:numId w:val="55"/>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left="2080" w:hanging="788"/>
        <w:spacing w:after="0"/>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ind w:left="1300" w:right="140" w:firstLine="964"/>
        <w:spacing w:after="0" w:line="263" w:lineRule="auto"/>
        <w:tabs>
          <w:tab w:leader="none" w:pos="298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83" w:lineRule="exact"/>
        <w:rPr>
          <w:rFonts w:ascii="Arial" w:cs="Arial" w:eastAsia="Arial" w:hAnsi="Arial"/>
          <w:sz w:val="18"/>
          <w:szCs w:val="18"/>
          <w:color w:val="auto"/>
        </w:rPr>
      </w:pPr>
    </w:p>
    <w:p>
      <w:pPr>
        <w:ind w:left="1300" w:right="360" w:firstLine="964"/>
        <w:spacing w:after="0" w:line="342" w:lineRule="auto"/>
        <w:tabs>
          <w:tab w:leader="none" w:pos="3032"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instructions given by the Depositary to the Registrar containing information regarding the Person in whose name such Definitive Note shall be registered to effect the transfer or exchange referred to in (1) above.</w:t>
      </w:r>
    </w:p>
    <w:p>
      <w:pPr>
        <w:spacing w:after="0" w:line="12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w:t>
      </w:r>
    </w:p>
    <w:p>
      <w:pPr>
        <w:spacing w:after="0" w:line="184" w:lineRule="exact"/>
        <w:rPr>
          <w:sz w:val="20"/>
          <w:szCs w:val="20"/>
          <w:color w:val="auto"/>
        </w:rPr>
      </w:pPr>
    </w:p>
    <w:p>
      <w:pPr>
        <w:ind w:right="120" w:firstLine="644"/>
        <w:spacing w:after="0" w:line="263" w:lineRule="auto"/>
        <w:tabs>
          <w:tab w:leader="none" w:pos="1397"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Note. </w:t>
      </w:r>
      <w:r>
        <w:rPr>
          <w:rFonts w:ascii="Arial" w:cs="Arial" w:eastAsia="Arial" w:hAnsi="Arial"/>
          <w:sz w:val="18"/>
          <w:szCs w:val="18"/>
          <w:color w:val="auto"/>
        </w:rPr>
        <w:t>A beneficial interest in any Restricted Global Note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to a Person who takes delivery thereof in the form of a beneficial interest in another Restricted Global Note if the transfer complies with the requirements of Section 2.06(b)(2) above and the Registrar receives the following:</w:t>
      </w:r>
    </w:p>
    <w:p>
      <w:pPr>
        <w:spacing w:after="0" w:line="183" w:lineRule="exact"/>
        <w:rPr>
          <w:rFonts w:ascii="Arial" w:cs="Arial" w:eastAsia="Arial" w:hAnsi="Arial"/>
          <w:sz w:val="18"/>
          <w:szCs w:val="18"/>
          <w:color w:val="auto"/>
        </w:rPr>
      </w:pPr>
    </w:p>
    <w:p>
      <w:pPr>
        <w:ind w:left="640" w:right="320" w:firstLine="652"/>
        <w:spacing w:after="0" w:line="277" w:lineRule="auto"/>
        <w:tabs>
          <w:tab w:leader="none" w:pos="2078"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170" w:lineRule="exact"/>
        <w:rPr>
          <w:rFonts w:ascii="Arial" w:cs="Arial" w:eastAsia="Arial" w:hAnsi="Arial"/>
          <w:sz w:val="18"/>
          <w:szCs w:val="18"/>
          <w:color w:val="auto"/>
        </w:rPr>
      </w:pPr>
    </w:p>
    <w:p>
      <w:pPr>
        <w:ind w:left="640" w:right="540" w:firstLine="652"/>
        <w:spacing w:after="0" w:line="308" w:lineRule="auto"/>
        <w:tabs>
          <w:tab w:leader="none" w:pos="2068"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the transferee will take delivery in the form of a beneficial interest in the Regulation S Global Note, then the transferor must deliver a certificate in the form of Exhibit B hereto, including the certifications in item (2) thereof; and</w:t>
      </w:r>
    </w:p>
    <w:p>
      <w:pPr>
        <w:spacing w:after="0" w:line="146" w:lineRule="exact"/>
        <w:rPr>
          <w:rFonts w:ascii="Arial" w:cs="Arial" w:eastAsia="Arial" w:hAnsi="Arial"/>
          <w:sz w:val="17"/>
          <w:szCs w:val="17"/>
          <w:color w:val="auto"/>
        </w:rPr>
      </w:pPr>
    </w:p>
    <w:p>
      <w:pPr>
        <w:ind w:left="640" w:right="80" w:firstLine="652"/>
        <w:spacing w:after="0" w:line="291" w:lineRule="auto"/>
        <w:tabs>
          <w:tab w:leader="none" w:pos="2068"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 the transferee will take delivery in the form of a beneficial interest in the IAI Global Note, then the transferor must deliver a certificate in the form of Exhibit B hereto, including the certifications, certificates and Opinion of Counsel required by item</w:t>
      </w: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If any such transfer is effected at a time when an IAI Global Note has not yet been issued, the Company shall issue and, upon receipt of an Authentication Order in accordance with Section 2.02, the Trustee shall authenticate one or more IAI Global Notes in an aggregate principal amount equal to the aggregate principal amount of beneficial interests transferred pursuant to this subparagraph.</w:t>
      </w:r>
    </w:p>
    <w:p>
      <w:pPr>
        <w:spacing w:after="0" w:line="165" w:lineRule="exact"/>
        <w:rPr>
          <w:sz w:val="20"/>
          <w:szCs w:val="20"/>
          <w:color w:val="auto"/>
        </w:rPr>
      </w:pPr>
    </w:p>
    <w:p>
      <w:pPr>
        <w:ind w:right="260" w:firstLine="644"/>
        <w:spacing w:after="0" w:line="301" w:lineRule="auto"/>
        <w:tabs>
          <w:tab w:leader="none" w:pos="1397"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Transfer and Exchange of Beneficial Interests in a Restricted Global Note for Beneficial Interests in an Unrestricted Global Note</w:t>
      </w:r>
      <w:r>
        <w:rPr>
          <w:rFonts w:ascii="Arial" w:cs="Arial" w:eastAsia="Arial" w:hAnsi="Arial"/>
          <w:sz w:val="16"/>
          <w:szCs w:val="16"/>
          <w:color w:val="auto"/>
        </w:rPr>
        <w:t>. A beneficial interest in any Restricted Global Note may be exchanged by any holder thereof for a beneficial interest in an Unrestricted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157" w:lineRule="exact"/>
        <w:rPr>
          <w:rFonts w:ascii="Arial" w:cs="Arial" w:eastAsia="Arial" w:hAnsi="Arial"/>
          <w:sz w:val="16"/>
          <w:szCs w:val="16"/>
          <w:color w:val="auto"/>
        </w:rPr>
      </w:pPr>
    </w:p>
    <w:p>
      <w:pPr>
        <w:ind w:left="640" w:firstLine="652"/>
        <w:spacing w:after="0" w:line="263" w:lineRule="auto"/>
        <w:tabs>
          <w:tab w:leader="none" w:pos="20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83" w:lineRule="exact"/>
        <w:rPr>
          <w:rFonts w:ascii="Arial" w:cs="Arial" w:eastAsia="Arial" w:hAnsi="Arial"/>
          <w:sz w:val="18"/>
          <w:szCs w:val="18"/>
          <w:color w:val="auto"/>
        </w:rPr>
      </w:pPr>
    </w:p>
    <w:p>
      <w:pPr>
        <w:ind w:left="640" w:firstLine="652"/>
        <w:spacing w:after="0" w:line="273" w:lineRule="auto"/>
        <w:tabs>
          <w:tab w:leader="none" w:pos="2068"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 and, in each such case set forth in this subparagraph (4), if the Registrar so requests or if the Applicable Procedures so require,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44" w:name="page45"/>
    <w:bookmarkEnd w:id="44"/>
    <w:p>
      <w:pPr>
        <w:ind w:right="60" w:firstLine="648"/>
        <w:spacing w:after="0" w:line="259" w:lineRule="auto"/>
        <w:rPr>
          <w:sz w:val="20"/>
          <w:szCs w:val="20"/>
          <w:color w:val="auto"/>
        </w:rPr>
      </w:pPr>
      <w:r>
        <w:rPr>
          <w:rFonts w:ascii="Arial" w:cs="Arial" w:eastAsia="Arial" w:hAnsi="Arial"/>
          <w:sz w:val="18"/>
          <w:szCs w:val="18"/>
          <w:color w:val="auto"/>
        </w:rPr>
        <w:t>If any such transfer is effected pursuant to subparagraph (4) above at a time when an Unrestricted Global Note has not yet been issued, the Company shall issue and, upon receipt of an Authentication Order in accordance with Section 2.02, the Trustee shall authenticate one or more Unrestricted Global Notes in an aggregate principal amount equal to the aggregate principal amount of beneficial interests transferred pursuant to subparagraph (4) above.</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70" w:lineRule="exact"/>
        <w:rPr>
          <w:sz w:val="20"/>
          <w:szCs w:val="20"/>
          <w:color w:val="auto"/>
        </w:rPr>
      </w:pPr>
    </w:p>
    <w:p>
      <w:pPr>
        <w:ind w:left="1400" w:hanging="744"/>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firstLine="644"/>
        <w:spacing w:after="0" w:line="311" w:lineRule="auto"/>
        <w:tabs>
          <w:tab w:leader="none" w:pos="2013"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Restricted Global Notes to Restricted Definitive Notes. </w:t>
      </w:r>
      <w:r>
        <w:rPr>
          <w:rFonts w:ascii="Arial" w:cs="Arial" w:eastAsia="Arial" w:hAnsi="Arial"/>
          <w:sz w:val="16"/>
          <w:szCs w:val="16"/>
          <w:color w:val="auto"/>
        </w:rPr>
        <w:t>If any holder of a beneficial interest in a</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48" w:lineRule="exact"/>
        <w:rPr>
          <w:rFonts w:ascii="Arial" w:cs="Arial" w:eastAsia="Arial" w:hAnsi="Arial"/>
          <w:sz w:val="16"/>
          <w:szCs w:val="16"/>
          <w:color w:val="auto"/>
        </w:rPr>
      </w:pPr>
    </w:p>
    <w:p>
      <w:pPr>
        <w:ind w:left="1300" w:firstLine="652"/>
        <w:spacing w:after="0" w:line="274" w:lineRule="auto"/>
        <w:tabs>
          <w:tab w:leader="none" w:pos="2738" w:val="left"/>
        </w:tabs>
        <w:numPr>
          <w:ilvl w:val="2"/>
          <w:numId w:val="60"/>
        </w:numPr>
        <w:rPr>
          <w:rFonts w:ascii="Arial" w:cs="Arial" w:eastAsia="Arial" w:hAnsi="Arial"/>
          <w:sz w:val="17"/>
          <w:szCs w:val="17"/>
          <w:color w:val="auto"/>
        </w:rPr>
      </w:pPr>
      <w:r>
        <w:rPr>
          <w:rFonts w:ascii="Arial" w:cs="Arial" w:eastAsia="Arial" w:hAnsi="Arial"/>
          <w:sz w:val="17"/>
          <w:szCs w:val="17"/>
          <w:color w:val="auto"/>
        </w:rPr>
        <w:t>if the holder of such beneficial interest in a Restricted Global Note proposes to exchange such beneficial interest for a Restricted Definitive Note, a certificate from such holder in the form of Exhibit C hereto, including the certifications in item (2)</w:t>
      </w:r>
    </w:p>
    <w:p>
      <w:pPr>
        <w:ind w:left="1300"/>
        <w:spacing w:after="0"/>
        <w:rPr>
          <w:rFonts w:ascii="Arial" w:cs="Arial" w:eastAsia="Arial" w:hAnsi="Arial"/>
          <w:sz w:val="17"/>
          <w:szCs w:val="17"/>
          <w:color w:val="auto"/>
        </w:rPr>
      </w:pPr>
      <w:r>
        <w:rPr>
          <w:rFonts w:ascii="Arial" w:cs="Arial" w:eastAsia="Arial" w:hAnsi="Arial"/>
          <w:sz w:val="18"/>
          <w:szCs w:val="18"/>
          <w:color w:val="auto"/>
        </w:rPr>
        <w:t>(a) thereof;</w:t>
      </w:r>
    </w:p>
    <w:p>
      <w:pPr>
        <w:spacing w:after="0" w:line="210" w:lineRule="exact"/>
        <w:rPr>
          <w:rFonts w:ascii="Arial" w:cs="Arial" w:eastAsia="Arial" w:hAnsi="Arial"/>
          <w:sz w:val="17"/>
          <w:szCs w:val="17"/>
          <w:color w:val="auto"/>
        </w:rPr>
      </w:pPr>
    </w:p>
    <w:p>
      <w:pPr>
        <w:ind w:left="1300" w:right="260" w:firstLine="652"/>
        <w:spacing w:after="0" w:line="277" w:lineRule="auto"/>
        <w:tabs>
          <w:tab w:leader="none" w:pos="2728"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170" w:lineRule="exact"/>
        <w:rPr>
          <w:rFonts w:ascii="Arial" w:cs="Arial" w:eastAsia="Arial" w:hAnsi="Arial"/>
          <w:sz w:val="18"/>
          <w:szCs w:val="18"/>
          <w:color w:val="auto"/>
        </w:rPr>
      </w:pPr>
    </w:p>
    <w:p>
      <w:pPr>
        <w:ind w:left="1300" w:right="380" w:firstLine="652"/>
        <w:spacing w:after="0" w:line="308" w:lineRule="auto"/>
        <w:tabs>
          <w:tab w:leader="none" w:pos="2728" w:val="left"/>
        </w:tabs>
        <w:numPr>
          <w:ilvl w:val="2"/>
          <w:numId w:val="60"/>
        </w:numPr>
        <w:rPr>
          <w:rFonts w:ascii="Arial" w:cs="Arial" w:eastAsia="Arial" w:hAnsi="Arial"/>
          <w:sz w:val="17"/>
          <w:szCs w:val="17"/>
          <w:color w:val="auto"/>
        </w:rPr>
      </w:pPr>
      <w:r>
        <w:rPr>
          <w:rFonts w:ascii="Arial" w:cs="Arial" w:eastAsia="Arial" w:hAnsi="Arial"/>
          <w:sz w:val="17"/>
          <w:szCs w:val="17"/>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46" w:lineRule="exact"/>
        <w:rPr>
          <w:rFonts w:ascii="Arial" w:cs="Arial" w:eastAsia="Arial" w:hAnsi="Arial"/>
          <w:sz w:val="17"/>
          <w:szCs w:val="17"/>
          <w:color w:val="auto"/>
        </w:rPr>
      </w:pPr>
    </w:p>
    <w:p>
      <w:pPr>
        <w:ind w:left="1300" w:right="80" w:firstLine="652"/>
        <w:spacing w:after="0" w:line="291" w:lineRule="auto"/>
        <w:tabs>
          <w:tab w:leader="none" w:pos="2738" w:val="left"/>
        </w:tabs>
        <w:numPr>
          <w:ilvl w:val="2"/>
          <w:numId w:val="60"/>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 (3)</w:t>
      </w:r>
    </w:p>
    <w:p>
      <w:pPr>
        <w:ind w:left="1300"/>
        <w:spacing w:after="0"/>
        <w:rPr>
          <w:rFonts w:ascii="Arial" w:cs="Arial" w:eastAsia="Arial" w:hAnsi="Arial"/>
          <w:sz w:val="16"/>
          <w:szCs w:val="16"/>
          <w:color w:val="auto"/>
        </w:rPr>
      </w:pPr>
      <w:r>
        <w:rPr>
          <w:rFonts w:ascii="Arial" w:cs="Arial" w:eastAsia="Arial" w:hAnsi="Arial"/>
          <w:sz w:val="18"/>
          <w:szCs w:val="18"/>
          <w:color w:val="auto"/>
        </w:rPr>
        <w:t>(a) thereof;</w:t>
      </w:r>
    </w:p>
    <w:p>
      <w:pPr>
        <w:spacing w:after="0" w:line="210" w:lineRule="exact"/>
        <w:rPr>
          <w:rFonts w:ascii="Arial" w:cs="Arial" w:eastAsia="Arial" w:hAnsi="Arial"/>
          <w:sz w:val="16"/>
          <w:szCs w:val="16"/>
          <w:color w:val="auto"/>
        </w:rPr>
      </w:pPr>
    </w:p>
    <w:p>
      <w:pPr>
        <w:ind w:left="1300" w:right="20" w:firstLine="652"/>
        <w:spacing w:after="0" w:line="259" w:lineRule="auto"/>
        <w:tabs>
          <w:tab w:leader="none" w:pos="2718"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an Institutional Accredited Investor in reliance on an exemption from the registration requirements of the Securities Act other than those listed in subparagraphs (A) through (B) above, a certificate to the effect set forth in Exhibit B hereto, including the certifications, certificates and Opinion of Counsel required by item (3) thereof, if applicable;</w:t>
      </w:r>
    </w:p>
    <w:p>
      <w:pPr>
        <w:spacing w:after="0" w:line="186" w:lineRule="exact"/>
        <w:rPr>
          <w:rFonts w:ascii="Arial" w:cs="Arial" w:eastAsia="Arial" w:hAnsi="Arial"/>
          <w:sz w:val="18"/>
          <w:szCs w:val="18"/>
          <w:color w:val="auto"/>
        </w:rPr>
      </w:pPr>
    </w:p>
    <w:p>
      <w:pPr>
        <w:ind w:left="1300" w:right="160" w:firstLine="652"/>
        <w:spacing w:after="0" w:line="277" w:lineRule="auto"/>
        <w:tabs>
          <w:tab w:leader="none" w:pos="2708"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170" w:lineRule="exact"/>
        <w:rPr>
          <w:rFonts w:ascii="Arial" w:cs="Arial" w:eastAsia="Arial" w:hAnsi="Arial"/>
          <w:sz w:val="18"/>
          <w:szCs w:val="18"/>
          <w:color w:val="auto"/>
        </w:rPr>
      </w:pPr>
    </w:p>
    <w:p>
      <w:pPr>
        <w:ind w:left="1300" w:right="80" w:firstLine="652"/>
        <w:spacing w:after="0" w:line="277" w:lineRule="auto"/>
        <w:tabs>
          <w:tab w:leader="none" w:pos="2738"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the Trustee shall cause the aggregate principal amount of the applicable Global Note to be reduced accordingly pursuant to Section 2.06(g),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5" w:name="page46"/>
    <w:bookmarkEnd w:id="45"/>
    <w:p>
      <w:pPr>
        <w:ind w:left="4" w:firstLine="644"/>
        <w:spacing w:after="0" w:line="286" w:lineRule="auto"/>
        <w:tabs>
          <w:tab w:leader="none" w:pos="1401"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Notes to Unrestricted Definitive Notes. </w:t>
      </w:r>
      <w:r>
        <w:rPr>
          <w:rFonts w:ascii="Arial" w:cs="Arial" w:eastAsia="Arial" w:hAnsi="Arial"/>
          <w:sz w:val="17"/>
          <w:szCs w:val="17"/>
          <w:color w:val="auto"/>
        </w:rPr>
        <w:t>A holder of a beneficial interest in a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65" w:lineRule="exact"/>
        <w:rPr>
          <w:rFonts w:ascii="Arial" w:cs="Arial" w:eastAsia="Arial" w:hAnsi="Arial"/>
          <w:sz w:val="17"/>
          <w:szCs w:val="17"/>
          <w:color w:val="auto"/>
        </w:rPr>
      </w:pPr>
    </w:p>
    <w:p>
      <w:pPr>
        <w:ind w:left="644" w:right="120" w:firstLine="652"/>
        <w:spacing w:after="0" w:line="291" w:lineRule="auto"/>
        <w:tabs>
          <w:tab w:leader="none" w:pos="2082"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an Unrestricted Definitive Note, a certificate from such holder in the form of Exhibit C hereto, including the certifications in item (1)</w:t>
      </w:r>
    </w:p>
    <w:p>
      <w:pPr>
        <w:ind w:left="644"/>
        <w:spacing w:after="0"/>
        <w:rPr>
          <w:rFonts w:ascii="Arial" w:cs="Arial" w:eastAsia="Arial" w:hAnsi="Arial"/>
          <w:sz w:val="16"/>
          <w:szCs w:val="16"/>
          <w:color w:val="auto"/>
        </w:rPr>
      </w:pPr>
      <w:r>
        <w:rPr>
          <w:rFonts w:ascii="Arial" w:cs="Arial" w:eastAsia="Arial" w:hAnsi="Arial"/>
          <w:sz w:val="18"/>
          <w:szCs w:val="18"/>
          <w:color w:val="auto"/>
        </w:rPr>
        <w:t>(b) thereof; or</w:t>
      </w:r>
    </w:p>
    <w:p>
      <w:pPr>
        <w:spacing w:after="0" w:line="210" w:lineRule="exact"/>
        <w:rPr>
          <w:rFonts w:ascii="Arial" w:cs="Arial" w:eastAsia="Arial" w:hAnsi="Arial"/>
          <w:sz w:val="16"/>
          <w:szCs w:val="16"/>
          <w:color w:val="auto"/>
        </w:rPr>
      </w:pPr>
    </w:p>
    <w:p>
      <w:pPr>
        <w:ind w:left="644" w:right="200" w:firstLine="652"/>
        <w:spacing w:after="0" w:line="263" w:lineRule="auto"/>
        <w:tabs>
          <w:tab w:leader="none" w:pos="207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184" w:lineRule="exact"/>
        <w:rPr>
          <w:sz w:val="20"/>
          <w:szCs w:val="20"/>
          <w:color w:val="auto"/>
        </w:rPr>
      </w:pPr>
    </w:p>
    <w:p>
      <w:pPr>
        <w:ind w:left="4" w:right="140"/>
        <w:spacing w:after="0" w:line="286" w:lineRule="auto"/>
        <w:rPr>
          <w:sz w:val="20"/>
          <w:szCs w:val="20"/>
          <w:color w:val="auto"/>
        </w:rPr>
      </w:pPr>
      <w:r>
        <w:rPr>
          <w:rFonts w:ascii="Arial" w:cs="Arial" w:eastAsia="Arial" w:hAnsi="Arial"/>
          <w:sz w:val="17"/>
          <w:szCs w:val="17"/>
          <w:color w:val="auto"/>
        </w:rPr>
        <w:t>and, in each such case set forth in this subparagraph (2), if the Registrar so requests or if the Applicable Procedures so require,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5" w:lineRule="exact"/>
        <w:rPr>
          <w:sz w:val="20"/>
          <w:szCs w:val="20"/>
          <w:color w:val="auto"/>
        </w:rPr>
      </w:pPr>
    </w:p>
    <w:p>
      <w:pPr>
        <w:ind w:left="4" w:firstLine="644"/>
        <w:spacing w:after="0" w:line="283" w:lineRule="auto"/>
        <w:tabs>
          <w:tab w:leader="none" w:pos="1401"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Notes to Unrestricted Definitive Notes. </w:t>
      </w:r>
      <w:r>
        <w:rPr>
          <w:rFonts w:ascii="Arial" w:cs="Arial" w:eastAsia="Arial" w:hAnsi="Arial"/>
          <w:sz w:val="16"/>
          <w:szCs w:val="16"/>
          <w:color w:val="auto"/>
        </w:rPr>
        <w:t>If any holder of a beneficial interest in an</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Global Note proposes to exchange such beneficial interest for a Definitive Note or to transfer such beneficial interest to a Person who takes delivery thereof in the form of a Definitive Note, then, upon satisfaction of the conditions set forth in Section 2.06(b)(2), the Trustee will cause the aggregate principal amount of the applicable Global Note to be reduced accordingly pursuant to Section 2.06(g),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not bear the Private Placement Legend.</w:t>
      </w:r>
    </w:p>
    <w:p>
      <w:pPr>
        <w:spacing w:after="0" w:line="211" w:lineRule="exact"/>
        <w:rPr>
          <w:sz w:val="20"/>
          <w:szCs w:val="20"/>
          <w:color w:val="auto"/>
        </w:rPr>
      </w:pPr>
    </w:p>
    <w:p>
      <w:pPr>
        <w:ind w:left="744" w:hanging="744"/>
        <w:spacing w:after="0"/>
        <w:tabs>
          <w:tab w:leader="none" w:pos="744"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300" w:firstLine="644"/>
        <w:spacing w:after="0" w:line="259" w:lineRule="auto"/>
        <w:tabs>
          <w:tab w:leader="none" w:pos="1401"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Restricted Global Notes. </w:t>
      </w:r>
      <w:r>
        <w:rPr>
          <w:rFonts w:ascii="Arial" w:cs="Arial" w:eastAsia="Arial" w:hAnsi="Arial"/>
          <w:sz w:val="18"/>
          <w:szCs w:val="18"/>
          <w:color w:val="auto"/>
        </w:rPr>
        <w:t>If any Holder of a 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86" w:lineRule="exact"/>
        <w:rPr>
          <w:rFonts w:ascii="Arial" w:cs="Arial" w:eastAsia="Arial" w:hAnsi="Arial"/>
          <w:sz w:val="18"/>
          <w:szCs w:val="18"/>
          <w:color w:val="auto"/>
        </w:rPr>
      </w:pPr>
    </w:p>
    <w:p>
      <w:pPr>
        <w:ind w:left="644" w:right="80" w:firstLine="652"/>
        <w:spacing w:after="0" w:line="342" w:lineRule="auto"/>
        <w:tabs>
          <w:tab w:leader="none" w:pos="2082" w:val="left"/>
        </w:tabs>
        <w:numPr>
          <w:ilvl w:val="2"/>
          <w:numId w:val="64"/>
        </w:numPr>
        <w:rPr>
          <w:rFonts w:ascii="Arial" w:cs="Arial" w:eastAsia="Arial" w:hAnsi="Arial"/>
          <w:sz w:val="16"/>
          <w:szCs w:val="16"/>
          <w:color w:val="auto"/>
        </w:rPr>
      </w:pPr>
      <w:r>
        <w:rPr>
          <w:rFonts w:ascii="Arial" w:cs="Arial" w:eastAsia="Arial" w:hAnsi="Arial"/>
          <w:sz w:val="16"/>
          <w:szCs w:val="16"/>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34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46" w:name="page47"/>
    <w:bookmarkEnd w:id="46"/>
    <w:p>
      <w:pPr>
        <w:ind w:left="644" w:right="320" w:firstLine="652"/>
        <w:spacing w:after="0" w:line="277" w:lineRule="auto"/>
        <w:tabs>
          <w:tab w:leader="none" w:pos="20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170" w:lineRule="exact"/>
        <w:rPr>
          <w:rFonts w:ascii="Arial" w:cs="Arial" w:eastAsia="Arial" w:hAnsi="Arial"/>
          <w:sz w:val="18"/>
          <w:szCs w:val="18"/>
          <w:color w:val="auto"/>
        </w:rPr>
      </w:pPr>
    </w:p>
    <w:p>
      <w:pPr>
        <w:ind w:left="644" w:right="120" w:firstLine="652"/>
        <w:spacing w:after="0" w:line="342" w:lineRule="auto"/>
        <w:tabs>
          <w:tab w:leader="none" w:pos="2072"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123" w:lineRule="exact"/>
        <w:rPr>
          <w:rFonts w:ascii="Arial" w:cs="Arial" w:eastAsia="Arial" w:hAnsi="Arial"/>
          <w:sz w:val="16"/>
          <w:szCs w:val="16"/>
          <w:color w:val="auto"/>
        </w:rPr>
      </w:pPr>
    </w:p>
    <w:p>
      <w:pPr>
        <w:jc w:val="both"/>
        <w:ind w:left="644" w:right="20" w:firstLine="652"/>
        <w:spacing w:after="0" w:line="291" w:lineRule="auto"/>
        <w:tabs>
          <w:tab w:leader="none" w:pos="2082"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w:t>
      </w:r>
    </w:p>
    <w:p>
      <w:pPr>
        <w:ind w:left="904" w:hanging="256"/>
        <w:spacing w:after="0"/>
        <w:tabs>
          <w:tab w:leader="none" w:pos="90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thereof;</w:t>
      </w:r>
    </w:p>
    <w:p>
      <w:pPr>
        <w:spacing w:after="0" w:line="210" w:lineRule="exact"/>
        <w:rPr>
          <w:rFonts w:ascii="Arial" w:cs="Arial" w:eastAsia="Arial" w:hAnsi="Arial"/>
          <w:sz w:val="18"/>
          <w:szCs w:val="18"/>
          <w:color w:val="auto"/>
        </w:rPr>
      </w:pPr>
    </w:p>
    <w:p>
      <w:pPr>
        <w:ind w:left="644" w:right="320" w:firstLine="652"/>
        <w:spacing w:after="0" w:line="287" w:lineRule="auto"/>
        <w:tabs>
          <w:tab w:leader="none" w:pos="2062"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w:t>
      </w:r>
    </w:p>
    <w:p>
      <w:pPr>
        <w:spacing w:after="0" w:line="2" w:lineRule="exact"/>
        <w:rPr>
          <w:rFonts w:ascii="Arial" w:cs="Arial" w:eastAsia="Arial" w:hAnsi="Arial"/>
          <w:sz w:val="16"/>
          <w:szCs w:val="16"/>
          <w:color w:val="auto"/>
        </w:rPr>
      </w:pPr>
    </w:p>
    <w:p>
      <w:pPr>
        <w:ind w:left="904" w:hanging="256"/>
        <w:spacing w:after="0"/>
        <w:tabs>
          <w:tab w:leader="none" w:pos="9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44" w:right="220" w:firstLine="652"/>
        <w:spacing w:after="0" w:line="277" w:lineRule="auto"/>
        <w:tabs>
          <w:tab w:leader="none" w:pos="2052"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170" w:lineRule="exact"/>
        <w:rPr>
          <w:rFonts w:ascii="Arial" w:cs="Arial" w:eastAsia="Arial" w:hAnsi="Arial"/>
          <w:sz w:val="18"/>
          <w:szCs w:val="18"/>
          <w:color w:val="auto"/>
        </w:rPr>
      </w:pPr>
    </w:p>
    <w:p>
      <w:pPr>
        <w:ind w:left="644" w:right="540" w:firstLine="652"/>
        <w:spacing w:after="0" w:line="342" w:lineRule="auto"/>
        <w:tabs>
          <w:tab w:leader="none" w:pos="2082"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Trustee will cancel the Restricted Definitive Note and increase or cause to be increased the aggregate principal amount of, in the case of clause</w:t>
      </w:r>
    </w:p>
    <w:p>
      <w:pPr>
        <w:spacing w:after="0" w:line="46" w:lineRule="exact"/>
        <w:rPr>
          <w:sz w:val="20"/>
          <w:szCs w:val="20"/>
          <w:color w:val="auto"/>
        </w:rPr>
      </w:pPr>
    </w:p>
    <w:p>
      <w:pPr>
        <w:ind w:left="4" w:right="360" w:hanging="4"/>
        <w:spacing w:after="0" w:line="260" w:lineRule="auto"/>
        <w:tabs>
          <w:tab w:leader="none" w:pos="2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above, the appropriate Restricted Global Note, in the case of clause (B) above, the 144A Global Note, in the case of clause (C) above, the Regulation S Global Note, and in all other cases, the IAI Global Note.</w:t>
      </w:r>
    </w:p>
    <w:p>
      <w:pPr>
        <w:spacing w:after="0" w:line="185" w:lineRule="exact"/>
        <w:rPr>
          <w:sz w:val="20"/>
          <w:szCs w:val="20"/>
          <w:color w:val="auto"/>
        </w:rPr>
      </w:pPr>
    </w:p>
    <w:p>
      <w:pPr>
        <w:ind w:left="4" w:right="40" w:firstLine="648"/>
        <w:spacing w:after="0" w:line="311" w:lineRule="auto"/>
        <w:rPr>
          <w:sz w:val="20"/>
          <w:szCs w:val="20"/>
          <w:color w:val="auto"/>
        </w:rPr>
      </w:pPr>
      <w:r>
        <w:rPr>
          <w:rFonts w:ascii="Arial" w:cs="Arial" w:eastAsia="Arial" w:hAnsi="Arial"/>
          <w:sz w:val="16"/>
          <w:szCs w:val="16"/>
          <w:color w:val="auto"/>
        </w:rPr>
        <w:t>If any transfer to an IAI Global Note is effected at a time when an IAI Global Note has not yet been issued, the Company shall issue and, upon receipt of an Authentication Order in accordance with Section 2.02, the Trustee shall authenticate one or more IAI Global Notes in an aggregate principal amount equal to the aggregate principal amount of the Restricted Definitive Note transferred pursuant to this subparagraph.</w:t>
      </w:r>
    </w:p>
    <w:p>
      <w:pPr>
        <w:spacing w:after="0" w:line="149" w:lineRule="exact"/>
        <w:rPr>
          <w:sz w:val="20"/>
          <w:szCs w:val="20"/>
          <w:color w:val="auto"/>
        </w:rPr>
      </w:pPr>
    </w:p>
    <w:p>
      <w:pPr>
        <w:ind w:left="4" w:right="80" w:firstLine="644"/>
        <w:spacing w:after="0" w:line="286" w:lineRule="auto"/>
        <w:tabs>
          <w:tab w:leader="none" w:pos="1401"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Beneficial Interests in Unrestricted Global Notes. </w:t>
      </w:r>
      <w:r>
        <w:rPr>
          <w:rFonts w:ascii="Arial" w:cs="Arial" w:eastAsia="Arial" w:hAnsi="Arial"/>
          <w:sz w:val="17"/>
          <w:szCs w:val="17"/>
          <w:color w:val="auto"/>
        </w:rPr>
        <w:t>A Holder of a Restricted Definitive Note may</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65" w:lineRule="exact"/>
        <w:rPr>
          <w:rFonts w:ascii="Arial" w:cs="Arial" w:eastAsia="Arial" w:hAnsi="Arial"/>
          <w:sz w:val="17"/>
          <w:szCs w:val="17"/>
          <w:color w:val="auto"/>
        </w:rPr>
      </w:pPr>
    </w:p>
    <w:p>
      <w:pPr>
        <w:ind w:left="644" w:right="200" w:firstLine="652"/>
        <w:spacing w:after="0" w:line="342" w:lineRule="auto"/>
        <w:tabs>
          <w:tab w:leader="none" w:pos="2082"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123" w:lineRule="exact"/>
        <w:rPr>
          <w:rFonts w:ascii="Arial" w:cs="Arial" w:eastAsia="Arial" w:hAnsi="Arial"/>
          <w:sz w:val="16"/>
          <w:szCs w:val="16"/>
          <w:color w:val="auto"/>
        </w:rPr>
      </w:pPr>
    </w:p>
    <w:p>
      <w:pPr>
        <w:ind w:left="644" w:right="20" w:firstLine="652"/>
        <w:spacing w:after="0" w:line="263" w:lineRule="auto"/>
        <w:tabs>
          <w:tab w:leader="none" w:pos="2072"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184" w:lineRule="exact"/>
        <w:rPr>
          <w:sz w:val="20"/>
          <w:szCs w:val="20"/>
          <w:color w:val="auto"/>
        </w:rPr>
      </w:pPr>
    </w:p>
    <w:p>
      <w:pPr>
        <w:jc w:val="both"/>
        <w:ind w:left="4" w:right="20"/>
        <w:spacing w:after="0" w:line="286" w:lineRule="auto"/>
        <w:rPr>
          <w:sz w:val="20"/>
          <w:szCs w:val="20"/>
          <w:color w:val="auto"/>
        </w:rPr>
      </w:pPr>
      <w:r>
        <w:rPr>
          <w:rFonts w:ascii="Arial" w:cs="Arial" w:eastAsia="Arial" w:hAnsi="Arial"/>
          <w:sz w:val="17"/>
          <w:szCs w:val="17"/>
          <w:color w:val="auto"/>
        </w:rPr>
        <w:t>and, in each such case set forth in this paragraph (2), if the Registrar so requests or if the Applicable Procedures so require,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8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47" w:name="page48"/>
    <w:bookmarkEnd w:id="47"/>
    <w:p>
      <w:pPr>
        <w:ind w:left="620" w:right="260" w:firstLine="648"/>
        <w:spacing w:after="0" w:line="277" w:lineRule="auto"/>
        <w:rPr>
          <w:sz w:val="20"/>
          <w:szCs w:val="20"/>
          <w:color w:val="auto"/>
        </w:rPr>
      </w:pPr>
      <w:r>
        <w:rPr>
          <w:rFonts w:ascii="Arial" w:cs="Arial" w:eastAsia="Arial" w:hAnsi="Arial"/>
          <w:sz w:val="18"/>
          <w:szCs w:val="18"/>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170" w:lineRule="exact"/>
        <w:rPr>
          <w:sz w:val="20"/>
          <w:szCs w:val="20"/>
          <w:color w:val="auto"/>
        </w:rPr>
      </w:pPr>
    </w:p>
    <w:p>
      <w:pPr>
        <w:ind w:left="620" w:firstLine="644"/>
        <w:spacing w:after="0" w:line="257" w:lineRule="auto"/>
        <w:tabs>
          <w:tab w:leader="none" w:pos="2017"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Beneficial Interests in Unrestricted Global Notes. </w:t>
      </w:r>
      <w:r>
        <w:rPr>
          <w:rFonts w:ascii="Arial" w:cs="Arial" w:eastAsia="Arial" w:hAnsi="Arial"/>
          <w:sz w:val="18"/>
          <w:szCs w:val="18"/>
          <w:color w:val="auto"/>
        </w:rPr>
        <w:t>A Holder of an Unrestricted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88" w:lineRule="exact"/>
        <w:rPr>
          <w:sz w:val="20"/>
          <w:szCs w:val="20"/>
          <w:color w:val="auto"/>
        </w:rPr>
      </w:pPr>
    </w:p>
    <w:p>
      <w:pPr>
        <w:ind w:left="620" w:right="120" w:firstLine="648"/>
        <w:spacing w:after="0" w:line="259"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subparagraphs (2)(B) or (3) above at a time when an Unrestricted Global Note has not yet been issued, the Company will issue and, upon receipt of an Authentication Order in accordance with Section 2.02, the Trustee will authenticate one or more Unrestricted Global Notes in an aggregate principal amount equal to the principal amount of Definitive Notes so transferred.</w:t>
      </w:r>
    </w:p>
    <w:p>
      <w:pPr>
        <w:spacing w:after="0" w:line="187" w:lineRule="exact"/>
        <w:rPr>
          <w:sz w:val="20"/>
          <w:szCs w:val="20"/>
          <w:color w:val="auto"/>
        </w:rPr>
      </w:pPr>
    </w:p>
    <w:p>
      <w:pPr>
        <w:ind w:left="-40" w:right="80" w:firstLine="656"/>
        <w:spacing w:after="0" w:line="255" w:lineRule="auto"/>
        <w:tabs>
          <w:tab w:leader="none" w:pos="1257"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Notes for Definitive Notes. </w:t>
      </w:r>
      <w:r>
        <w:rPr>
          <w:rFonts w:ascii="Arial" w:cs="Arial" w:eastAsia="Arial" w:hAnsi="Arial"/>
          <w:sz w:val="18"/>
          <w:szCs w:val="18"/>
          <w:color w:val="auto"/>
        </w:rPr>
        <w:t>Upon request by a Holder of Definitive Notes and such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2" w:lineRule="exact"/>
        <w:rPr>
          <w:rFonts w:ascii="Arial" w:cs="Arial" w:eastAsia="Arial" w:hAnsi="Arial"/>
          <w:sz w:val="18"/>
          <w:szCs w:val="18"/>
          <w:color w:val="auto"/>
        </w:rPr>
      </w:pPr>
    </w:p>
    <w:p>
      <w:pPr>
        <w:ind w:left="620" w:right="60" w:firstLine="644"/>
        <w:spacing w:after="0" w:line="342" w:lineRule="auto"/>
        <w:tabs>
          <w:tab w:leader="none" w:pos="2017"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Restricted Definitive Notes. </w:t>
      </w:r>
      <w:r>
        <w:rPr>
          <w:rFonts w:ascii="Arial" w:cs="Arial" w:eastAsia="Arial" w:hAnsi="Arial"/>
          <w:sz w:val="16"/>
          <w:szCs w:val="16"/>
          <w:color w:val="auto"/>
        </w:rPr>
        <w:t>Any Restricted Definitive Note may be transferred to and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name of Persons who take delivery thereof in the form of a Restricted Definitive Note if the Registrar receives the following:</w:t>
      </w:r>
    </w:p>
    <w:p>
      <w:pPr>
        <w:spacing w:after="0" w:line="123" w:lineRule="exact"/>
        <w:rPr>
          <w:rFonts w:ascii="Arial" w:cs="Arial" w:eastAsia="Arial" w:hAnsi="Arial"/>
          <w:sz w:val="16"/>
          <w:szCs w:val="16"/>
          <w:color w:val="auto"/>
        </w:rPr>
      </w:pPr>
    </w:p>
    <w:p>
      <w:pPr>
        <w:ind w:left="1260" w:right="560" w:firstLine="652"/>
        <w:spacing w:after="0" w:line="277" w:lineRule="auto"/>
        <w:tabs>
          <w:tab w:leader="none" w:pos="2698"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170" w:lineRule="exact"/>
        <w:rPr>
          <w:rFonts w:ascii="Arial" w:cs="Arial" w:eastAsia="Arial" w:hAnsi="Arial"/>
          <w:sz w:val="18"/>
          <w:szCs w:val="18"/>
          <w:color w:val="auto"/>
        </w:rPr>
      </w:pPr>
    </w:p>
    <w:p>
      <w:pPr>
        <w:ind w:left="1260" w:firstLine="652"/>
        <w:spacing w:after="0" w:line="277" w:lineRule="auto"/>
        <w:tabs>
          <w:tab w:leader="none" w:pos="2688"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170" w:lineRule="exact"/>
        <w:rPr>
          <w:rFonts w:ascii="Arial" w:cs="Arial" w:eastAsia="Arial" w:hAnsi="Arial"/>
          <w:sz w:val="18"/>
          <w:szCs w:val="18"/>
          <w:color w:val="auto"/>
        </w:rPr>
      </w:pPr>
    </w:p>
    <w:p>
      <w:pPr>
        <w:ind w:left="1260" w:right="80" w:firstLine="652"/>
        <w:spacing w:after="0" w:line="263" w:lineRule="auto"/>
        <w:tabs>
          <w:tab w:leader="none" w:pos="2688"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183" w:lineRule="exact"/>
        <w:rPr>
          <w:rFonts w:ascii="Arial" w:cs="Arial" w:eastAsia="Arial" w:hAnsi="Arial"/>
          <w:sz w:val="18"/>
          <w:szCs w:val="18"/>
          <w:color w:val="auto"/>
        </w:rPr>
      </w:pPr>
    </w:p>
    <w:p>
      <w:pPr>
        <w:ind w:left="620" w:right="60" w:firstLine="644"/>
        <w:spacing w:after="0" w:line="263" w:lineRule="auto"/>
        <w:tabs>
          <w:tab w:leader="none" w:pos="20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Restricted Definitive Notes to Unrestricted Definitive Notes. 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183" w:lineRule="exact"/>
        <w:rPr>
          <w:rFonts w:ascii="Arial" w:cs="Arial" w:eastAsia="Arial" w:hAnsi="Arial"/>
          <w:sz w:val="18"/>
          <w:szCs w:val="18"/>
          <w:color w:val="auto"/>
        </w:rPr>
      </w:pPr>
    </w:p>
    <w:p>
      <w:pPr>
        <w:ind w:left="1260" w:right="340" w:firstLine="652"/>
        <w:spacing w:after="0" w:line="342" w:lineRule="auto"/>
        <w:tabs>
          <w:tab w:leader="none" w:pos="2698" w:val="left"/>
        </w:tabs>
        <w:numPr>
          <w:ilvl w:val="2"/>
          <w:numId w:val="71"/>
        </w:numPr>
        <w:rPr>
          <w:rFonts w:ascii="Arial" w:cs="Arial" w:eastAsia="Arial" w:hAnsi="Arial"/>
          <w:sz w:val="16"/>
          <w:szCs w:val="16"/>
          <w:color w:val="auto"/>
        </w:rPr>
      </w:pPr>
      <w:r>
        <w:rPr>
          <w:rFonts w:ascii="Arial" w:cs="Arial" w:eastAsia="Arial" w:hAnsi="Arial"/>
          <w:sz w:val="16"/>
          <w:szCs w:val="16"/>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23" w:lineRule="exact"/>
        <w:rPr>
          <w:rFonts w:ascii="Arial" w:cs="Arial" w:eastAsia="Arial" w:hAnsi="Arial"/>
          <w:sz w:val="16"/>
          <w:szCs w:val="16"/>
          <w:color w:val="auto"/>
        </w:rPr>
      </w:pPr>
    </w:p>
    <w:p>
      <w:pPr>
        <w:ind w:left="1260" w:right="100" w:firstLine="652"/>
        <w:spacing w:after="0" w:line="263" w:lineRule="auto"/>
        <w:tabs>
          <w:tab w:leader="none" w:pos="2688"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48" w:name="page49"/>
    <w:bookmarkEnd w:id="48"/>
    <w:p>
      <w:pPr>
        <w:ind w:left="640" w:right="140"/>
        <w:spacing w:after="0" w:line="263" w:lineRule="auto"/>
        <w:rPr>
          <w:sz w:val="20"/>
          <w:szCs w:val="20"/>
          <w:color w:val="auto"/>
        </w:rPr>
      </w:pPr>
      <w:r>
        <w:rPr>
          <w:rFonts w:ascii="Arial" w:cs="Arial" w:eastAsia="Arial" w:hAnsi="Arial"/>
          <w:sz w:val="18"/>
          <w:szCs w:val="18"/>
          <w:color w:val="auto"/>
        </w:rPr>
        <w:t>and, in each such case set forth in this subparagraph (2), if the Registrar so requests,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4" w:lineRule="exact"/>
        <w:rPr>
          <w:sz w:val="20"/>
          <w:szCs w:val="20"/>
          <w:color w:val="auto"/>
        </w:rPr>
      </w:pPr>
    </w:p>
    <w:p>
      <w:pPr>
        <w:ind w:left="640" w:right="180" w:firstLine="644"/>
        <w:spacing w:after="0" w:line="286" w:lineRule="auto"/>
        <w:tabs>
          <w:tab w:leader="none" w:pos="2037" w:val="left"/>
        </w:tabs>
        <w:numPr>
          <w:ilvl w:val="1"/>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Unrestricted Definitive Notes to Unrestricted Definitive Notes. </w:t>
      </w:r>
      <w:r>
        <w:rPr>
          <w:rFonts w:ascii="Arial" w:cs="Arial" w:eastAsia="Arial" w:hAnsi="Arial"/>
          <w:sz w:val="17"/>
          <w:szCs w:val="17"/>
          <w:color w:val="auto"/>
        </w:rPr>
        <w:t>A Holder of Unrestricted Definitive Notes may transfer such</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65" w:lineRule="exact"/>
        <w:rPr>
          <w:rFonts w:ascii="Arial" w:cs="Arial" w:eastAsia="Arial" w:hAnsi="Arial"/>
          <w:sz w:val="17"/>
          <w:szCs w:val="17"/>
          <w:color w:val="auto"/>
        </w:rPr>
      </w:pPr>
    </w:p>
    <w:p>
      <w:pPr>
        <w:ind w:left="-20" w:right="400" w:firstLine="656"/>
        <w:spacing w:after="0" w:line="277" w:lineRule="auto"/>
        <w:tabs>
          <w:tab w:leader="none" w:pos="1348"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w:t>
      </w:r>
    </w:p>
    <w:p>
      <w:pPr>
        <w:spacing w:after="0" w:line="170" w:lineRule="exact"/>
        <w:rPr>
          <w:rFonts w:ascii="Arial" w:cs="Arial" w:eastAsia="Arial" w:hAnsi="Arial"/>
          <w:sz w:val="18"/>
          <w:szCs w:val="18"/>
          <w:color w:val="auto"/>
        </w:rPr>
      </w:pPr>
    </w:p>
    <w:p>
      <w:pPr>
        <w:ind w:left="2040" w:hanging="756"/>
        <w:spacing w:after="0"/>
        <w:tabs>
          <w:tab w:leader="none" w:pos="2040"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right="120" w:firstLine="652"/>
        <w:spacing w:after="0" w:line="277" w:lineRule="auto"/>
        <w:tabs>
          <w:tab w:leader="none" w:pos="2718" w:val="left"/>
        </w:tabs>
        <w:numPr>
          <w:ilvl w:val="2"/>
          <w:numId w:val="73"/>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“THIS SECURITY HAS NOT BEEN REGISTERED UNDER THE SECURITIES ACT OF 1933, AS AMENDED (THE</w:t>
      </w:r>
    </w:p>
    <w:p>
      <w:pPr>
        <w:spacing w:after="0" w:line="23" w:lineRule="exact"/>
        <w:rPr>
          <w:sz w:val="20"/>
          <w:szCs w:val="20"/>
          <w:color w:val="auto"/>
        </w:rPr>
      </w:pPr>
    </w:p>
    <w:p>
      <w:pPr>
        <w:ind w:left="1280" w:right="1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76" w:lineRule="exact"/>
        <w:rPr>
          <w:sz w:val="20"/>
          <w:szCs w:val="20"/>
          <w:color w:val="auto"/>
        </w:rPr>
      </w:pPr>
    </w:p>
    <w:p>
      <w:pPr>
        <w:ind w:left="1280"/>
        <w:spacing w:after="0" w:line="267" w:lineRule="auto"/>
        <w:rPr>
          <w:sz w:val="20"/>
          <w:szCs w:val="20"/>
          <w:color w:val="auto"/>
        </w:rPr>
      </w:pPr>
      <w:r>
        <w:rPr>
          <w:rFonts w:ascii="Arial" w:cs="Arial" w:eastAsia="Arial" w:hAnsi="Arial"/>
          <w:sz w:val="17"/>
          <w:szCs w:val="17"/>
          <w:color w:val="auto"/>
        </w:rPr>
        <w:t>THE HOLDER OF THIS SECURITY, BY ITS ACCEPTANCE HEREOF, AGREES ON ITS OWN BEHALF AND ON BEHALF OF ANY INVESTOR ACCOUNT FOR WHICH IT HAS PURCHASED SECURITIES, TO OFFER, SELL OR OTHERWISE TRANSFER SUCH SECURITY, PRIOR TO THE DATE (THE “</w:t>
      </w:r>
      <w:r>
        <w:rPr>
          <w:rFonts w:ascii="Arial" w:cs="Arial" w:eastAsia="Arial" w:hAnsi="Arial"/>
          <w:sz w:val="17"/>
          <w:szCs w:val="17"/>
          <w:b w:val="1"/>
          <w:bCs w:val="1"/>
          <w:i w:val="1"/>
          <w:iCs w:val="1"/>
          <w:color w:val="auto"/>
        </w:rPr>
        <w:t>RESALE RESTRICTION TERMINATION DATE</w:t>
      </w:r>
      <w:r>
        <w:rPr>
          <w:rFonts w:ascii="Arial" w:cs="Arial" w:eastAsia="Arial" w:hAnsi="Arial"/>
          <w:sz w:val="17"/>
          <w:szCs w:val="17"/>
          <w:color w:val="auto"/>
        </w:rPr>
        <w:t>”) THAT IS [IN THE CASE OF RULE 144A NOTES: ONE YEAR] [IN THE CASE OF REGULATION S NOTES: 40 DAYS] AFTER THE LATER OF THE ORIGINAL ISSUE DATE HEREOF AND THE LAST DATE ON WHICH THE COMPANY OR ANY AFFILIATE OF THE COMPANY WAS THE OWNER OF THIS SECURITY (OR ANY PREDECESSOR OF SUCH SECURITY), ONLY (A) TO THE COMPANY,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THAT OCCUR OUTSIDE THE UNITED STATES WITHIN THE MEANING OF REGULATION S UNDER THE SECURITIES ACT, (E) TO AN INSTITUTIONAL “ACCREDITED INVESTOR” WITHIN THE MEANING OF RULE 501(a)(1), (2), (3) OR (7) UNDER THE SECURITIES ACT THAT IS ACQUIRING THE SECURITY FOR ITS OWN ACCOUNT OR FOR THE ACCOUNT OF ANOTHER SUCH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THE COMPANY’S AND THE TRUSTEE’S RIGHT PRIOR TO ANY SUCH OFFER, SALE OR TRANSFER PURSUANT TO CLAUSES (D), (E) OR (F) TO REQUIRE THE DELIVERY OF AN OPINION OF COUNSEL, CERTIFICATION AND/OR OTHER INFORMATION SATISFACTORY TO EACH OF THEM. THIS LEGEND SHALL BE REMOVED UPON THE REQUEST OF THE HOLDER AFTER THE RESALE RESTRICTION TERMINATION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49" w:name="page50"/>
    <w:bookmarkEnd w:id="49"/>
    <w:p>
      <w:pPr>
        <w:ind w:left="1384" w:hanging="736"/>
        <w:spacing w:after="0"/>
        <w:tabs>
          <w:tab w:leader="none" w:pos="1384" w:val="left"/>
        </w:tabs>
        <w:numPr>
          <w:ilvl w:val="1"/>
          <w:numId w:val="74"/>
        </w:numPr>
        <w:rPr>
          <w:rFonts w:ascii="Arial" w:cs="Arial" w:eastAsia="Arial" w:hAnsi="Arial"/>
          <w:sz w:val="17"/>
          <w:szCs w:val="17"/>
          <w:color w:val="auto"/>
        </w:rPr>
      </w:pPr>
      <w:r>
        <w:rPr>
          <w:rFonts w:ascii="Arial" w:cs="Arial" w:eastAsia="Arial" w:hAnsi="Arial"/>
          <w:sz w:val="17"/>
          <w:szCs w:val="17"/>
          <w:color w:val="auto"/>
        </w:rPr>
        <w:t>Notwithstanding the foregoing, any Global Note or Definitive Note issued pursuant to subparagraphs (b)(4), (c)(2), (c)(3),</w:t>
      </w:r>
    </w:p>
    <w:p>
      <w:pPr>
        <w:spacing w:after="0" w:line="34" w:lineRule="exact"/>
        <w:rPr>
          <w:rFonts w:ascii="Arial" w:cs="Arial" w:eastAsia="Arial" w:hAnsi="Arial"/>
          <w:sz w:val="17"/>
          <w:szCs w:val="17"/>
          <w:color w:val="auto"/>
        </w:rPr>
      </w:pPr>
    </w:p>
    <w:p>
      <w:pPr>
        <w:ind w:left="4" w:right="400" w:hanging="4"/>
        <w:spacing w:after="0" w:line="260" w:lineRule="auto"/>
        <w:tabs>
          <w:tab w:leader="none" w:pos="2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(2), (d)(3), (e)(2), or (e)(3) of this Section 2.06 (and all Notes issued in exchange therefor or substitution thereof) will not bear the Private Placement Legend.</w:t>
      </w:r>
    </w:p>
    <w:p>
      <w:pPr>
        <w:spacing w:after="0" w:line="185" w:lineRule="exact"/>
        <w:rPr>
          <w:rFonts w:ascii="Arial" w:cs="Arial" w:eastAsia="Arial" w:hAnsi="Arial"/>
          <w:sz w:val="18"/>
          <w:szCs w:val="18"/>
          <w:color w:val="auto"/>
        </w:rPr>
      </w:pPr>
    </w:p>
    <w:p>
      <w:pPr>
        <w:ind w:left="2044" w:hanging="748"/>
        <w:spacing w:after="0"/>
        <w:tabs>
          <w:tab w:leader="none" w:pos="2044" w:val="left"/>
        </w:tabs>
        <w:numPr>
          <w:ilvl w:val="2"/>
          <w:numId w:val="75"/>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225" w:lineRule="exact"/>
        <w:rPr>
          <w:sz w:val="20"/>
          <w:szCs w:val="20"/>
          <w:color w:val="auto"/>
        </w:rPr>
      </w:pPr>
    </w:p>
    <w:p>
      <w:pPr>
        <w:ind w:left="644" w:right="140"/>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9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UNLESS AND UNTIL IT IS EXCHANGED IN WHOLE OR IN PART FOR NOTES IN DEFINITIVE FORM, THIS NOTE</w:t>
      </w:r>
    </w:p>
    <w:p>
      <w:pPr>
        <w:spacing w:after="0" w:line="23" w:lineRule="exact"/>
        <w:rPr>
          <w:sz w:val="20"/>
          <w:szCs w:val="20"/>
          <w:color w:val="auto"/>
        </w:rPr>
      </w:pPr>
    </w:p>
    <w:p>
      <w:pPr>
        <w:ind w:left="644"/>
        <w:spacing w:after="0" w:line="251" w:lineRule="auto"/>
        <w:rPr>
          <w:sz w:val="20"/>
          <w:szCs w:val="20"/>
          <w:color w:val="auto"/>
        </w:rPr>
      </w:pPr>
      <w:r>
        <w:rPr>
          <w:rFonts w:ascii="Arial" w:cs="Arial" w:eastAsia="Arial" w:hAnsi="Arial"/>
          <w:sz w:val="18"/>
          <w:szCs w:val="18"/>
          <w:color w:val="auto"/>
        </w:rPr>
        <w:t>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6" w:lineRule="exact"/>
        <w:rPr>
          <w:sz w:val="20"/>
          <w:szCs w:val="20"/>
          <w:color w:val="auto"/>
        </w:rPr>
      </w:pPr>
    </w:p>
    <w:p>
      <w:pPr>
        <w:ind w:left="2044" w:hanging="748"/>
        <w:spacing w:after="0"/>
        <w:tabs>
          <w:tab w:leader="none" w:pos="2044"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Regulation S Legend</w:t>
      </w:r>
      <w:r>
        <w:rPr>
          <w:rFonts w:ascii="Arial" w:cs="Arial" w:eastAsia="Arial" w:hAnsi="Arial"/>
          <w:sz w:val="18"/>
          <w:szCs w:val="18"/>
          <w:color w:val="auto"/>
        </w:rPr>
        <w:t>. Each Regulation S Global Note will bear a legend in substantially the following form:</w:t>
      </w:r>
    </w:p>
    <w:p>
      <w:pPr>
        <w:spacing w:after="0" w:line="225" w:lineRule="exact"/>
        <w:rPr>
          <w:sz w:val="20"/>
          <w:szCs w:val="20"/>
          <w:color w:val="auto"/>
        </w:rPr>
      </w:pPr>
    </w:p>
    <w:p>
      <w:pPr>
        <w:ind w:left="644" w:right="740"/>
        <w:spacing w:after="0" w:line="263" w:lineRule="auto"/>
        <w:rPr>
          <w:sz w:val="20"/>
          <w:szCs w:val="20"/>
          <w:color w:val="auto"/>
        </w:rPr>
      </w:pPr>
      <w:r>
        <w:rPr>
          <w:rFonts w:ascii="Arial" w:cs="Arial" w:eastAsia="Arial" w:hAnsi="Arial"/>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40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50" w:name="page51"/>
    <w:bookmarkEnd w:id="50"/>
    <w:p>
      <w:pPr>
        <w:ind w:left="-40" w:firstLine="656"/>
        <w:spacing w:after="0" w:line="253" w:lineRule="auto"/>
        <w:tabs>
          <w:tab w:leader="none" w:pos="135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for 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96" w:lineRule="exact"/>
        <w:rPr>
          <w:rFonts w:ascii="Arial" w:cs="Arial" w:eastAsia="Arial" w:hAnsi="Arial"/>
          <w:sz w:val="18"/>
          <w:szCs w:val="18"/>
          <w:color w:val="auto"/>
        </w:rPr>
      </w:pPr>
    </w:p>
    <w:p>
      <w:pPr>
        <w:ind w:left="1360" w:hanging="744"/>
        <w:spacing w:after="0"/>
        <w:tabs>
          <w:tab w:leader="none" w:pos="136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right="260" w:firstLine="644"/>
        <w:spacing w:after="0" w:line="308" w:lineRule="auto"/>
        <w:tabs>
          <w:tab w:leader="none" w:pos="1969" w:val="left"/>
        </w:tabs>
        <w:numPr>
          <w:ilvl w:val="1"/>
          <w:numId w:val="77"/>
        </w:numPr>
        <w:rPr>
          <w:rFonts w:ascii="Arial" w:cs="Arial" w:eastAsia="Arial" w:hAnsi="Arial"/>
          <w:sz w:val="17"/>
          <w:szCs w:val="17"/>
          <w:color w:val="auto"/>
        </w:rPr>
      </w:pPr>
      <w:r>
        <w:rPr>
          <w:rFonts w:ascii="Arial" w:cs="Arial" w:eastAsia="Arial" w:hAnsi="Arial"/>
          <w:sz w:val="17"/>
          <w:szCs w:val="17"/>
          <w:color w:val="auto"/>
        </w:rPr>
        <w:t>To permit registrations of transfers and exchanges, the Company will execute and the Trustee will authenticate Global Notes and Definitive Notes upon receipt of an Authentication Order in accordance with Section 2.02 or at the Registrar’s request.</w:t>
      </w:r>
    </w:p>
    <w:p>
      <w:pPr>
        <w:spacing w:after="0" w:line="146" w:lineRule="exact"/>
        <w:rPr>
          <w:rFonts w:ascii="Arial" w:cs="Arial" w:eastAsia="Arial" w:hAnsi="Arial"/>
          <w:sz w:val="17"/>
          <w:szCs w:val="17"/>
          <w:color w:val="auto"/>
        </w:rPr>
      </w:pPr>
    </w:p>
    <w:p>
      <w:pPr>
        <w:jc w:val="both"/>
        <w:ind w:left="620" w:right="60" w:firstLine="644"/>
        <w:spacing w:after="0" w:line="259" w:lineRule="auto"/>
        <w:tabs>
          <w:tab w:leader="none" w:pos="1973"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and the Trustee may require payment of a sum sufficient to cover any transfer tax or similar governmental charge payable in connection therewith (other than any such transfer taxes or similar governmental charge payable upon exchange or transfer pursuant to Sections 2.10, 3.06, 3.09, 4.10, 4.15 and 9.05).</w:t>
      </w:r>
    </w:p>
    <w:p>
      <w:pPr>
        <w:spacing w:after="0" w:line="186" w:lineRule="exact"/>
        <w:rPr>
          <w:rFonts w:ascii="Arial" w:cs="Arial" w:eastAsia="Arial" w:hAnsi="Arial"/>
          <w:sz w:val="18"/>
          <w:szCs w:val="18"/>
          <w:color w:val="auto"/>
        </w:rPr>
      </w:pPr>
    </w:p>
    <w:p>
      <w:pPr>
        <w:ind w:left="620" w:right="340" w:firstLine="644"/>
        <w:spacing w:after="0" w:line="277" w:lineRule="auto"/>
        <w:tabs>
          <w:tab w:leader="none" w:pos="1969"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jc w:val="both"/>
        <w:ind w:left="620" w:right="40" w:firstLine="644"/>
        <w:spacing w:after="0" w:line="263" w:lineRule="auto"/>
        <w:tabs>
          <w:tab w:leader="none" w:pos="196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183" w:lineRule="exact"/>
        <w:rPr>
          <w:rFonts w:ascii="Arial" w:cs="Arial" w:eastAsia="Arial" w:hAnsi="Arial"/>
          <w:sz w:val="18"/>
          <w:szCs w:val="18"/>
          <w:color w:val="auto"/>
        </w:rPr>
      </w:pPr>
    </w:p>
    <w:p>
      <w:pPr>
        <w:ind w:left="1960" w:hanging="696"/>
        <w:spacing w:after="0"/>
        <w:tabs>
          <w:tab w:leader="none" w:pos="1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225" w:lineRule="exact"/>
        <w:rPr>
          <w:rFonts w:ascii="Arial" w:cs="Arial" w:eastAsia="Arial" w:hAnsi="Arial"/>
          <w:sz w:val="18"/>
          <w:szCs w:val="18"/>
          <w:color w:val="auto"/>
        </w:rPr>
      </w:pPr>
    </w:p>
    <w:p>
      <w:pPr>
        <w:ind w:left="1260" w:right="140" w:firstLine="652"/>
        <w:spacing w:after="0" w:line="263" w:lineRule="auto"/>
        <w:tabs>
          <w:tab w:leader="none" w:pos="2698" w:val="left"/>
        </w:tabs>
        <w:numPr>
          <w:ilvl w:val="2"/>
          <w:numId w:val="77"/>
        </w:numPr>
        <w:rPr>
          <w:rFonts w:ascii="Arial" w:cs="Arial" w:eastAsia="Arial" w:hAnsi="Arial"/>
          <w:sz w:val="18"/>
          <w:szCs w:val="18"/>
          <w:color w:val="auto"/>
        </w:rPr>
      </w:pPr>
      <w:r>
        <w:rPr>
          <w:rFonts w:ascii="Arial" w:cs="Arial" w:eastAsia="Arial" w:hAnsi="Arial"/>
          <w:sz w:val="18"/>
          <w:szCs w:val="18"/>
          <w:color w:val="auto"/>
        </w:rPr>
        <w:t>to 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183" w:lineRule="exact"/>
        <w:rPr>
          <w:rFonts w:ascii="Arial" w:cs="Arial" w:eastAsia="Arial" w:hAnsi="Arial"/>
          <w:sz w:val="18"/>
          <w:szCs w:val="18"/>
          <w:color w:val="auto"/>
        </w:rPr>
      </w:pPr>
    </w:p>
    <w:p>
      <w:pPr>
        <w:ind w:left="1260" w:right="40" w:firstLine="652"/>
        <w:spacing w:after="0" w:line="277" w:lineRule="auto"/>
        <w:tabs>
          <w:tab w:leader="none" w:pos="2688" w:val="left"/>
        </w:tabs>
        <w:numPr>
          <w:ilvl w:val="2"/>
          <w:numId w:val="77"/>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170" w:lineRule="exact"/>
        <w:rPr>
          <w:rFonts w:ascii="Arial" w:cs="Arial" w:eastAsia="Arial" w:hAnsi="Arial"/>
          <w:sz w:val="18"/>
          <w:szCs w:val="18"/>
          <w:color w:val="auto"/>
        </w:rPr>
      </w:pPr>
    </w:p>
    <w:p>
      <w:pPr>
        <w:ind w:left="2700" w:hanging="788"/>
        <w:spacing w:after="0"/>
        <w:tabs>
          <w:tab w:leader="none" w:pos="2700" w:val="left"/>
        </w:tabs>
        <w:numPr>
          <w:ilvl w:val="2"/>
          <w:numId w:val="77"/>
        </w:numPr>
        <w:rPr>
          <w:rFonts w:ascii="Arial" w:cs="Arial" w:eastAsia="Arial" w:hAnsi="Arial"/>
          <w:sz w:val="16"/>
          <w:szCs w:val="16"/>
          <w:color w:val="auto"/>
        </w:rPr>
      </w:pPr>
      <w:r>
        <w:rPr>
          <w:rFonts w:ascii="Arial" w:cs="Arial" w:eastAsia="Arial" w:hAnsi="Arial"/>
          <w:sz w:val="16"/>
          <w:szCs w:val="16"/>
          <w:color w:val="auto"/>
        </w:rPr>
        <w:t>to register the transfer of or to exchange a Note between a record date and the next succeeding interest payment date.</w:t>
      </w:r>
    </w:p>
    <w:p>
      <w:pPr>
        <w:spacing w:after="0" w:line="248" w:lineRule="exact"/>
        <w:rPr>
          <w:rFonts w:ascii="Arial" w:cs="Arial" w:eastAsia="Arial" w:hAnsi="Arial"/>
          <w:sz w:val="16"/>
          <w:szCs w:val="16"/>
          <w:color w:val="auto"/>
        </w:rPr>
      </w:pPr>
    </w:p>
    <w:p>
      <w:pPr>
        <w:jc w:val="both"/>
        <w:ind w:left="620" w:right="60" w:firstLine="644"/>
        <w:spacing w:after="0" w:line="311" w:lineRule="auto"/>
        <w:tabs>
          <w:tab w:leader="none" w:pos="2018" w:val="left"/>
        </w:tabs>
        <w:numPr>
          <w:ilvl w:val="1"/>
          <w:numId w:val="77"/>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51" w:name="page52"/>
    <w:bookmarkEnd w:id="51"/>
    <w:p>
      <w:pPr>
        <w:ind w:left="2060" w:hanging="756"/>
        <w:spacing w:after="0"/>
        <w:tabs>
          <w:tab w:leader="none" w:pos="2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Trustee will authenticate Global Notes and Definitive Notes in accordance with the provisions of Section 2.02 hereof.</w:t>
      </w:r>
    </w:p>
    <w:p>
      <w:pPr>
        <w:spacing w:after="0" w:line="236" w:lineRule="exact"/>
        <w:rPr>
          <w:rFonts w:ascii="Arial" w:cs="Arial" w:eastAsia="Arial" w:hAnsi="Arial"/>
          <w:sz w:val="17"/>
          <w:szCs w:val="17"/>
          <w:color w:val="auto"/>
        </w:rPr>
      </w:pPr>
    </w:p>
    <w:p>
      <w:pPr>
        <w:ind w:left="660" w:firstLine="644"/>
        <w:spacing w:after="0" w:line="277" w:lineRule="auto"/>
        <w:tabs>
          <w:tab w:leader="none" w:pos="20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 or PDF.</w:t>
      </w:r>
    </w:p>
    <w:p>
      <w:pPr>
        <w:spacing w:after="0" w:line="170" w:lineRule="exact"/>
        <w:rPr>
          <w:rFonts w:ascii="Arial" w:cs="Arial" w:eastAsia="Arial" w:hAnsi="Arial"/>
          <w:sz w:val="18"/>
          <w:szCs w:val="18"/>
          <w:color w:val="auto"/>
        </w:rPr>
      </w:pPr>
    </w:p>
    <w:p>
      <w:pPr>
        <w:ind w:left="660" w:firstLine="644"/>
        <w:spacing w:after="0" w:line="291" w:lineRule="auto"/>
        <w:tabs>
          <w:tab w:leader="none" w:pos="2058"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Neither the Trustee nor the Registrar shall have any duty to monitor the Company’s compliance with or have any responsibility with respect to the Company’s compliance with any federal or state securities laws in connection with registrations of transfers and exchanges of the Notes. The Trustee shall have no obligation or duty to monitor, determine or inquire as to compliance with any restrictions on transfer imposed under this Indenture or under applicable law with respect to any transfer of any interest in any Notes (including any transfers between or among the Depository’s participants or beneficial owners of interests in any Global Note) other than to require delivery of such certificates and other documentation, as is expressly required by, and to do so if and when expressly required by, the terms of this Indenture or the Notes and to examine the same to determine substantial compliance as to form with the express requirements hereof.</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i w:val="1"/>
          <w:iCs w:val="1"/>
          <w:color w:val="auto"/>
        </w:rPr>
        <w:t>Replacement Notes.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any mutilated Note is surrendered to the Trustee or either the Company or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for its expenses in replacing a Note.</w:t>
      </w:r>
    </w:p>
    <w:p>
      <w:pPr>
        <w:spacing w:after="0" w:line="16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Every replacement Note issued in accordance with this Section 2.07 is an additional obligation of the Company and will be entitled to all of the benefits of this Indenture equally and proportionately with all other Notes duly issued hereunder.</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i w:val="1"/>
          <w:iCs w:val="1"/>
          <w:color w:val="auto"/>
        </w:rPr>
        <w:t>Outstanding Notes.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 however, Notes held by the Company or a Subsidiary of the Company shall not be deemed to be outstanding for purposes of Section 3.07(a).</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Trustee receives proof satisfactory to it that the replaced Note is held by a protected purchaser for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principal amount of any Note is considered paid under Section 4.01, it ceases to be outstanding and interest on it ceases to accrue.</w:t>
      </w:r>
    </w:p>
    <w:p>
      <w:pPr>
        <w:spacing w:after="0" w:line="237"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18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i w:val="1"/>
          <w:iCs w:val="1"/>
          <w:color w:val="auto"/>
        </w:rPr>
        <w:t>Treasury Notes.</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Notes that a Responsible Officer of the Trustee knows are so owned will be so disregarded.</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2" w:name="page53"/>
    <w:bookmarkEnd w:id="52"/>
    <w:p>
      <w:pPr>
        <w:ind w:left="660"/>
        <w:spacing w:after="0"/>
        <w:tabs>
          <w:tab w:leader="none" w:pos="19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Temporary Notes.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in its customary manner. Certification of the disposition of all canceled Notes will be delivered to the Company upon its written request therefor. The Company may not issue new Notes to replace Notes that it has paid or that have been delivered to the Trustee for cancellation.</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Defaulted Interest.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If the Company defaults in a payment of interest on the Notes, it will pay the defaulted interest in any lawful manner </w:t>
      </w:r>
      <w:r>
        <w:rPr>
          <w:rFonts w:ascii="Arial" w:cs="Arial" w:eastAsia="Arial" w:hAnsi="Arial"/>
          <w:sz w:val="17"/>
          <w:szCs w:val="17"/>
          <w:i w:val="1"/>
          <w:iCs w:val="1"/>
          <w:color w:val="auto"/>
        </w:rPr>
        <w:t>plus</w:t>
      </w:r>
      <w:r>
        <w:rPr>
          <w:rFonts w:ascii="Arial" w:cs="Arial" w:eastAsia="Arial" w:hAnsi="Arial"/>
          <w:sz w:val="17"/>
          <w:szCs w:val="17"/>
          <w:color w:val="auto"/>
        </w:rPr>
        <w:t xml:space="preserve">, to the extent lawful, interest payable on the defaulted interest, to the Persons who are Holders on a subsequent special record date, in each case at the rate provided in the Notes and in Section 4.01.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will send or cause to be sent to Holders a notice that states the special record date, the related payment date and the amount of such interest to be paid.</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CUSIP, ISIN and Common Code Numbers.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Company in issuing the Notes may use “CUSIP” numbers, ISINs and “Common Code” numbers (in each case, if then generally in use) and, if so, the Trustee will use “CUSIP” numbers, ISINs and “Common Code” numbers in notices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and that reliance may be placed only on the other identification numbers printed on the Notes, and any such notice will not be affected by any defect in or omission of such numbers. The Company will promptly notify the Trustee in writing of any change in the “CUSIP” numbers, ISINs and “Common Code” numbers applicable to the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it must furnish to the Trustee, at least 15 days but not more than 60 days before a redemption date, an Officer’s Certificate setting forth:</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2060" w:hanging="756"/>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principal amount of Notes to be redeemed;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the redemption complies with any applicable covenants or conditions precedent set forth in this Indenture; and</w:t>
      </w:r>
    </w:p>
    <w:p>
      <w:pPr>
        <w:spacing w:after="0" w:line="225" w:lineRule="exact"/>
        <w:rPr>
          <w:rFonts w:ascii="Arial" w:cs="Arial" w:eastAsia="Arial" w:hAnsi="Arial"/>
          <w:sz w:val="18"/>
          <w:szCs w:val="18"/>
          <w:color w:val="auto"/>
        </w:rPr>
      </w:pPr>
    </w:p>
    <w:p>
      <w:pPr>
        <w:ind w:left="660" w:right="80" w:firstLine="644"/>
        <w:spacing w:after="0" w:line="263" w:lineRule="auto"/>
        <w:tabs>
          <w:tab w:leader="none" w:pos="20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redemption price. If the redemption price is not known at the time such Officer’s Certificate is to be given, the actual redemption price calculated as described in the terms of the Notes will be set forth in an Officer’s Certificate delivered to the Trustee no later than two Business Days prior to the redemption date.</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225"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 xml:space="preserve">If less than all of the Notes are to be redeemed or purchased in an offer to purchase at any time, Notes for redemption or purchase will be selected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by such method as the Trustee deems fair and appropriate (or, in the case of Global Notes, beneficial interests in such Notes may be selected for redemption by the applicable clearing system in accordance with customary procedures), in whole multiples of $1,000.</w:t>
      </w:r>
    </w:p>
    <w:p>
      <w:pPr>
        <w:spacing w:after="0" w:line="14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the event of partial redemption or purchase of certificated Notes, the particular Notes to be redeemed or purchased will be selected, unless otherwise provided herein, not less than 15 days nor more than 60 days prior to the redemption or purchase date by the Trustee from the outstanding Notes not previously called for redemption or purchase.</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Trustee will promptly notify the Company in writing of the certificated Notes selected for redemption or purchase and, in the case of any Note selected for partial redemption or purchase, the principal amount thereof to be redeemed or purchased. Notes and portions of Notes selected will be in amounts of $2,000 or whole multiples of $1,000 in excess thereof; except that if all of the Notes of a Holder are to be redeemed or purchased, the entire outstanding amount of Notes held by such Holder, even if not in the amount of $2,000 or a whole multiple of $1,000 in excess thereof, shall be redeemed or purchased. Except as provided in the preceding sentence, provisions of this Indenture that apply to Notes called for redemption or purchase also apply to portions of Notes called for redemption or purchase.</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Subject to the provisions of Section 3.09, at least 15 days but not more than 60 days before a redemption date, the Company will send or cause to be sent a notice of redemption to each Holder whose Notes are to be redeemed at its registered address, except that redemption notices may be sent more than 60 days prior to a redemption date if the notice is issued in connection with a defeasance of the Notes or a satisfaction and discharge of this Indenture pursuant to Articles VIII or XI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225" w:lineRule="exact"/>
        <w:rPr>
          <w:sz w:val="20"/>
          <w:szCs w:val="20"/>
          <w:color w:val="auto"/>
        </w:rPr>
      </w:pPr>
    </w:p>
    <w:p>
      <w:pPr>
        <w:ind w:left="2060" w:hanging="756"/>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660" w:right="20" w:firstLine="644"/>
        <w:spacing w:after="0" w:line="263" w:lineRule="auto"/>
        <w:tabs>
          <w:tab w:leader="none" w:pos="20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Holder of Notes upon cancellation of the original Note (or through book entry transfer);</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2060" w:hanging="756"/>
        <w:spacing w:after="0"/>
        <w:tabs>
          <w:tab w:leader="none" w:pos="2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firstLine="644"/>
        <w:spacing w:after="0" w:line="277" w:lineRule="auto"/>
        <w:tabs>
          <w:tab w:leader="none" w:pos="205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or any conditions precedent are not satisfied,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redeemed;</w:t>
      </w:r>
    </w:p>
    <w:p>
      <w:pPr>
        <w:spacing w:after="0" w:line="210" w:lineRule="exact"/>
        <w:rPr>
          <w:rFonts w:ascii="Arial" w:cs="Arial" w:eastAsia="Arial" w:hAnsi="Arial"/>
          <w:sz w:val="17"/>
          <w:szCs w:val="17"/>
          <w:color w:val="auto"/>
        </w:rPr>
      </w:pPr>
    </w:p>
    <w:p>
      <w:pPr>
        <w:ind w:left="2060" w:hanging="756"/>
        <w:spacing w:after="0"/>
        <w:tabs>
          <w:tab w:leader="none" w:pos="2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conditions precedent to such redemption described in reasonable detail;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Notes.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At the Company’s request, the Trustee will give the notice of redemption in the Company’s name and at its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has delivered to the Trustee, at least 45 days prior to the redemption date (unless a shorter period shall be satisfactory to the Trustee), an Officer’s Certificate requesting that the Trustee give such notice together with the notice to be given setting forth the information to be stated in such notice as provided in the preceding paragraph.</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Once notice of redemption is sent in accordance with Section 3.03, Notes called for redemption become irrevocably due and payable on the redemption date at the redemption price, subject to any applicable conditions stated therein.</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Notices of any redemption of the Notes may be subject to the satisfaction of one or more conditions precedent established by the Company, in its sole discretion. If applicable, such notice shall state that, at the discretion of the Company, the redemption date may be delayed until such time as any or all such conditions have been satisfied (or waived). In addition, the Company may provide in any such notice that payment of the redemption price and the performance of its obligations with respect to such redemption may not be performed by another Person. The Company will provide written notice to the Trustee prior to the close of business three Business Days prior to the redemption date (or such shorter period as may be acceptable to the Trustee) if any such redemption has been rescinded or delayed, and upon receipt the Trustee shall provide such notice to each Holder of the Notes in the same manner in which the notice of redemption was given.</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One Business Day prior to the redemption or purchase date, the Company will deposit with the Trustee or with the Paying Agent money sufficient to pay the redemption or purchase price, as applicable, of and accrued and unpaid interest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and unpaid interest on, all Notes to be redeemed or purchased.</w:t>
      </w:r>
    </w:p>
    <w:p>
      <w:pPr>
        <w:spacing w:after="0" w:line="15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5" w:name="page56"/>
    <w:bookmarkEnd w:id="55"/>
    <w:p>
      <w:pPr>
        <w:ind w:left="660"/>
        <w:spacing w:after="0"/>
        <w:tabs>
          <w:tab w:leader="none" w:pos="20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Upon surrender of a Note that is redeemed or purchased in part, the Company will issue and, upon receipt of an Authentication Order, the Trustee will transfer by book entry or authenticate for the Holder at the expense of the Company a new Note equal in principal amount to the unredeemed or unpurchased portion of the Note surrendered.</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ind w:right="80" w:firstLine="656"/>
        <w:spacing w:after="0" w:line="257" w:lineRule="auto"/>
        <w:tabs>
          <w:tab w:leader="none" w:pos="133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At any time prior to August 15, 2023, the Company may on any one or more occasions redeem up to 40% of the aggregate principal amount of Notes issued under this Indenture upon not less than 15 days nor more than 60 days prior notice at a redemption price of 103.875% of the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on the Notes to be redeemed to, but excluding, the redemption date, subject to the rights of Holders of record on the relevant record date to receive interest due on the relevant interest payment date, with the net cash proceeds of one or more Equity Offerings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ind w:left="660" w:right="280" w:firstLine="644"/>
        <w:spacing w:after="0" w:line="277" w:lineRule="auto"/>
        <w:tabs>
          <w:tab w:leader="none" w:pos="205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at least 60% of the aggregate principal amount of Notes originally issued under this Indenture (excluding Notes held by the Company and its Subsidiaries) remains outstanding immediately after the occurrence of such redemption;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Equity Offering.</w:t>
      </w:r>
    </w:p>
    <w:p>
      <w:pPr>
        <w:spacing w:after="0" w:line="225" w:lineRule="exact"/>
        <w:rPr>
          <w:rFonts w:ascii="Arial" w:cs="Arial" w:eastAsia="Arial" w:hAnsi="Arial"/>
          <w:sz w:val="18"/>
          <w:szCs w:val="18"/>
          <w:color w:val="auto"/>
        </w:rPr>
      </w:pPr>
    </w:p>
    <w:p>
      <w:pPr>
        <w:ind w:right="40" w:firstLine="656"/>
        <w:spacing w:after="0" w:line="263" w:lineRule="auto"/>
        <w:tabs>
          <w:tab w:leader="none" w:pos="1343"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redemption or notice of any redemption with the proceeds of an Equity Offering pursuant to Section 3.07(a) may, at the Company’s discretion, be subject to one or more conditions precedent, including, but not limited to, completion of such Equity Offering and may be given prior to the completion thereof.</w:t>
      </w:r>
    </w:p>
    <w:p>
      <w:pPr>
        <w:spacing w:after="0" w:line="183" w:lineRule="exact"/>
        <w:rPr>
          <w:rFonts w:ascii="Arial" w:cs="Arial" w:eastAsia="Arial" w:hAnsi="Arial"/>
          <w:sz w:val="18"/>
          <w:szCs w:val="18"/>
          <w:color w:val="auto"/>
        </w:rPr>
      </w:pPr>
    </w:p>
    <w:p>
      <w:pPr>
        <w:ind w:right="60" w:firstLine="656"/>
        <w:spacing w:after="0" w:line="275" w:lineRule="auto"/>
        <w:tabs>
          <w:tab w:leader="none" w:pos="1333"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At any time prior to August 15, 2023, the Company may redeem all or a part of the notes upon notice as described in Section 3.03 at a redemption price equal to 100% of the principal amount of the notes redeemed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Premium as of, and accrued and unpaid interest, if any, to, but excluding the date of redemption, subject to the rights of holders of record on the relevant record date to receive interest due on the relevant interest payment date. Calculation of the Applicable Premium will be made by the Company or on its behalf by such Person as the Company may designate;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calculation or the correctness thereof shall not be a duty or obligation of the Trustee.</w:t>
      </w:r>
    </w:p>
    <w:p>
      <w:pPr>
        <w:spacing w:after="0" w:line="176" w:lineRule="exact"/>
        <w:rPr>
          <w:rFonts w:ascii="Arial" w:cs="Arial" w:eastAsia="Arial" w:hAnsi="Arial"/>
          <w:sz w:val="17"/>
          <w:szCs w:val="17"/>
          <w:color w:val="auto"/>
        </w:rPr>
      </w:pPr>
    </w:p>
    <w:p>
      <w:pPr>
        <w:ind w:left="1360" w:hanging="704"/>
        <w:spacing w:after="0"/>
        <w:tabs>
          <w:tab w:leader="none" w:pos="1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Except pursuant to paragraphs (a), (b) and (c) of this Section 3.07, the Notes will not be redeemable at the Company’s option prior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August 15, 2023.</w:t>
      </w:r>
    </w:p>
    <w:p>
      <w:pPr>
        <w:spacing w:after="0" w:line="210" w:lineRule="exact"/>
        <w:rPr>
          <w:rFonts w:ascii="Arial" w:cs="Arial" w:eastAsia="Arial" w:hAnsi="Arial"/>
          <w:sz w:val="16"/>
          <w:szCs w:val="16"/>
          <w:color w:val="auto"/>
        </w:rPr>
      </w:pPr>
    </w:p>
    <w:p>
      <w:pPr>
        <w:ind w:firstLine="656"/>
        <w:spacing w:after="0" w:line="279" w:lineRule="auto"/>
        <w:tabs>
          <w:tab w:leader="none" w:pos="1343"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On or after August 15, 2023, the Company may redeem all or a part of the Notes upon not less than 15 nor more than 60 days’ notice, at the redemption prices (expressed as percentages of principal amount) set forth below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if any, on the Notes redeemed, to, but excluding, the applicable redemption date, if redeemed during the twelve-month period beginning on August 15 of the years indicated below, subject to the rights of Holders of Notes on the relevant record date to receive interest on the relevant interest payment date: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101.938%</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100.969%</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and after the applicable redemption date.</w:t>
      </w:r>
    </w:p>
    <w:p>
      <w:pPr>
        <w:spacing w:after="0" w:line="170" w:lineRule="exact"/>
        <w:rPr>
          <w:sz w:val="20"/>
          <w:szCs w:val="20"/>
          <w:color w:val="auto"/>
        </w:rPr>
      </w:pPr>
    </w:p>
    <w:p>
      <w:pPr>
        <w:ind w:right="100" w:firstLine="656"/>
        <w:spacing w:after="0" w:line="277" w:lineRule="auto"/>
        <w:tabs>
          <w:tab w:leader="none" w:pos="131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For the avoidance of doubt, the Company may at any time and from time to time purchase the Notes in the open market or otherwise.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6" w:name="page57"/>
    <w:bookmarkEnd w:id="56"/>
    <w:p>
      <w:pPr>
        <w:ind w:left="660"/>
        <w:spacing w:after="0"/>
        <w:tabs>
          <w:tab w:leader="none" w:pos="204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 is not required to make mandatory redemption or sinking fund payments with respect to the Notes, other than as set forth in Section 3.10.</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i w:val="1"/>
          <w:iCs w:val="1"/>
          <w:color w:val="auto"/>
        </w:rPr>
        <w:t>Offer to Purchase by Application of Excess Proceeds.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the event that, pursuant to Section 4.10 hereof, the Company is required to commence an Asset Sale Offer, it will follow the procedures specified below.</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Asset Sale Offer shall be made to all Holders and all holders of other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7"/>
          <w:szCs w:val="17"/>
          <w:b w:val="1"/>
          <w:bCs w:val="1"/>
          <w:i w:val="1"/>
          <w:iCs w:val="1"/>
          <w:color w:val="auto"/>
        </w:rPr>
        <w:t>Offer Period</w:t>
      </w:r>
      <w:r>
        <w:rPr>
          <w:rFonts w:ascii="Arial" w:cs="Arial" w:eastAsia="Arial" w:hAnsi="Arial"/>
          <w:sz w:val="17"/>
          <w:szCs w:val="17"/>
          <w:color w:val="auto"/>
        </w:rPr>
        <w:t>”). No later than three Business Days after the termination of the Offer Period (the “</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the Company will apply all Excess Proceeds (the “</w:t>
      </w:r>
      <w:r>
        <w:rPr>
          <w:rFonts w:ascii="Arial" w:cs="Arial" w:eastAsia="Arial" w:hAnsi="Arial"/>
          <w:sz w:val="17"/>
          <w:szCs w:val="17"/>
          <w:b w:val="1"/>
          <w:bCs w:val="1"/>
          <w:i w:val="1"/>
          <w:iCs w:val="1"/>
          <w:color w:val="auto"/>
        </w:rPr>
        <w:t>Offer Amount</w:t>
      </w:r>
      <w:r>
        <w:rPr>
          <w:rFonts w:ascii="Arial" w:cs="Arial" w:eastAsia="Arial" w:hAnsi="Arial"/>
          <w:sz w:val="17"/>
          <w:szCs w:val="17"/>
          <w:color w:val="auto"/>
        </w:rPr>
        <w:t xml:space="preserve">”) to the purchase of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if applicable) or, if less than the Offer Amount has been tendered, all Notes and other Indebtedness tendered in response to the Asset Sale Offer. Payment for any Notes so purchased will be made in the same manner as interest payments are made.</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if any, will be paid to the Person in whose name a Note is registered at the close of business on such record date, and no additional interest will be payable to Holders who tender Notes pursuant to the Asset Sale Offer.</w:t>
      </w:r>
    </w:p>
    <w:p>
      <w:pPr>
        <w:spacing w:after="0" w:line="18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Upon the commencement of an Asset Sale Offer, the Company will deliver a notice to the Trustee and each of the Holders. The notice will contain all instructions and materials necessary to enable such Holders to tender Notes pursuant to the Asset Sale Offer. The notice, which will govern the terms of the Asset Sale Offer, will state:</w:t>
      </w:r>
    </w:p>
    <w:p>
      <w:pPr>
        <w:spacing w:after="0" w:line="184" w:lineRule="exact"/>
        <w:rPr>
          <w:sz w:val="20"/>
          <w:szCs w:val="20"/>
          <w:color w:val="auto"/>
        </w:rPr>
      </w:pPr>
    </w:p>
    <w:p>
      <w:pPr>
        <w:ind w:left="660" w:right="340" w:firstLine="644"/>
        <w:spacing w:after="0" w:line="277" w:lineRule="auto"/>
        <w:tabs>
          <w:tab w:leader="none" w:pos="20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and the length of time the Asset Sale Offer will remain open;</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225" w:lineRule="exact"/>
        <w:rPr>
          <w:rFonts w:ascii="Arial" w:cs="Arial" w:eastAsia="Arial" w:hAnsi="Arial"/>
          <w:sz w:val="18"/>
          <w:szCs w:val="18"/>
          <w:color w:val="auto"/>
        </w:rPr>
      </w:pPr>
    </w:p>
    <w:p>
      <w:pPr>
        <w:ind w:left="660" w:right="260" w:firstLine="644"/>
        <w:spacing w:after="0" w:line="277" w:lineRule="auto"/>
        <w:tabs>
          <w:tab w:leader="none" w:pos="20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Asset Sale Offer will cease to accrue interest on and after the Purchase Date;</w:t>
      </w:r>
    </w:p>
    <w:p>
      <w:pPr>
        <w:spacing w:after="0" w:line="170" w:lineRule="exact"/>
        <w:rPr>
          <w:rFonts w:ascii="Arial" w:cs="Arial" w:eastAsia="Arial" w:hAnsi="Arial"/>
          <w:sz w:val="18"/>
          <w:szCs w:val="18"/>
          <w:color w:val="auto"/>
        </w:rPr>
      </w:pPr>
    </w:p>
    <w:p>
      <w:pPr>
        <w:ind w:left="660" w:right="320" w:firstLine="644"/>
        <w:spacing w:after="0" w:line="277" w:lineRule="auto"/>
        <w:tabs>
          <w:tab w:leader="none" w:pos="20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 Asset Sale Offer may elect to have Notes purchased in whole multiples of $1,000 only;</w:t>
      </w:r>
    </w:p>
    <w:p>
      <w:pPr>
        <w:spacing w:after="0" w:line="170" w:lineRule="exact"/>
        <w:rPr>
          <w:rFonts w:ascii="Arial" w:cs="Arial" w:eastAsia="Arial" w:hAnsi="Arial"/>
          <w:sz w:val="18"/>
          <w:szCs w:val="18"/>
          <w:color w:val="auto"/>
        </w:rPr>
      </w:pPr>
    </w:p>
    <w:p>
      <w:pPr>
        <w:ind w:left="660" w:right="60" w:firstLine="644"/>
        <w:spacing w:after="0" w:line="311" w:lineRule="auto"/>
        <w:tabs>
          <w:tab w:leader="none" w:pos="20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148" w:lineRule="exact"/>
        <w:rPr>
          <w:rFonts w:ascii="Arial" w:cs="Arial" w:eastAsia="Arial" w:hAnsi="Arial"/>
          <w:sz w:val="16"/>
          <w:szCs w:val="16"/>
          <w:color w:val="auto"/>
        </w:rPr>
      </w:pPr>
    </w:p>
    <w:p>
      <w:pPr>
        <w:ind w:left="660" w:right="20" w:firstLine="644"/>
        <w:spacing w:after="0" w:line="311" w:lineRule="auto"/>
        <w:tabs>
          <w:tab w:leader="none" w:pos="20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Company,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60" w:right="120" w:firstLine="644"/>
        <w:spacing w:after="0" w:line="301" w:lineRule="auto"/>
        <w:tabs>
          <w:tab w:leader="none" w:pos="20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that,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surrendered by holders thereof exceeds the Offer Amount, the Company will select the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surrendered (with such adjustments as may be deemed appropriate by the Company so that only Notes in minimum denominations of $2,000, or whole multiples of $1,000 in excess thereof, will be purchased); and</w:t>
      </w:r>
    </w:p>
    <w:p>
      <w:pPr>
        <w:spacing w:after="0" w:line="157" w:lineRule="exact"/>
        <w:rPr>
          <w:rFonts w:ascii="Arial" w:cs="Arial" w:eastAsia="Arial" w:hAnsi="Arial"/>
          <w:sz w:val="16"/>
          <w:szCs w:val="16"/>
          <w:color w:val="auto"/>
        </w:rPr>
      </w:pPr>
    </w:p>
    <w:p>
      <w:pPr>
        <w:ind w:left="660" w:right="140" w:firstLine="644"/>
        <w:spacing w:after="0" w:line="277" w:lineRule="auto"/>
        <w:tabs>
          <w:tab w:leader="none" w:pos="20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Holders whose Notes were purchased only in part will be issued new Notes equal in principal amount to the unpurchased portion of the Notes surrendered (or transferred by book-entry transfer).</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On or before the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the Offer Amount of Notes or portions thereof properly tendered and not withdrawn pursuant to the Asset Sale Offer, or if less than the Offer Amount has been properly tendered and not withdrawn, all Notes properly tendered and not withdrawn,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Business Days after the Purchase Date) deliver to each Holder of the Notes properly tendered and not withdrawn an amount equal to the purchase price of the Notes tendered by such Holder and accepted by the Company for purchase, and the Company will promptly issue a new Note, and the Trustee, upon receipt of an Authentication Order from the Company, will authenticate and deliver (or cause to be transferred by book entry) such new Note to such Holder, in a principal amount equal to any unpurchased portion of the Note surrendered. Any Note not so accepted shall be promptly delivered by the Company to the Holder thereof. The Company will publicly announce the results of the Asset Sale Offer on the Purchase Date.</w:t>
      </w:r>
    </w:p>
    <w:p>
      <w:pPr>
        <w:spacing w:after="0" w:line="16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Other than as specifically provided in this Section 3.09, any purchase pursuant to this Section 3.09 shall be made pursuant to the provisions of Sections 3.01 through 3.06.</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5"/>
          <w:szCs w:val="15"/>
          <w:i w:val="1"/>
          <w:iCs w:val="1"/>
          <w:color w:val="auto"/>
        </w:rPr>
        <w:t>Payment of Notes.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will pay or cause to be paid the principal of, premium, if any, and interest, if any, on, the Notes on the dates and in the manner provided in the Notes. Principal and premium, if any, and interest, if any,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will pay interest (including post-petition interest in any proceeding under any Bankruptcy Law) on overdue principal at the rate equal to 1% per annum in excess of the then applicable interest rate on the Notes to the extent lawful; it will pay interest (including post-petition interest in any proceeding under any Bankruptcy Law) on overdue installments of interest (without regard to any applicable grace period) at the same rate to the extent lawful.</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will maintain an office or agency in the continental United States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8" w:name="page59"/>
    <w:bookmarkEnd w:id="58"/>
    <w:p>
      <w:pPr>
        <w:ind w:firstLine="648"/>
        <w:spacing w:after="0" w:line="301"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designation or rescission will in any manner relieve the Company of its obligation to maintain an office or agency in the continental United States for such purposes. The Company will give prompt written notice to the Trustee of any such designation or rescission and of any change in the location of any such other office or agency.</w:t>
      </w:r>
    </w:p>
    <w:p>
      <w:pPr>
        <w:spacing w:after="0" w:line="157"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 Company hereby designates the Corporate Trust Office of the Trustee as one such office or agency of the Company in accordance with Section 2.03, provided, that such office shall not serve as an office of the Company for purposes of service of legal process on the Company.</w:t>
      </w:r>
    </w:p>
    <w:p>
      <w:pPr>
        <w:spacing w:after="0" w:line="1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firstLine="656"/>
        <w:spacing w:after="0" w:line="263" w:lineRule="auto"/>
        <w:tabs>
          <w:tab w:leader="none" w:pos="1294"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or not required by the rules and regulations of the SEC, so long as any Notes are outstanding, the Company will furnish to the Trustee and, upon request, the Holders of Notes, within the time periods specified in the SEC’s rules and regulations (after giving effect to any extension or deferral period permitted by the SEC from time to time):</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205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Company were required to file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reports.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based 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status as an “accelerated filer” or “large accelerated filer” (each as defined in Rule 12b-2 under the Exchange Act) or as a “non-accelerated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filer” (as used in Rule 12b-2 under the Exchange Act), as the case may be, under the SEC’s rules and regulations. Each annual report on Form 10-K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 a report on the Company’s consolidated financial statements by the Company’s certified independent accountants. In addition, the Company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file a copy of each of the reports referred to in clauses (1) and (2) above with the SEC for public availability within the time periods specified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and regulations applicable to such reports (unless the SEC will not accept such a filing) and will post the reports on its website as soon as practicable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at any time, the Company is no longer subject to the periodic reporting requirements of the Exchange Act for any reason, the Company will nevertheless continue filing the reports specified in this Section 4.03(a) with the SEC within the time periods specified above unless the SEC will not accept such a filing. The Company will not take any action for the purpose of causing the SEC not to accept any such filings. If, notwithstanding the foregoing, the SEC will not accept the Company’s filings for any reason, the Company will post the reports referred to in this Section 4.03(a) on its website within the time periods that would apply if the Company were required to file those reports with the SEC.</w:t>
      </w:r>
    </w:p>
    <w:p>
      <w:pPr>
        <w:spacing w:after="0" w:line="176" w:lineRule="exact"/>
        <w:rPr>
          <w:sz w:val="20"/>
          <w:szCs w:val="20"/>
          <w:color w:val="auto"/>
        </w:rPr>
      </w:pPr>
    </w:p>
    <w:p>
      <w:pPr>
        <w:ind w:right="120" w:firstLine="656"/>
        <w:spacing w:after="0" w:line="301" w:lineRule="auto"/>
        <w:tabs>
          <w:tab w:leader="none" w:pos="1398" w:val="left"/>
        </w:tabs>
        <w:numPr>
          <w:ilvl w:val="1"/>
          <w:numId w:val="87"/>
        </w:numPr>
        <w:rPr>
          <w:rFonts w:ascii="Arial" w:cs="Arial" w:eastAsia="Arial" w:hAnsi="Arial"/>
          <w:sz w:val="16"/>
          <w:szCs w:val="16"/>
          <w:color w:val="auto"/>
        </w:rPr>
      </w:pPr>
      <w:r>
        <w:rPr>
          <w:rFonts w:ascii="Arial" w:cs="Arial" w:eastAsia="Arial" w:hAnsi="Arial"/>
          <w:sz w:val="16"/>
          <w:szCs w:val="16"/>
          <w:color w:val="auto"/>
        </w:rPr>
        <w:t>If the Company has designated any of its Subsidiaries as Unrestricted Subsidiaries, then the quarterly and annual financial information required by Section 4.03(a) will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157" w:lineRule="exact"/>
        <w:rPr>
          <w:rFonts w:ascii="Arial" w:cs="Arial" w:eastAsia="Arial" w:hAnsi="Arial"/>
          <w:sz w:val="16"/>
          <w:szCs w:val="16"/>
          <w:color w:val="auto"/>
        </w:rPr>
      </w:pPr>
    </w:p>
    <w:p>
      <w:pPr>
        <w:ind w:left="1400" w:hanging="744"/>
        <w:spacing w:after="0"/>
        <w:tabs>
          <w:tab w:leader="none" w:pos="14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For so long as any Notes remain outstanding, if at any time they are not required to file with the SEC the reports required by paragraphs</w:t>
      </w:r>
    </w:p>
    <w:p>
      <w:pPr>
        <w:spacing w:after="0" w:line="46" w:lineRule="exact"/>
        <w:rPr>
          <w:rFonts w:ascii="Arial" w:cs="Arial" w:eastAsia="Arial" w:hAnsi="Arial"/>
          <w:sz w:val="16"/>
          <w:szCs w:val="16"/>
          <w:color w:val="auto"/>
        </w:rPr>
      </w:pPr>
    </w:p>
    <w:p>
      <w:pPr>
        <w:ind w:right="160" w:firstLine="8"/>
        <w:spacing w:after="0" w:line="260" w:lineRule="auto"/>
        <w:tabs>
          <w:tab w:leader="none" w:pos="2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and (b) of this Section 4.03, the Company and the Guarantors will furnish to the Holders of Notes and to securities analysts and prospective investors, upon their request, the information required to be delivered pursuant to Rule 144A(d)(4) under the Securities Act.</w:t>
      </w:r>
    </w:p>
    <w:p>
      <w:pPr>
        <w:spacing w:after="0" w:line="185" w:lineRule="exact"/>
        <w:rPr>
          <w:rFonts w:ascii="Arial" w:cs="Arial" w:eastAsia="Arial" w:hAnsi="Arial"/>
          <w:sz w:val="18"/>
          <w:szCs w:val="18"/>
          <w:color w:val="auto"/>
        </w:rPr>
      </w:pPr>
    </w:p>
    <w:p>
      <w:pPr>
        <w:ind w:right="40" w:firstLine="656"/>
        <w:spacing w:after="0" w:line="257" w:lineRule="auto"/>
        <w:tabs>
          <w:tab w:leader="none" w:pos="13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Notwithstanding the foregoing, the Company will be deemed to have delivered such reports and information referred to above to the Holders and the Trustee for all purposes of this Indenture if the Company has filed such reports with the SEC via the EDGAR filing system (or any successor system) and such reports are publicly available. In addition, the requirements of this Section 4.03 will be deemed satisfied and the Company will be deemed to have delivered such reports and information referred to above to the Trustee for all purposes of this Indenture by the posting of reports and information that would be required to be provided on the Company’s website.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9" w:name="page60"/>
    <w:bookmarkEnd w:id="59"/>
    <w:p>
      <w:pPr>
        <w:ind w:right="60" w:firstLine="656"/>
        <w:spacing w:after="0" w:line="255" w:lineRule="auto"/>
        <w:tabs>
          <w:tab w:leader="none" w:pos="1387"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that any direct or indirect parent of the Company is or becomes a Guarantor of the Notes, the Company may satisfy its obligations under this Section 4.03 with respect to financial information relating to the Company by furnishing financial information relating to such direct or indirect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same is accompanied by consolidating information that explains in reasonable detail the differences between the information relating to such direct or indirect parent and any of its Subsidiaries other than the Company and its Restricted Subsidiaries, on the one hand, and the information relating to the Company, the Guarantors and the other Restricted Subsidiaries of the Company on a standalone basis, on the other hand.</w:t>
      </w:r>
    </w:p>
    <w:p>
      <w:pPr>
        <w:spacing w:after="0" w:line="192" w:lineRule="exact"/>
        <w:rPr>
          <w:rFonts w:ascii="Arial" w:cs="Arial" w:eastAsia="Arial" w:hAnsi="Arial"/>
          <w:sz w:val="18"/>
          <w:szCs w:val="18"/>
          <w:color w:val="auto"/>
        </w:rPr>
      </w:pPr>
    </w:p>
    <w:p>
      <w:pPr>
        <w:ind w:right="180" w:firstLine="656"/>
        <w:spacing w:after="0" w:line="296" w:lineRule="auto"/>
        <w:tabs>
          <w:tab w:leader="none" w:pos="13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Delivery of reports, information and documents to the Trustee is for informational purposes only and the Trustee’s receipt of such reports or other documents, as applicable, shall not constitute constructive notice of any information contained therein or determinable from information contained therein, including the Company’s compliance with any of its covenants under this Indenture (as to which the Trustee is entitled to rely exclusively on Officer’s Certificates). The Trustee shall not be obligated to monitor or confirm, on a continuing basis or otherwise, the Company’s or any other Person’s compliance with the covenants described above or with respect to any reports or other documents filed under this Indenture.</w:t>
      </w:r>
    </w:p>
    <w:p>
      <w:pPr>
        <w:spacing w:after="0" w:line="16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ind w:firstLine="656"/>
        <w:spacing w:after="0" w:line="289" w:lineRule="auto"/>
        <w:tabs>
          <w:tab w:leader="none" w:pos="13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and each Guarantor shall deliver to the Trustee, within 90 days after the end of each fiscal year, an Officer’s Certificate that need not comply with Section 12.04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66" w:lineRule="exact"/>
        <w:rPr>
          <w:rFonts w:ascii="Arial" w:cs="Arial" w:eastAsia="Arial" w:hAnsi="Arial"/>
          <w:sz w:val="16"/>
          <w:szCs w:val="16"/>
          <w:color w:val="auto"/>
        </w:rPr>
      </w:pPr>
    </w:p>
    <w:p>
      <w:pPr>
        <w:ind w:right="460" w:firstLine="656"/>
        <w:spacing w:after="0" w:line="263" w:lineRule="auto"/>
        <w:tabs>
          <w:tab w:leader="none" w:pos="1398"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will deliver to a Responsible Officer of the Trustee, promptly upon any Officer becoming aware of any Default or Event of Default, an Officer’s Certificate specifying such Default or Event of Default and what action the Company is taking or proposes to take with respect thereto.</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3"/>
          <w:szCs w:val="13"/>
          <w:i w:val="1"/>
          <w:iCs w:val="1"/>
          <w:color w:val="auto"/>
        </w:rPr>
        <w:t>Taxes.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0" w:name="page61"/>
    <w:bookmarkEnd w:id="60"/>
    <w:p>
      <w:pPr>
        <w:ind w:left="660"/>
        <w:spacing w:after="0"/>
        <w:tabs>
          <w:tab w:leader="none" w:pos="204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5"/>
          <w:szCs w:val="15"/>
          <w:i w:val="1"/>
          <w:iCs w:val="1"/>
          <w:color w:val="auto"/>
        </w:rPr>
        <w:t>Restricted Payments.</w:t>
      </w:r>
    </w:p>
    <w:p>
      <w:pPr>
        <w:spacing w:after="0" w:line="225"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225" w:lineRule="exact"/>
        <w:rPr>
          <w:rFonts w:ascii="Arial" w:cs="Arial" w:eastAsia="Arial" w:hAnsi="Arial"/>
          <w:sz w:val="18"/>
          <w:szCs w:val="18"/>
          <w:color w:val="auto"/>
        </w:rPr>
      </w:pPr>
    </w:p>
    <w:p>
      <w:pPr>
        <w:ind w:left="660" w:right="80" w:firstLine="644"/>
        <w:spacing w:after="0" w:line="257" w:lineRule="auto"/>
        <w:tabs>
          <w:tab w:leader="none" w:pos="20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(whether in cash, securities or other property)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except dividends or distributions payable solely in Equity Interests (other than Disqualified Stock) of the Company;</w:t>
      </w:r>
    </w:p>
    <w:p>
      <w:pPr>
        <w:spacing w:after="0" w:line="187" w:lineRule="exact"/>
        <w:rPr>
          <w:rFonts w:ascii="Arial" w:cs="Arial" w:eastAsia="Arial" w:hAnsi="Arial"/>
          <w:sz w:val="18"/>
          <w:szCs w:val="18"/>
          <w:color w:val="auto"/>
        </w:rPr>
      </w:pPr>
    </w:p>
    <w:p>
      <w:pPr>
        <w:ind w:left="660" w:firstLine="644"/>
        <w:spacing w:after="0" w:line="263" w:lineRule="auto"/>
        <w:tabs>
          <w:tab w:leader="none" w:pos="20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the Company) any Equity Interests of the Company or any direct or indirect parent of the Company held by Persons other than the Company or a Restricted Subsidiary;</w:t>
      </w:r>
    </w:p>
    <w:p>
      <w:pPr>
        <w:spacing w:after="0" w:line="183" w:lineRule="exact"/>
        <w:rPr>
          <w:rFonts w:ascii="Arial" w:cs="Arial" w:eastAsia="Arial" w:hAnsi="Arial"/>
          <w:sz w:val="18"/>
          <w:szCs w:val="18"/>
          <w:color w:val="auto"/>
        </w:rPr>
      </w:pPr>
    </w:p>
    <w:p>
      <w:pPr>
        <w:ind w:left="660" w:right="100" w:firstLine="644"/>
        <w:spacing w:after="0" w:line="255" w:lineRule="auto"/>
        <w:tabs>
          <w:tab w:leader="none" w:pos="20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make any payment (whether in cash, securities or other property) on or with respect to, or purchase, redeem, defease or otherwise acquire or retire for value any Indebtedness of the Company or any Guarantor that is contractually subordinated in right of payment to the Notes or to any Note Guarantee (excluding any intercompany Indebtedness between or among the Company and any of its Restricted Subsidiaries), except any purchase, redemption or other acquisition thereof or a payment of interest or principal, in each case, at the Stated Maturity thereof or in anticipation of the Stated Maturity thereof when due within one year of such redemption, repurchase, defeasance or other acquisition or retirement; or</w:t>
      </w:r>
    </w:p>
    <w:p>
      <w:pPr>
        <w:spacing w:after="0" w:line="192" w:lineRule="exact"/>
        <w:rPr>
          <w:rFonts w:ascii="Arial" w:cs="Arial" w:eastAsia="Arial" w:hAnsi="Arial"/>
          <w:sz w:val="18"/>
          <w:szCs w:val="18"/>
          <w:color w:val="auto"/>
        </w:rPr>
      </w:pPr>
    </w:p>
    <w:p>
      <w:pPr>
        <w:ind w:left="660" w:right="280" w:firstLine="644"/>
        <w:spacing w:after="0" w:line="277" w:lineRule="auto"/>
        <w:tabs>
          <w:tab w:leader="none" w:pos="20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these clauses (1) through (4) above being collectively referred to as “</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225" w:lineRule="exact"/>
        <w:rPr>
          <w:sz w:val="20"/>
          <w:szCs w:val="20"/>
          <w:color w:val="auto"/>
        </w:rPr>
      </w:pPr>
    </w:p>
    <w:p>
      <w:pPr>
        <w:ind w:left="2060" w:hanging="756"/>
        <w:spacing w:after="0"/>
        <w:tabs>
          <w:tab w:leader="none" w:pos="2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Default has occurred and is continuing or would occur as a consequence of such Restricted Payment;</w:t>
      </w:r>
    </w:p>
    <w:p>
      <w:pPr>
        <w:spacing w:after="0" w:line="225" w:lineRule="exact"/>
        <w:rPr>
          <w:rFonts w:ascii="Arial" w:cs="Arial" w:eastAsia="Arial" w:hAnsi="Arial"/>
          <w:sz w:val="18"/>
          <w:szCs w:val="18"/>
          <w:color w:val="auto"/>
        </w:rPr>
      </w:pPr>
    </w:p>
    <w:p>
      <w:pPr>
        <w:ind w:left="660" w:right="340" w:firstLine="644"/>
        <w:spacing w:after="0" w:line="286" w:lineRule="auto"/>
        <w:tabs>
          <w:tab w:leader="none" w:pos="205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Section 4.09(a) hereof; and</w:t>
      </w:r>
    </w:p>
    <w:p>
      <w:pPr>
        <w:spacing w:after="0" w:line="165" w:lineRule="exact"/>
        <w:rPr>
          <w:rFonts w:ascii="Arial" w:cs="Arial" w:eastAsia="Arial" w:hAnsi="Arial"/>
          <w:sz w:val="17"/>
          <w:szCs w:val="17"/>
          <w:color w:val="auto"/>
        </w:rPr>
      </w:pPr>
    </w:p>
    <w:p>
      <w:pPr>
        <w:ind w:left="660" w:right="80" w:firstLine="644"/>
        <w:spacing w:after="0" w:line="263" w:lineRule="auto"/>
        <w:tabs>
          <w:tab w:leader="none" w:pos="2058"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since the date of this Indenture (excluding Restricted Payments permitted by clauses (2) through (13) of Section 4.07(b)), is less than the sum, without duplication (the “</w:t>
      </w:r>
      <w:r>
        <w:rPr>
          <w:rFonts w:ascii="Arial" w:cs="Arial" w:eastAsia="Arial" w:hAnsi="Arial"/>
          <w:sz w:val="18"/>
          <w:szCs w:val="18"/>
          <w:b w:val="1"/>
          <w:bCs w:val="1"/>
          <w:i w:val="1"/>
          <w:iCs w:val="1"/>
          <w:color w:val="auto"/>
        </w:rPr>
        <w:t>Cumulative Credit</w:t>
      </w:r>
      <w:r>
        <w:rPr>
          <w:rFonts w:ascii="Arial" w:cs="Arial" w:eastAsia="Arial" w:hAnsi="Arial"/>
          <w:sz w:val="18"/>
          <w:szCs w:val="18"/>
          <w:color w:val="auto"/>
        </w:rPr>
        <w:t>”), of:</w:t>
      </w:r>
    </w:p>
    <w:p>
      <w:pPr>
        <w:spacing w:after="0" w:line="183" w:lineRule="exact"/>
        <w:rPr>
          <w:rFonts w:ascii="Arial" w:cs="Arial" w:eastAsia="Arial" w:hAnsi="Arial"/>
          <w:sz w:val="18"/>
          <w:szCs w:val="18"/>
          <w:color w:val="auto"/>
        </w:rPr>
      </w:pPr>
    </w:p>
    <w:p>
      <w:pPr>
        <w:ind w:left="1300" w:right="220" w:firstLine="652"/>
        <w:spacing w:after="0" w:line="259" w:lineRule="auto"/>
        <w:tabs>
          <w:tab w:leader="none" w:pos="2738"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the sum of (i) $50.0 million and (ii) 50% of the Consolidated Net Income of the Company for the period (taken as one accounting period) from July 1, 2020 to the end of the Company’s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1" w:name="page62"/>
    <w:bookmarkEnd w:id="61"/>
    <w:p>
      <w:pPr>
        <w:ind w:left="644" w:right="260" w:firstLine="652"/>
        <w:spacing w:after="0" w:line="255" w:lineRule="auto"/>
        <w:tabs>
          <w:tab w:leader="none" w:pos="2072" w:val="left"/>
        </w:tabs>
        <w:numPr>
          <w:ilvl w:val="2"/>
          <w:numId w:val="93"/>
        </w:numPr>
        <w:rPr>
          <w:rFonts w:ascii="Arial" w:cs="Arial" w:eastAsia="Arial" w:hAnsi="Arial"/>
          <w:sz w:val="18"/>
          <w:szCs w:val="18"/>
          <w:color w:val="auto"/>
        </w:rPr>
      </w:pPr>
      <w:r>
        <w:rPr>
          <w:rFonts w:ascii="Arial" w:cs="Arial" w:eastAsia="Arial" w:hAnsi="Arial"/>
          <w:sz w:val="18"/>
          <w:szCs w:val="18"/>
          <w:color w:val="auto"/>
        </w:rPr>
        <w:t xml:space="preserve">100% of the aggregate net cash proceeds and the Fair Market Value of marketable securities or other property received by the Company since the date of this Indenture as a contribution to its common equity capital or from the issue or sale of Equity Interests (other than Disqualified Stock) of the Company or from the issue or sale of convertible or exchangeable Disqualified Stock or convertible or exchangeable debt securities of the Company that have been converted into or exchanged for such Equity Interests other than Disqualified Stock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192" w:lineRule="exact"/>
        <w:rPr>
          <w:rFonts w:ascii="Arial" w:cs="Arial" w:eastAsia="Arial" w:hAnsi="Arial"/>
          <w:sz w:val="18"/>
          <w:szCs w:val="18"/>
          <w:color w:val="auto"/>
        </w:rPr>
      </w:pPr>
    </w:p>
    <w:p>
      <w:pPr>
        <w:ind w:left="644" w:right="20" w:firstLine="652"/>
        <w:spacing w:after="0" w:line="257" w:lineRule="auto"/>
        <w:tabs>
          <w:tab w:leader="none" w:pos="2072" w:val="left"/>
        </w:tabs>
        <w:numPr>
          <w:ilvl w:val="2"/>
          <w:numId w:val="93"/>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made by the Company or any of its Restricted Subsidiaries in any Person after the date of this Indenture is subsequently sold for cash or otherwise liquidated or repaid for cash (including, without limitation, by repurchase, repayment or redemption of such Restricted Investment by such Person), the cash return of capital (excluding dividends and distributions) to the Company or any of its Restricted Subsidiaries with respect to such Restricted Investment (less the cost of disposition, if any); </w:t>
      </w:r>
      <w:r>
        <w:rPr>
          <w:rFonts w:ascii="Arial" w:cs="Arial" w:eastAsia="Arial" w:hAnsi="Arial"/>
          <w:sz w:val="18"/>
          <w:szCs w:val="18"/>
          <w:i w:val="1"/>
          <w:iCs w:val="1"/>
          <w:color w:val="auto"/>
        </w:rPr>
        <w:t>plus</w:t>
      </w:r>
    </w:p>
    <w:p>
      <w:pPr>
        <w:spacing w:after="0" w:line="187" w:lineRule="exact"/>
        <w:rPr>
          <w:rFonts w:ascii="Arial" w:cs="Arial" w:eastAsia="Arial" w:hAnsi="Arial"/>
          <w:sz w:val="18"/>
          <w:szCs w:val="18"/>
          <w:color w:val="auto"/>
        </w:rPr>
      </w:pPr>
    </w:p>
    <w:p>
      <w:pPr>
        <w:ind w:left="644" w:right="460" w:firstLine="652"/>
        <w:spacing w:after="0" w:line="301" w:lineRule="auto"/>
        <w:tabs>
          <w:tab w:leader="none" w:pos="2082" w:val="left"/>
        </w:tabs>
        <w:numPr>
          <w:ilvl w:val="2"/>
          <w:numId w:val="93"/>
        </w:numPr>
        <w:rPr>
          <w:rFonts w:ascii="Arial" w:cs="Arial" w:eastAsia="Arial" w:hAnsi="Arial"/>
          <w:sz w:val="16"/>
          <w:szCs w:val="16"/>
          <w:color w:val="auto"/>
        </w:rPr>
      </w:pPr>
      <w:r>
        <w:rPr>
          <w:rFonts w:ascii="Arial" w:cs="Arial" w:eastAsia="Arial" w:hAnsi="Arial"/>
          <w:sz w:val="16"/>
          <w:szCs w:val="16"/>
          <w:color w:val="auto"/>
        </w:rPr>
        <w:t>if any Unrestricted Subsidiary of the Company (i) is redesignated as a Restricted Subsidiary, or merged or consolidated into the Company or a Restricted Subsidiary, the Fair Market Value of the Company’s Investment in such Unrestricted Subsidiary as of the date of such redesignation or (ii) pays any cash dividends or cash distributions to the Company or any of its Restricted Subsidiaries, 100% of any such cash dividends or cash distributions made after the date of this Indenture.</w:t>
      </w:r>
    </w:p>
    <w:p>
      <w:pPr>
        <w:spacing w:after="0" w:line="157" w:lineRule="exact"/>
        <w:rPr>
          <w:rFonts w:ascii="Arial" w:cs="Arial" w:eastAsia="Arial" w:hAnsi="Arial"/>
          <w:sz w:val="16"/>
          <w:szCs w:val="16"/>
          <w:color w:val="auto"/>
        </w:rPr>
      </w:pPr>
    </w:p>
    <w:p>
      <w:pPr>
        <w:ind w:left="664" w:hanging="664"/>
        <w:spacing w:after="0"/>
        <w:tabs>
          <w:tab w:leader="none" w:pos="6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provisions of Section 4.07(a) will not prohibit:</w:t>
      </w:r>
    </w:p>
    <w:p>
      <w:pPr>
        <w:spacing w:after="0" w:line="225" w:lineRule="exact"/>
        <w:rPr>
          <w:rFonts w:ascii="Arial" w:cs="Arial" w:eastAsia="Arial" w:hAnsi="Arial"/>
          <w:sz w:val="18"/>
          <w:szCs w:val="18"/>
          <w:color w:val="auto"/>
        </w:rPr>
      </w:pPr>
    </w:p>
    <w:p>
      <w:pPr>
        <w:ind w:left="4" w:right="20" w:firstLine="644"/>
        <w:spacing w:after="0" w:line="286" w:lineRule="auto"/>
        <w:tabs>
          <w:tab w:leader="none" w:pos="1402"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payment of any dividend or distribution or the consummation of any irrevocable redemption within 60 days after the date of declaration of the dividend or distribution or the giving of a redemption notice, as the case may be, if at the date of declaration or the giving of a redemption notice, the dividend, distribution or redemption payment would have complied with the provisions of this Indenture;</w:t>
      </w:r>
    </w:p>
    <w:p>
      <w:pPr>
        <w:spacing w:after="0" w:line="165" w:lineRule="exact"/>
        <w:rPr>
          <w:rFonts w:ascii="Arial" w:cs="Arial" w:eastAsia="Arial" w:hAnsi="Arial"/>
          <w:sz w:val="17"/>
          <w:szCs w:val="17"/>
          <w:color w:val="auto"/>
        </w:rPr>
      </w:pPr>
    </w:p>
    <w:p>
      <w:pPr>
        <w:ind w:left="4" w:right="80" w:firstLine="644"/>
        <w:spacing w:after="0" w:line="259" w:lineRule="auto"/>
        <w:tabs>
          <w:tab w:leader="none" w:pos="1402"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within 60 days out of the net cash proceeds of the sale (other than to a Subsidiary of the Company) of, Equity Interests of the Company (other than Disqualified Stock) or within 60 days from the contribution of common equity capital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(3)(B) of Section 4.07(a) hereof;</w:t>
      </w:r>
    </w:p>
    <w:p>
      <w:pPr>
        <w:spacing w:after="0" w:line="186" w:lineRule="exact"/>
        <w:rPr>
          <w:rFonts w:ascii="Arial" w:cs="Arial" w:eastAsia="Arial" w:hAnsi="Arial"/>
          <w:sz w:val="18"/>
          <w:szCs w:val="18"/>
          <w:color w:val="auto"/>
        </w:rPr>
      </w:pPr>
    </w:p>
    <w:p>
      <w:pPr>
        <w:ind w:left="4" w:right="240" w:firstLine="644"/>
        <w:spacing w:after="0" w:line="311" w:lineRule="auto"/>
        <w:tabs>
          <w:tab w:leader="none" w:pos="1402"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repurchase, redemption, defeasance or other acquisition or retirement for value of Indebtedness of the Company or any Guarantor that is contractually subordinated or junior in right of payment to the Notes or to any Note Guarantee, including premium, if any, and accrued interest, within 60 days with the net cash proceeds from an incurrence of Permitted Refinancing Indebtedness;</w:t>
      </w:r>
    </w:p>
    <w:p>
      <w:pPr>
        <w:spacing w:after="0" w:line="148" w:lineRule="exact"/>
        <w:rPr>
          <w:rFonts w:ascii="Arial" w:cs="Arial" w:eastAsia="Arial" w:hAnsi="Arial"/>
          <w:sz w:val="16"/>
          <w:szCs w:val="16"/>
          <w:color w:val="auto"/>
        </w:rPr>
      </w:pPr>
    </w:p>
    <w:p>
      <w:pPr>
        <w:ind w:left="4" w:right="340" w:firstLine="644"/>
        <w:spacing w:after="0" w:line="308" w:lineRule="auto"/>
        <w:tabs>
          <w:tab w:leader="none" w:pos="1402"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the payment of any dividend (or, in the case of any partnership or limited liability company, any similar distribution) or the making of any loan or advance by a Restricted Subsidiary of the Company to the holders of its Equity Interests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w:t>
      </w:r>
    </w:p>
    <w:p>
      <w:pPr>
        <w:spacing w:after="0" w:line="146" w:lineRule="exact"/>
        <w:rPr>
          <w:rFonts w:ascii="Arial" w:cs="Arial" w:eastAsia="Arial" w:hAnsi="Arial"/>
          <w:sz w:val="17"/>
          <w:szCs w:val="17"/>
          <w:color w:val="auto"/>
        </w:rPr>
      </w:pPr>
    </w:p>
    <w:p>
      <w:pPr>
        <w:ind w:left="4" w:firstLine="644"/>
        <w:spacing w:after="0" w:line="288" w:lineRule="auto"/>
        <w:tabs>
          <w:tab w:leader="none" w:pos="1402"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Equity Interests of the Company or any Restricted Subsidiary of the Company held by any current or former officer, director, employee or consultant of the Company or any of its Restricted Subsidiaries (or permitted transferees, heirs or estates of such current or former officer, director, employee or consultant) pursuant to any equity subscription agreement, stock option agreement, shareholders’ agreement or similar agreement, plan or arrangement;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price paid for all such repurchased, redeemed, acquired or retired Equity Interests may not exceed (a) $3.75 million in any fiscal year (with unused amounts in any fiscal year being carried over to succeeding calendar years subject to a maximum (without giving effect to clause (b)) of $7.5 million in any fiscal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aggregate cash proceeds received by the Company and its Restricted Subsidiaries from any issuance or reissuance of Equity Interests to directors, officers, employees and consultants and the proceeds of any “key man” life insurance policies;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the cancellation of Indebtedness owing to the Company or its Restricted Subsidiaries from members of management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such repurchase of Equity Interests will not be deemed to be a Restricted Payment;</w:t>
      </w:r>
    </w:p>
    <w:p>
      <w:pPr>
        <w:spacing w:after="0" w:line="384"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2" w:name="page63"/>
    <w:bookmarkEnd w:id="62"/>
    <w:p>
      <w:pPr>
        <w:ind w:left="-460" w:right="180" w:firstLine="644"/>
        <w:spacing w:after="0" w:line="311" w:lineRule="auto"/>
        <w:tabs>
          <w:tab w:leader="none" w:pos="938"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repurchase of Equity Interests deemed to occur upon the exercise of stock options, warrants or similar rights to the extent such Equity Interests represent a portion of the exercise price of those stock options, warrants or similar rights and the sale of common Equity Interests of the Company or any warrants or options with respect thereto pursuant to any executive compensation or stock option plan;</w:t>
      </w:r>
    </w:p>
    <w:p>
      <w:pPr>
        <w:spacing w:after="0" w:line="148" w:lineRule="exact"/>
        <w:rPr>
          <w:rFonts w:ascii="Arial" w:cs="Arial" w:eastAsia="Arial" w:hAnsi="Arial"/>
          <w:sz w:val="16"/>
          <w:szCs w:val="16"/>
          <w:color w:val="auto"/>
        </w:rPr>
      </w:pPr>
    </w:p>
    <w:p>
      <w:pPr>
        <w:ind w:left="-460" w:right="160" w:firstLine="644"/>
        <w:spacing w:after="0" w:line="257" w:lineRule="auto"/>
        <w:tabs>
          <w:tab w:leader="none" w:pos="9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cash payments in lieu of issuance of fractional shares (x) in connection with the exercise of stock options, warrants, other securities convertible into or exchangeable for the common Equity Interests or similar rights, (y) in connection with any dividend, split or combination of the Company’s common Equity Interests or any Permitted Acquisition (or similar Permitted Investment) and (z) to any holder of the Convertible Senior Notes in connection with a conversion of the Convertible Senior Notes into Equity Interests at the election of such holder pursuant to the terms of the Convertible Senior Notes Indenture;</w:t>
      </w:r>
    </w:p>
    <w:p>
      <w:pPr>
        <w:spacing w:after="0" w:line="187" w:lineRule="exact"/>
        <w:rPr>
          <w:rFonts w:ascii="Arial" w:cs="Arial" w:eastAsia="Arial" w:hAnsi="Arial"/>
          <w:sz w:val="18"/>
          <w:szCs w:val="18"/>
          <w:color w:val="auto"/>
        </w:rPr>
      </w:pPr>
    </w:p>
    <w:p>
      <w:pPr>
        <w:jc w:val="both"/>
        <w:ind w:left="-460" w:right="300" w:firstLine="644"/>
        <w:spacing w:after="0" w:line="286" w:lineRule="auto"/>
        <w:tabs>
          <w:tab w:leader="none" w:pos="93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declaration and payment of regularly scheduled or accrued dividends or distributions to holders of any class or series of Disqualified Stock of the Company or any class or series of preferred stock of any Restricted Subsidiary of the Company issued on or after the date of this Indenture in accordance with the Fixed Charge Coverage Ratio test described in Section 4.09 hereof;</w:t>
      </w:r>
    </w:p>
    <w:p>
      <w:pPr>
        <w:spacing w:after="0" w:line="165" w:lineRule="exact"/>
        <w:rPr>
          <w:rFonts w:ascii="Arial" w:cs="Arial" w:eastAsia="Arial" w:hAnsi="Arial"/>
          <w:sz w:val="17"/>
          <w:szCs w:val="17"/>
          <w:color w:val="auto"/>
        </w:rPr>
      </w:pPr>
    </w:p>
    <w:p>
      <w:pPr>
        <w:jc w:val="both"/>
        <w:ind w:left="-460" w:right="140" w:firstLine="644"/>
        <w:spacing w:after="0" w:line="263" w:lineRule="auto"/>
        <w:tabs>
          <w:tab w:leader="none" w:pos="9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purchases of fractional Equity Interests of the Company, (x) for aggregate consideration not to exceed $3.75 million since the date of this Indenture or (y) arising out of a consolidation, merger or sale of all or substantially all of the properties or assets of the Company and its Restricted Subsidiaries, taken as a whole, that is permitted pursuant to Section 5.01 hereof;</w:t>
      </w:r>
    </w:p>
    <w:p>
      <w:pPr>
        <w:spacing w:after="0" w:line="183" w:lineRule="exact"/>
        <w:rPr>
          <w:rFonts w:ascii="Arial" w:cs="Arial" w:eastAsia="Arial" w:hAnsi="Arial"/>
          <w:sz w:val="18"/>
          <w:szCs w:val="18"/>
          <w:color w:val="auto"/>
        </w:rPr>
      </w:pPr>
    </w:p>
    <w:p>
      <w:pPr>
        <w:ind w:left="-460" w:firstLine="644"/>
        <w:spacing w:after="0" w:line="263" w:lineRule="auto"/>
        <w:tabs>
          <w:tab w:leader="none" w:pos="10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dividend payments or other distributions by the Company or its Restricted Subsidiaries payable solely in the common stock or other Qualified Equity Interests of such Person (including in connection with any stock split, combination or reclassification of common stock or other Qualified Equity Interests of such Person);</w:t>
      </w:r>
    </w:p>
    <w:p>
      <w:pPr>
        <w:spacing w:after="0" w:line="183" w:lineRule="exact"/>
        <w:rPr>
          <w:rFonts w:ascii="Arial" w:cs="Arial" w:eastAsia="Arial" w:hAnsi="Arial"/>
          <w:sz w:val="18"/>
          <w:szCs w:val="18"/>
          <w:color w:val="auto"/>
        </w:rPr>
      </w:pPr>
    </w:p>
    <w:p>
      <w:pPr>
        <w:jc w:val="both"/>
        <w:ind w:left="-460" w:right="100" w:firstLine="644"/>
        <w:spacing w:after="0" w:line="263" w:lineRule="auto"/>
        <w:tabs>
          <w:tab w:leader="none" w:pos="10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payments or distributions in an amount determined by judgment or settlement approved by a court of competent jurisdiction, solely in the nature of satisfaction of dissenting stockholder rights, pursuant to or in connection with a consolidation, merger or transfer of assets that complies with Section 5.01 hereof;</w:t>
      </w:r>
    </w:p>
    <w:p>
      <w:pPr>
        <w:spacing w:after="0" w:line="183" w:lineRule="exact"/>
        <w:rPr>
          <w:rFonts w:ascii="Arial" w:cs="Arial" w:eastAsia="Arial" w:hAnsi="Arial"/>
          <w:sz w:val="18"/>
          <w:szCs w:val="18"/>
          <w:color w:val="auto"/>
        </w:rPr>
      </w:pPr>
    </w:p>
    <w:p>
      <w:pPr>
        <w:ind w:left="-460" w:right="100" w:firstLine="644"/>
        <w:spacing w:after="0" w:line="255" w:lineRule="auto"/>
        <w:tabs>
          <w:tab w:leader="none" w:pos="10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the occurrence of a Change of Control and within 60 days after completion of the offer to purchase pursuant to the repurchase of Notes upon a Change of Control covenant in accordance with the terms of this Indenture (including the purchase of all Notes tendered), any purchase or redemption of Indebtedness of the Company or any Guarantor, that is contractually subordinated or junior in right of payment to the Notes or to any Note Guarantee, or Disqualified Stock of the Company that is required to be repurchased or redeemed pursuant to the terms thereof as a result of a Change of Control, at a purchase price not greater than 101% of the outstanding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thereon);</w:t>
      </w:r>
    </w:p>
    <w:p>
      <w:pPr>
        <w:spacing w:after="0" w:line="192" w:lineRule="exact"/>
        <w:rPr>
          <w:rFonts w:ascii="Arial" w:cs="Arial" w:eastAsia="Arial" w:hAnsi="Arial"/>
          <w:sz w:val="18"/>
          <w:szCs w:val="18"/>
          <w:color w:val="auto"/>
        </w:rPr>
      </w:pPr>
    </w:p>
    <w:p>
      <w:pPr>
        <w:ind w:left="-460" w:right="120" w:firstLine="644"/>
        <w:spacing w:after="0" w:line="277" w:lineRule="auto"/>
        <w:tabs>
          <w:tab w:leader="none" w:pos="10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$100.0 million, so long as no Event of Default has occurred and is continuing or would be caused thereby;</w:t>
      </w:r>
    </w:p>
    <w:p>
      <w:pPr>
        <w:spacing w:after="0" w:line="170" w:lineRule="exact"/>
        <w:rPr>
          <w:rFonts w:ascii="Arial" w:cs="Arial" w:eastAsia="Arial" w:hAnsi="Arial"/>
          <w:sz w:val="18"/>
          <w:szCs w:val="18"/>
          <w:color w:val="auto"/>
        </w:rPr>
      </w:pPr>
    </w:p>
    <w:p>
      <w:pPr>
        <w:ind w:left="-460" w:right="80" w:firstLine="644"/>
        <w:spacing w:after="0" w:line="259" w:lineRule="auto"/>
        <w:tabs>
          <w:tab w:leader="none" w:pos="10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dividends or distributions on account of the Company’s or any of its Restricted Subsidiaries’ Equity Interests in an aggregate annual amount not to exceed $25.0 million in any calendar year (with unused amounts in any calendar year being carried over to the next succeeding calendar year subject to a maximum of $100.0 million in any calendar year), so long as no Event of Default has occurred and is continuing or would be caused thereby;</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63" w:name="page64"/>
    <w:bookmarkEnd w:id="63"/>
    <w:p>
      <w:pPr>
        <w:ind w:left="600" w:right="40" w:firstLine="644"/>
        <w:spacing w:after="0" w:line="263" w:lineRule="auto"/>
        <w:tabs>
          <w:tab w:leader="none" w:pos="20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Restricted Payments (in addition to Restricted Payments under the above clauses (1) through (14) or (16) and (17) below), so long as, after giving pro forma effect to the payment of any such Restricted Payment, the Total Leverage Ratio shall be no greater than 3.00 to 1.00, so long as no Event of Default has occurred and is continuing or would be caused thereby;</w:t>
      </w:r>
    </w:p>
    <w:p>
      <w:pPr>
        <w:spacing w:after="0" w:line="183" w:lineRule="exact"/>
        <w:rPr>
          <w:rFonts w:ascii="Arial" w:cs="Arial" w:eastAsia="Arial" w:hAnsi="Arial"/>
          <w:sz w:val="18"/>
          <w:szCs w:val="18"/>
          <w:color w:val="auto"/>
        </w:rPr>
      </w:pPr>
    </w:p>
    <w:p>
      <w:pPr>
        <w:ind w:left="2080" w:hanging="836"/>
        <w:spacing w:after="0"/>
        <w:tabs>
          <w:tab w:leader="none" w:pos="20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sale of Equity Interests of the Company to the extent constituting Qualified Equity Interests;</w:t>
      </w:r>
    </w:p>
    <w:p>
      <w:pPr>
        <w:spacing w:after="0" w:line="225" w:lineRule="exact"/>
        <w:rPr>
          <w:rFonts w:ascii="Arial" w:cs="Arial" w:eastAsia="Arial" w:hAnsi="Arial"/>
          <w:sz w:val="18"/>
          <w:szCs w:val="18"/>
          <w:color w:val="auto"/>
        </w:rPr>
      </w:pPr>
    </w:p>
    <w:p>
      <w:pPr>
        <w:ind w:left="600" w:right="460" w:firstLine="644"/>
        <w:spacing w:after="0" w:line="277" w:lineRule="auto"/>
        <w:tabs>
          <w:tab w:leader="none" w:pos="20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conversion of any Indebtedness (including the Convertible Senior Notes) or other Equity Interests into the common Equity Interests of the Company from time to time; and</w:t>
      </w:r>
    </w:p>
    <w:p>
      <w:pPr>
        <w:spacing w:after="0" w:line="170" w:lineRule="exact"/>
        <w:rPr>
          <w:rFonts w:ascii="Arial" w:cs="Arial" w:eastAsia="Arial" w:hAnsi="Arial"/>
          <w:sz w:val="18"/>
          <w:szCs w:val="18"/>
          <w:color w:val="auto"/>
        </w:rPr>
      </w:pPr>
    </w:p>
    <w:p>
      <w:pPr>
        <w:ind w:left="2080" w:hanging="836"/>
        <w:spacing w:after="0"/>
        <w:tabs>
          <w:tab w:leader="none" w:pos="20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payments or deliveries in connection with (a) a Permitted Bond Hedge Transaction or (b) Permitted Warrant Transaction</w:t>
      </w:r>
    </w:p>
    <w:p>
      <w:pPr>
        <w:spacing w:after="0" w:line="46" w:lineRule="exact"/>
        <w:rPr>
          <w:rFonts w:ascii="Arial" w:cs="Arial" w:eastAsia="Arial" w:hAnsi="Arial"/>
          <w:sz w:val="16"/>
          <w:szCs w:val="16"/>
          <w:color w:val="auto"/>
        </w:rPr>
      </w:pPr>
    </w:p>
    <w:p>
      <w:pPr>
        <w:ind w:left="600" w:right="20" w:hanging="4"/>
        <w:spacing w:after="0" w:line="255" w:lineRule="auto"/>
        <w:tabs>
          <w:tab w:leader="none" w:pos="8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by delivery of shares of the Company’s Equity Interests (other than Disqualified Stock) or (ii) otherwise, to the extent of a payment or delivery received from a Permitted Bond Hedge Transaction (whether such payment or delivery on the Permitted Warrant Transaction is effected by netting, set-off or otherwise).</w:t>
      </w:r>
    </w:p>
    <w:p>
      <w:pPr>
        <w:spacing w:after="0" w:line="190" w:lineRule="exact"/>
        <w:rPr>
          <w:sz w:val="20"/>
          <w:szCs w:val="20"/>
          <w:color w:val="auto"/>
        </w:rPr>
      </w:pPr>
    </w:p>
    <w:p>
      <w:pPr>
        <w:ind w:left="-60" w:right="40" w:firstLine="656"/>
        <w:spacing w:after="0" w:line="259" w:lineRule="auto"/>
        <w:tabs>
          <w:tab w:leader="none" w:pos="12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of all Restricted Payments (other than cash) will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will be determined by the Board of Directors of the Company whose resolution with respect thereto will be delivered to the Trustee.</w:t>
      </w:r>
    </w:p>
    <w:p>
      <w:pPr>
        <w:spacing w:after="0" w:line="186" w:lineRule="exact"/>
        <w:rPr>
          <w:rFonts w:ascii="Arial" w:cs="Arial" w:eastAsia="Arial" w:hAnsi="Arial"/>
          <w:sz w:val="18"/>
          <w:szCs w:val="18"/>
          <w:color w:val="auto"/>
        </w:rPr>
      </w:pPr>
    </w:p>
    <w:p>
      <w:pPr>
        <w:ind w:left="-60" w:right="40" w:firstLine="656"/>
        <w:spacing w:after="0" w:line="279" w:lineRule="auto"/>
        <w:tabs>
          <w:tab w:leader="none" w:pos="1293"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purposes of determining compliance with this Section 4.07, in the event that a proposed Restricted Payment (or a portion thereof) meets the criteria of clauses (1) through (18) of Section 4.07(b) or is entitled to be made pursuant to Section 4.07(a), the Company will be entitled to classify or later reclassify (based on circumstances existing on the date of such reclassification) such Restricted Payment (or portion thereof) between such clauses (1) through (18) of Section 4.07(b) and Section 4.07(a) in a manner that otherwise complies with this Section 4.07.</w:t>
      </w:r>
    </w:p>
    <w:p>
      <w:pPr>
        <w:spacing w:after="0" w:line="171"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Dividend and Other Payment Restrictions Affecting Restricted Subsidiaries.</w:t>
      </w:r>
    </w:p>
    <w:p>
      <w:pPr>
        <w:spacing w:after="0" w:line="225" w:lineRule="exact"/>
        <w:rPr>
          <w:sz w:val="20"/>
          <w:szCs w:val="20"/>
          <w:color w:val="auto"/>
        </w:rPr>
      </w:pPr>
    </w:p>
    <w:p>
      <w:pPr>
        <w:ind w:left="-60" w:firstLine="656"/>
        <w:spacing w:after="0" w:line="277" w:lineRule="auto"/>
        <w:tabs>
          <w:tab w:leader="none" w:pos="127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consensual encumbrance or restriction on the ability of any Restricted Subsidiary to:</w:t>
      </w:r>
    </w:p>
    <w:p>
      <w:pPr>
        <w:spacing w:after="0" w:line="170" w:lineRule="exact"/>
        <w:rPr>
          <w:rFonts w:ascii="Arial" w:cs="Arial" w:eastAsia="Arial" w:hAnsi="Arial"/>
          <w:sz w:val="18"/>
          <w:szCs w:val="18"/>
          <w:color w:val="auto"/>
        </w:rPr>
      </w:pPr>
    </w:p>
    <w:p>
      <w:pPr>
        <w:ind w:left="600" w:right="240" w:firstLine="644"/>
        <w:spacing w:after="0" w:line="263" w:lineRule="auto"/>
        <w:tabs>
          <w:tab w:leader="none" w:pos="2088" w:val="left"/>
        </w:tabs>
        <w:numPr>
          <w:ilvl w:val="1"/>
          <w:numId w:val="99"/>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83" w:lineRule="exact"/>
        <w:rPr>
          <w:rFonts w:ascii="Arial" w:cs="Arial" w:eastAsia="Arial" w:hAnsi="Arial"/>
          <w:sz w:val="18"/>
          <w:szCs w:val="18"/>
          <w:color w:val="auto"/>
        </w:rPr>
      </w:pPr>
    </w:p>
    <w:p>
      <w:pPr>
        <w:ind w:left="2080" w:hanging="836"/>
        <w:spacing w:after="0"/>
        <w:tabs>
          <w:tab w:leader="none" w:pos="20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make loans or advances to the Company or any of its Restricted Subsidiaries; or</w:t>
      </w:r>
    </w:p>
    <w:p>
      <w:pPr>
        <w:spacing w:after="0" w:line="225" w:lineRule="exact"/>
        <w:rPr>
          <w:rFonts w:ascii="Arial" w:cs="Arial" w:eastAsia="Arial" w:hAnsi="Arial"/>
          <w:sz w:val="18"/>
          <w:szCs w:val="18"/>
          <w:color w:val="auto"/>
        </w:rPr>
      </w:pPr>
    </w:p>
    <w:p>
      <w:pPr>
        <w:ind w:left="2080" w:hanging="836"/>
        <w:spacing w:after="0"/>
        <w:tabs>
          <w:tab w:leader="none" w:pos="20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its Restricted Subsidiaries.</w:t>
      </w:r>
    </w:p>
    <w:p>
      <w:pPr>
        <w:spacing w:after="0" w:line="225" w:lineRule="exact"/>
        <w:rPr>
          <w:rFonts w:ascii="Arial" w:cs="Arial" w:eastAsia="Arial" w:hAnsi="Arial"/>
          <w:sz w:val="18"/>
          <w:szCs w:val="18"/>
          <w:color w:val="auto"/>
        </w:rPr>
      </w:pPr>
    </w:p>
    <w:p>
      <w:pPr>
        <w:ind w:left="1300" w:hanging="70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restrictions in Section 4.08(a) will not apply to encumbrances or restrictions existing under or by reason of:</w:t>
      </w:r>
    </w:p>
    <w:p>
      <w:pPr>
        <w:spacing w:after="0" w:line="225" w:lineRule="exact"/>
        <w:rPr>
          <w:rFonts w:ascii="Arial" w:cs="Arial" w:eastAsia="Arial" w:hAnsi="Arial"/>
          <w:sz w:val="18"/>
          <w:szCs w:val="18"/>
          <w:color w:val="auto"/>
        </w:rPr>
      </w:pPr>
    </w:p>
    <w:p>
      <w:pPr>
        <w:ind w:left="600" w:right="260" w:firstLine="644"/>
        <w:spacing w:after="0" w:line="257" w:lineRule="auto"/>
        <w:tabs>
          <w:tab w:leader="none" w:pos="2088"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agreements governing Existing Indebtedness and Credit Facilities as in effect on the date of this Indenture and any amendments, modifications, restatements, renewals, increases, supplements, refundings, replacements or refinancings of those agreements;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amendments, modifications, restatements, renewals, increases, supplements, refundings, replacements or refinancings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more restrictive, taken as a whole, with respect to such dividend and other payment restrictions than those contained in those agreements on the date of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1124" w:right="399" w:bottom="1440" w:gutter="0" w:footer="0" w:header="0"/>
        </w:sectPr>
      </w:pPr>
    </w:p>
    <w:bookmarkStart w:id="64" w:name="page65"/>
    <w:bookmarkEnd w:id="64"/>
    <w:p>
      <w:pPr>
        <w:ind w:left="1480" w:hanging="836"/>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Indenture, the Notes and the Note Guarantees;</w:t>
      </w:r>
    </w:p>
    <w:p>
      <w:pPr>
        <w:spacing w:after="0" w:line="225" w:lineRule="exact"/>
        <w:rPr>
          <w:rFonts w:ascii="Arial" w:cs="Arial" w:eastAsia="Arial" w:hAnsi="Arial"/>
          <w:sz w:val="18"/>
          <w:szCs w:val="18"/>
          <w:color w:val="auto"/>
        </w:rPr>
      </w:pPr>
    </w:p>
    <w:p>
      <w:pPr>
        <w:ind w:left="1480" w:hanging="836"/>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applicable law, rule, regulation or order (or other governmental approval, license or permit);</w:t>
      </w:r>
    </w:p>
    <w:p>
      <w:pPr>
        <w:spacing w:after="0" w:line="225" w:lineRule="exact"/>
        <w:rPr>
          <w:rFonts w:ascii="Arial" w:cs="Arial" w:eastAsia="Arial" w:hAnsi="Arial"/>
          <w:sz w:val="18"/>
          <w:szCs w:val="18"/>
          <w:color w:val="auto"/>
        </w:rPr>
      </w:pPr>
    </w:p>
    <w:p>
      <w:pPr>
        <w:ind w:right="20" w:firstLine="644"/>
        <w:spacing w:after="0" w:line="257"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this Indenture to be incurred;</w:t>
      </w:r>
    </w:p>
    <w:p>
      <w:pPr>
        <w:spacing w:after="0" w:line="187" w:lineRule="exact"/>
        <w:rPr>
          <w:rFonts w:ascii="Arial" w:cs="Arial" w:eastAsia="Arial" w:hAnsi="Arial"/>
          <w:sz w:val="18"/>
          <w:szCs w:val="18"/>
          <w:color w:val="auto"/>
        </w:rPr>
      </w:pPr>
    </w:p>
    <w:p>
      <w:pPr>
        <w:ind w:left="1480" w:hanging="836"/>
        <w:spacing w:after="0"/>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customary non-assignment provisions or subletting restrictions in leases, contracts and licenses entered into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right="480" w:firstLine="644"/>
        <w:spacing w:after="0" w:line="277"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restrict the transfer of the property purchased or leased;</w:t>
      </w:r>
    </w:p>
    <w:p>
      <w:pPr>
        <w:spacing w:after="0" w:line="170" w:lineRule="exact"/>
        <w:rPr>
          <w:rFonts w:ascii="Arial" w:cs="Arial" w:eastAsia="Arial" w:hAnsi="Arial"/>
          <w:sz w:val="18"/>
          <w:szCs w:val="18"/>
          <w:color w:val="auto"/>
        </w:rPr>
      </w:pPr>
    </w:p>
    <w:p>
      <w:pPr>
        <w:jc w:val="both"/>
        <w:ind w:firstLine="644"/>
        <w:spacing w:after="0" w:line="259"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(including, without limitation, the Capital Stock or all or substantially all of the assets of that Restricted Subsidiary) that restricts distributions by that Restricted Subsidiary pending the sale or other disposition (which limitation, in the case of a sale or disposition of all or substantially all assets, is applicable only to the property or assets that are the subject of such agreement);</w:t>
      </w:r>
    </w:p>
    <w:p>
      <w:pPr>
        <w:spacing w:after="0" w:line="186" w:lineRule="exact"/>
        <w:rPr>
          <w:rFonts w:ascii="Arial" w:cs="Arial" w:eastAsia="Arial" w:hAnsi="Arial"/>
          <w:sz w:val="18"/>
          <w:szCs w:val="18"/>
          <w:color w:val="auto"/>
        </w:rPr>
      </w:pPr>
    </w:p>
    <w:p>
      <w:pPr>
        <w:ind w:right="20" w:firstLine="644"/>
        <w:spacing w:after="0" w:line="263"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spacing w:after="0" w:line="183" w:lineRule="exact"/>
        <w:rPr>
          <w:rFonts w:ascii="Arial" w:cs="Arial" w:eastAsia="Arial" w:hAnsi="Arial"/>
          <w:sz w:val="18"/>
          <w:szCs w:val="18"/>
          <w:color w:val="auto"/>
        </w:rPr>
      </w:pPr>
    </w:p>
    <w:p>
      <w:pPr>
        <w:ind w:right="240" w:firstLine="644"/>
        <w:spacing w:after="0" w:line="277"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Section 4.12 that limit the right of the debtor to dispose of the assets subject to such Liens;</w:t>
      </w:r>
    </w:p>
    <w:p>
      <w:pPr>
        <w:spacing w:after="0" w:line="170" w:lineRule="exact"/>
        <w:rPr>
          <w:rFonts w:ascii="Arial" w:cs="Arial" w:eastAsia="Arial" w:hAnsi="Arial"/>
          <w:sz w:val="18"/>
          <w:szCs w:val="18"/>
          <w:color w:val="auto"/>
        </w:rPr>
      </w:pPr>
    </w:p>
    <w:p>
      <w:pPr>
        <w:ind w:left="1480" w:hanging="836"/>
        <w:spacing w:after="0"/>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provisions limiting the disposition or distribution of assets or property in joint venture agreements, asset sale agreements,</w:t>
      </w:r>
    </w:p>
    <w:p>
      <w:pPr>
        <w:spacing w:after="0" w:line="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sale-leaseback agreements, stock sale agreements, limited liability company organizational documents and other similar agreements entered into with the approval of the Company’s Board of Directors, which limitation is applicable only to the property or assets that are the subject of such agreements;</w:t>
      </w:r>
    </w:p>
    <w:p>
      <w:pPr>
        <w:spacing w:after="0" w:line="190" w:lineRule="exact"/>
        <w:rPr>
          <w:sz w:val="20"/>
          <w:szCs w:val="20"/>
          <w:color w:val="auto"/>
        </w:rPr>
      </w:pPr>
    </w:p>
    <w:p>
      <w:pPr>
        <w:ind w:right="680" w:firstLine="644"/>
        <w:spacing w:after="0" w:line="308" w:lineRule="auto"/>
        <w:tabs>
          <w:tab w:leader="none" w:pos="148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contracts with customers or leases with lessors entered into in the ordinary course of business that impose customary restrictions on cash, Cash Equivalents, marketable securities, or other deposits or net worth or transfers of property;</w:t>
      </w:r>
    </w:p>
    <w:p>
      <w:pPr>
        <w:spacing w:after="0" w:line="146" w:lineRule="exact"/>
        <w:rPr>
          <w:rFonts w:ascii="Arial" w:cs="Arial" w:eastAsia="Arial" w:hAnsi="Arial"/>
          <w:sz w:val="17"/>
          <w:szCs w:val="17"/>
          <w:color w:val="auto"/>
        </w:rPr>
      </w:pPr>
    </w:p>
    <w:p>
      <w:pPr>
        <w:ind w:right="160" w:firstLine="644"/>
        <w:spacing w:after="0" w:line="259" w:lineRule="auto"/>
        <w:tabs>
          <w:tab w:leader="none" w:pos="14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agreements governing Indebtedness of Foreign Subsidiaries that are Restricted Subsidiaries incurred pursuant to clause (13) of Section 4.09(b)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determines in good faith that such encumbrances and restrictions (x) will not cause the Company to not have the funds necessary to pay the principal of or interest on the Notes and (y) are not materially more restrictive, taken as a whole, than is customary in comparable financings;</w:t>
      </w:r>
    </w:p>
    <w:p>
      <w:pPr>
        <w:spacing w:after="0" w:line="186" w:lineRule="exact"/>
        <w:rPr>
          <w:rFonts w:ascii="Arial" w:cs="Arial" w:eastAsia="Arial" w:hAnsi="Arial"/>
          <w:sz w:val="18"/>
          <w:szCs w:val="18"/>
          <w:color w:val="auto"/>
        </w:rPr>
      </w:pPr>
    </w:p>
    <w:p>
      <w:pPr>
        <w:ind w:right="20" w:firstLine="644"/>
        <w:spacing w:after="0" w:line="275" w:lineRule="auto"/>
        <w:tabs>
          <w:tab w:leader="none" w:pos="148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agreements governing Hedging Obligations incurred in the ordinary course of business and permitted to be incurred under the provisions of Section 4.09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determines in good faith that such encumbrances and restrictions (x) will not cause the Company to not have the funds necessary to pay the principal of or interest on the Notes and (y) such restrictions are not materially more restrictive, taken as a whole, with respect to such dividend and other payment restrictions applicable to such Restricted Subsidiary than those contained in the agreements covered by clause (1) or (2) of this Section 4.08(b);</w:t>
      </w:r>
    </w:p>
    <w:p>
      <w:pPr>
        <w:spacing w:after="0" w:line="3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65" w:name="page66"/>
    <w:bookmarkEnd w:id="65"/>
    <w:p>
      <w:pPr>
        <w:ind w:left="660" w:right="40" w:firstLine="644"/>
        <w:spacing w:after="0" w:line="259" w:lineRule="auto"/>
        <w:tabs>
          <w:tab w:leader="none" w:pos="21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any instrument governing any Indebtedness or Capital Stock of any Unrestricted Subsidiary as in effect on the date, if any, that such Unrestricted Subsidiary is redesignated as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encumbrance or restriction is not applicable to any Person, or to the property or assets of any Person, other than such redesignated Restricted Subsidiary and its Subsidiaries (immediately prior to such redesignation) and their respective properties and assets;</w:t>
      </w:r>
    </w:p>
    <w:p>
      <w:pPr>
        <w:spacing w:after="0" w:line="186" w:lineRule="exact"/>
        <w:rPr>
          <w:rFonts w:ascii="Arial" w:cs="Arial" w:eastAsia="Arial" w:hAnsi="Arial"/>
          <w:sz w:val="18"/>
          <w:szCs w:val="18"/>
          <w:color w:val="auto"/>
        </w:rPr>
      </w:pPr>
    </w:p>
    <w:p>
      <w:pPr>
        <w:ind w:left="660" w:right="440" w:firstLine="644"/>
        <w:spacing w:after="0" w:line="277" w:lineRule="auto"/>
        <w:tabs>
          <w:tab w:leader="none" w:pos="21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restrictions in effect on the Issue Date that are contained in charter documents or shareholder agreements relating to any Restricted Subsidiary;</w:t>
      </w:r>
    </w:p>
    <w:p>
      <w:pPr>
        <w:spacing w:after="0" w:line="170" w:lineRule="exact"/>
        <w:rPr>
          <w:rFonts w:ascii="Arial" w:cs="Arial" w:eastAsia="Arial" w:hAnsi="Arial"/>
          <w:sz w:val="18"/>
          <w:szCs w:val="18"/>
          <w:color w:val="auto"/>
        </w:rPr>
      </w:pPr>
    </w:p>
    <w:p>
      <w:pPr>
        <w:ind w:left="2140" w:hanging="836"/>
        <w:spacing w:after="0"/>
        <w:tabs>
          <w:tab w:leader="none" w:pos="21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customary provisions which prohibit the payment or making of dividends or other distributions other than on a pro rata basis;</w:t>
      </w:r>
    </w:p>
    <w:p>
      <w:pPr>
        <w:spacing w:after="0" w:line="248" w:lineRule="exact"/>
        <w:rPr>
          <w:rFonts w:ascii="Arial" w:cs="Arial" w:eastAsia="Arial" w:hAnsi="Arial"/>
          <w:sz w:val="16"/>
          <w:szCs w:val="16"/>
          <w:color w:val="auto"/>
        </w:rPr>
      </w:pPr>
    </w:p>
    <w:p>
      <w:pPr>
        <w:ind w:left="660" w:right="100" w:firstLine="644"/>
        <w:spacing w:after="0" w:line="259" w:lineRule="auto"/>
        <w:tabs>
          <w:tab w:leader="none" w:pos="21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restrictions arising or agreed to in the ordinary course of business, not relating to any Indebtedness, and that do not, individually or in the aggregate, (x) detract from the value of property or assets of the Company or any Restricted Subsidiary in any manner material to the Company or any Restricted Subsidiary or (y) materially affect the Company’s ability to make future principal or interest payments on the Notes, in each case, as determined in good faith by the Company; and</w:t>
      </w:r>
    </w:p>
    <w:p>
      <w:pPr>
        <w:spacing w:after="0" w:line="186" w:lineRule="exact"/>
        <w:rPr>
          <w:rFonts w:ascii="Arial" w:cs="Arial" w:eastAsia="Arial" w:hAnsi="Arial"/>
          <w:sz w:val="18"/>
          <w:szCs w:val="18"/>
          <w:color w:val="auto"/>
        </w:rPr>
      </w:pPr>
    </w:p>
    <w:p>
      <w:pPr>
        <w:ind w:left="660" w:right="80" w:firstLine="644"/>
        <w:spacing w:after="0" w:line="257" w:lineRule="auto"/>
        <w:tabs>
          <w:tab w:leader="none" w:pos="21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agreements governing other Indebtedness permitted to be incurred under Section 4.09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determines in good faith that such encumbrances and restrictions (x) will not cause the Company to not have the funds necessary to pay the principal of or interest on the Notes and (y) such restrictions are not materially more restrictive, taken as a whole, with respect to such dividend and other payment restrictions applicable to such Restricted Subsidiary than those contained in the agreements covered by clause (1) or (2) of this Section 4.08(b).</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Incurrence of Indebtedness and Issuance of Preferred Stock.</w:t>
      </w:r>
    </w:p>
    <w:p>
      <w:pPr>
        <w:spacing w:after="0" w:line="225" w:lineRule="exact"/>
        <w:rPr>
          <w:sz w:val="20"/>
          <w:szCs w:val="20"/>
          <w:color w:val="auto"/>
        </w:rPr>
      </w:pPr>
    </w:p>
    <w:p>
      <w:pPr>
        <w:ind w:firstLine="656"/>
        <w:spacing w:after="0" w:line="283" w:lineRule="auto"/>
        <w:tabs>
          <w:tab w:leader="none" w:pos="133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6"/>
          <w:szCs w:val="16"/>
          <w:b w:val="1"/>
          <w:bCs w:val="1"/>
          <w:i w:val="1"/>
          <w:iCs w:val="1"/>
          <w:color w:val="auto"/>
        </w:rPr>
        <w:t>incur</w:t>
      </w:r>
      <w:r>
        <w:rPr>
          <w:rFonts w:ascii="Arial" w:cs="Arial" w:eastAsia="Arial" w:hAnsi="Arial"/>
          <w:sz w:val="16"/>
          <w:szCs w:val="16"/>
          <w:color w:val="auto"/>
        </w:rPr>
        <w:t xml:space="preserve">”) any Indebtedness (including Acquired Debt), and the Company will not issue any Disqualified Stock and will not permit any of its Restricted Subsidiaries to issue any shares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may incur Indebtedness (including Acquired Debt) or issue Disqualified Stock and any Restricted Subsidiary may incur Indebtedness (including Acquired Debt) or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2.0 to 1.0, determined on a pro forma basis (including a pro forma application of the net proceeds therefrom), as if the additional Indebtedness had been incurred or the Disqualified Stock or the preferred stock had been issued, as the case may be, at the beginning of such four-quarter period;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Restricted Subsidiaries that are not Guarantors may not incur Indebtedness pursuant to this Section 4.09(a) if,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incurrence, the aggregate amount of Indebtedness of Restricted Subsidiaries that are not Guarantors incurred pursuant to this Section 4.09(a) and clauses (1) and (15) of</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4.09(b) would exceed 100% of Consolidated EBITDA for the most recent twelve month period immediately prior to the date of such incurrence.</w:t>
      </w:r>
    </w:p>
    <w:p>
      <w:pPr>
        <w:spacing w:after="0" w:line="233" w:lineRule="exact"/>
        <w:rPr>
          <w:rFonts w:ascii="Arial" w:cs="Arial" w:eastAsia="Arial" w:hAnsi="Arial"/>
          <w:sz w:val="16"/>
          <w:szCs w:val="16"/>
          <w:color w:val="auto"/>
        </w:rPr>
      </w:pPr>
    </w:p>
    <w:p>
      <w:pPr>
        <w:ind w:left="1360" w:hanging="704"/>
        <w:spacing w:after="0"/>
        <w:tabs>
          <w:tab w:leader="none" w:pos="13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provisions of Section 4.09(a) will not prohibit the incurrence of any of the following items of Indebtedness (collectively, “</w:t>
      </w:r>
      <w:r>
        <w:rPr>
          <w:rFonts w:ascii="Arial" w:cs="Arial" w:eastAsia="Arial" w:hAnsi="Arial"/>
          <w:sz w:val="16"/>
          <w:szCs w:val="16"/>
          <w:b w:val="1"/>
          <w:bCs w:val="1"/>
          <w:i w:val="1"/>
          <w:iCs w:val="1"/>
          <w:color w:val="auto"/>
        </w:rPr>
        <w:t>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60" w:right="40" w:firstLine="644"/>
        <w:spacing w:after="0" w:line="284" w:lineRule="auto"/>
        <w:tabs>
          <w:tab w:leader="none" w:pos="214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the incurrence by the Company and any Restricted Subsidiary of Indebtedness and letters of credit and bank guarantees under Credit Facilities in an aggregate principal amount at any one time outstanding under this clause (1) (with letters of credit and bank guarantees being deemed to have a principal amount equal to the maximum potential liability of the Company and its Restricted Subsidiaries thereunder) not to exceed the greater of (a) $1,330.0 million and (b) an amount such that,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the incurrence of such Indebtedness (and the application of the net proceeds therefrom), the Secured Leverage Ratio would be less than 3.75 to 1.00;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the amount that may be incurred under clause (1)(b), all Indebtedness incurred under clause (1)(b) shall be deemed to be Secured Indebtedness;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Restricted Subsidiaries that are not Guarantors may not incur Indebtedness pursuant to this clause</w:t>
      </w:r>
    </w:p>
    <w:p>
      <w:pPr>
        <w:spacing w:after="0" w:line="2" w:lineRule="exact"/>
        <w:rPr>
          <w:rFonts w:ascii="Arial" w:cs="Arial" w:eastAsia="Arial" w:hAnsi="Arial"/>
          <w:sz w:val="16"/>
          <w:szCs w:val="16"/>
          <w:color w:val="auto"/>
        </w:rPr>
      </w:pPr>
    </w:p>
    <w:p>
      <w:pPr>
        <w:ind w:left="660" w:right="1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(1) if,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incurrence, the aggregate amount of Indebtedness of Restricted Subsidiaries that are not Guarantors incurred pursuant to this clause (1), Section 4.09(a) and clause (15) of this Section 4.09(b) would exceed 100% of Consolidated EBITDA for the most recent twelve month period immediately prior to the date of such incurrence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6" w:name="page67"/>
    <w:bookmarkEnd w:id="66"/>
    <w:p>
      <w:pPr>
        <w:ind w:left="1484" w:hanging="836"/>
        <w:spacing w:after="0"/>
        <w:tabs>
          <w:tab w:leader="none" w:pos="148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the Existing Indebtedness;</w:t>
      </w:r>
    </w:p>
    <w:p>
      <w:pPr>
        <w:spacing w:after="0" w:line="225" w:lineRule="exact"/>
        <w:rPr>
          <w:rFonts w:ascii="Arial" w:cs="Arial" w:eastAsia="Arial" w:hAnsi="Arial"/>
          <w:sz w:val="18"/>
          <w:szCs w:val="18"/>
          <w:color w:val="auto"/>
        </w:rPr>
      </w:pPr>
    </w:p>
    <w:p>
      <w:pPr>
        <w:ind w:left="4" w:firstLine="644"/>
        <w:spacing w:after="0" w:line="284" w:lineRule="auto"/>
        <w:tabs>
          <w:tab w:leader="none" w:pos="149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Indebtedness represented by: Capital Lease Obligations, mortgage financings, industrial revenue bonds and purchase money obligations, in each case, incurred for the purpose of financing all or any part of the purchase price or cost of design, development, construction, installation or improvement of property, plant or equipment or other assets used or useful in the business of the Company or any of its Restricted Subsidiaries (whether through the direct purchase of assets or the Capital Stock of any Person owning such assets and whether such Indebtedness is owed to the seller or Person carrying out such construction or improvement or to any third party) in an aggregate principal amount, including all Permitted Refinancing Indebtedness incurred to renew, refund, refinance, replace, defease or discharge any Indebtedness incurred pursuant to this clause (3), not to exceed the greater of (x) $100.0 million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5.0% of Total Assets at any time outstanding;</w:t>
      </w:r>
    </w:p>
    <w:p>
      <w:pPr>
        <w:spacing w:after="0" w:line="210" w:lineRule="exact"/>
        <w:rPr>
          <w:rFonts w:ascii="Arial" w:cs="Arial" w:eastAsia="Arial" w:hAnsi="Arial"/>
          <w:sz w:val="18"/>
          <w:szCs w:val="18"/>
          <w:color w:val="auto"/>
        </w:rPr>
      </w:pPr>
    </w:p>
    <w:p>
      <w:pPr>
        <w:ind w:left="4" w:right="160" w:firstLine="644"/>
        <w:spacing w:after="0" w:line="311" w:lineRule="auto"/>
        <w:tabs>
          <w:tab w:leader="none" w:pos="149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Permitted Refinancing Indebtedness in exchange for, or the net proceeds of which are used to renew, refund, refinance, replace, defease or discharge any Indebtedness (other than intercompany Indebtedness) that was permitted by this Indenture to be incurred under Section 4.09(a) or clauses (2), (5), (14) or (17) of this Section 4.09(b);</w:t>
      </w:r>
    </w:p>
    <w:p>
      <w:pPr>
        <w:spacing w:after="0" w:line="148" w:lineRule="exact"/>
        <w:rPr>
          <w:rFonts w:ascii="Arial" w:cs="Arial" w:eastAsia="Arial" w:hAnsi="Arial"/>
          <w:sz w:val="16"/>
          <w:szCs w:val="16"/>
          <w:color w:val="auto"/>
        </w:rPr>
      </w:pPr>
    </w:p>
    <w:p>
      <w:pPr>
        <w:ind w:left="4" w:right="360" w:firstLine="644"/>
        <w:spacing w:after="0" w:line="277" w:lineRule="auto"/>
        <w:tabs>
          <w:tab w:leader="none" w:pos="149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intercompany Indebtedness between or among the Company and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70" w:lineRule="exact"/>
        <w:rPr>
          <w:rFonts w:ascii="Arial" w:cs="Arial" w:eastAsia="Arial" w:hAnsi="Arial"/>
          <w:sz w:val="18"/>
          <w:szCs w:val="18"/>
          <w:color w:val="auto"/>
        </w:rPr>
      </w:pPr>
    </w:p>
    <w:p>
      <w:pPr>
        <w:ind w:left="644" w:right="60" w:firstLine="652"/>
        <w:spacing w:after="0" w:line="263" w:lineRule="auto"/>
        <w:tabs>
          <w:tab w:leader="none" w:pos="208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if the Company or any Guarantor is the obligor on such Indebtedness and the payee is not the Company or a Guarantor, such Indebtedness must be expressly subordinated to the prior payment in full in cash of all Obligations then due with respect to the Notes, in the case of the Company, or the Note Guarantee, in the case of a Guarantor; and</w:t>
      </w:r>
    </w:p>
    <w:p>
      <w:pPr>
        <w:spacing w:after="0" w:line="183" w:lineRule="exact"/>
        <w:rPr>
          <w:rFonts w:ascii="Arial" w:cs="Arial" w:eastAsia="Arial" w:hAnsi="Arial"/>
          <w:sz w:val="18"/>
          <w:szCs w:val="18"/>
          <w:color w:val="auto"/>
        </w:rPr>
      </w:pPr>
    </w:p>
    <w:p>
      <w:pPr>
        <w:ind w:left="644" w:right="80" w:firstLine="652"/>
        <w:spacing w:after="0" w:line="286" w:lineRule="auto"/>
        <w:tabs>
          <w:tab w:leader="none" w:pos="2072" w:val="left"/>
        </w:tabs>
        <w:numPr>
          <w:ilvl w:val="2"/>
          <w:numId w:val="105"/>
        </w:numPr>
        <w:rPr>
          <w:rFonts w:ascii="Arial" w:cs="Arial" w:eastAsia="Arial" w:hAnsi="Arial"/>
          <w:sz w:val="16"/>
          <w:szCs w:val="16"/>
          <w:color w:val="auto"/>
        </w:rPr>
      </w:pPr>
      <w:r>
        <w:rPr>
          <w:rFonts w:ascii="Arial" w:cs="Arial" w:eastAsia="Arial" w:hAnsi="Arial"/>
          <w:sz w:val="16"/>
          <w:szCs w:val="16"/>
          <w:color w:val="auto"/>
        </w:rPr>
        <w:t>(B) (i) any subsequent issuance or transfer of Equity Interests that results in any such Indebtedness being held by a Person other than the Company or a Restricted Subsidiary of the Company and (ii) any sale or other transfer of any such Indebtedness to a Person that is not either the Company or a Restricted Subsidiary of the Company, will be deemed, in each case, to constitute an incurrence of such Indebtedness by the Company or such Restricted Subsidiary, as the case may be, that was not permitted by this clause</w:t>
      </w:r>
    </w:p>
    <w:p>
      <w:pPr>
        <w:spacing w:after="0" w:line="1"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(5);</w:t>
      </w:r>
    </w:p>
    <w:p>
      <w:pPr>
        <w:spacing w:after="0" w:line="210" w:lineRule="exact"/>
        <w:rPr>
          <w:rFonts w:ascii="Arial" w:cs="Arial" w:eastAsia="Arial" w:hAnsi="Arial"/>
          <w:sz w:val="16"/>
          <w:szCs w:val="16"/>
          <w:color w:val="auto"/>
        </w:rPr>
      </w:pPr>
    </w:p>
    <w:p>
      <w:pPr>
        <w:ind w:left="4" w:right="460" w:firstLine="644"/>
        <w:spacing w:after="0" w:line="277" w:lineRule="auto"/>
        <w:tabs>
          <w:tab w:leader="none" w:pos="149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the issuance by any of the Company’s Restricted Subsidiaries to the Company or to any of its Restricted Subsidiaries of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w:t>
      </w:r>
    </w:p>
    <w:p>
      <w:pPr>
        <w:spacing w:after="0" w:line="170" w:lineRule="exact"/>
        <w:rPr>
          <w:rFonts w:ascii="Arial" w:cs="Arial" w:eastAsia="Arial" w:hAnsi="Arial"/>
          <w:sz w:val="18"/>
          <w:szCs w:val="18"/>
          <w:color w:val="auto"/>
        </w:rPr>
      </w:pPr>
    </w:p>
    <w:p>
      <w:pPr>
        <w:ind w:left="644" w:right="40" w:firstLine="652"/>
        <w:spacing w:after="0" w:line="277" w:lineRule="auto"/>
        <w:tabs>
          <w:tab w:leader="none" w:pos="208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170" w:lineRule="exact"/>
        <w:rPr>
          <w:rFonts w:ascii="Arial" w:cs="Arial" w:eastAsia="Arial" w:hAnsi="Arial"/>
          <w:sz w:val="18"/>
          <w:szCs w:val="18"/>
          <w:color w:val="auto"/>
        </w:rPr>
      </w:pPr>
    </w:p>
    <w:p>
      <w:pPr>
        <w:ind w:left="644" w:right="80" w:firstLine="652"/>
        <w:spacing w:after="0" w:line="263" w:lineRule="auto"/>
        <w:tabs>
          <w:tab w:leader="none" w:pos="2117"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the Company or a Restricted Subsidiary of the Company, will be deemed, in each case, to constitute an issuance of such preferred stock by such Restricted Subsidiary that was not permitted by this clause (6);</w:t>
      </w:r>
    </w:p>
    <w:p>
      <w:pPr>
        <w:spacing w:after="0" w:line="40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67" w:name="page68"/>
    <w:bookmarkEnd w:id="67"/>
    <w:p>
      <w:pPr>
        <w:jc w:val="both"/>
        <w:ind w:left="4" w:firstLine="644"/>
        <w:spacing w:after="0" w:line="263"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Hedging Obligations in the ordinary course of business and entered into for bona fide hedging purposes (and not for speculative purposes) as determined in good faith by the Board of Directors or senior management of the Company;</w:t>
      </w:r>
    </w:p>
    <w:p>
      <w:pPr>
        <w:spacing w:after="0" w:line="183" w:lineRule="exact"/>
        <w:rPr>
          <w:rFonts w:ascii="Arial" w:cs="Arial" w:eastAsia="Arial" w:hAnsi="Arial"/>
          <w:sz w:val="18"/>
          <w:szCs w:val="18"/>
          <w:color w:val="auto"/>
        </w:rPr>
      </w:pPr>
    </w:p>
    <w:p>
      <w:pPr>
        <w:ind w:left="4" w:right="320" w:firstLine="644"/>
        <w:spacing w:after="0" w:line="259"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the guarantee by the Company or any of the Guarantors of Indebtedness of the Company or a Restricted Subsidiary of the Company that was permitted to be incurred by another provision of this Section 4.09;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Indebtedness being guaranteed is subordinated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then the 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186" w:lineRule="exact"/>
        <w:rPr>
          <w:rFonts w:ascii="Arial" w:cs="Arial" w:eastAsia="Arial" w:hAnsi="Arial"/>
          <w:sz w:val="18"/>
          <w:szCs w:val="18"/>
          <w:color w:val="auto"/>
        </w:rPr>
      </w:pPr>
    </w:p>
    <w:p>
      <w:pPr>
        <w:ind w:left="4" w:right="100" w:firstLine="644"/>
        <w:spacing w:after="0" w:line="259"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Indebtedness incurred by the Company or any of its Restricted Subsidiaries constituting reimbursement obligations with respect to letters of credit issued or incurred in the ordinary course of business, including without limitation letters of credit or bank guarantees in respect of workers’ compensation claims or self-insurance, or other Indebtedness with respect to reimbursement type obligations regarding workers’ compensation claims or self-insurance;</w:t>
      </w:r>
    </w:p>
    <w:p>
      <w:pPr>
        <w:spacing w:after="0" w:line="186" w:lineRule="exact"/>
        <w:rPr>
          <w:rFonts w:ascii="Arial" w:cs="Arial" w:eastAsia="Arial" w:hAnsi="Arial"/>
          <w:sz w:val="18"/>
          <w:szCs w:val="18"/>
          <w:color w:val="auto"/>
        </w:rPr>
      </w:pPr>
    </w:p>
    <w:p>
      <w:pPr>
        <w:ind w:left="4" w:right="40" w:firstLine="644"/>
        <w:spacing w:after="0" w:line="275" w:lineRule="auto"/>
        <w:tabs>
          <w:tab w:leader="none" w:pos="1492"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in respect of workers’ compensation claims, health and other types of social security benefits, unemployment and other self-insurance obligations, property, casualty or liability insurance or other similar bonds, the financing of insurance premiums in the ordinary course of business, bankers’ acceptances, performance, surety, judgment, appeal, bid and performance bonds, cash management obligations and netting, overdraft protection and other similar facilities or arrangements and completion guarantees in the ordinary course of business;</w:t>
      </w:r>
    </w:p>
    <w:p>
      <w:pPr>
        <w:spacing w:after="0" w:line="176" w:lineRule="exact"/>
        <w:rPr>
          <w:rFonts w:ascii="Arial" w:cs="Arial" w:eastAsia="Arial" w:hAnsi="Arial"/>
          <w:sz w:val="17"/>
          <w:szCs w:val="17"/>
          <w:color w:val="auto"/>
        </w:rPr>
      </w:pPr>
    </w:p>
    <w:p>
      <w:pPr>
        <w:ind w:left="4" w:right="200" w:firstLine="644"/>
        <w:spacing w:after="0" w:line="263" w:lineRule="auto"/>
        <w:tabs>
          <w:tab w:leader="none" w:pos="148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183" w:lineRule="exact"/>
        <w:rPr>
          <w:rFonts w:ascii="Arial" w:cs="Arial" w:eastAsia="Arial" w:hAnsi="Arial"/>
          <w:sz w:val="18"/>
          <w:szCs w:val="18"/>
          <w:color w:val="auto"/>
        </w:rPr>
      </w:pPr>
    </w:p>
    <w:p>
      <w:pPr>
        <w:ind w:left="4" w:right="40" w:firstLine="644"/>
        <w:spacing w:after="0" w:line="259"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arising from agreements of the Company or any of its Restricted Subsidiaries providing for indemnification, guarantees, adjustment of purchase price, earn-outs, milestones, deferred compensation, contingent payment obligations or similar obligations, in each case, incurred in connection with the acquisition or disposition of any Restricted Subsidiary, business, property or asset;</w:t>
      </w:r>
    </w:p>
    <w:p>
      <w:pPr>
        <w:spacing w:after="0" w:line="186" w:lineRule="exact"/>
        <w:rPr>
          <w:rFonts w:ascii="Arial" w:cs="Arial" w:eastAsia="Arial" w:hAnsi="Arial"/>
          <w:sz w:val="18"/>
          <w:szCs w:val="18"/>
          <w:color w:val="auto"/>
        </w:rPr>
      </w:pPr>
    </w:p>
    <w:p>
      <w:pPr>
        <w:ind w:left="4" w:right="160" w:firstLine="644"/>
        <w:spacing w:after="0" w:line="259"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incurrence by Foreign Subsidiaries that are Restricted Subsidiaries of Indebtedness in an aggregate principal amount at any time outstanding, including all Permitted Refinancing Indebtedness incurred to renew, refund, refinance, replace, defease or discharge any Indebtedness incurred pursuant to this clause (13), not to exceed the greater of (x) $50 million (or the equivalent thereof, measured at the time of each incurrence, in applicable foreign currency) and (y) 2.5% of Total Assets;</w:t>
      </w:r>
    </w:p>
    <w:p>
      <w:pPr>
        <w:spacing w:after="0" w:line="186" w:lineRule="exact"/>
        <w:rPr>
          <w:rFonts w:ascii="Arial" w:cs="Arial" w:eastAsia="Arial" w:hAnsi="Arial"/>
          <w:sz w:val="18"/>
          <w:szCs w:val="18"/>
          <w:color w:val="auto"/>
        </w:rPr>
      </w:pPr>
    </w:p>
    <w:p>
      <w:pPr>
        <w:ind w:left="4" w:right="60" w:firstLine="644"/>
        <w:spacing w:after="0" w:line="263"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to the extent the net proceeds thereof are promptly deposited in trust to defease the Notes or to satisfy and discharge this Indenture, in each case in accordance with the terms of this Indenture;</w:t>
      </w:r>
    </w:p>
    <w:p>
      <w:pPr>
        <w:spacing w:after="0" w:line="183" w:lineRule="exact"/>
        <w:rPr>
          <w:rFonts w:ascii="Arial" w:cs="Arial" w:eastAsia="Arial" w:hAnsi="Arial"/>
          <w:sz w:val="18"/>
          <w:szCs w:val="18"/>
          <w:color w:val="auto"/>
        </w:rPr>
      </w:pPr>
    </w:p>
    <w:p>
      <w:pPr>
        <w:ind w:left="4" w:right="420" w:firstLine="644"/>
        <w:spacing w:after="0" w:line="286" w:lineRule="auto"/>
        <w:tabs>
          <w:tab w:leader="none" w:pos="149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Indebtedness of the Company or any Restricted Subsidiary incurred to finance an acquisition, merger, consolidation or amalgamation, including all Permitted Refinancing Indebtedness incurred to renew, refund, refinance, replace, defease or discharge any Indebtedness incurred pursuant to this clause (15);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the date of such acquisition, merger, consolidation or amalgamation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as if the same had occurred at the beginning of the applicable four-quarter period, the Company would either</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be permitted to incur at least $1.00 of additional Indebtedness pursuant to the Fixed Charge Coverage Ratio test set forth in Section 4.09(a) or</w:t>
      </w:r>
    </w:p>
    <w:p>
      <w:pPr>
        <w:spacing w:after="0" w:line="32" w:lineRule="exact"/>
        <w:rPr>
          <w:rFonts w:ascii="Arial" w:cs="Arial" w:eastAsia="Arial" w:hAnsi="Arial"/>
          <w:sz w:val="16"/>
          <w:szCs w:val="16"/>
          <w:color w:val="auto"/>
        </w:rPr>
      </w:pPr>
    </w:p>
    <w:p>
      <w:pPr>
        <w:ind w:left="4" w:right="60" w:hanging="4"/>
        <w:spacing w:after="0" w:line="271" w:lineRule="auto"/>
        <w:tabs>
          <w:tab w:leader="none" w:pos="28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have a Fixed Charge Coverage Ratio of not less than the Fixed Charge Coverage Ratio of the Company immediately prior to such acquisition, merger, consolidation or amalgamation;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Restricted Subsidiaries that are not Guarantors may not incur Indebtedness pursuant to this clause (15) if,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incurrence, the aggregate amount of Indebtedness of Restricted Subsidiaries that are not Guarantors incurred pursuant to this clause (15), Section 4.09(a) and clause (1) of this Section 4.09(b) would exceed 100% of Consolidated EBITDA for the most recent twelve month period immediately prior to the date of such incurrence;</w:t>
      </w:r>
    </w:p>
    <w:p>
      <w:pPr>
        <w:spacing w:after="0" w:line="394"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68" w:name="page69"/>
    <w:bookmarkEnd w:id="68"/>
    <w:p>
      <w:pPr>
        <w:ind w:left="-460" w:right="120" w:firstLine="644"/>
        <w:spacing w:after="0" w:line="286" w:lineRule="auto"/>
        <w:tabs>
          <w:tab w:leader="none" w:pos="102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owed on a short-term basis of not longer than 30 days to banks and other financial institutions incurred in the ordinary course of business with such banks or financial institutions in connection with ordinary banking arrangements to manage cash balances of the Company or the Restricted Subsidiaries;</w:t>
      </w:r>
    </w:p>
    <w:p>
      <w:pPr>
        <w:spacing w:after="0" w:line="165" w:lineRule="exact"/>
        <w:rPr>
          <w:rFonts w:ascii="Arial" w:cs="Arial" w:eastAsia="Arial" w:hAnsi="Arial"/>
          <w:sz w:val="17"/>
          <w:szCs w:val="17"/>
          <w:color w:val="auto"/>
        </w:rPr>
      </w:pPr>
    </w:p>
    <w:p>
      <w:pPr>
        <w:ind w:left="-460" w:right="220" w:firstLine="644"/>
        <w:spacing w:after="0" w:line="277"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(not including any Additional Notes) issued on the Issue Date and the related Notes Guarantees;</w:t>
      </w:r>
    </w:p>
    <w:p>
      <w:pPr>
        <w:spacing w:after="0" w:line="170" w:lineRule="exact"/>
        <w:rPr>
          <w:rFonts w:ascii="Arial" w:cs="Arial" w:eastAsia="Arial" w:hAnsi="Arial"/>
          <w:sz w:val="18"/>
          <w:szCs w:val="18"/>
          <w:color w:val="auto"/>
        </w:rPr>
      </w:pPr>
    </w:p>
    <w:p>
      <w:pPr>
        <w:ind w:left="-460" w:firstLine="644"/>
        <w:spacing w:after="0" w:line="290" w:lineRule="auto"/>
        <w:tabs>
          <w:tab w:leader="none" w:pos="102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Indebtedness consisting of Acquired Debt of any Person that becomes a Restricted Subsidiary of the Company existing at the time such Person is acquired by the Company or any Restricted Subsidiary or merged into, amalgamated or consolidated with the Company or a Restricted Subsidiary in accordance with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Acquired Debt (i) is not incurred in connection with, or in contemplation of, such Person merging into, amalgamating or consolidating with, or becoming a Restricted Subsidiary of, such Person and (ii) on the date of such acquisition, merger, consolidation or amalgamation after giving pro forma effect thereto as if the same had occurred at the beginning of the applicable four-quarter period, the Company would either (A) be permitted to incur at least $1.00 of additional Indebtedness pursuant to the Fixed Charge Coverage Ratio test set forth in Section 4.09(a) or (B) have a Fixed Charge Coverage Ratio of not less than the Fixed Charge Coverage Ratio of the Company immediately prior to such acquisition, merger, consolidation or amalgamation;</w:t>
      </w:r>
    </w:p>
    <w:p>
      <w:pPr>
        <w:spacing w:after="0" w:line="165" w:lineRule="exact"/>
        <w:rPr>
          <w:rFonts w:ascii="Arial" w:cs="Arial" w:eastAsia="Arial" w:hAnsi="Arial"/>
          <w:sz w:val="16"/>
          <w:szCs w:val="16"/>
          <w:color w:val="auto"/>
        </w:rPr>
      </w:pPr>
    </w:p>
    <w:p>
      <w:pPr>
        <w:ind w:left="-460" w:right="260" w:firstLine="644"/>
        <w:spacing w:after="0" w:line="259"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additional Indebtedness, Disqualified Stock or preferred stock in an aggregate principal amount (or accreted value, as applicable) at any time outstanding, including all Permitted Refinancing Indebtedness incurred to renew, refund, refinance, replace, defease or discharge any Indebtedness incurred pursuant to this clause (19), not to exceed the greater of (x) $100.0 million and (y) 5.0% of Total Assets;</w:t>
      </w:r>
    </w:p>
    <w:p>
      <w:pPr>
        <w:spacing w:after="0" w:line="186" w:lineRule="exact"/>
        <w:rPr>
          <w:rFonts w:ascii="Arial" w:cs="Arial" w:eastAsia="Arial" w:hAnsi="Arial"/>
          <w:sz w:val="18"/>
          <w:szCs w:val="18"/>
          <w:color w:val="auto"/>
        </w:rPr>
      </w:pPr>
    </w:p>
    <w:p>
      <w:pPr>
        <w:jc w:val="both"/>
        <w:ind w:left="-460" w:right="340" w:firstLine="644"/>
        <w:spacing w:after="0" w:line="259"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Indebtedness of the Company or any of its Restricted Subsidiaries arising in connection with any economic development incentive program or grant from any State or any subdivision thereof (including any city or county) in connection with the Company’s or such Restricted Subsidiary’s business development activities in such State or subdivision;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such Indebtedness outstanding at any time shall not exceed $22.5 million;</w:t>
      </w:r>
    </w:p>
    <w:p>
      <w:pPr>
        <w:spacing w:after="0" w:line="186" w:lineRule="exact"/>
        <w:rPr>
          <w:rFonts w:ascii="Arial" w:cs="Arial" w:eastAsia="Arial" w:hAnsi="Arial"/>
          <w:sz w:val="18"/>
          <w:szCs w:val="18"/>
          <w:color w:val="auto"/>
        </w:rPr>
      </w:pPr>
    </w:p>
    <w:p>
      <w:pPr>
        <w:ind w:left="-460" w:right="20" w:firstLine="644"/>
        <w:spacing w:after="0" w:line="263"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unsecured Indebtedness consisting of promissory notes issued to current or former officers, directors, consultants and employees, their respective estates, spouses or former spouses to finance the purchase or redemption of Equity Interests of the Company permitted in Section 4.07;</w:t>
      </w:r>
    </w:p>
    <w:p>
      <w:pPr>
        <w:spacing w:after="0" w:line="183" w:lineRule="exact"/>
        <w:rPr>
          <w:rFonts w:ascii="Arial" w:cs="Arial" w:eastAsia="Arial" w:hAnsi="Arial"/>
          <w:sz w:val="18"/>
          <w:szCs w:val="18"/>
          <w:color w:val="auto"/>
        </w:rPr>
      </w:pPr>
    </w:p>
    <w:p>
      <w:pPr>
        <w:ind w:left="-460" w:right="240" w:firstLine="644"/>
        <w:spacing w:after="0" w:line="259"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obligations of the Company or any Restricted Subsidiary under letters of credit, banker’s acceptances or bank guarantee denominated in a currency other than U.S. dollars issued for the account of the Company or any of its Restricted Subsidiaries, provided that the aggregate amount of all such obligations (including the maximum amount to be drawn under all such letters of credit) shall not exceed $10.0 million at any time outstanding;</w:t>
      </w:r>
    </w:p>
    <w:p>
      <w:pPr>
        <w:spacing w:after="0" w:line="186" w:lineRule="exact"/>
        <w:rPr>
          <w:rFonts w:ascii="Arial" w:cs="Arial" w:eastAsia="Arial" w:hAnsi="Arial"/>
          <w:sz w:val="18"/>
          <w:szCs w:val="18"/>
          <w:color w:val="auto"/>
        </w:rPr>
      </w:pPr>
    </w:p>
    <w:p>
      <w:pPr>
        <w:ind w:left="-460" w:right="20" w:firstLine="644"/>
        <w:spacing w:after="0" w:line="259"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Indebtedness consisting of (i) the financing of insurance premiums payable on insurance policies maintained by the Company or any Restricted Subsidiary thereof, (ii) take or pay obligations contained in any supply arrangements, in each case, in the ordinary course of business or (iii) arising from customer deposits and advance payments received from customers for goods purchased in the ordinary course of business; and</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69" w:name="page70"/>
    <w:bookmarkEnd w:id="69"/>
    <w:p>
      <w:pPr>
        <w:ind w:left="2140" w:hanging="836"/>
        <w:spacing w:after="0"/>
        <w:tabs>
          <w:tab w:leader="none" w:pos="214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the Company and its Subsidiaries incurred in the ordinary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right="120" w:firstLine="656"/>
        <w:spacing w:after="0" w:line="286" w:lineRule="auto"/>
        <w:tabs>
          <w:tab w:leader="none" w:pos="1339"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Company will not incur, and will not permit any Guarantor to incur, any Indebtedness (including Permitted Debt) that is contractually subordinated in right of payment to any other Indebtedness of the Company or such Guarantor unless such Indebtedness is also contractually subordinated in right of payment to the Notes and the applicable Note Guarantee on substantially identical terms. For all purposes of the Notes and this Indenture, subordination will refer to contractual payment subordination and not to structural subordination. The Notes and this Indenture will not treat</w:t>
      </w:r>
    </w:p>
    <w:p>
      <w:pPr>
        <w:spacing w:after="0" w:line="1" w:lineRule="exact"/>
        <w:rPr>
          <w:rFonts w:ascii="Arial" w:cs="Arial" w:eastAsia="Arial" w:hAnsi="Arial"/>
          <w:sz w:val="16"/>
          <w:szCs w:val="16"/>
          <w:color w:val="auto"/>
        </w:rPr>
      </w:pPr>
    </w:p>
    <w:p>
      <w:pPr>
        <w:ind w:right="760" w:firstLine="8"/>
        <w:spacing w:after="0" w:line="281" w:lineRule="auto"/>
        <w:tabs>
          <w:tab w:leader="none" w:pos="25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unsecured Indebtedness as subordinated or junior to Secured Indebtedness merely because it is unsecured, (2) unsubordinated Indebtedness as subordinated or junior to any other unsubordinated Indebtedness merely because it has a junior priority with respect to the same collateral or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Indebtedness as subordinated or junior Indebtedness merely because it is structurally subordinated to other Indebtedness.</w:t>
      </w:r>
    </w:p>
    <w:p>
      <w:pPr>
        <w:spacing w:after="0" w:line="210" w:lineRule="exact"/>
        <w:rPr>
          <w:rFonts w:ascii="Arial" w:cs="Arial" w:eastAsia="Arial" w:hAnsi="Arial"/>
          <w:sz w:val="18"/>
          <w:szCs w:val="18"/>
          <w:color w:val="auto"/>
        </w:rPr>
      </w:pPr>
    </w:p>
    <w:p>
      <w:pPr>
        <w:ind w:right="20" w:firstLine="656"/>
        <w:spacing w:after="0" w:line="268" w:lineRule="auto"/>
        <w:tabs>
          <w:tab w:leader="none" w:pos="135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this Section 4.09, in the event that an item of proposed Indebtedness, Disqualified Stock or preferred stock meets the criteria of more than one of the categories of Permitted Debt described in clauses (1) through (24) above, or is entitled to be incurred pursuant to Section 4.09(a) hereof, the Company will be permitted to classify such item of Indebtedness, Disqualified Stock or preferred stock on the date of its incurrence, or later reclassify all or any portion of such item of Indebtedness, Disqualified Stock or preferred stock in any manner that complies with this Section 4.09. Notwithstanding the foregoing, Indebtedness under Credit Facilities that is outstanding on the Issue Date will at all times be deemed to have been incurred on such date in reliance on the exception provided by clause (1)(a) of the definition of “Permitted Debt” and may not be reclassified.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4.09; </w:t>
      </w:r>
      <w:r>
        <w:rPr>
          <w:rFonts w:ascii="Arial" w:cs="Arial" w:eastAsia="Arial" w:hAnsi="Arial"/>
          <w:sz w:val="17"/>
          <w:szCs w:val="17"/>
          <w:i w:val="1"/>
          <w:iCs w:val="1"/>
          <w:color w:val="auto"/>
        </w:rPr>
        <w:t>provided</w:t>
      </w:r>
      <w:r>
        <w:rPr>
          <w:rFonts w:ascii="Arial" w:cs="Arial" w:eastAsia="Arial" w:hAnsi="Arial"/>
          <w:sz w:val="17"/>
          <w:szCs w:val="17"/>
          <w:color w:val="auto"/>
        </w:rPr>
        <w:t>, in each such case, that the amount of any such accrual, accretion or payment is included in Fixed Charges of the Company as accrued. Notwithstanding any other provision of this Section 4.09, the maximum amount of Indebtedness that the Company or any Restricted Subsidiary may incur pursuant to this Section 4.09 shall not be deemed to be exceeded solely as a result of fluctuations in exchange rates or currency values.</w:t>
      </w:r>
    </w:p>
    <w:p>
      <w:pPr>
        <w:spacing w:after="0" w:line="186" w:lineRule="exact"/>
        <w:rPr>
          <w:rFonts w:ascii="Arial" w:cs="Arial" w:eastAsia="Arial" w:hAnsi="Arial"/>
          <w:sz w:val="17"/>
          <w:szCs w:val="17"/>
          <w:color w:val="auto"/>
        </w:rPr>
      </w:pPr>
    </w:p>
    <w:p>
      <w:pPr>
        <w:ind w:right="140" w:firstLine="656"/>
        <w:spacing w:after="0" w:line="263" w:lineRule="auto"/>
        <w:tabs>
          <w:tab w:leader="none" w:pos="138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purposes of determining compliance with this Section 4.09, in the event that the Company or a Restricted Subsidiary incurs Indebtedness in connection with a Limited Condition Transaction, the date of determination of the Secured Leverage Ratio or the Total Leverage Ratio, as applicable, shall, at the option of the Company, be:</w:t>
      </w:r>
    </w:p>
    <w:p>
      <w:pPr>
        <w:spacing w:after="0" w:line="183" w:lineRule="exact"/>
        <w:rPr>
          <w:rFonts w:ascii="Arial" w:cs="Arial" w:eastAsia="Arial" w:hAnsi="Arial"/>
          <w:sz w:val="18"/>
          <w:szCs w:val="18"/>
          <w:color w:val="auto"/>
        </w:rPr>
      </w:pPr>
    </w:p>
    <w:p>
      <w:pPr>
        <w:ind w:left="660" w:firstLine="644"/>
        <w:spacing w:after="0" w:line="286" w:lineRule="auto"/>
        <w:tabs>
          <w:tab w:leader="none" w:pos="2148" w:val="left"/>
        </w:tabs>
        <w:numPr>
          <w:ilvl w:val="2"/>
          <w:numId w:val="112"/>
        </w:numPr>
        <w:rPr>
          <w:rFonts w:ascii="Arial" w:cs="Arial" w:eastAsia="Arial" w:hAnsi="Arial"/>
          <w:sz w:val="16"/>
          <w:szCs w:val="16"/>
          <w:color w:val="auto"/>
        </w:rPr>
      </w:pPr>
      <w:r>
        <w:rPr>
          <w:rFonts w:ascii="Arial" w:cs="Arial" w:eastAsia="Arial" w:hAnsi="Arial"/>
          <w:sz w:val="16"/>
          <w:szCs w:val="16"/>
          <w:color w:val="auto"/>
        </w:rPr>
        <w:t>the date that a definitive agreement for such acquisition is entered into and the Secured Leverage Ratio or the Total Leverage Ratio, as applicable, shall be calculated giving pro forma effect to such acquisition and any actions or transactions related thereto (including acquisitions, Investments, the Incurrence or issuance of Indebtedness, Disqualified Stock or preferred stock and the use of proceeds thereof) consistent with the definition of the “Secured Leverage Ratio” or the “Total Leverage Ratio”, as applicable, and, for the avoidance of doubt, (A) if any such ratios are exceeded as a result of fluctuations in such ratio (including due to fluctuations in the Consolidated EBITDA of the Company or the target company) at or prior to the consummation of the relevant acquisition, such ratios will not be deemed to have been exceeded as a result of such fluctuations solely for purposes of determining whether such acquisition and any related transactions are permitted hereunder and (B) such ratios shall not be tested at the time of consummation of such Limited Condition Transaction; provided, further, that if the Company elects to have such determinations occur at the time of entry into such definitive agreement, (i) any such transaction shall be deemed to have occurred on the date the definitive agreement is entered into and to be outstanding thereafter for purposes of calculating any ratios under this Indenture after the date of such agreement and before the earlier of the date of consummation of such acquisition or the date such agreement is terminated or expires without consummation of such acquisition and (ii) to the extent any covenant baskets were utilized in satisfying any covenants, such baskets shall be deemed utilized until the earlier of the date of consummation of such acquisition or the date such agreement is terminated or expires without consummation of such acquisition, but any calculation of Consolidated EBITDA for purposes of other incurrences of Indebtedness or Liens or making of Restricted Payments (not related to such acquisition) shall not reflect such acquisition until it has been consummated, 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2132" w:hanging="836"/>
        <w:spacing w:after="0"/>
        <w:tabs>
          <w:tab w:leader="none" w:pos="213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date such Indebtedness is incurred.</w:t>
      </w:r>
    </w:p>
    <w:p>
      <w:pPr>
        <w:spacing w:after="0" w:line="225" w:lineRule="exact"/>
        <w:rPr>
          <w:rFonts w:ascii="Arial" w:cs="Arial" w:eastAsia="Arial" w:hAnsi="Arial"/>
          <w:sz w:val="18"/>
          <w:szCs w:val="18"/>
          <w:color w:val="auto"/>
        </w:rPr>
      </w:pPr>
    </w:p>
    <w:p>
      <w:pPr>
        <w:ind w:left="-8" w:right="20" w:firstLine="656"/>
        <w:spacing w:after="0" w:line="284" w:lineRule="auto"/>
        <w:tabs>
          <w:tab w:leader="none" w:pos="13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w:t>
      </w:r>
    </w:p>
    <w:p>
      <w:pPr>
        <w:spacing w:after="0" w:line="4" w:lineRule="exact"/>
        <w:rPr>
          <w:rFonts w:ascii="Arial" w:cs="Arial" w:eastAsia="Arial" w:hAnsi="Arial"/>
          <w:sz w:val="16"/>
          <w:szCs w:val="16"/>
          <w:color w:val="auto"/>
        </w:rPr>
      </w:pPr>
    </w:p>
    <w:p>
      <w:pPr>
        <w:ind w:left="-8" w:firstLine="8"/>
        <w:spacing w:after="0" w:line="260" w:lineRule="auto"/>
        <w:tabs>
          <w:tab w:leader="none" w:pos="20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principal amount of such Indebtedness being refinanced plus (ii) the aggregate amount of fees, underwriting discounts, premiums and other costs and expenses incurred in connection with such refinancing.</w:t>
      </w:r>
    </w:p>
    <w:p>
      <w:pPr>
        <w:spacing w:after="0" w:line="185" w:lineRule="exact"/>
        <w:rPr>
          <w:rFonts w:ascii="Arial" w:cs="Arial" w:eastAsia="Arial" w:hAnsi="Arial"/>
          <w:sz w:val="18"/>
          <w:szCs w:val="18"/>
          <w:color w:val="auto"/>
        </w:rPr>
      </w:pPr>
    </w:p>
    <w:p>
      <w:pPr>
        <w:ind w:left="-8" w:right="140" w:firstLine="656"/>
        <w:spacing w:after="0" w:line="257" w:lineRule="auto"/>
        <w:tabs>
          <w:tab w:leader="none" w:pos="134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The principal amount of any non-interest bearing Indebtedness or other discount security constituting Indebtedness at any date shall be the principal amount thereof that would be shown on a balance sheet of the Company dated such date prepared in accordance with GAAP.</w:t>
      </w:r>
    </w:p>
    <w:p>
      <w:pPr>
        <w:spacing w:after="0" w:line="187" w:lineRule="exact"/>
        <w:rPr>
          <w:rFonts w:ascii="Arial" w:cs="Arial" w:eastAsia="Arial" w:hAnsi="Arial"/>
          <w:sz w:val="18"/>
          <w:szCs w:val="18"/>
          <w:color w:val="auto"/>
        </w:rPr>
      </w:pPr>
    </w:p>
    <w:p>
      <w:pPr>
        <w:ind w:left="-8" w:right="60" w:firstLine="656"/>
        <w:spacing w:after="0" w:line="285" w:lineRule="auto"/>
        <w:tabs>
          <w:tab w:leader="none" w:pos="134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For purposes of calculating any ratio-based basket, with respect to any revolving Indebtedness, delayed draw facility or other committed debt financing incurred under such ratio-based basket, the Company may elect (which election may be changed with respect to such Indebtedness upon written notice to the Trustee), at any time, to either (x) give pro forma effect to the incurrence of the entire committed amount of such Indebtedness as if fully drawn on such date, in which case such committed amount may thereafter be borrowed or reborrowed, in whole or in part, from time to time, without further compliance with any ratio-based component of any provision of this Indenture unless the Company changes such election by written notice, or</w:t>
      </w:r>
    </w:p>
    <w:p>
      <w:pPr>
        <w:spacing w:after="0" w:line="1" w:lineRule="exact"/>
        <w:rPr>
          <w:rFonts w:ascii="Arial" w:cs="Arial" w:eastAsia="Arial" w:hAnsi="Arial"/>
          <w:sz w:val="16"/>
          <w:szCs w:val="16"/>
          <w:color w:val="auto"/>
        </w:rPr>
      </w:pPr>
    </w:p>
    <w:p>
      <w:pPr>
        <w:ind w:left="-8" w:right="80" w:firstLine="8"/>
        <w:spacing w:after="0" w:line="268" w:lineRule="auto"/>
        <w:tabs>
          <w:tab w:leader="none" w:pos="24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give pro forma effect to the incurrence of the actual amount drawn under such revolving Indebtedness, delayed draw facility or other committed debt financing, in which case, the ability to incur the amounts committed to under such Indebtedness will be subject to such ratio-based basket (to the extent being incurred pursuant to such ratio) at the time of each such incurrence. To the extent clause (x) of the immediately preceding sentence is elected, such revolving Indebtedness, delayed draw facility or other committed debt financing shall be deemed to be incurred (and the fully committed amount of Indebtedness as outstanding) at all times thereafter for purposes of testing any ratio-based baskets, regardless of whether such Indebtedness is outstanding, except to the extent such commitments have been permanently terminated in full or in part or until the Company has written notice to the Trustee changing its election; provided that, for the avoidance of doubt, at any time the Company elects clause (x) of the immediately preceding sentence (including as a result of a change in election), whether such Indebtedness is permitted to be incurred under such ratio-based basket shall be tested as of the date of such election or change in election, as applicable.</w:t>
      </w:r>
    </w:p>
    <w:p>
      <w:pPr>
        <w:spacing w:after="0" w:line="181" w:lineRule="exact"/>
        <w:rPr>
          <w:sz w:val="20"/>
          <w:szCs w:val="20"/>
          <w:color w:val="auto"/>
        </w:rPr>
      </w:pPr>
    </w:p>
    <w:p>
      <w:pPr>
        <w:ind w:left="652"/>
        <w:spacing w:after="0"/>
        <w:tabs>
          <w:tab w:leader="none" w:pos="1792"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i w:val="1"/>
          <w:iCs w:val="1"/>
          <w:color w:val="auto"/>
        </w:rPr>
        <w:t>Asset Sales.</w:t>
      </w:r>
    </w:p>
    <w:p>
      <w:pPr>
        <w:spacing w:after="0" w:line="225" w:lineRule="exact"/>
        <w:rPr>
          <w:sz w:val="20"/>
          <w:szCs w:val="20"/>
          <w:color w:val="auto"/>
        </w:rPr>
      </w:pPr>
    </w:p>
    <w:p>
      <w:pPr>
        <w:ind w:left="1332" w:hanging="684"/>
        <w:spacing w:after="0"/>
        <w:tabs>
          <w:tab w:leader="none" w:pos="133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225" w:lineRule="exact"/>
        <w:rPr>
          <w:rFonts w:ascii="Arial" w:cs="Arial" w:eastAsia="Arial" w:hAnsi="Arial"/>
          <w:sz w:val="18"/>
          <w:szCs w:val="18"/>
          <w:color w:val="auto"/>
        </w:rPr>
      </w:pPr>
    </w:p>
    <w:p>
      <w:pPr>
        <w:ind w:left="652" w:right="280" w:firstLine="644"/>
        <w:spacing w:after="0" w:line="277" w:lineRule="auto"/>
        <w:tabs>
          <w:tab w:leader="none" w:pos="21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the Asset Sale at least equal to the Fair Market Value of the assets or Equity Interests issued or sold or otherwise disposed of; and</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71" w:name="page72"/>
    <w:bookmarkEnd w:id="71"/>
    <w:p>
      <w:pPr>
        <w:ind w:left="640" w:right="240" w:firstLine="644"/>
        <w:spacing w:after="0" w:line="277" w:lineRule="auto"/>
        <w:tabs>
          <w:tab w:leader="none" w:pos="212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or Cash Equivalents. For purposes of this provision, each of the following will be deemed to be cash:</w:t>
      </w:r>
    </w:p>
    <w:p>
      <w:pPr>
        <w:spacing w:after="0" w:line="170" w:lineRule="exact"/>
        <w:rPr>
          <w:rFonts w:ascii="Arial" w:cs="Arial" w:eastAsia="Arial" w:hAnsi="Arial"/>
          <w:sz w:val="18"/>
          <w:szCs w:val="18"/>
          <w:color w:val="auto"/>
        </w:rPr>
      </w:pPr>
    </w:p>
    <w:p>
      <w:pPr>
        <w:ind w:left="1280" w:firstLine="652"/>
        <w:spacing w:after="0" w:line="293" w:lineRule="auto"/>
        <w:tabs>
          <w:tab w:leader="none" w:pos="2718"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any liabilities, as shown on the Company’s most recent consolidated balance sheet or in the footnotes thereto (or, if incurred or accrued subsequent to the date of such balance sheet, such liabilities that would have been reflected on the Company’s most recent consolidated balance sheet or in the footnotes thereto if such incurrence or accrual had taken place on or prior to the date of such balance sheet, as determined in good faith by the Company), of the Company or any Restricted Subsidiary (other than contingent liabilities and liabilities that are by their terms subordinated to the Notes or any Note Guarantee) that are assumed by the transferee of any such assets and for which the Company or such Restricted Subsidiary has been released in writing;</w:t>
      </w:r>
    </w:p>
    <w:p>
      <w:pPr>
        <w:spacing w:after="0" w:line="164" w:lineRule="exact"/>
        <w:rPr>
          <w:rFonts w:ascii="Arial" w:cs="Arial" w:eastAsia="Arial" w:hAnsi="Arial"/>
          <w:sz w:val="16"/>
          <w:szCs w:val="16"/>
          <w:color w:val="auto"/>
        </w:rPr>
      </w:pPr>
    </w:p>
    <w:p>
      <w:pPr>
        <w:ind w:left="1280" w:right="120" w:firstLine="652"/>
        <w:spacing w:after="0" w:line="263" w:lineRule="auto"/>
        <w:tabs>
          <w:tab w:leader="none" w:pos="2753"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converted by the Company or such Restricted Subsidiary into cash or Cash Equivalents within 180 days of the receipt thereof, to the extent of the cash or Cash Equivalents received in that conversion;</w:t>
      </w:r>
    </w:p>
    <w:p>
      <w:pPr>
        <w:spacing w:after="0" w:line="183" w:lineRule="exact"/>
        <w:rPr>
          <w:rFonts w:ascii="Arial" w:cs="Arial" w:eastAsia="Arial" w:hAnsi="Arial"/>
          <w:sz w:val="18"/>
          <w:szCs w:val="18"/>
          <w:color w:val="auto"/>
        </w:rPr>
      </w:pPr>
    </w:p>
    <w:p>
      <w:pPr>
        <w:jc w:val="both"/>
        <w:ind w:left="1280" w:right="140" w:firstLine="652"/>
        <w:spacing w:after="0" w:line="287" w:lineRule="auto"/>
        <w:tabs>
          <w:tab w:leader="none" w:pos="2753"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any Designated Non-cash Consideration received by the Company or such Restricted Subsidiary in such Asset Sale having an aggregate fair market value (as determined in good faith by the Company), taken together with all other Designated Non-cash Consideration received pursuant to this clause (C) that is at that time outstanding, not to exceed the greater of (x) $50.0 million and</w:t>
      </w:r>
    </w:p>
    <w:p>
      <w:pPr>
        <w:spacing w:after="0" w:line="2" w:lineRule="exact"/>
        <w:rPr>
          <w:rFonts w:ascii="Arial" w:cs="Arial" w:eastAsia="Arial" w:hAnsi="Arial"/>
          <w:sz w:val="16"/>
          <w:szCs w:val="16"/>
          <w:color w:val="auto"/>
        </w:rPr>
      </w:pPr>
    </w:p>
    <w:p>
      <w:pPr>
        <w:ind w:left="1280" w:right="20"/>
        <w:spacing w:after="0" w:line="302" w:lineRule="auto"/>
        <w:rPr>
          <w:rFonts w:ascii="Arial" w:cs="Arial" w:eastAsia="Arial" w:hAnsi="Arial"/>
          <w:sz w:val="16"/>
          <w:szCs w:val="16"/>
          <w:color w:val="auto"/>
        </w:rPr>
      </w:pPr>
      <w:r>
        <w:rPr>
          <w:rFonts w:ascii="Arial" w:cs="Arial" w:eastAsia="Arial" w:hAnsi="Arial"/>
          <w:sz w:val="16"/>
          <w:szCs w:val="16"/>
          <w:color w:val="auto"/>
        </w:rPr>
        <w:t>(y) 2.5% of Total Assets at the time of the receipt of such Designated Non-cash Consideration, with the Fair Market Value of each item of Designated Non-cash Consideration being measured at the time received and determined in good faith by the Company as of the closing of the applicable Asset Sale where such non-cash consideration is received and without giving effect to subsequent changes in value; and</w:t>
      </w:r>
    </w:p>
    <w:p>
      <w:pPr>
        <w:spacing w:after="0" w:line="155" w:lineRule="exact"/>
        <w:rPr>
          <w:rFonts w:ascii="Arial" w:cs="Arial" w:eastAsia="Arial" w:hAnsi="Arial"/>
          <w:sz w:val="16"/>
          <w:szCs w:val="16"/>
          <w:color w:val="auto"/>
        </w:rPr>
      </w:pPr>
    </w:p>
    <w:p>
      <w:pPr>
        <w:ind w:left="2720" w:hanging="788"/>
        <w:spacing w:after="0"/>
        <w:tabs>
          <w:tab w:leader="none" w:pos="27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any stock or assets of the kind referred to in clause (2) or (4) of Section 4.10(b).</w:t>
      </w:r>
    </w:p>
    <w:p>
      <w:pPr>
        <w:spacing w:after="0" w:line="225" w:lineRule="exact"/>
        <w:rPr>
          <w:rFonts w:ascii="Arial" w:cs="Arial" w:eastAsia="Arial" w:hAnsi="Arial"/>
          <w:sz w:val="18"/>
          <w:szCs w:val="18"/>
          <w:color w:val="auto"/>
        </w:rPr>
      </w:pPr>
    </w:p>
    <w:p>
      <w:pPr>
        <w:ind w:left="-20" w:right="180" w:firstLine="656"/>
        <w:spacing w:after="0" w:line="277" w:lineRule="auto"/>
        <w:tabs>
          <w:tab w:leader="none" w:pos="132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Within 365 days after the receipt of any Net Proceeds from an Asset Sale, the Company (or the applicable Restricted Subsidiary, as the case may be) may apply such Net Proceeds:</w:t>
      </w:r>
    </w:p>
    <w:p>
      <w:pPr>
        <w:spacing w:after="0" w:line="170" w:lineRule="exact"/>
        <w:rPr>
          <w:rFonts w:ascii="Arial" w:cs="Arial" w:eastAsia="Arial" w:hAnsi="Arial"/>
          <w:sz w:val="18"/>
          <w:szCs w:val="18"/>
          <w:color w:val="auto"/>
        </w:rPr>
      </w:pPr>
    </w:p>
    <w:p>
      <w:pPr>
        <w:jc w:val="both"/>
        <w:ind w:left="640" w:firstLine="644"/>
        <w:spacing w:after="0" w:line="259" w:lineRule="auto"/>
        <w:tabs>
          <w:tab w:leader="none" w:pos="21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to prepay, repay or purchase (x) Indebtedness and other Obligations under the Credit Agreement or (y) any other Indebtedness that is secured;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with any prepayment, repayment or purchase of Indebtedness pursuant to this clause (1), the Company or such Restricted Subsidiary shall retire such Indebtedness and shall cause the related commitment (if any) to be permanently reduced in an amount equal to the principal amount so prepaid, repaid or purchased;</w:t>
      </w:r>
    </w:p>
    <w:p>
      <w:pPr>
        <w:spacing w:after="0" w:line="186" w:lineRule="exact"/>
        <w:rPr>
          <w:rFonts w:ascii="Arial" w:cs="Arial" w:eastAsia="Arial" w:hAnsi="Arial"/>
          <w:sz w:val="18"/>
          <w:szCs w:val="18"/>
          <w:color w:val="auto"/>
        </w:rPr>
      </w:pPr>
    </w:p>
    <w:p>
      <w:pPr>
        <w:ind w:left="640" w:right="300" w:firstLine="644"/>
        <w:spacing w:after="0" w:line="342" w:lineRule="auto"/>
        <w:tabs>
          <w:tab w:leader="none" w:pos="212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to acquire all or substantially all of the assets of, or a majority of the Capital Stock of, another Permitted Business, if, after giving effect to any such acquisition of Capital Stock, the Permitted Business is or becomes a Restricted Subsidiary of the Company;</w:t>
      </w:r>
    </w:p>
    <w:p>
      <w:pPr>
        <w:spacing w:after="0" w:line="123" w:lineRule="exact"/>
        <w:rPr>
          <w:rFonts w:ascii="Arial" w:cs="Arial" w:eastAsia="Arial" w:hAnsi="Arial"/>
          <w:sz w:val="16"/>
          <w:szCs w:val="16"/>
          <w:color w:val="auto"/>
        </w:rPr>
      </w:pPr>
    </w:p>
    <w:p>
      <w:pPr>
        <w:ind w:left="2120" w:hanging="836"/>
        <w:spacing w:after="0"/>
        <w:tabs>
          <w:tab w:leader="none" w:pos="21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make a capital expenditure or purchase construction or industrial equipment;</w:t>
      </w:r>
    </w:p>
    <w:p>
      <w:pPr>
        <w:spacing w:after="0" w:line="225" w:lineRule="exact"/>
        <w:rPr>
          <w:rFonts w:ascii="Arial" w:cs="Arial" w:eastAsia="Arial" w:hAnsi="Arial"/>
          <w:sz w:val="18"/>
          <w:szCs w:val="18"/>
          <w:color w:val="auto"/>
        </w:rPr>
      </w:pPr>
    </w:p>
    <w:p>
      <w:pPr>
        <w:ind w:left="2120" w:hanging="836"/>
        <w:spacing w:after="0"/>
        <w:tabs>
          <w:tab w:leader="none" w:pos="21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acquire or license other assets (other than Capital Stock) and that are used or useful in a Permitted Business;</w:t>
      </w:r>
    </w:p>
    <w:p>
      <w:pPr>
        <w:spacing w:after="0" w:line="225" w:lineRule="exact"/>
        <w:rPr>
          <w:rFonts w:ascii="Arial" w:cs="Arial" w:eastAsia="Arial" w:hAnsi="Arial"/>
          <w:sz w:val="18"/>
          <w:szCs w:val="18"/>
          <w:color w:val="auto"/>
        </w:rPr>
      </w:pPr>
    </w:p>
    <w:p>
      <w:pPr>
        <w:ind w:left="2120" w:hanging="836"/>
        <w:spacing w:after="0"/>
        <w:tabs>
          <w:tab w:leader="none" w:pos="21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acquire Replacement Assets; or</w:t>
      </w:r>
    </w:p>
    <w:p>
      <w:pPr>
        <w:spacing w:after="0" w:line="225" w:lineRule="exact"/>
        <w:rPr>
          <w:rFonts w:ascii="Arial" w:cs="Arial" w:eastAsia="Arial" w:hAnsi="Arial"/>
          <w:sz w:val="18"/>
          <w:szCs w:val="18"/>
          <w:color w:val="auto"/>
        </w:rPr>
      </w:pPr>
    </w:p>
    <w:p>
      <w:pPr>
        <w:ind w:left="640" w:right="340" w:firstLine="644"/>
        <w:spacing w:after="0" w:line="277" w:lineRule="auto"/>
        <w:tabs>
          <w:tab w:leader="none" w:pos="21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repay Indebtedness of a Restricted Subsidiary that is not a Guarantor, other than Indebtedness owed to the Company or another Restricted Subsidiary;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72" w:name="page73"/>
    <w:bookmarkEnd w:id="72"/>
    <w:p>
      <w:pPr>
        <w:ind w:right="80"/>
        <w:spacing w:after="0" w:line="296" w:lineRule="auto"/>
        <w:rPr>
          <w:sz w:val="20"/>
          <w:szCs w:val="20"/>
          <w:color w:val="auto"/>
        </w:rPr>
      </w:pP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in the case of clause (2), (3), (4) or (5) above, a binding commitment shall be treated as a permitted application of the Net Proceeds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such commitment so long as the Company or such other Restricted Subsidiary enters into such commitment with a good faith expectation that such Net Proceeds will be applied to satisfy such commitment within 180 days of such commitment (an “</w:t>
      </w:r>
      <w:r>
        <w:rPr>
          <w:rFonts w:ascii="Arial" w:cs="Arial" w:eastAsia="Arial" w:hAnsi="Arial"/>
          <w:sz w:val="16"/>
          <w:szCs w:val="16"/>
          <w:b w:val="1"/>
          <w:bCs w:val="1"/>
          <w:i w:val="1"/>
          <w:iCs w:val="1"/>
          <w:color w:val="auto"/>
        </w:rPr>
        <w:t>Acceptable Commitment</w:t>
      </w:r>
      <w:r>
        <w:rPr>
          <w:rFonts w:ascii="Arial" w:cs="Arial" w:eastAsia="Arial" w:hAnsi="Arial"/>
          <w:sz w:val="16"/>
          <w:szCs w:val="16"/>
          <w:color w:val="auto"/>
        </w:rPr>
        <w:t>”); and provided, further, that if any Acceptable Commitment is later terminated or cancelled before such Net Proceeds are applied, then such Net Proceeds shall constitute Excess Proceeds (as defined below) if not otherwise applied as provided above within 365 days of the receipt of such Net Proceeds.</w:t>
      </w:r>
    </w:p>
    <w:p>
      <w:pPr>
        <w:spacing w:after="0" w:line="161" w:lineRule="exact"/>
        <w:rPr>
          <w:sz w:val="20"/>
          <w:szCs w:val="20"/>
          <w:color w:val="auto"/>
        </w:rPr>
      </w:pPr>
    </w:p>
    <w:p>
      <w:pPr>
        <w:ind w:right="20" w:firstLine="656"/>
        <w:spacing w:after="0" w:line="277" w:lineRule="auto"/>
        <w:tabs>
          <w:tab w:leader="none" w:pos="134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Notwithstanding the foregoing, to the extent that (i) any of or all the Net Proceeds from any Asset Sale by a Foreign Subsidiary (a</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Foreign Disposition</w:t>
      </w:r>
      <w:r>
        <w:rPr>
          <w:rFonts w:ascii="Arial" w:cs="Arial" w:eastAsia="Arial" w:hAnsi="Arial"/>
          <w:sz w:val="16"/>
          <w:szCs w:val="16"/>
          <w:color w:val="auto"/>
        </w:rPr>
        <w:t>”) is prohibited or delayed by applicable local law from being repatriated to the United States or (ii) the Company, in its sole discretion, has determined in good faith that repatriation of any of or all of the Net Proceeds of any Foreign Disposition would result in material adverse tax consequences, the portion of such Net Proceeds so affected will not be required to be applied in compliance with this covenant; provided that within 365 days of the receipt of the Net Proceeds of any Foreign Disposition, the Company shall use commercially reasonable efforts to permit repatriation of such proceeds that would otherwise be subject to this covenant without violating applicable local law or incurring material adverse tax consequences, and, if such proceeds may be repatriated, within such 365 day period, such proceeds shall be applied in compliance with this covenant.</w:t>
      </w:r>
    </w:p>
    <w:p>
      <w:pPr>
        <w:spacing w:after="0" w:line="164" w:lineRule="exact"/>
        <w:rPr>
          <w:sz w:val="20"/>
          <w:szCs w:val="20"/>
          <w:color w:val="auto"/>
        </w:rPr>
      </w:pPr>
    </w:p>
    <w:p>
      <w:pPr>
        <w:ind w:right="20" w:firstLine="656"/>
        <w:spacing w:after="0" w:line="269" w:lineRule="auto"/>
        <w:tabs>
          <w:tab w:leader="none" w:pos="133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Net Proceeds from Asset Sales that are not applied or invested as described above will constitute “</w:t>
      </w:r>
      <w:r>
        <w:rPr>
          <w:rFonts w:ascii="Arial" w:cs="Arial" w:eastAsia="Arial" w:hAnsi="Arial"/>
          <w:sz w:val="17"/>
          <w:szCs w:val="17"/>
          <w:b w:val="1"/>
          <w:bCs w:val="1"/>
          <w:i w:val="1"/>
          <w:iCs w:val="1"/>
          <w:color w:val="auto"/>
        </w:rPr>
        <w:t>Excess Proceeds</w:t>
      </w:r>
      <w:r>
        <w:rPr>
          <w:rFonts w:ascii="Arial" w:cs="Arial" w:eastAsia="Arial" w:hAnsi="Arial"/>
          <w:sz w:val="17"/>
          <w:szCs w:val="17"/>
          <w:color w:val="auto"/>
        </w:rPr>
        <w:t>.” When the aggregate amount of Excess Proceeds exceeds $100.0 million, within 30 days thereof, unless waived or modified with the consent of the Holders of at least a majority in aggregate principal amount of the Notes then outstanding, the Company will make an offer (an “</w:t>
      </w:r>
      <w:r>
        <w:rPr>
          <w:rFonts w:ascii="Arial" w:cs="Arial" w:eastAsia="Arial" w:hAnsi="Arial"/>
          <w:sz w:val="17"/>
          <w:szCs w:val="17"/>
          <w:b w:val="1"/>
          <w:bCs w:val="1"/>
          <w:i w:val="1"/>
          <w:iCs w:val="1"/>
          <w:color w:val="auto"/>
        </w:rPr>
        <w:t>Asset Sale Offer</w:t>
      </w:r>
      <w:r>
        <w:rPr>
          <w:rFonts w:ascii="Arial" w:cs="Arial" w:eastAsia="Arial" w:hAnsi="Arial"/>
          <w:sz w:val="17"/>
          <w:szCs w:val="17"/>
          <w:color w:val="auto"/>
        </w:rPr>
        <w:t xml:space="preserve">”) to the Holders of Notes (with a copy to the Trustee) and all holders of other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containing provisions similar to those set forth in this Indenture with respect to offers to purchase or redeem with the proceeds of sales of assets in accordance with Section 3.09 to purchase the maximum principal amount of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that may be purchased out of the Excess Proceeds. The offer price in any Asset Sale Offer will be equal to 100% of the principal amount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if any, to the date of purchase, and will be payable in cash. If any Excess Proceeds remain after consummation of an Asset Sale Offer, the Company may use those Excess Proceeds for any purpose not otherwise prohibited by this Indenture. If the aggregate principal amount of Notes and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tendered into such Asset Sale Offer exceeds the amount of Excess Proceeds, the Company will select the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to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completion of each Asset Sale Offer, the amount of Excess Proceeds will be reset at zero.</w:t>
      </w:r>
    </w:p>
    <w:p>
      <w:pPr>
        <w:spacing w:after="0" w:line="181" w:lineRule="exact"/>
        <w:rPr>
          <w:rFonts w:ascii="Arial" w:cs="Arial" w:eastAsia="Arial" w:hAnsi="Arial"/>
          <w:sz w:val="17"/>
          <w:szCs w:val="17"/>
          <w:color w:val="auto"/>
        </w:rPr>
      </w:pPr>
    </w:p>
    <w:p>
      <w:pPr>
        <w:ind w:firstLine="656"/>
        <w:spacing w:after="0" w:line="257" w:lineRule="auto"/>
        <w:tabs>
          <w:tab w:leader="none" w:pos="131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Section 3.09 or this Section 4.10, the Company will comply with the applicable securities laws and regulations and will not be deemed to have breached its obligations under Section 3.09 or this Section 4.10 by virtue of such compliance.</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Transactions with Affiliates.</w:t>
      </w:r>
    </w:p>
    <w:p>
      <w:pPr>
        <w:spacing w:after="0" w:line="225" w:lineRule="exact"/>
        <w:rPr>
          <w:sz w:val="20"/>
          <w:szCs w:val="20"/>
          <w:color w:val="auto"/>
        </w:rPr>
      </w:pPr>
    </w:p>
    <w:p>
      <w:pPr>
        <w:ind w:right="20" w:firstLine="656"/>
        <w:spacing w:after="0" w:line="259" w:lineRule="auto"/>
        <w:tabs>
          <w:tab w:leader="none" w:pos="138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8"/>
          <w:szCs w:val="18"/>
          <w:b w:val="1"/>
          <w:bCs w:val="1"/>
          <w:i w:val="1"/>
          <w:iCs w:val="1"/>
          <w:color w:val="auto"/>
        </w:rPr>
        <w:t>Affiliate Transaction</w:t>
      </w:r>
      <w:r>
        <w:rPr>
          <w:rFonts w:ascii="Arial" w:cs="Arial" w:eastAsia="Arial" w:hAnsi="Arial"/>
          <w:sz w:val="18"/>
          <w:szCs w:val="18"/>
          <w:color w:val="auto"/>
        </w:rPr>
        <w:t>”) involving aggregate payments or consideration in excess of $25.0 million, unless: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3" w:name="page74"/>
    <w:bookmarkEnd w:id="73"/>
    <w:p>
      <w:pPr>
        <w:ind w:left="660" w:right="400" w:firstLine="644"/>
        <w:spacing w:after="0" w:line="263" w:lineRule="auto"/>
        <w:tabs>
          <w:tab w:leader="none" w:pos="214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Affiliate Transaction is on terms that, when taken as a whole, are not materially less favorable to the Company or the relevant Restricted Subsidiary than those that would have been obtained in a comparable transaction by the Company or such Restricted Subsidiary with an unrelated Person; and</w:t>
      </w:r>
    </w:p>
    <w:p>
      <w:pPr>
        <w:spacing w:after="0" w:line="183" w:lineRule="exact"/>
        <w:rPr>
          <w:rFonts w:ascii="Arial" w:cs="Arial" w:eastAsia="Arial" w:hAnsi="Arial"/>
          <w:sz w:val="18"/>
          <w:szCs w:val="18"/>
          <w:color w:val="auto"/>
        </w:rPr>
      </w:pPr>
    </w:p>
    <w:p>
      <w:pPr>
        <w:jc w:val="both"/>
        <w:ind w:left="660" w:right="180" w:firstLine="644"/>
        <w:spacing w:after="0" w:line="279" w:lineRule="auto"/>
        <w:tabs>
          <w:tab w:leader="none" w:pos="2148"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Company delivers to the Trustee with respect to any Affiliate Transaction or series of related Affiliate Transactions involving aggregate consideration in excess of $50.0 million, a resolution of the Board of Directors of the Company set forth in an Officer’s Certificate certifying that such Affiliate Transaction complies with clause (1) of this Section 4.11(a) and that such Affiliate Transaction has been approved by a majority of the disinterested members of the Board of Directors of the Company.</w:t>
      </w:r>
    </w:p>
    <w:p>
      <w:pPr>
        <w:spacing w:after="0" w:line="171" w:lineRule="exact"/>
        <w:rPr>
          <w:rFonts w:ascii="Arial" w:cs="Arial" w:eastAsia="Arial" w:hAnsi="Arial"/>
          <w:sz w:val="17"/>
          <w:szCs w:val="17"/>
          <w:color w:val="auto"/>
        </w:rPr>
      </w:pPr>
    </w:p>
    <w:p>
      <w:pPr>
        <w:ind w:left="1360" w:hanging="704"/>
        <w:spacing w:after="0"/>
        <w:tabs>
          <w:tab w:leader="none" w:pos="1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following items will not be deemed to be Affiliate Transactions and, therefore, will not be subject to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4.11(a) hereof:</w:t>
      </w:r>
    </w:p>
    <w:p>
      <w:pPr>
        <w:spacing w:after="0" w:line="211" w:lineRule="exact"/>
        <w:rPr>
          <w:sz w:val="20"/>
          <w:szCs w:val="20"/>
          <w:color w:val="auto"/>
        </w:rPr>
      </w:pPr>
    </w:p>
    <w:p>
      <w:pPr>
        <w:ind w:left="660" w:right="160" w:firstLine="644"/>
        <w:spacing w:after="0" w:line="259" w:lineRule="auto"/>
        <w:tabs>
          <w:tab w:leader="none" w:pos="21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employment agreement, employee benefit plan, indemnification agreement or arrangement for directors, officers, employees, agents and consultants, stock option, stock repurchase agreement, consulting agreement, severance agreement, insurance plan or any similar agreement, plan or arrangement, in each case entered into by the Company or any of its Restricted Subsidiaries in the ordinary course of business and payments pursuant thereto;</w:t>
      </w:r>
    </w:p>
    <w:p>
      <w:pPr>
        <w:spacing w:after="0" w:line="186" w:lineRule="exact"/>
        <w:rPr>
          <w:rFonts w:ascii="Arial" w:cs="Arial" w:eastAsia="Arial" w:hAnsi="Arial"/>
          <w:sz w:val="18"/>
          <w:szCs w:val="18"/>
          <w:color w:val="auto"/>
        </w:rPr>
      </w:pPr>
    </w:p>
    <w:p>
      <w:pPr>
        <w:ind w:left="2140" w:hanging="836"/>
        <w:spacing w:after="0"/>
        <w:tabs>
          <w:tab w:leader="none" w:pos="2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225" w:lineRule="exact"/>
        <w:rPr>
          <w:rFonts w:ascii="Arial" w:cs="Arial" w:eastAsia="Arial" w:hAnsi="Arial"/>
          <w:sz w:val="18"/>
          <w:szCs w:val="18"/>
          <w:color w:val="auto"/>
        </w:rPr>
      </w:pPr>
    </w:p>
    <w:p>
      <w:pPr>
        <w:ind w:left="660" w:right="120" w:firstLine="644"/>
        <w:spacing w:after="0" w:line="308" w:lineRule="auto"/>
        <w:tabs>
          <w:tab w:leader="none" w:pos="214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transactions with a Person (other than an Unrestricted Subsidiary of the Company) that is an Affiliate of the Company solely because the Company owns, directly or through a Restricted Subsidiary, an Equity Interest in, or controls, such Person;</w:t>
      </w:r>
    </w:p>
    <w:p>
      <w:pPr>
        <w:spacing w:after="0" w:line="146" w:lineRule="exact"/>
        <w:rPr>
          <w:rFonts w:ascii="Arial" w:cs="Arial" w:eastAsia="Arial" w:hAnsi="Arial"/>
          <w:sz w:val="17"/>
          <w:szCs w:val="17"/>
          <w:color w:val="auto"/>
        </w:rPr>
      </w:pPr>
    </w:p>
    <w:p>
      <w:pPr>
        <w:ind w:left="660" w:right="240" w:firstLine="644"/>
        <w:spacing w:after="0" w:line="263" w:lineRule="auto"/>
        <w:tabs>
          <w:tab w:leader="none" w:pos="21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payment of reasonable directors’ fees;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fees paid or payable in any calendar year to any director who is an Affiliate of the Company in a capacity other than as a director of the Company shall not be greater than the aggregate fees paid or payable in such year to any other director who is not otherwise an Affiliate of the Company;</w:t>
      </w:r>
    </w:p>
    <w:p>
      <w:pPr>
        <w:spacing w:after="0" w:line="183" w:lineRule="exact"/>
        <w:rPr>
          <w:rFonts w:ascii="Arial" w:cs="Arial" w:eastAsia="Arial" w:hAnsi="Arial"/>
          <w:sz w:val="18"/>
          <w:szCs w:val="18"/>
          <w:color w:val="auto"/>
        </w:rPr>
      </w:pPr>
    </w:p>
    <w:p>
      <w:pPr>
        <w:ind w:left="660" w:right="40" w:firstLine="644"/>
        <w:spacing w:after="0" w:line="277" w:lineRule="auto"/>
        <w:tabs>
          <w:tab w:leader="none" w:pos="21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directors, officers or employees of the Company or its Restricted Subsidiaries or to holders of Equity Interests in the Company;</w:t>
      </w:r>
    </w:p>
    <w:p>
      <w:pPr>
        <w:spacing w:after="0" w:line="170" w:lineRule="exact"/>
        <w:rPr>
          <w:rFonts w:ascii="Arial" w:cs="Arial" w:eastAsia="Arial" w:hAnsi="Arial"/>
          <w:sz w:val="18"/>
          <w:szCs w:val="18"/>
          <w:color w:val="auto"/>
        </w:rPr>
      </w:pPr>
    </w:p>
    <w:p>
      <w:pPr>
        <w:ind w:left="660" w:right="40" w:firstLine="644"/>
        <w:spacing w:after="0" w:line="301" w:lineRule="auto"/>
        <w:tabs>
          <w:tab w:leader="none" w:pos="214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issuances of securities or other payments, awards or grants in cash, securities or otherwise pursuant to, or the funding of, employment arrangements, stock option, stock ownership, severance or termination plans and similar employee benefit agreements, arrangements or plans approved by the Board of Directors of the Company and entered into by the Company or any of its Restricted Subsidiaries in the ordinary course of business or consistent with past practices and advances, reimbursements and payments pursuant thereto;</w:t>
      </w:r>
    </w:p>
    <w:p>
      <w:pPr>
        <w:spacing w:after="0" w:line="157" w:lineRule="exact"/>
        <w:rPr>
          <w:rFonts w:ascii="Arial" w:cs="Arial" w:eastAsia="Arial" w:hAnsi="Arial"/>
          <w:sz w:val="16"/>
          <w:szCs w:val="16"/>
          <w:color w:val="auto"/>
        </w:rPr>
      </w:pPr>
    </w:p>
    <w:p>
      <w:pPr>
        <w:ind w:left="2140" w:hanging="836"/>
        <w:spacing w:after="0"/>
        <w:tabs>
          <w:tab w:leader="none" w:pos="2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Restricted Payments and Permitted Investments that do not violate Section 4.07 hereof;</w:t>
      </w:r>
    </w:p>
    <w:p>
      <w:pPr>
        <w:spacing w:after="0" w:line="225" w:lineRule="exact"/>
        <w:rPr>
          <w:rFonts w:ascii="Arial" w:cs="Arial" w:eastAsia="Arial" w:hAnsi="Arial"/>
          <w:sz w:val="18"/>
          <w:szCs w:val="18"/>
          <w:color w:val="auto"/>
        </w:rPr>
      </w:pPr>
    </w:p>
    <w:p>
      <w:pPr>
        <w:ind w:left="660" w:right="160" w:firstLine="644"/>
        <w:spacing w:after="0" w:line="342" w:lineRule="auto"/>
        <w:tabs>
          <w:tab w:leader="none" w:pos="214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loans and advances paid (and cancellation of loans and advances) to officers, directors or employees of the Company or any of its Restricted Subsidiaries in the ordinary course of business in accordance with past practice of the Company or such Restricted Subsidiary;</w:t>
      </w:r>
    </w:p>
    <w:p>
      <w:pPr>
        <w:spacing w:after="0" w:line="123" w:lineRule="exact"/>
        <w:rPr>
          <w:rFonts w:ascii="Arial" w:cs="Arial" w:eastAsia="Arial" w:hAnsi="Arial"/>
          <w:sz w:val="16"/>
          <w:szCs w:val="16"/>
          <w:color w:val="auto"/>
        </w:rPr>
      </w:pPr>
    </w:p>
    <w:p>
      <w:pPr>
        <w:ind w:left="660" w:firstLine="644"/>
        <w:spacing w:after="0" w:line="279" w:lineRule="auto"/>
        <w:tabs>
          <w:tab w:leader="none" w:pos="214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transactions entered into after the Reversion Date pursuant to a contract, agreement, loan, advance or guaranty with, or for the benefit of, any Affiliate of the Company entered into during the Suspension Period, or as the same may be amended, modified or replaced from time to time so long as any such amendment, modification or replacement is not materially less favorable to the Company or the Holders of Notes than the applicable contract, agreement, loan, advance or guaranty entered into during the Suspension Period;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4" w:name="page75"/>
    <w:bookmarkEnd w:id="74"/>
    <w:p>
      <w:pPr>
        <w:ind w:left="660" w:firstLine="644"/>
        <w:spacing w:after="0" w:line="254" w:lineRule="auto"/>
        <w:tabs>
          <w:tab w:leader="none" w:pos="19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transactions with Affiliates that are customers, suppliers, contractors, joint venture partners or purchasers or sellers of goods or services, in each case which are in the ordinary course of business and otherwise in compliance with the terms of this Indenture, and which are fair to the Company and its Restricted Subsidiaries, as applicable, in the reasonable determination of the Board of Directors, chief executive officer or chief financial officer of the Company or its Restricted Subsidiaries, as applicable, or are on terms that, taken as a whole, are materially not less favorable to the Company or such Restricted Subsidiary than could reasonably be obtained, at the time of such transaction or, if such transaction is pursuant to a written agreement, at the time of the execution of the agreement providing therefor, in a comparable arm’s-length transaction with a Person that is not an Affiliate;</w:t>
      </w:r>
    </w:p>
    <w:p>
      <w:pPr>
        <w:spacing w:after="0" w:line="194" w:lineRule="exact"/>
        <w:rPr>
          <w:rFonts w:ascii="Arial" w:cs="Arial" w:eastAsia="Arial" w:hAnsi="Arial"/>
          <w:sz w:val="18"/>
          <w:szCs w:val="18"/>
          <w:color w:val="auto"/>
        </w:rPr>
      </w:pPr>
    </w:p>
    <w:p>
      <w:pPr>
        <w:ind w:left="1960" w:hanging="656"/>
        <w:spacing w:after="0"/>
        <w:tabs>
          <w:tab w:leader="none" w:pos="1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transactions permitted under Section 5.01 hereof;</w:t>
      </w:r>
    </w:p>
    <w:p>
      <w:pPr>
        <w:spacing w:after="0" w:line="225" w:lineRule="exact"/>
        <w:rPr>
          <w:rFonts w:ascii="Arial" w:cs="Arial" w:eastAsia="Arial" w:hAnsi="Arial"/>
          <w:sz w:val="18"/>
          <w:szCs w:val="18"/>
          <w:color w:val="auto"/>
        </w:rPr>
      </w:pPr>
    </w:p>
    <w:p>
      <w:pPr>
        <w:ind w:left="660" w:right="80" w:firstLine="644"/>
        <w:spacing w:after="0" w:line="263" w:lineRule="auto"/>
        <w:tabs>
          <w:tab w:leader="none" w:pos="19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transactions between the Company or any of its Restricted Subsidiaries and any Person that is an Affiliate of the Company or any of its Restricted Subsidiaries solely because a director of such Person is also a director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director abstains from voting as a director on any matter involving such other Person; and</w:t>
      </w:r>
    </w:p>
    <w:p>
      <w:pPr>
        <w:spacing w:after="0" w:line="183" w:lineRule="exact"/>
        <w:rPr>
          <w:rFonts w:ascii="Arial" w:cs="Arial" w:eastAsia="Arial" w:hAnsi="Arial"/>
          <w:sz w:val="18"/>
          <w:szCs w:val="18"/>
          <w:color w:val="auto"/>
        </w:rPr>
      </w:pPr>
    </w:p>
    <w:p>
      <w:pPr>
        <w:jc w:val="both"/>
        <w:ind w:left="660" w:right="320" w:firstLine="644"/>
        <w:spacing w:after="0" w:line="263" w:lineRule="auto"/>
        <w:tabs>
          <w:tab w:leader="none" w:pos="19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transactions with any Person solely in its capacity as a holder of Indebtedness or Capital Stock of the Company or any of its Restricted Subsidiaries if such transaction provides for equal treatment of such Person and all other holders, in their capacity as holders, of the same series of such Indebtedness or of the same class of such Capital Stock;</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transactions permitted under Section 4.09.</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i w:val="1"/>
          <w:iCs w:val="1"/>
          <w:color w:val="auto"/>
        </w:rPr>
        <w:t>Liens.</w:t>
      </w:r>
    </w:p>
    <w:p>
      <w:pPr>
        <w:spacing w:after="0" w:line="225" w:lineRule="exact"/>
        <w:rPr>
          <w:sz w:val="20"/>
          <w:szCs w:val="20"/>
          <w:color w:val="auto"/>
        </w:rPr>
      </w:pPr>
    </w:p>
    <w:p>
      <w:pPr>
        <w:ind w:right="140" w:firstLine="656"/>
        <w:spacing w:after="0" w:line="255" w:lineRule="auto"/>
        <w:tabs>
          <w:tab w:leader="none" w:pos="138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create, incur, assume or otherwise cause or suffer to exist or become effective any Lien of any kind upon any of their property or assets securing Indebtedness, now owned or hereafter acquired, unless all payments due under this Indenture and the Notes are secured on an equal and ratable basis with the obligations so secured until such time as such obligations are no longer secured by a Lien. Any Lien created for the benefit of the holders of Notes pursuant to the preceding sentence shall provide that such Lien shall be automatically and unconditionally released upon the release of the other Lien referred to in the preceding sentence. The foregoing shall not apply to:</w:t>
      </w:r>
    </w:p>
    <w:p>
      <w:pPr>
        <w:spacing w:after="0" w:line="192" w:lineRule="exact"/>
        <w:rPr>
          <w:rFonts w:ascii="Arial" w:cs="Arial" w:eastAsia="Arial" w:hAnsi="Arial"/>
          <w:sz w:val="18"/>
          <w:szCs w:val="18"/>
          <w:color w:val="auto"/>
        </w:rPr>
      </w:pPr>
    </w:p>
    <w:p>
      <w:pPr>
        <w:ind w:left="660" w:right="20" w:firstLine="644"/>
        <w:spacing w:after="0" w:line="308" w:lineRule="auto"/>
        <w:tabs>
          <w:tab w:leader="none" w:pos="196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Liens to secure Indebtedness permitted to be incurred under Section 4.09;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(1), at the time of incurrence and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the Secured Leverage Ratio shall not exceed 3.50 to 1.00; and</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purposes of determining compliance with this Section 4.12, (x) a Lien need not be incurred solely by reference to one category of Permitted Liens or one category of permitted Liens described in the proviso to clause (1) above but may be incurred under any combination of such categories (including in part under one such category and in part under any one or more of such other such categories) and (y) in the event that a Lien (or any portion thereof) meets the criteria of one or more of such categories, the Company, in its sole discretion, may divide and/or classify, or at any later time re-divide and/or reclassify, such Lien (or any portion thereof) in any manner that complies with this Section 4.12 and the definition of “Permitted Liens”. Notwithstanding the foregoing, any Lien under Credit Facilities that is outstanding on the Issue Date will at all times be deemed to have been incurred on such date in reliance on the exception provided by clause (1) of the definition of “Permitted Liens” and may not be reclassified.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75" w:name="page76"/>
    <w:bookmarkEnd w:id="75"/>
    <w:p>
      <w:pPr>
        <w:ind w:left="640"/>
        <w:spacing w:after="0"/>
        <w:tabs>
          <w:tab w:leader="none" w:pos="192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i w:val="1"/>
          <w:iCs w:val="1"/>
          <w:color w:val="auto"/>
        </w:rPr>
        <w:t>Corporate Existence.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Article V, the Company shall do or cause to be done all things necessary to preserve and keep in full force and effect:</w:t>
      </w:r>
    </w:p>
    <w:p>
      <w:pPr>
        <w:spacing w:after="0" w:line="225" w:lineRule="exact"/>
        <w:rPr>
          <w:sz w:val="20"/>
          <w:szCs w:val="20"/>
          <w:color w:val="auto"/>
        </w:rPr>
      </w:pPr>
    </w:p>
    <w:p>
      <w:pPr>
        <w:ind w:left="640" w:right="480" w:firstLine="644"/>
        <w:spacing w:after="0" w:line="342" w:lineRule="auto"/>
        <w:tabs>
          <w:tab w:leader="none" w:pos="194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123" w:lineRule="exact"/>
        <w:rPr>
          <w:rFonts w:ascii="Arial" w:cs="Arial" w:eastAsia="Arial" w:hAnsi="Arial"/>
          <w:sz w:val="16"/>
          <w:szCs w:val="16"/>
          <w:color w:val="auto"/>
        </w:rPr>
      </w:pPr>
    </w:p>
    <w:p>
      <w:pPr>
        <w:ind w:left="640" w:right="400" w:firstLine="644"/>
        <w:spacing w:after="0" w:line="301" w:lineRule="auto"/>
        <w:tabs>
          <w:tab w:leader="none" w:pos="194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and its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15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i w:val="1"/>
          <w:iCs w:val="1"/>
          <w:color w:val="auto"/>
        </w:rPr>
        <w:t>Offer to Repurchase Upon Change of Control.</w:t>
      </w:r>
    </w:p>
    <w:p>
      <w:pPr>
        <w:spacing w:after="0" w:line="225" w:lineRule="exact"/>
        <w:rPr>
          <w:sz w:val="20"/>
          <w:szCs w:val="20"/>
          <w:color w:val="auto"/>
        </w:rPr>
      </w:pPr>
    </w:p>
    <w:p>
      <w:pPr>
        <w:ind w:left="-20" w:right="280" w:firstLine="656"/>
        <w:spacing w:after="0" w:line="293" w:lineRule="auto"/>
        <w:tabs>
          <w:tab w:leader="none" w:pos="136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Upon the occurrence of a Change of Control, the Company will make an offer (a “</w:t>
      </w:r>
      <w:r>
        <w:rPr>
          <w:rFonts w:ascii="Arial" w:cs="Arial" w:eastAsia="Arial" w:hAnsi="Arial"/>
          <w:sz w:val="16"/>
          <w:szCs w:val="16"/>
          <w:b w:val="1"/>
          <w:bCs w:val="1"/>
          <w:i w:val="1"/>
          <w:iCs w:val="1"/>
          <w:color w:val="auto"/>
        </w:rPr>
        <w:t>Change of Control Offer</w:t>
      </w:r>
      <w:r>
        <w:rPr>
          <w:rFonts w:ascii="Arial" w:cs="Arial" w:eastAsia="Arial" w:hAnsi="Arial"/>
          <w:sz w:val="16"/>
          <w:szCs w:val="16"/>
          <w:color w:val="auto"/>
        </w:rPr>
        <w:t xml:space="preserve">”) to each Holder to repurchase all or any part (equal to $2,000 or an integral multiple of $1,000 in excess thereof) of that Holder’s Notes at a purchase price in cash equal to 101% of the aggregate principal amount of Notes repurchased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if any, on the Notes repurchased to the date of purchase (the “</w:t>
      </w:r>
      <w:r>
        <w:rPr>
          <w:rFonts w:ascii="Arial" w:cs="Arial" w:eastAsia="Arial" w:hAnsi="Arial"/>
          <w:sz w:val="16"/>
          <w:szCs w:val="16"/>
          <w:b w:val="1"/>
          <w:bCs w:val="1"/>
          <w:i w:val="1"/>
          <w:iCs w:val="1"/>
          <w:color w:val="auto"/>
        </w:rPr>
        <w:t>Change of Control Payment Date</w:t>
      </w:r>
      <w:r>
        <w:rPr>
          <w:rFonts w:ascii="Arial" w:cs="Arial" w:eastAsia="Arial" w:hAnsi="Arial"/>
          <w:sz w:val="16"/>
          <w:szCs w:val="16"/>
          <w:color w:val="auto"/>
        </w:rPr>
        <w:t>”), subject to the rights of Holders of Notes on the relevant record date to receive interest due on the relevant interest payment date (the “</w:t>
      </w:r>
      <w:r>
        <w:rPr>
          <w:rFonts w:ascii="Arial" w:cs="Arial" w:eastAsia="Arial" w:hAnsi="Arial"/>
          <w:sz w:val="16"/>
          <w:szCs w:val="16"/>
          <w:b w:val="1"/>
          <w:bCs w:val="1"/>
          <w:i w:val="1"/>
          <w:iCs w:val="1"/>
          <w:color w:val="auto"/>
        </w:rPr>
        <w:t>Change of Control Payment</w:t>
      </w:r>
      <w:r>
        <w:rPr>
          <w:rFonts w:ascii="Arial" w:cs="Arial" w:eastAsia="Arial" w:hAnsi="Arial"/>
          <w:sz w:val="16"/>
          <w:szCs w:val="16"/>
          <w:color w:val="auto"/>
        </w:rPr>
        <w:t>”). Within 30 days following any Change of Control, the Company will send a notice to each Holder (with a copy to the Trustee) describing the transaction or transactions that constitute the Change of Control and stating:</w:t>
      </w:r>
    </w:p>
    <w:p>
      <w:pPr>
        <w:spacing w:after="0" w:line="164" w:lineRule="exact"/>
        <w:rPr>
          <w:rFonts w:ascii="Arial" w:cs="Arial" w:eastAsia="Arial" w:hAnsi="Arial"/>
          <w:sz w:val="16"/>
          <w:szCs w:val="16"/>
          <w:color w:val="auto"/>
        </w:rPr>
      </w:pPr>
    </w:p>
    <w:p>
      <w:pPr>
        <w:ind w:left="640" w:right="580" w:firstLine="644"/>
        <w:spacing w:after="0" w:line="277" w:lineRule="auto"/>
        <w:tabs>
          <w:tab w:leader="none" w:pos="194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this Section 4.15 and that all Notes properly tendered and not withdrawn will be accepted for payment;</w:t>
      </w:r>
    </w:p>
    <w:p>
      <w:pPr>
        <w:spacing w:after="0" w:line="170" w:lineRule="exact"/>
        <w:rPr>
          <w:rFonts w:ascii="Arial" w:cs="Arial" w:eastAsia="Arial" w:hAnsi="Arial"/>
          <w:sz w:val="18"/>
          <w:szCs w:val="18"/>
          <w:color w:val="auto"/>
        </w:rPr>
      </w:pPr>
    </w:p>
    <w:p>
      <w:pPr>
        <w:ind w:left="640" w:right="300" w:firstLine="644"/>
        <w:spacing w:after="0" w:line="277" w:lineRule="auto"/>
        <w:tabs>
          <w:tab w:leader="none" w:pos="194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purchase price and the Change of Control Payment Date, which shall be no earlier than 15 days and no later than 60 days from the date such notice is sent;</w:t>
      </w:r>
    </w:p>
    <w:p>
      <w:pPr>
        <w:spacing w:after="0" w:line="170" w:lineRule="exact"/>
        <w:rPr>
          <w:rFonts w:ascii="Arial" w:cs="Arial" w:eastAsia="Arial" w:hAnsi="Arial"/>
          <w:sz w:val="18"/>
          <w:szCs w:val="18"/>
          <w:color w:val="auto"/>
        </w:rPr>
      </w:pPr>
    </w:p>
    <w:p>
      <w:pPr>
        <w:ind w:left="1940" w:hanging="656"/>
        <w:spacing w:after="0"/>
        <w:tabs>
          <w:tab w:leader="none" w:pos="19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25" w:lineRule="exact"/>
        <w:rPr>
          <w:rFonts w:ascii="Arial" w:cs="Arial" w:eastAsia="Arial" w:hAnsi="Arial"/>
          <w:sz w:val="18"/>
          <w:szCs w:val="18"/>
          <w:color w:val="auto"/>
        </w:rPr>
      </w:pPr>
    </w:p>
    <w:p>
      <w:pPr>
        <w:ind w:left="640" w:right="40" w:firstLine="644"/>
        <w:spacing w:after="0" w:line="277" w:lineRule="auto"/>
        <w:tabs>
          <w:tab w:leader="none" w:pos="194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on and after the Change of Control Payment Date;</w:t>
      </w:r>
    </w:p>
    <w:p>
      <w:pPr>
        <w:spacing w:after="0" w:line="170" w:lineRule="exact"/>
        <w:rPr>
          <w:rFonts w:ascii="Arial" w:cs="Arial" w:eastAsia="Arial" w:hAnsi="Arial"/>
          <w:sz w:val="18"/>
          <w:szCs w:val="18"/>
          <w:color w:val="auto"/>
        </w:rPr>
      </w:pPr>
    </w:p>
    <w:p>
      <w:pPr>
        <w:ind w:left="640" w:firstLine="644"/>
        <w:spacing w:after="0" w:line="259" w:lineRule="auto"/>
        <w:tabs>
          <w:tab w:leader="none" w:pos="194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that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86" w:lineRule="exact"/>
        <w:rPr>
          <w:rFonts w:ascii="Arial" w:cs="Arial" w:eastAsia="Arial" w:hAnsi="Arial"/>
          <w:sz w:val="18"/>
          <w:szCs w:val="18"/>
          <w:color w:val="auto"/>
        </w:rPr>
      </w:pPr>
    </w:p>
    <w:p>
      <w:pPr>
        <w:jc w:val="both"/>
        <w:ind w:left="640" w:right="180" w:firstLine="644"/>
        <w:spacing w:after="0" w:line="311" w:lineRule="auto"/>
        <w:tabs>
          <w:tab w:leader="none" w:pos="194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a facsimile transmission or letter setting forth the name of the Holder, the principal amount of Notes delivered for purchase, and a statement that such Holder is withdrawing his election to have the Notes purchased;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76" w:name="page77"/>
    <w:bookmarkEnd w:id="76"/>
    <w:p>
      <w:pPr>
        <w:ind w:left="660" w:right="180" w:firstLine="644"/>
        <w:spacing w:after="0" w:line="263" w:lineRule="auto"/>
        <w:tabs>
          <w:tab w:leader="none" w:pos="196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thereof.</w:t>
      </w:r>
    </w:p>
    <w:p>
      <w:pPr>
        <w:spacing w:after="0" w:line="18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provisions of Section 3.09 or 4.15, the Company will comply with the applicable securities laws and regulations and will not be deemed to have breached its obligations under Section 3.09 or 4.15 by virtue of such compliance.</w:t>
      </w:r>
    </w:p>
    <w:p>
      <w:pPr>
        <w:spacing w:after="0" w:line="157" w:lineRule="exact"/>
        <w:rPr>
          <w:sz w:val="20"/>
          <w:szCs w:val="20"/>
          <w:color w:val="auto"/>
        </w:rPr>
      </w:pPr>
    </w:p>
    <w:p>
      <w:pPr>
        <w:ind w:left="1400" w:hanging="744"/>
        <w:spacing w:after="0"/>
        <w:tabs>
          <w:tab w:leader="none" w:pos="14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right="160" w:firstLine="644"/>
        <w:spacing w:after="0" w:line="277" w:lineRule="auto"/>
        <w:tabs>
          <w:tab w:leader="none" w:pos="205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660" w:right="360" w:firstLine="644"/>
        <w:spacing w:after="0" w:line="277" w:lineRule="auto"/>
        <w:tabs>
          <w:tab w:leader="none" w:pos="205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The Paying Agent will promptly deliver to each Holder of Notes properly tendered the Change of Control Payment for such Notes, and the Trustee will promptly authenticate and deliver (or cause to be transferred by book entry) to each Holder a new Note equal in principal amount to any unpurchased portion of the Notes surrendered,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new Note will be in a principal amount of $2,000 or an integral multiple of $1,000 in excess thereof. Any Notes so accepted for payment will cease to accrue interest on and after the Change of Control Payment Date. The Company will publicly announce the results of the Change of Control Offer on or as soon as practicable after the Change of Control Payment Date.</w:t>
      </w:r>
    </w:p>
    <w:p>
      <w:pPr>
        <w:spacing w:after="0" w:line="176" w:lineRule="exact"/>
        <w:rPr>
          <w:sz w:val="20"/>
          <w:szCs w:val="20"/>
          <w:color w:val="auto"/>
        </w:rPr>
      </w:pPr>
    </w:p>
    <w:p>
      <w:pPr>
        <w:ind w:right="40" w:firstLine="656"/>
        <w:spacing w:after="0" w:line="279" w:lineRule="auto"/>
        <w:tabs>
          <w:tab w:leader="none" w:pos="138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4.15, the Company may make a Change of Control Offer prior to the consummation of a Change of Control, and conditioned on the occurrence of such Change of Control, if a definitive agreement is in place for such Change of Control at the time the Company makes such Change of Control Offer. In such case, the notice described in Section 4.15(a) shall state that the Change of Control Offer is conditioned on the Change of Control being consummated on or prior to the Change of Control Payment Date.</w:t>
      </w:r>
    </w:p>
    <w:p>
      <w:pPr>
        <w:spacing w:after="0" w:line="171" w:lineRule="exact"/>
        <w:rPr>
          <w:rFonts w:ascii="Arial" w:cs="Arial" w:eastAsia="Arial" w:hAnsi="Arial"/>
          <w:sz w:val="17"/>
          <w:szCs w:val="17"/>
          <w:color w:val="auto"/>
        </w:rPr>
      </w:pPr>
    </w:p>
    <w:p>
      <w:pPr>
        <w:ind w:right="20" w:firstLine="656"/>
        <w:spacing w:after="0" w:line="255" w:lineRule="auto"/>
        <w:tabs>
          <w:tab w:leader="none" w:pos="139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4.15, the Company will not be required to make a Change of Control Offer upon a Change of Control if (1) a third party makes the Change of Control Offer in the manner, at the times and otherwise in compliance with the requirements set forth in this Section 4.15 and purchases all Notes properly tendered and not withdrawn under the Change of Control Offer, (2) notice of redemption has been given pursuant to Section 3.07, unless and until there is a default in payment of the applicable redemption price, or (3) the requirements set forth in this Section 4.15 are waived or modified with the consent of the Holders of a majority in aggregate principal amount of Notes then outstanding.</w:t>
      </w:r>
    </w:p>
    <w:p>
      <w:pPr>
        <w:spacing w:after="0" w:line="192" w:lineRule="exact"/>
        <w:rPr>
          <w:rFonts w:ascii="Arial" w:cs="Arial" w:eastAsia="Arial" w:hAnsi="Arial"/>
          <w:sz w:val="18"/>
          <w:szCs w:val="18"/>
          <w:color w:val="auto"/>
        </w:rPr>
      </w:pPr>
    </w:p>
    <w:p>
      <w:pPr>
        <w:ind w:firstLine="656"/>
        <w:spacing w:after="0" w:line="273" w:lineRule="auto"/>
        <w:tabs>
          <w:tab w:leader="none" w:pos="138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 the event that Holders of Notes of not less than 90% of the aggregate principal amount of the outstanding Notes accept a Change of Control Offer and the Company purchases all of the Notes held by such Holders, within 90 days of such purchase, the Company will have the right, upon not less than 15 days’ nor more than 60 days’ prior notice, to redeem all of the Notes that remain outstanding following such purchase at a redemption price equal to the Change of Control Payment plus, to, but excluding, the extent not included in the Change of Control Payment, accrued and unpaid interest, if any, on the Notes redeemed, to the applicable redemption date, (subject to the right of Holders of record on the relevant record date to receive interest due on an interest payment date falling on or prior to such redemption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6"/>
          <w:szCs w:val="16"/>
          <w:color w:val="auto"/>
        </w:rPr>
        <w:t>Section 4.16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560" w:space="440"/>
            <w:col w:w="9220"/>
          </w:cols>
          <w:pgMar w:left="320" w:top="908" w:right="359" w:bottom="1440" w:gutter="0" w:footer="0" w:header="0"/>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4.17</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560" w:space="400"/>
            <w:col w:w="9260"/>
          </w:cols>
          <w:pgMar w:left="320" w:top="908" w:right="3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4.18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Note Guarantees.</w:t>
      </w:r>
    </w:p>
    <w:p>
      <w:pPr>
        <w:spacing w:after="0" w:line="200" w:lineRule="exact"/>
        <w:rPr>
          <w:sz w:val="20"/>
          <w:szCs w:val="20"/>
          <w:color w:val="auto"/>
        </w:rPr>
      </w:pPr>
    </w:p>
    <w:p>
      <w:pPr>
        <w:sectPr>
          <w:pgSz w:w="11900" w:h="16838" w:orient="portrait"/>
          <w:cols w:equalWidth="0" w:num="2">
            <w:col w:w="1560" w:space="400"/>
            <w:col w:w="9260"/>
          </w:cols>
          <w:pgMar w:left="320" w:top="908" w:right="359" w:bottom="1440" w:gutter="0" w:footer="0" w:header="0"/>
          <w:type w:val="continuous"/>
        </w:sectPr>
      </w:pPr>
    </w:p>
    <w:p>
      <w:pPr>
        <w:spacing w:after="0" w:line="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shall cause each Restricted Subsidiary that guarantees Indebtedness of the Company under any Credit Facility to become a Guarantor and execute a supplemental indenture substantially in the form of supplemental indenture appearing as an exhibit to this Indenture and deliver an Opinion of Counsel within 30 days of the date on which it became a guarantor of borrowings of the Company under any Credit Facility. The form of such supplemental indenture is attached as Exhibit E hereto.</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4.19</w:t>
      </w:r>
      <w:r>
        <w:rPr>
          <w:sz w:val="20"/>
          <w:szCs w:val="20"/>
          <w:color w:val="auto"/>
        </w:rPr>
        <w:tab/>
      </w:r>
      <w:r>
        <w:rPr>
          <w:rFonts w:ascii="Arial" w:cs="Arial" w:eastAsia="Arial" w:hAnsi="Arial"/>
          <w:sz w:val="16"/>
          <w:szCs w:val="16"/>
          <w:i w:val="1"/>
          <w:iCs w:val="1"/>
          <w:color w:val="auto"/>
        </w:rPr>
        <w:t>Designation of Restricted and Unrestricted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Board of Directors of the Company may designate any Restricted Subsidiary to be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25" w:lineRule="exact"/>
        <w:rPr>
          <w:sz w:val="20"/>
          <w:szCs w:val="20"/>
          <w:color w:val="auto"/>
        </w:rPr>
      </w:pPr>
    </w:p>
    <w:p>
      <w:pPr>
        <w:ind w:left="1400" w:hanging="744"/>
        <w:spacing w:after="0"/>
        <w:tabs>
          <w:tab w:leader="none" w:pos="14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designation would not cause a Default or Event of Default;</w:t>
      </w:r>
    </w:p>
    <w:p>
      <w:pPr>
        <w:spacing w:after="0" w:line="225" w:lineRule="exact"/>
        <w:rPr>
          <w:rFonts w:ascii="Arial" w:cs="Arial" w:eastAsia="Arial" w:hAnsi="Arial"/>
          <w:sz w:val="18"/>
          <w:szCs w:val="18"/>
          <w:color w:val="auto"/>
        </w:rPr>
      </w:pPr>
    </w:p>
    <w:p>
      <w:pPr>
        <w:ind w:right="40" w:firstLine="656"/>
        <w:spacing w:after="0" w:line="279" w:lineRule="auto"/>
        <w:tabs>
          <w:tab w:leader="none" w:pos="139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the aggregate Fair Market Value of all outstanding Investments owned by the Company and its Restricted Subsidiaries in the Subsidiary designated as unrestricted will be deemed to be an Investment made as of the time of the designation and will reduce the amount available for Restricted Payments under Section 4.07 or under one or more clauses of the definition of “Permitted Investments,” as determined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such designation will only be permitted if the Investment would be permitted at that time; and</w:t>
      </w:r>
    </w:p>
    <w:p>
      <w:pPr>
        <w:spacing w:after="0" w:line="171" w:lineRule="exact"/>
        <w:rPr>
          <w:rFonts w:ascii="Arial" w:cs="Arial" w:eastAsia="Arial" w:hAnsi="Arial"/>
          <w:sz w:val="17"/>
          <w:szCs w:val="17"/>
          <w:color w:val="auto"/>
        </w:rPr>
      </w:pPr>
    </w:p>
    <w:p>
      <w:pPr>
        <w:ind w:left="1400" w:hanging="744"/>
        <w:spacing w:after="0"/>
        <w:tabs>
          <w:tab w:leader="none" w:pos="14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designation otherwise meets the definition of “Unrestricted Subsidiary.”</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 xml:space="preserve">Any designation of a Subsidiary of the Company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hereof, the Company will be in Default of such covenant. The Board of Directors of the Company may at any time designate any Unrestricted Subsidiary to be a Restricted Subsidiary by delivery to the Trustee of an Officer’s Certificate setting forth such designation;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designation will be deemed to be an incurrence of Indebtedness by a Restricted Subsidiary of the Company of any outstanding Indebtedness of such Unrestricted Subsidiary and such designation will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18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designation of any Person as an Unrestricted Subsidiary shall be deemed to include a designation of all Subsidiaries of such Person as Unrestricted Subsidiaries.</w:t>
      </w:r>
    </w:p>
    <w:p>
      <w:pPr>
        <w:spacing w:after="0" w:line="1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Any designation of a Subsidiary of the Company as a 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this Indenture.</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5"/>
          <w:szCs w:val="15"/>
          <w:i w:val="1"/>
          <w:iCs w:val="1"/>
          <w:color w:val="auto"/>
        </w:rPr>
        <w:t>Covenant Suspension.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on any date, (i) the Notes have Investment Grade Ratings from both Rating Agencies, and (ii) no Default has occurred and is continuing under this Indenture (the occurrence of the events described in the foregoing clauses (i) and (ii) being collectively referred to as a “</w:t>
      </w:r>
      <w:r>
        <w:rPr>
          <w:rFonts w:ascii="Arial" w:cs="Arial" w:eastAsia="Arial" w:hAnsi="Arial"/>
          <w:sz w:val="17"/>
          <w:szCs w:val="17"/>
          <w:b w:val="1"/>
          <w:bCs w:val="1"/>
          <w:i w:val="1"/>
          <w:iCs w:val="1"/>
          <w:color w:val="auto"/>
        </w:rPr>
        <w:t>Covenant Suspension Event</w:t>
      </w:r>
      <w:r>
        <w:rPr>
          <w:rFonts w:ascii="Arial" w:cs="Arial" w:eastAsia="Arial" w:hAnsi="Arial"/>
          <w:sz w:val="17"/>
          <w:szCs w:val="17"/>
          <w:color w:val="auto"/>
        </w:rPr>
        <w:t>”) then, beginning on that day and continuing at all times thereafter until the Reversion Date (as defined below), the restrictions described in Sections 4.07, 4.08, 4.09, 4.10, 4.11 and 5.01(4) shall no longer be applicable to the Notes (collectively, the “</w:t>
      </w:r>
      <w:r>
        <w:rPr>
          <w:rFonts w:ascii="Arial" w:cs="Arial" w:eastAsia="Arial" w:hAnsi="Arial"/>
          <w:sz w:val="17"/>
          <w:szCs w:val="17"/>
          <w:b w:val="1"/>
          <w:bCs w:val="1"/>
          <w:i w:val="1"/>
          <w:iCs w:val="1"/>
          <w:color w:val="auto"/>
        </w:rPr>
        <w:t>Suspended Covenants</w:t>
      </w:r>
      <w:r>
        <w:rPr>
          <w:rFonts w:ascii="Arial" w:cs="Arial" w:eastAsia="Arial" w:hAnsi="Arial"/>
          <w:sz w:val="17"/>
          <w:szCs w:val="17"/>
          <w:color w:val="auto"/>
        </w:rPr>
        <w: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78" w:name="page79"/>
    <w:bookmarkEnd w:id="78"/>
    <w:p>
      <w:pPr>
        <w:ind w:firstLine="648"/>
        <w:spacing w:after="0" w:line="275" w:lineRule="auto"/>
        <w:rPr>
          <w:sz w:val="20"/>
          <w:szCs w:val="20"/>
          <w:color w:val="auto"/>
        </w:rPr>
      </w:pPr>
      <w:r>
        <w:rPr>
          <w:rFonts w:ascii="Arial" w:cs="Arial" w:eastAsia="Arial" w:hAnsi="Arial"/>
          <w:sz w:val="17"/>
          <w:szCs w:val="17"/>
          <w:color w:val="auto"/>
        </w:rPr>
        <w:t>In the event that the Company and the Restricted Subsidiaries are not subject to the Suspended Covenants under this Indenture for any period of time as a result of the foregoing, and on any subsequent date (the “</w:t>
      </w:r>
      <w:r>
        <w:rPr>
          <w:rFonts w:ascii="Arial" w:cs="Arial" w:eastAsia="Arial" w:hAnsi="Arial"/>
          <w:sz w:val="17"/>
          <w:szCs w:val="17"/>
          <w:b w:val="1"/>
          <w:bCs w:val="1"/>
          <w:i w:val="1"/>
          <w:iCs w:val="1"/>
          <w:color w:val="auto"/>
        </w:rPr>
        <w:t>Reversion Date</w:t>
      </w:r>
      <w:r>
        <w:rPr>
          <w:rFonts w:ascii="Arial" w:cs="Arial" w:eastAsia="Arial" w:hAnsi="Arial"/>
          <w:sz w:val="17"/>
          <w:szCs w:val="17"/>
          <w:color w:val="auto"/>
        </w:rPr>
        <w:t>”) one or both of the Rating Agencies withdraw their Investment Grade Rating or downgrade the rating assigned to the Notes below an Investment Grade Rating, then the Company and the Restricted Subsidiaries will thereafter again be subject to the Suspended Covenants under this Indenture with respect to future events. The period of time between the Covenant Suspension Event and the Reversion Date is referred to in this description as the “</w:t>
      </w:r>
      <w:r>
        <w:rPr>
          <w:rFonts w:ascii="Arial" w:cs="Arial" w:eastAsia="Arial" w:hAnsi="Arial"/>
          <w:sz w:val="17"/>
          <w:szCs w:val="17"/>
          <w:b w:val="1"/>
          <w:bCs w:val="1"/>
          <w:i w:val="1"/>
          <w:iCs w:val="1"/>
          <w:color w:val="auto"/>
        </w:rPr>
        <w:t>Suspension Period</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7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each Reversion Date, all Indebtedness incurred, or Disqualified Stock or preferred stock issued, during the preceding Suspension Period will be classified as having been incurred or issued pursuant to Section 4.09(b)(2). Calculations made after the Reversion Date of the amount available to be made as Restricted Payments in Section 4.07 will be made as though the covenant described in Section 4.07 had been in effect prior to, and during, the Suspension Period. As described above, no Default or Event of Default will be deemed to have occurred on the Reversion Date as a result of any actions taken or omitted to be taken by the Company or the Restricted Subsidiaries during the Suspension Period. On and after each Reversion Date, the Company and its Subsidiaries shall be permitted to consummate the transactions contemplated by any contract entered into during the Suspension Period so long as such contract and such consummation would have been permitted during such Suspension Period.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Section 4.08, on the Reversion Date, any consensual encumbrances or restrictions of the type specified in Section 4.08 (a)(1),</w:t>
      </w:r>
    </w:p>
    <w:p>
      <w:pPr>
        <w:spacing w:after="0" w:line="46" w:lineRule="exact"/>
        <w:rPr>
          <w:sz w:val="20"/>
          <w:szCs w:val="20"/>
          <w:color w:val="auto"/>
        </w:rPr>
      </w:pPr>
    </w:p>
    <w:p>
      <w:pPr>
        <w:ind w:right="340" w:firstLine="8"/>
        <w:spacing w:after="0" w:line="260"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or (3) entered into during the Suspension Period will be deemed to have been in effect on the date of this Indenture, so that they are permitted under Section 4.08(b)(1).</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purposes of Section 4.10, on the Reversion Date, the unutilized Excess Proceeds amount will be reset to zero. During a Suspension Period, the Company may not designate any of its Subsidiaries as Unrestricted Subsidiaries.</w:t>
      </w:r>
    </w:p>
    <w:p>
      <w:pPr>
        <w:spacing w:after="0" w:line="170"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Company shall deliver an Officer’s Certificate to the Trustee notifying the Trustee of the commencement of any Suspension Period or the occurrence of any Reversion Date promptly after such commencement or occurrence, as the case may be, and the Trustee shall have no obligation to monitor or determine whether a Suspension Period or a Reversion Date has occurred or exists.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Company shall not, directly or indirectly: (1) consolidate or merge with or into another Person or consummate a Division as the Dividing Person (whether or not the Company is the surviving corporation or Division Successor, as applicable); or (2) sell, assign, transfer, convey or otherwise dispose of all or substantially all of the properties or assets of the Company and its Restricted Subsidiaries taken as a whole, in one or more related transactions, to another Person, unless:</w:t>
      </w:r>
    </w:p>
    <w:p>
      <w:pPr>
        <w:spacing w:after="0" w:line="187" w:lineRule="exact"/>
        <w:rPr>
          <w:sz w:val="20"/>
          <w:szCs w:val="20"/>
          <w:color w:val="auto"/>
        </w:rPr>
      </w:pPr>
    </w:p>
    <w:p>
      <w:pPr>
        <w:ind w:left="660" w:right="80" w:firstLine="644"/>
        <w:spacing w:after="0" w:line="296" w:lineRule="auto"/>
        <w:tabs>
          <w:tab w:leader="none" w:pos="196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either: (a) in the case of a Division where the Company is the Dividing Person, either all Division Successors shall become co-issuers of the Notes or the Division, as to any Division Successor that will not be a co-issuer, is permitted by Section 4.10 or (b) in the case of any consolidation or merger either (i) the Company is the surviving corporation; or (ii) the Person formed by or surviving any such consolidation or merger (if other than the Company) or to which such sale, assignment, transfer, conveyance or other disposition has been made (the “</w:t>
      </w:r>
      <w:r>
        <w:rPr>
          <w:rFonts w:ascii="Arial" w:cs="Arial" w:eastAsia="Arial" w:hAnsi="Arial"/>
          <w:sz w:val="16"/>
          <w:szCs w:val="16"/>
          <w:b w:val="1"/>
          <w:bCs w:val="1"/>
          <w:i w:val="1"/>
          <w:iCs w:val="1"/>
          <w:color w:val="auto"/>
        </w:rPr>
        <w:t>Surviving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Entity</w:t>
      </w:r>
      <w:r>
        <w:rPr>
          <w:rFonts w:ascii="Arial" w:cs="Arial" w:eastAsia="Arial" w:hAnsi="Arial"/>
          <w:sz w:val="16"/>
          <w:szCs w:val="16"/>
          <w:color w:val="auto"/>
        </w:rPr>
        <w:t>”) is a corporation organized or existing under the laws of the United States, any state of the United States or the District of Columbia;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left="660" w:right="60" w:firstLine="644"/>
        <w:spacing w:after="0" w:line="277" w:lineRule="auto"/>
        <w:tabs>
          <w:tab w:leader="none" w:pos="196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Surviving Entity or Division Successor, as applicable expressly assumes all the obligations of the Company under the Notes and this Indenture pursuant to a supplemental indenture reasonably satisfactory to the Trustee;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shall have occurred and be continuing;</w:t>
      </w:r>
    </w:p>
    <w:p>
      <w:pPr>
        <w:spacing w:after="0" w:line="225" w:lineRule="exact"/>
        <w:rPr>
          <w:rFonts w:ascii="Arial" w:cs="Arial" w:eastAsia="Arial" w:hAnsi="Arial"/>
          <w:sz w:val="18"/>
          <w:szCs w:val="18"/>
          <w:color w:val="auto"/>
        </w:rPr>
      </w:pPr>
    </w:p>
    <w:p>
      <w:pPr>
        <w:jc w:val="both"/>
        <w:ind w:left="660" w:firstLine="644"/>
        <w:spacing w:after="0" w:line="291" w:lineRule="auto"/>
        <w:tabs>
          <w:tab w:leader="none" w:pos="196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Company or the Surviving Entity or Division Successor, as applicable would, on the date of such transaction after giving pro forma effect thereto and any related financing transactions as if the same had occurred at the beginning of the applicable four-quarter period, either</w:t>
      </w:r>
    </w:p>
    <w:p>
      <w:pPr>
        <w:ind w:left="960" w:hanging="304"/>
        <w:spacing w:after="0"/>
        <w:tabs>
          <w:tab w:leader="none" w:pos="9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be permitted to incur at least $1.00 of additional Indebtedness pursuant to the Fixed Charge Coverage Ratio test set forth in Section 4.09(a) or</w:t>
      </w:r>
    </w:p>
    <w:p>
      <w:pPr>
        <w:spacing w:after="0" w:line="32" w:lineRule="exact"/>
        <w:rPr>
          <w:rFonts w:ascii="Arial" w:cs="Arial" w:eastAsia="Arial" w:hAnsi="Arial"/>
          <w:sz w:val="16"/>
          <w:szCs w:val="16"/>
          <w:color w:val="auto"/>
        </w:rPr>
      </w:pPr>
    </w:p>
    <w:p>
      <w:pPr>
        <w:ind w:left="660" w:right="340" w:hanging="4"/>
        <w:spacing w:after="0" w:line="260" w:lineRule="auto"/>
        <w:tabs>
          <w:tab w:leader="none" w:pos="9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have a Fixed Charge Coverage Ratio of not less than the Fixed Charge Coverage Ratio of the Company immediately prior to such merger, sale, assignment, transfer, lease, conveyance or other disposition; and</w:t>
      </w:r>
    </w:p>
    <w:p>
      <w:pPr>
        <w:spacing w:after="0" w:line="185" w:lineRule="exact"/>
        <w:rPr>
          <w:rFonts w:ascii="Arial" w:cs="Arial" w:eastAsia="Arial" w:hAnsi="Arial"/>
          <w:sz w:val="18"/>
          <w:szCs w:val="18"/>
          <w:color w:val="auto"/>
        </w:rPr>
      </w:pPr>
    </w:p>
    <w:p>
      <w:pPr>
        <w:ind w:left="660" w:right="220" w:firstLine="644"/>
        <w:spacing w:after="0" w:line="279" w:lineRule="auto"/>
        <w:tabs>
          <w:tab w:leader="none" w:pos="196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Company or the Surviving Entity or Division Successor, as applicable has delivered to the Trustee an Officer’s Certificate and an Opinion of Counsel, each stating that such consolidation, merger, sale, assignment, transfer, conveyance, lease or other disposition and such supplemental indenture, if any, comply with this Indenture as evidence of the satisfaction of the conditions precedent set forth in this Section 5.01, in which event it will be conclusive and binding on the Holders.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the Company will not, directly or indirectly, lease all or substantially all of the properties and assets of the Company and its Restricted Subsidiaries taken as a whole, in one or more related transactions,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5.01 will not apply to:</w:t>
      </w:r>
    </w:p>
    <w:p>
      <w:pPr>
        <w:spacing w:after="0" w:line="225" w:lineRule="exact"/>
        <w:rPr>
          <w:sz w:val="20"/>
          <w:szCs w:val="20"/>
          <w:color w:val="auto"/>
        </w:rPr>
      </w:pPr>
    </w:p>
    <w:p>
      <w:pPr>
        <w:ind w:left="660" w:right="80" w:firstLine="644"/>
        <w:spacing w:after="0" w:line="277" w:lineRule="auto"/>
        <w:tabs>
          <w:tab w:leader="none" w:pos="19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merger of the Company with an Affiliate solely for the purpose of reincorporating the Company in another jurisdiction within the United States of America; or</w:t>
      </w:r>
    </w:p>
    <w:p>
      <w:pPr>
        <w:spacing w:after="0" w:line="170" w:lineRule="exact"/>
        <w:rPr>
          <w:rFonts w:ascii="Arial" w:cs="Arial" w:eastAsia="Arial" w:hAnsi="Arial"/>
          <w:sz w:val="18"/>
          <w:szCs w:val="18"/>
          <w:color w:val="auto"/>
        </w:rPr>
      </w:pPr>
    </w:p>
    <w:p>
      <w:pPr>
        <w:ind w:left="660" w:right="520" w:firstLine="644"/>
        <w:spacing w:after="0" w:line="277" w:lineRule="auto"/>
        <w:tabs>
          <w:tab w:leader="none" w:pos="19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the Company and its Restricted Subsidiaries.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i w:val="1"/>
          <w:iCs w:val="1"/>
          <w:color w:val="auto"/>
        </w:rPr>
        <w:t>Successor Corporation Substituted.</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ind w:left="1960" w:hanging="656"/>
        <w:spacing w:after="0"/>
        <w:tabs>
          <w:tab w:leader="none" w:pos="1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the following is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5480" w:right="4280" w:hanging="4176"/>
        <w:spacing w:after="0" w:line="778" w:lineRule="auto"/>
        <w:tabs>
          <w:tab w:leader="none" w:pos="19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0" w:name="page81"/>
    <w:bookmarkEnd w:id="80"/>
    <w:p>
      <w:pPr>
        <w:ind w:left="1300" w:hanging="656"/>
        <w:spacing w:after="0"/>
        <w:tabs>
          <w:tab w:leader="none" w:pos="13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default in the payment when due (at maturity, upon redemption or otherwise) of the principal of, or premium, if any,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left="1300" w:hanging="656"/>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comply with the provisions of Section 5.01;</w:t>
      </w:r>
    </w:p>
    <w:p>
      <w:pPr>
        <w:spacing w:after="0" w:line="225" w:lineRule="exact"/>
        <w:rPr>
          <w:rFonts w:ascii="Arial" w:cs="Arial" w:eastAsia="Arial" w:hAnsi="Arial"/>
          <w:sz w:val="18"/>
          <w:szCs w:val="18"/>
          <w:color w:val="auto"/>
        </w:rPr>
      </w:pPr>
    </w:p>
    <w:p>
      <w:pPr>
        <w:ind w:left="1300" w:hanging="656"/>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comply with the provisions of Section 4.15;</w:t>
      </w:r>
    </w:p>
    <w:p>
      <w:pPr>
        <w:spacing w:after="0" w:line="225" w:lineRule="exact"/>
        <w:rPr>
          <w:rFonts w:ascii="Arial" w:cs="Arial" w:eastAsia="Arial" w:hAnsi="Arial"/>
          <w:sz w:val="18"/>
          <w:szCs w:val="18"/>
          <w:color w:val="auto"/>
        </w:rPr>
      </w:pPr>
    </w:p>
    <w:p>
      <w:pPr>
        <w:jc w:val="both"/>
        <w:ind w:firstLine="644"/>
        <w:spacing w:after="0" w:line="279" w:lineRule="auto"/>
        <w:tabs>
          <w:tab w:leader="none" w:pos="130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failure by the Company or any of its Restricted Subsidiaries for 60 days after written notice to the Company by the Trustee or to the Company and the Trustee by the Holders of at least 25% in aggregate principal amount of the Notes then outstanding voting as a single class to comply with any of the other agreements in this Indenture; provided that in the case of a failure to comply with Section 4.03, such period of continuance of such default or breach shall be 90 days after a written notice described in this clause (5) has been given;</w:t>
      </w:r>
    </w:p>
    <w:p>
      <w:pPr>
        <w:spacing w:after="0" w:line="171" w:lineRule="exact"/>
        <w:rPr>
          <w:rFonts w:ascii="Arial" w:cs="Arial" w:eastAsia="Arial" w:hAnsi="Arial"/>
          <w:sz w:val="17"/>
          <w:szCs w:val="17"/>
          <w:color w:val="auto"/>
        </w:rPr>
      </w:pPr>
    </w:p>
    <w:p>
      <w:pPr>
        <w:ind w:right="120" w:firstLine="644"/>
        <w:spacing w:after="0" w:line="279" w:lineRule="auto"/>
        <w:tabs>
          <w:tab w:leader="none" w:pos="130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date of this Indenture, if that default:</w:t>
      </w:r>
    </w:p>
    <w:p>
      <w:pPr>
        <w:spacing w:after="0" w:line="171" w:lineRule="exact"/>
        <w:rPr>
          <w:rFonts w:ascii="Arial" w:cs="Arial" w:eastAsia="Arial" w:hAnsi="Arial"/>
          <w:sz w:val="17"/>
          <w:szCs w:val="17"/>
          <w:color w:val="auto"/>
        </w:rPr>
      </w:pPr>
    </w:p>
    <w:p>
      <w:pPr>
        <w:ind w:left="640" w:right="240" w:firstLine="652"/>
        <w:spacing w:after="0" w:line="342" w:lineRule="auto"/>
        <w:tabs>
          <w:tab w:leader="none" w:pos="207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is caused by a failure to pay principal of, or interest or premium, if any, on, such Indebtedness at final maturity thereof, prior to the expiration of the grace period provided in such Indebtedness on the date of such default (a “</w:t>
      </w:r>
      <w:r>
        <w:rPr>
          <w:rFonts w:ascii="Arial" w:cs="Arial" w:eastAsia="Arial" w:hAnsi="Arial"/>
          <w:sz w:val="16"/>
          <w:szCs w:val="16"/>
          <w:b w:val="1"/>
          <w:bCs w:val="1"/>
          <w:i w:val="1"/>
          <w:iCs w:val="1"/>
          <w:color w:val="auto"/>
        </w:rPr>
        <w:t>Payment Default</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jc w:val="both"/>
        <w:ind w:left="640" w:right="20" w:firstLine="652"/>
        <w:spacing w:after="0" w:line="311" w:lineRule="auto"/>
        <w:tabs>
          <w:tab w:leader="none" w:pos="206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$50.0 million (or its foreign currency equivalent) or more;</w:t>
      </w:r>
    </w:p>
    <w:p>
      <w:pPr>
        <w:spacing w:after="0" w:line="148" w:lineRule="exact"/>
        <w:rPr>
          <w:rFonts w:ascii="Arial" w:cs="Arial" w:eastAsia="Arial" w:hAnsi="Arial"/>
          <w:sz w:val="16"/>
          <w:szCs w:val="16"/>
          <w:color w:val="auto"/>
        </w:rPr>
      </w:pPr>
    </w:p>
    <w:p>
      <w:pPr>
        <w:ind w:right="300" w:firstLine="644"/>
        <w:spacing w:after="0" w:line="259" w:lineRule="auto"/>
        <w:tabs>
          <w:tab w:leader="none" w:pos="13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pay final judgments entered by a court or courts of competent jurisdiction aggregating in excess of $50.0 million (or its foreign currency equivalent) net of any amounts covered by independent third party insurance and as to which such insurer has not disputed coverage, which judgments are not paid, discharged or stayed for a period of 60 consecutive days;</w:t>
      </w:r>
    </w:p>
    <w:p>
      <w:pPr>
        <w:spacing w:after="0" w:line="186" w:lineRule="exact"/>
        <w:rPr>
          <w:rFonts w:ascii="Arial" w:cs="Arial" w:eastAsia="Arial" w:hAnsi="Arial"/>
          <w:sz w:val="18"/>
          <w:szCs w:val="18"/>
          <w:color w:val="auto"/>
        </w:rPr>
      </w:pPr>
    </w:p>
    <w:p>
      <w:pPr>
        <w:ind w:right="240" w:firstLine="644"/>
        <w:spacing w:after="0" w:line="263" w:lineRule="auto"/>
        <w:tabs>
          <w:tab w:leader="none" w:pos="13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except as permitted by this Indenture, any Note Guarantee is held in any judicial proceeding to be unenforceable or invalid or ceases for any reason to be in full force and effect, or any Guarantor, or any Person acting on behalf of any Guarantor, denies or disaffirms its obligations under its Note Guarantee;</w:t>
      </w:r>
    </w:p>
    <w:p>
      <w:pPr>
        <w:spacing w:after="0" w:line="183" w:lineRule="exact"/>
        <w:rPr>
          <w:rFonts w:ascii="Arial" w:cs="Arial" w:eastAsia="Arial" w:hAnsi="Arial"/>
          <w:sz w:val="18"/>
          <w:szCs w:val="18"/>
          <w:color w:val="auto"/>
        </w:rPr>
      </w:pPr>
    </w:p>
    <w:p>
      <w:pPr>
        <w:ind w:right="140" w:firstLine="644"/>
        <w:spacing w:after="0" w:line="263" w:lineRule="auto"/>
        <w:tabs>
          <w:tab w:leader="none" w:pos="13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or any of its Restricted Subsidiaries that is a Significant Subsidiary or any group of Restricted Subsidiaries that, taken together (as of the latest audited consolidated financial statements for the Company), would constitute a Significant Subsidiary, pursuant to or within the meaning of any Bankruptcy Law:</w:t>
      </w:r>
    </w:p>
    <w:p>
      <w:pPr>
        <w:spacing w:after="0" w:line="183" w:lineRule="exact"/>
        <w:rPr>
          <w:rFonts w:ascii="Arial" w:cs="Arial" w:eastAsia="Arial" w:hAnsi="Arial"/>
          <w:sz w:val="18"/>
          <w:szCs w:val="18"/>
          <w:color w:val="auto"/>
        </w:rPr>
      </w:pPr>
    </w:p>
    <w:p>
      <w:pPr>
        <w:ind w:left="2080" w:hanging="788"/>
        <w:spacing w:after="0"/>
        <w:tabs>
          <w:tab w:leader="none" w:pos="2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640" w:firstLine="652"/>
        <w:spacing w:after="0" w:line="277" w:lineRule="auto"/>
        <w:tabs>
          <w:tab w:leader="none" w:pos="20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3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1" w:name="page82"/>
    <w:bookmarkEnd w:id="81"/>
    <w:p>
      <w:pPr>
        <w:ind w:left="1300" w:right="40" w:firstLine="652"/>
        <w:spacing w:after="0" w:line="277" w:lineRule="auto"/>
        <w:tabs>
          <w:tab w:leader="none" w:pos="272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consents to the appointment of a receiver, liquidator, assignee, trustee, sequestrator or other similar official of it or for all or substantially all of its property;</w:t>
      </w:r>
    </w:p>
    <w:p>
      <w:pPr>
        <w:spacing w:after="0" w:line="170" w:lineRule="exact"/>
        <w:rPr>
          <w:rFonts w:ascii="Arial" w:cs="Arial" w:eastAsia="Arial" w:hAnsi="Arial"/>
          <w:sz w:val="18"/>
          <w:szCs w:val="18"/>
          <w:color w:val="auto"/>
        </w:rPr>
      </w:pPr>
    </w:p>
    <w:p>
      <w:pPr>
        <w:ind w:left="2740" w:hanging="788"/>
        <w:spacing w:after="0"/>
        <w:tabs>
          <w:tab w:leader="none" w:pos="27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720" w:hanging="768"/>
        <w:spacing w:after="0"/>
        <w:tabs>
          <w:tab w:leader="none" w:pos="27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300" w:right="40" w:firstLine="652"/>
        <w:spacing w:after="0" w:line="296" w:lineRule="auto"/>
        <w:tabs>
          <w:tab w:leader="none" w:pos="273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is for relief against the Company or any of its Restricted Subsidiaries that is a Significant Subsidiary or any group of Restricted Subsidiaries that, taken together (as of the date of the latest audited consolidated financial statements for the Company), would constitute a Significant Subsidiary, in a proceeding in which the Company, any such Restricted Subsidiary that is a Significant Subsidiary or any such group of Restricted Subsidiaries that, taken together (as of the date of the latest audited consolidated financial statements for the Company), would constitute a Significant Subsidiary, is to be adjudicated bankrupt or insolvent;</w:t>
      </w:r>
    </w:p>
    <w:p>
      <w:pPr>
        <w:spacing w:after="0" w:line="161" w:lineRule="exact"/>
        <w:rPr>
          <w:rFonts w:ascii="Arial" w:cs="Arial" w:eastAsia="Arial" w:hAnsi="Arial"/>
          <w:sz w:val="16"/>
          <w:szCs w:val="16"/>
          <w:color w:val="auto"/>
        </w:rPr>
      </w:pPr>
    </w:p>
    <w:p>
      <w:pPr>
        <w:ind w:left="1300" w:right="40" w:firstLine="652"/>
        <w:spacing w:after="0" w:line="255" w:lineRule="auto"/>
        <w:tabs>
          <w:tab w:leader="none" w:pos="272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appoints a receiver, liquidator, assignee, trustee, sequestrator or other similar official of the Company or any of its Restricted Subsidiaries that is a Significant Subsidiary or any group of Restricted Subsidiaries that, taken together (as of the date of the latest audited consolidated financial statements for the Company), would constitute a Significant Subsidiary, or for all or substantially all of the property of the Company, any of its Restricted Subsidiaries that is a Significant Subsidiary or any group of Restricted Subsidiaries that, taken together (as of the date of the latest audited consolidated financial statements for the Company), would constitute a Significant Subsidiary; or</w:t>
      </w:r>
    </w:p>
    <w:p>
      <w:pPr>
        <w:spacing w:after="0" w:line="192" w:lineRule="exact"/>
        <w:rPr>
          <w:rFonts w:ascii="Arial" w:cs="Arial" w:eastAsia="Arial" w:hAnsi="Arial"/>
          <w:sz w:val="18"/>
          <w:szCs w:val="18"/>
          <w:color w:val="auto"/>
        </w:rPr>
      </w:pPr>
    </w:p>
    <w:p>
      <w:pPr>
        <w:ind w:left="1300" w:right="100" w:firstLine="652"/>
        <w:spacing w:after="0" w:line="263" w:lineRule="auto"/>
        <w:tabs>
          <w:tab w:leader="none" w:pos="272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orders the liquidation of the Company, any of its Restricted Subsidiaries that is a Significant Subsidiary or any group of Restricted Subsidiaries that, taken together (as of the date of the latest audited consolidated financial statements for the Company), would constitute a Significant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in any such case, the order or decree remains unstayed and in effect for 60 consecutive days.</w:t>
      </w:r>
    </w:p>
    <w:p>
      <w:pPr>
        <w:spacing w:after="0" w:line="225" w:lineRule="exact"/>
        <w:rPr>
          <w:sz w:val="20"/>
          <w:szCs w:val="20"/>
          <w:color w:val="auto"/>
        </w:rPr>
      </w:pPr>
    </w:p>
    <w:p>
      <w:pPr>
        <w:ind w:firstLine="656"/>
        <w:spacing w:after="0" w:line="269" w:lineRule="auto"/>
        <w:tabs>
          <w:tab w:leader="none" w:pos="139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notice of Default or Event of Default, notice of acceleration or instruction to the Trustee to provide a notice of Default or Event of Default, notice of acceleration or take any other action (a “</w:t>
      </w:r>
      <w:r>
        <w:rPr>
          <w:rFonts w:ascii="Arial" w:cs="Arial" w:eastAsia="Arial" w:hAnsi="Arial"/>
          <w:sz w:val="17"/>
          <w:szCs w:val="17"/>
          <w:b w:val="1"/>
          <w:bCs w:val="1"/>
          <w:i w:val="1"/>
          <w:iCs w:val="1"/>
          <w:color w:val="auto"/>
        </w:rPr>
        <w:t>Noteholder Direction</w:t>
      </w:r>
      <w:r>
        <w:rPr>
          <w:rFonts w:ascii="Arial" w:cs="Arial" w:eastAsia="Arial" w:hAnsi="Arial"/>
          <w:sz w:val="17"/>
          <w:szCs w:val="17"/>
          <w:color w:val="auto"/>
        </w:rPr>
        <w:t>”) provided by any one or more Holders of the Notes (other than a Regulated Bank) (each a “</w:t>
      </w:r>
      <w:r>
        <w:rPr>
          <w:rFonts w:ascii="Arial" w:cs="Arial" w:eastAsia="Arial" w:hAnsi="Arial"/>
          <w:sz w:val="17"/>
          <w:szCs w:val="17"/>
          <w:b w:val="1"/>
          <w:bCs w:val="1"/>
          <w:i w:val="1"/>
          <w:iCs w:val="1"/>
          <w:color w:val="auto"/>
        </w:rPr>
        <w:t>Directing Holder</w:t>
      </w:r>
      <w:r>
        <w:rPr>
          <w:rFonts w:ascii="Arial" w:cs="Arial" w:eastAsia="Arial" w:hAnsi="Arial"/>
          <w:sz w:val="17"/>
          <w:szCs w:val="17"/>
          <w:color w:val="auto"/>
        </w:rPr>
        <w:t>”) must be accompanied by a written representation from each such Directing Holder to the Company and the Trustee that such Directing Holder is not (or, in the case such Directing Holder is DTC or its nominee, that such Directing Holder is being instructed solely by beneficial owners that have represented to such Directing Holder that they are not) Net Short (a “</w:t>
      </w:r>
      <w:r>
        <w:rPr>
          <w:rFonts w:ascii="Arial" w:cs="Arial" w:eastAsia="Arial" w:hAnsi="Arial"/>
          <w:sz w:val="17"/>
          <w:szCs w:val="17"/>
          <w:b w:val="1"/>
          <w:bCs w:val="1"/>
          <w:i w:val="1"/>
          <w:iCs w:val="1"/>
          <w:color w:val="auto"/>
        </w:rPr>
        <w:t>Position Representation</w:t>
      </w:r>
      <w:r>
        <w:rPr>
          <w:rFonts w:ascii="Arial" w:cs="Arial" w:eastAsia="Arial" w:hAnsi="Arial"/>
          <w:sz w:val="17"/>
          <w:szCs w:val="17"/>
          <w:color w:val="auto"/>
        </w:rPr>
        <w:t>”), which representation, in the case of a Noteholder Direction relating to the delivery of a notice of Default or Event of Default shall be deemed repeated at all times until the resulting Default or Event of Default is cured or otherwise ceases to exist or the Notes are accelerated. In addition, each Directing Holder must at the time of providing a Noteholder Direction covenant, provide the Company with such other information as the Company may reasonably request from time to time in order to verify the accuracy of such Noteholder’s Position Representation within five Business Days of request therefor (a “</w:t>
      </w:r>
      <w:r>
        <w:rPr>
          <w:rFonts w:ascii="Arial" w:cs="Arial" w:eastAsia="Arial" w:hAnsi="Arial"/>
          <w:sz w:val="17"/>
          <w:szCs w:val="17"/>
          <w:b w:val="1"/>
          <w:bCs w:val="1"/>
          <w:i w:val="1"/>
          <w:iCs w:val="1"/>
          <w:color w:val="auto"/>
        </w:rPr>
        <w:t>Verification Covenant</w:t>
      </w:r>
      <w:r>
        <w:rPr>
          <w:rFonts w:ascii="Arial" w:cs="Arial" w:eastAsia="Arial" w:hAnsi="Arial"/>
          <w:sz w:val="17"/>
          <w:szCs w:val="17"/>
          <w:color w:val="auto"/>
        </w:rPr>
        <w:t>”). In any case in which the Directing Holder is DTC or its nominee, any Position Representation or Verification Covenant required hereunder shall be provided by the beneficial owner of the Notes in lieu of DTC or its nominee.</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 Officer’s Certificate stating that the Company has initiated litigation with a court of competent jurisdiction seeking a determination that such Directing Holder was, at such time, in breach of its Position Representation, and seeking to invalidate any Default or Event of Default that resulted from the applicable Noteholder Direction, the cure period with respect to such Default or Event of Default shall be automatically stayed and the cure period with respect to such Default or Event of Default shall be automatically reinstituted and any remedy stayed pending a final and non-appealable determination of a court of competent jurisdiction on such matter. If, following the delivery of a Noteholder Direction, but prior to acceleration of the Notes, the Company provides to the Trustee an Officer’s Certificate stating that a Directing Holder failed to satisfy its Verification Covenant, the cure period with respect to such Default or Event of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Default or Event of Default shall be deemed never to have occurred, acceleration voided and the Trustee shall be deemed not to have received such Noteholder Direction or any notice of such Default or Event of Default.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right="380" w:firstLine="648"/>
        <w:spacing w:after="0" w:line="263" w:lineRule="auto"/>
        <w:rPr>
          <w:sz w:val="20"/>
          <w:szCs w:val="20"/>
          <w:color w:val="auto"/>
        </w:rPr>
      </w:pPr>
      <w:r>
        <w:rPr>
          <w:rFonts w:ascii="Arial" w:cs="Arial" w:eastAsia="Arial" w:hAnsi="Arial"/>
          <w:sz w:val="18"/>
          <w:szCs w:val="18"/>
          <w:color w:val="auto"/>
        </w:rPr>
        <w:t>Notwithstanding anything in this Section 6.01(b) to the contrary, any Noteholder Direction delivered to the Trustee during the pendency of an Event of Default as the result of a bankruptcy or similar proceeding shall not require compliance with the foregoing paragraphs. In addition, for the avoidance of doubt, the foregoing paragraphs shall not apply to any Holder that is a Regulated Bank.</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Company, any holder or any other Person in acting in good faith on a Noteholder Direction.</w:t>
      </w:r>
    </w:p>
    <w:p>
      <w:pPr>
        <w:spacing w:after="0" w:line="176" w:lineRule="exact"/>
        <w:rPr>
          <w:sz w:val="20"/>
          <w:szCs w:val="20"/>
          <w:color w:val="auto"/>
        </w:rPr>
      </w:pPr>
    </w:p>
    <w:p>
      <w:pPr>
        <w:ind w:right="240" w:firstLine="656"/>
        <w:spacing w:after="0" w:line="275" w:lineRule="auto"/>
        <w:tabs>
          <w:tab w:leader="none" w:pos="138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Default or Event of Default for the failure to comply with the time periods prescribed in Section 4.03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 Any time period in this Indenture to cure any actual or alleged Default or Event of Default may be extended or stayed by a court of competent jurisdiction to the extent such actual or alleged Default or Event of Default is the subject of litigation.</w:t>
      </w:r>
    </w:p>
    <w:p>
      <w:pPr>
        <w:spacing w:after="0" w:line="17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In the case of an Event of Default specified in clause (9) or (10) of Section 6.01 hereof, with respect to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w:t>
      </w:r>
      <w:r>
        <w:rPr>
          <w:rFonts w:ascii="Arial" w:cs="Arial" w:eastAsia="Arial" w:hAnsi="Arial"/>
          <w:sz w:val="17"/>
          <w:szCs w:val="17"/>
          <w:i w:val="1"/>
          <w:iCs w:val="1"/>
          <w:color w:val="auto"/>
        </w:rPr>
        <w:t>provided</w:t>
      </w:r>
      <w:r>
        <w:rPr>
          <w:rFonts w:ascii="Arial" w:cs="Arial" w:eastAsia="Arial" w:hAnsi="Arial"/>
          <w:sz w:val="17"/>
          <w:szCs w:val="17"/>
          <w:color w:val="auto"/>
        </w:rPr>
        <w:t>, that a notice of a Default or Event of Default may not be given with respect to any action taken, and reported publicly or to Holders, more than two years prior to such notice of Default or Event of Default. If an Event of Default arises pursuant to clause (6) of Section 6.01 hereof, such Event of Default shall cease to exist if, at any time prior to the acceleration of the Notes, (x) the Company cures the underlying Payment Default or the Holders of the applicable Indebtedness waive the underlying Payment Default or rescind the acceleration of such Indebtedness, in each case in accordance with the terms of the applicable Indebtedness and (y) the cure, waiver or rescission does not conflict with any judgment or decree of a court of competent jurisdiction.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any such declaration, the Notes shall become due and payable immediately.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right="20" w:firstLine="648"/>
        <w:spacing w:after="0" w:line="259" w:lineRule="auto"/>
        <w:rPr>
          <w:sz w:val="20"/>
          <w:szCs w:val="20"/>
          <w:color w:val="auto"/>
        </w:rPr>
      </w:pPr>
      <w:r>
        <w:rPr>
          <w:rFonts w:ascii="Arial" w:cs="Arial" w:eastAsia="Arial" w:hAnsi="Arial"/>
          <w:sz w:val="18"/>
          <w:szCs w:val="18"/>
          <w:color w:val="auto"/>
        </w:rPr>
        <w:t>The Holders of a majority in aggregate principal amount of the then outstanding Notes by notice to the Trustee may, on behalf of the Holders of all of the Notes, rescind an acceleration provided all amounts owing to the Trustee have been paid or waive any existing Default or Event of Default (except a continuing Default or Event of Default in the payment of interest or premium, if any, on, or the principal of, the Notes) and its consequences under this Indenture, if:</w:t>
      </w:r>
    </w:p>
    <w:p>
      <w:pPr>
        <w:spacing w:after="0" w:line="187" w:lineRule="exact"/>
        <w:rPr>
          <w:sz w:val="20"/>
          <w:szCs w:val="20"/>
          <w:color w:val="auto"/>
        </w:rPr>
      </w:pPr>
    </w:p>
    <w:p>
      <w:pPr>
        <w:ind w:left="1960" w:hanging="656"/>
        <w:spacing w:after="0"/>
        <w:tabs>
          <w:tab w:leader="none" w:pos="1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such rescission or waiver would not conflict with any judgment or decree of a court of competent jurisdiction;</w:t>
      </w:r>
    </w:p>
    <w:p>
      <w:pPr>
        <w:spacing w:after="0" w:line="225" w:lineRule="exact"/>
        <w:rPr>
          <w:rFonts w:ascii="Arial" w:cs="Arial" w:eastAsia="Arial" w:hAnsi="Arial"/>
          <w:sz w:val="18"/>
          <w:szCs w:val="18"/>
          <w:color w:val="auto"/>
        </w:rPr>
      </w:pPr>
    </w:p>
    <w:p>
      <w:pPr>
        <w:ind w:left="660" w:firstLine="644"/>
        <w:spacing w:after="0" w:line="277" w:lineRule="auto"/>
        <w:tabs>
          <w:tab w:leader="none" w:pos="19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existing Events of Default, except nonpayment of principal or interest that has become due solely because of the acceleration, have been cured or waived;</w:t>
      </w:r>
    </w:p>
    <w:p>
      <w:pPr>
        <w:spacing w:after="0" w:line="170" w:lineRule="exact"/>
        <w:rPr>
          <w:rFonts w:ascii="Arial" w:cs="Arial" w:eastAsia="Arial" w:hAnsi="Arial"/>
          <w:sz w:val="18"/>
          <w:szCs w:val="18"/>
          <w:color w:val="auto"/>
        </w:rPr>
      </w:pPr>
    </w:p>
    <w:p>
      <w:pPr>
        <w:ind w:left="660" w:right="100" w:firstLine="644"/>
        <w:spacing w:after="0" w:line="277" w:lineRule="auto"/>
        <w:tabs>
          <w:tab w:leader="none" w:pos="19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interest on overdue installments of interest and overdue principal, which has become due otherwise than by such declaration of acceleration, has been paid, to the extent the payment of such interest is lawful; and</w:t>
      </w:r>
    </w:p>
    <w:p>
      <w:pPr>
        <w:spacing w:after="0" w:line="170" w:lineRule="exact"/>
        <w:rPr>
          <w:rFonts w:ascii="Arial" w:cs="Arial" w:eastAsia="Arial" w:hAnsi="Arial"/>
          <w:sz w:val="18"/>
          <w:szCs w:val="18"/>
          <w:color w:val="auto"/>
        </w:rPr>
      </w:pPr>
    </w:p>
    <w:p>
      <w:pPr>
        <w:ind w:left="660" w:right="780" w:firstLine="644"/>
        <w:spacing w:after="0" w:line="277" w:lineRule="auto"/>
        <w:tabs>
          <w:tab w:leader="none" w:pos="19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has paid the Trustee its reasonable compensation and reimbursed the Trustee for its reasonable expenses (including the fees and expenses of its counsel), disbursements and advances.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and premium, if any, and interest on the Notes or to enforce the performance of any provision of the Notes or this Indenture.</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Holders of a majority in aggregate principal amount of the then outstanding Notes may rescind an acceleration and its consequences, including any related payment default that resulted from such acceleration.</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in its sole discretion may be unduly prejudicial to the rights of other Holders of Notes (it being understood that the Trustee does not have an affirmative duty to ascertain whether or not any such directions are unduly prejudicial to such Holders), or that may involve the Trustee in personal liability. The Trustee may take any other action deemed proper by the Trustee which is not inconsistent with such direction.</w:t>
      </w:r>
    </w:p>
    <w:p>
      <w:pPr>
        <w:spacing w:after="0" w:line="19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Holder may pursue a remedy with respect to this Indenture or the Notes only if:</w:t>
      </w:r>
    </w:p>
    <w:p>
      <w:pPr>
        <w:spacing w:after="0" w:line="225" w:lineRule="exact"/>
        <w:rPr>
          <w:sz w:val="20"/>
          <w:szCs w:val="20"/>
          <w:color w:val="auto"/>
        </w:rPr>
      </w:pPr>
    </w:p>
    <w:p>
      <w:pPr>
        <w:ind w:left="5480" w:right="3100" w:hanging="4176"/>
        <w:spacing w:after="0" w:line="778" w:lineRule="auto"/>
        <w:tabs>
          <w:tab w:leader="none" w:pos="197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such Holder gives to the Trustee written notice that an Event of Default is continuing;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left="660" w:right="320" w:firstLine="644"/>
        <w:spacing w:after="0" w:line="277" w:lineRule="auto"/>
        <w:tabs>
          <w:tab w:leader="none" w:pos="196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make a written request to the Trustee to pursue the remedy;</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such Holder or Holders provide to the Trustee security or indemnity satisfactory to the Trustee against any loss, liability 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expense;</w:t>
      </w:r>
    </w:p>
    <w:p>
      <w:pPr>
        <w:spacing w:after="0" w:line="210" w:lineRule="exact"/>
        <w:rPr>
          <w:rFonts w:ascii="Arial" w:cs="Arial" w:eastAsia="Arial" w:hAnsi="Arial"/>
          <w:sz w:val="17"/>
          <w:szCs w:val="17"/>
          <w:color w:val="auto"/>
        </w:rPr>
      </w:pPr>
    </w:p>
    <w:p>
      <w:pPr>
        <w:ind w:left="1960" w:hanging="656"/>
        <w:spacing w:after="0"/>
        <w:tabs>
          <w:tab w:leader="none" w:pos="19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Trustee does not comply with the request within 60 days after receipt of the request and the offer of security and/or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indemnity; and</w:t>
      </w:r>
    </w:p>
    <w:p>
      <w:pPr>
        <w:spacing w:after="0" w:line="210" w:lineRule="exact"/>
        <w:rPr>
          <w:rFonts w:ascii="Arial" w:cs="Arial" w:eastAsia="Arial" w:hAnsi="Arial"/>
          <w:sz w:val="17"/>
          <w:szCs w:val="17"/>
          <w:color w:val="auto"/>
        </w:rPr>
      </w:pPr>
    </w:p>
    <w:p>
      <w:pPr>
        <w:ind w:left="660" w:right="840" w:firstLine="644"/>
        <w:spacing w:after="0" w:line="277" w:lineRule="auto"/>
        <w:tabs>
          <w:tab w:leader="none" w:pos="196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do not give the Trustee a direction inconsistent with such request.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22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If an Event of Default specified in Section 6.01(1) or (2) occurs and is continuing, the Trustee is authorized to recover judgment in its own name and as trustee of an express trust against the Company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The Trustee may, on behalf of the Holders, vote for the election of a trustee in bankruptcy or similar official and be a member of a creditors’ committee or other similar committee.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5" w:name="page86"/>
    <w:bookmarkEnd w:id="85"/>
    <w:p>
      <w:pPr>
        <w:ind w:left="660"/>
        <w:spacing w:after="0"/>
        <w:tabs>
          <w:tab w:leader="none" w:pos="19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Any money or property collected by the Trustee pursuant to this Article VI, and after an Event of Default any money or other property distributable in respect of the Company’s or Guarantors’ obligations under this Indenture, shall be paid or distributed in the following order:</w:t>
      </w:r>
    </w:p>
    <w:p>
      <w:pPr>
        <w:spacing w:after="0" w:line="124"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including payment of all compensation,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incurred, and all advances made, by the Trustee and the costs and expenses of collection;</w:t>
      </w:r>
    </w:p>
    <w:p>
      <w:pPr>
        <w:spacing w:after="0" w:line="170" w:lineRule="exact"/>
        <w:rPr>
          <w:sz w:val="20"/>
          <w:szCs w:val="20"/>
          <w:color w:val="auto"/>
        </w:rPr>
      </w:pPr>
    </w:p>
    <w:p>
      <w:pPr>
        <w:ind w:left="660" w:firstLine="648"/>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respectively;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of a Note pursuant to Section 6.07, or a suit by Holders of more than 10% in aggregate principal amount of the then outstanding Notes.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225" w:lineRule="exact"/>
        <w:rPr>
          <w:sz w:val="20"/>
          <w:szCs w:val="20"/>
          <w:color w:val="auto"/>
        </w:rPr>
      </w:pPr>
    </w:p>
    <w:p>
      <w:pPr>
        <w:ind w:right="200" w:firstLine="656"/>
        <w:spacing w:after="0" w:line="263" w:lineRule="auto"/>
        <w:tabs>
          <w:tab w:leader="none" w:pos="138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in the conduct of such person’s own affairs under the circumstances.</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right="20" w:firstLine="644"/>
        <w:spacing w:after="0" w:line="263" w:lineRule="auto"/>
        <w:tabs>
          <w:tab w:leader="none" w:pos="196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3" w:lineRule="exact"/>
        <w:rPr>
          <w:rFonts w:ascii="Arial" w:cs="Arial" w:eastAsia="Arial" w:hAnsi="Arial"/>
          <w:sz w:val="18"/>
          <w:szCs w:val="18"/>
          <w:color w:val="auto"/>
        </w:rPr>
      </w:pPr>
    </w:p>
    <w:p>
      <w:pPr>
        <w:ind w:left="660" w:right="20" w:firstLine="644"/>
        <w:spacing w:after="0" w:line="296" w:lineRule="auto"/>
        <w:tabs>
          <w:tab w:leader="none" w:pos="196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without investigation, as to the truth of the statements and the correctness of the opinions expressed therein, upon certificates or opinions furnished to the Trustee and conforming to the requirements of this Indenture, but need not verify the contents thereof. However, in the case of certificates or opinions specifically required hereunder to be furnished to it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61" w:lineRule="exact"/>
        <w:rPr>
          <w:rFonts w:ascii="Arial" w:cs="Arial" w:eastAsia="Arial" w:hAnsi="Arial"/>
          <w:sz w:val="16"/>
          <w:szCs w:val="16"/>
          <w:color w:val="auto"/>
        </w:rPr>
      </w:pPr>
    </w:p>
    <w:p>
      <w:pPr>
        <w:ind w:right="740" w:firstLine="656"/>
        <w:spacing w:after="0" w:line="277" w:lineRule="auto"/>
        <w:tabs>
          <w:tab w:leader="none" w:pos="138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negligent action, its own negligent failure to act, or its own willful misconduct, except that: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6" w:name="page87"/>
    <w:bookmarkEnd w:id="86"/>
    <w:p>
      <w:pPr>
        <w:ind w:left="1940" w:hanging="656"/>
        <w:spacing w:after="0"/>
        <w:tabs>
          <w:tab w:leader="none" w:pos="19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40" w:right="120" w:firstLine="644"/>
        <w:spacing w:after="0" w:line="277" w:lineRule="auto"/>
        <w:tabs>
          <w:tab w:leader="none" w:pos="194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170" w:lineRule="exact"/>
        <w:rPr>
          <w:rFonts w:ascii="Arial" w:cs="Arial" w:eastAsia="Arial" w:hAnsi="Arial"/>
          <w:sz w:val="18"/>
          <w:szCs w:val="18"/>
          <w:color w:val="auto"/>
        </w:rPr>
      </w:pPr>
    </w:p>
    <w:p>
      <w:pPr>
        <w:ind w:left="640" w:right="400" w:firstLine="644"/>
        <w:spacing w:after="0" w:line="277" w:lineRule="auto"/>
        <w:tabs>
          <w:tab w:leader="none" w:pos="194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Section 6.02, 6.04 or 6.05 hereof.</w:t>
      </w:r>
    </w:p>
    <w:p>
      <w:pPr>
        <w:spacing w:after="0" w:line="170" w:lineRule="exact"/>
        <w:rPr>
          <w:rFonts w:ascii="Arial" w:cs="Arial" w:eastAsia="Arial" w:hAnsi="Arial"/>
          <w:sz w:val="18"/>
          <w:szCs w:val="18"/>
          <w:color w:val="auto"/>
        </w:rPr>
      </w:pPr>
    </w:p>
    <w:p>
      <w:pPr>
        <w:ind w:left="-20" w:right="520" w:firstLine="656"/>
        <w:spacing w:after="0" w:line="277" w:lineRule="auto"/>
        <w:tabs>
          <w:tab w:leader="none" w:pos="137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 and Section 7.02.</w:t>
      </w:r>
    </w:p>
    <w:p>
      <w:pPr>
        <w:spacing w:after="0" w:line="170" w:lineRule="exact"/>
        <w:rPr>
          <w:rFonts w:ascii="Arial" w:cs="Arial" w:eastAsia="Arial" w:hAnsi="Arial"/>
          <w:sz w:val="18"/>
          <w:szCs w:val="18"/>
          <w:color w:val="auto"/>
        </w:rPr>
      </w:pPr>
    </w:p>
    <w:p>
      <w:pPr>
        <w:ind w:left="-20" w:right="40" w:firstLine="656"/>
        <w:spacing w:after="0" w:line="311" w:lineRule="auto"/>
        <w:tabs>
          <w:tab w:leader="none" w:pos="136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No provision of this Indenture will require the Trustee to expend or risk its own funds or incur any liability. The Trustee will be under no obligation to exercise any of its rights and powers under this Indenture at the request of any Holders, unless such Holder has provided to the Trustee security and/or indemnity satisfactory to it against any loss, liability or expense which might be incurred by it in compliance with such request or direction.</w:t>
      </w:r>
    </w:p>
    <w:p>
      <w:pPr>
        <w:spacing w:after="0" w:line="148" w:lineRule="exact"/>
        <w:rPr>
          <w:rFonts w:ascii="Arial" w:cs="Arial" w:eastAsia="Arial" w:hAnsi="Arial"/>
          <w:sz w:val="16"/>
          <w:szCs w:val="16"/>
          <w:color w:val="auto"/>
        </w:rPr>
      </w:pPr>
    </w:p>
    <w:p>
      <w:pPr>
        <w:ind w:left="-20" w:right="160" w:firstLine="656"/>
        <w:spacing w:after="0" w:line="263" w:lineRule="auto"/>
        <w:tabs>
          <w:tab w:leader="none" w:pos="134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 The Trustee shall not be required to give any bond or surety in respect of the performance of its powers or duties hereunder.</w:t>
      </w:r>
    </w:p>
    <w:p>
      <w:pPr>
        <w:spacing w:after="0" w:line="18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225" w:lineRule="exact"/>
        <w:rPr>
          <w:sz w:val="20"/>
          <w:szCs w:val="20"/>
          <w:color w:val="auto"/>
        </w:rPr>
      </w:pPr>
    </w:p>
    <w:p>
      <w:pPr>
        <w:ind w:left="-20" w:right="300" w:firstLine="656"/>
        <w:spacing w:after="0" w:line="308" w:lineRule="auto"/>
        <w:tabs>
          <w:tab w:leader="none" w:pos="136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Trustee may conclusively rely upon any document (whether in its original or facsimile form) believed by it to be genuine and to have been signed or presented by the proper Person. The Trustee need not investigate any fact or matter stated in the document.</w:t>
      </w:r>
    </w:p>
    <w:p>
      <w:pPr>
        <w:spacing w:after="0" w:line="146" w:lineRule="exact"/>
        <w:rPr>
          <w:rFonts w:ascii="Arial" w:cs="Arial" w:eastAsia="Arial" w:hAnsi="Arial"/>
          <w:sz w:val="17"/>
          <w:szCs w:val="17"/>
          <w:color w:val="auto"/>
        </w:rPr>
      </w:pPr>
    </w:p>
    <w:p>
      <w:pPr>
        <w:ind w:left="-20" w:right="160" w:firstLine="656"/>
        <w:spacing w:after="0" w:line="279" w:lineRule="auto"/>
        <w:tabs>
          <w:tab w:leader="none" w:pos="137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of its own selection and the advice of such counsel or any Opinion of Counsel will be full and complete authorization and protection from liability in respect of any action taken, suffered or omitted by it hereunder in good faith and in reliance thereon.</w:t>
      </w:r>
    </w:p>
    <w:p>
      <w:pPr>
        <w:spacing w:after="0" w:line="171" w:lineRule="exact"/>
        <w:rPr>
          <w:rFonts w:ascii="Arial" w:cs="Arial" w:eastAsia="Arial" w:hAnsi="Arial"/>
          <w:sz w:val="17"/>
          <w:szCs w:val="17"/>
          <w:color w:val="auto"/>
        </w:rPr>
      </w:pPr>
    </w:p>
    <w:p>
      <w:pPr>
        <w:ind w:left="-20" w:right="160" w:firstLine="656"/>
        <w:spacing w:after="0" w:line="263" w:lineRule="auto"/>
        <w:tabs>
          <w:tab w:leader="none" w:pos="13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may act through its attorneys, accountants, experts and such other professionals as the Trustee deems necessary, advisable or appropriate and will not be responsible for the misconduct or negligence of any attorney, accountant, expert or other such professional appointed with due care.</w:t>
      </w:r>
    </w:p>
    <w:p>
      <w:pPr>
        <w:spacing w:after="0" w:line="183" w:lineRule="exact"/>
        <w:rPr>
          <w:rFonts w:ascii="Arial" w:cs="Arial" w:eastAsia="Arial" w:hAnsi="Arial"/>
          <w:sz w:val="18"/>
          <w:szCs w:val="18"/>
          <w:color w:val="auto"/>
        </w:rPr>
      </w:pPr>
    </w:p>
    <w:p>
      <w:pPr>
        <w:ind w:left="-20" w:firstLine="656"/>
        <w:spacing w:after="0" w:line="277" w:lineRule="auto"/>
        <w:tabs>
          <w:tab w:leader="none" w:pos="137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left="-20" w:firstLine="656"/>
        <w:spacing w:after="0" w:line="277" w:lineRule="auto"/>
        <w:tabs>
          <w:tab w:leader="none" w:pos="136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ind w:left="-20" w:right="160" w:firstLine="656"/>
        <w:spacing w:after="0" w:line="263" w:lineRule="auto"/>
        <w:tabs>
          <w:tab w:leader="none" w:pos="13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ind w:left="-20" w:right="40" w:firstLine="656"/>
        <w:spacing w:after="0" w:line="257" w:lineRule="auto"/>
        <w:tabs>
          <w:tab w:leader="none" w:pos="137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shall not be deemed to have knowledge of any Default or Event of Default, or knowledge of any cure of any Default or Event of Default, unless (1) a Responsible Officer of the Trustee has received written notice of default from the Company in accordance with Section 4.04 or (2) other written notice of any event which is in fact any Default or Event of Default is received by a Responsible Officer of the Trustee at the Corporate Trust Office of the Trustee from the Company or the Holders of at least 25% in aggregate principal amount of the then outstanding Notes, and such notice references the Notes and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87" w:name="page88"/>
    <w:bookmarkEnd w:id="87"/>
    <w:p>
      <w:pPr>
        <w:ind w:right="320" w:firstLine="656"/>
        <w:spacing w:after="0" w:line="286" w:lineRule="auto"/>
        <w:tabs>
          <w:tab w:leader="none" w:pos="134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rights, privileges, protections, immunities and benefits given to the Trustee, including, without limitation, its right to be compensated, reimbursed and indemnified, are extended to, and shall be enforceable by, the Trustee in each of its capacities hereunder, and each agent, custodian and other Person employed by the Trustee to act hereunder pursuant to the terms of this Indenture.</w:t>
      </w:r>
    </w:p>
    <w:p>
      <w:pPr>
        <w:spacing w:after="0" w:line="165" w:lineRule="exact"/>
        <w:rPr>
          <w:rFonts w:ascii="Arial" w:cs="Arial" w:eastAsia="Arial" w:hAnsi="Arial"/>
          <w:sz w:val="17"/>
          <w:szCs w:val="17"/>
          <w:color w:val="auto"/>
        </w:rPr>
      </w:pPr>
    </w:p>
    <w:p>
      <w:pPr>
        <w:jc w:val="both"/>
        <w:ind w:right="80" w:firstLine="656"/>
        <w:spacing w:after="0" w:line="311" w:lineRule="auto"/>
        <w:tabs>
          <w:tab w:leader="none" w:pos="135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by the Company and not superseded.</w:t>
      </w:r>
    </w:p>
    <w:p>
      <w:pPr>
        <w:spacing w:after="0" w:line="148" w:lineRule="exact"/>
        <w:rPr>
          <w:rFonts w:ascii="Arial" w:cs="Arial" w:eastAsia="Arial" w:hAnsi="Arial"/>
          <w:sz w:val="16"/>
          <w:szCs w:val="16"/>
          <w:color w:val="auto"/>
        </w:rPr>
      </w:pPr>
    </w:p>
    <w:p>
      <w:pPr>
        <w:ind w:left="1360" w:hanging="704"/>
        <w:spacing w:after="0"/>
        <w:tabs>
          <w:tab w:leader="none" w:pos="13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permissive rights of the Trustee set forth herein shall not be construed as duties of the Trustee.</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as defined in the TIA, it must eliminate such conflict within 90 days or resign.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Agent may do the same with like rights and duties. The Trustee is also subject to Sections 7.10 and 7.11.</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Trustee will not be responsible for and makes no representation as to the validity or adequacy of this Indenture or the Notes or the Note Guarantees,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in the Offering Memorandum or any other document in connection with the sale of the Notes or pursuant to this Indenture other than its certificate of authentication.</w:t>
      </w:r>
    </w:p>
    <w:p>
      <w:pPr>
        <w:spacing w:after="0" w:line="16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Neither the Trustee nor any Paying Agent shall be responsible for determining whether any Asset Sale has occurred and whether any Asset Sale Offer with respect to the Notes is required. Neither the Trustee nor any Paying Agent shall be responsible for determining whether any Change of Control has occurred and whether any Change of Control Offer with respect to the Notes is required. Neither the Trustee nor any Paying Agent shall be responsible for monitoring the Company’s rating status, making any request upon any Rating Agency, or determining whether any rating event with respect to the Notes has occurred. The Trustee shall not be bound to ascertain or inquire as to the performance, observance, or breach of any covenants, conditions, representations, warranties or agreements on the part of the Company or the Guarantors. Under no circumstances shall the Trustee be liable in its individual capacity for the obligations evidenced by the Notes or the Note Guarantees. The Trustee shall have no obligation to pursue any action that is not in accordance with applicable law.</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If a Default or Event of Default occurs and is continuing and if a Responsible Officer of the Trustee has received written notice thereof, the Trustee will send to Holders of Notes a notice of the Default or Event of Default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8" w:name="page89"/>
    <w:bookmarkEnd w:id="88"/>
    <w:p>
      <w:pPr>
        <w:ind w:left="600"/>
        <w:spacing w:after="0"/>
        <w:tabs>
          <w:tab w:leader="none" w:pos="17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ind w:left="-60" w:right="60" w:firstLine="656"/>
        <w:spacing w:after="0" w:line="255" w:lineRule="auto"/>
        <w:tabs>
          <w:tab w:leader="none" w:pos="13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will pay to the Trustee from time to time compensation for its acceptance of this Indenture and services hereunder which shall have from time to time been separately agreed to by the Company and the Trustee in writing.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attorneys, accountants, experts and other professionals as the Trustee deems necessary, advisable or appropriate.</w:t>
      </w:r>
    </w:p>
    <w:p>
      <w:pPr>
        <w:spacing w:after="0" w:line="192" w:lineRule="exact"/>
        <w:rPr>
          <w:rFonts w:ascii="Arial" w:cs="Arial" w:eastAsia="Arial" w:hAnsi="Arial"/>
          <w:sz w:val="18"/>
          <w:szCs w:val="18"/>
          <w:color w:val="auto"/>
        </w:rPr>
      </w:pPr>
    </w:p>
    <w:p>
      <w:pPr>
        <w:ind w:left="-60" w:firstLine="656"/>
        <w:spacing w:after="0" w:line="269" w:lineRule="auto"/>
        <w:tabs>
          <w:tab w:leader="none" w:pos="133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Company and the Guarantors, jointly and severally, will indemnify the Trustee, and hold it harmless, against any and all losses, claims, damages, liabilities, fees, costs or expenses incurred by it arising out of or in connection with this Indenture and the acceptance or administration of its duties under this Indenture, including the costs and expenses, reasonable attorneys’ fees and expenses and court costs of enforcing this Indenture against the Company and the Guarantors (including this Section 7.07) and defending itself against or investigating any claim (whether asserted by the Company, the Guarantors, any Holder or any other Person) or liability in connection with the exercise or performance of any of its powers or duties hereunder, except to the extent any such loss, liability or expense is determined by a court of competent jurisdiction in a final non-appealable order to have been caused by its own negligence or willful misconduct. The Trustee will notify the Company in writing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 All indemnifications and releases from liability granted hereunder to the Trustee shall extend to its officers, directors, employees, agents, attorneys, custodians, successors and assigns.</w:t>
      </w:r>
    </w:p>
    <w:p>
      <w:pPr>
        <w:spacing w:after="0" w:line="178" w:lineRule="exact"/>
        <w:rPr>
          <w:rFonts w:ascii="Arial" w:cs="Arial" w:eastAsia="Arial" w:hAnsi="Arial"/>
          <w:sz w:val="17"/>
          <w:szCs w:val="17"/>
          <w:color w:val="auto"/>
        </w:rPr>
      </w:pPr>
    </w:p>
    <w:p>
      <w:pPr>
        <w:ind w:left="-60" w:right="60" w:firstLine="656"/>
        <w:spacing w:after="0" w:line="277" w:lineRule="auto"/>
        <w:tabs>
          <w:tab w:leader="none" w:pos="13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obligations of the Company and the Guarantors under this Section 7.07 will survive the satisfaction and discharge of this Indenture and the resignation or removal of the Trustee.</w:t>
      </w:r>
    </w:p>
    <w:p>
      <w:pPr>
        <w:spacing w:after="0" w:line="170" w:lineRule="exact"/>
        <w:rPr>
          <w:rFonts w:ascii="Arial" w:cs="Arial" w:eastAsia="Arial" w:hAnsi="Arial"/>
          <w:sz w:val="18"/>
          <w:szCs w:val="18"/>
          <w:color w:val="auto"/>
        </w:rPr>
      </w:pPr>
    </w:p>
    <w:p>
      <w:pPr>
        <w:jc w:val="both"/>
        <w:ind w:left="-60" w:right="120" w:firstLine="656"/>
        <w:spacing w:after="0" w:line="263" w:lineRule="auto"/>
        <w:tabs>
          <w:tab w:leader="none" w:pos="133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Notes on all money or property held or collected by the Trustee, except that held in trust to pay principal and interest on particular Notes. Such Lien will survive the satisfaction and discharge of this Indenture and the resignation or removal of the Trustee.</w:t>
      </w:r>
    </w:p>
    <w:p>
      <w:pPr>
        <w:spacing w:after="0" w:line="183" w:lineRule="exact"/>
        <w:rPr>
          <w:rFonts w:ascii="Arial" w:cs="Arial" w:eastAsia="Arial" w:hAnsi="Arial"/>
          <w:sz w:val="18"/>
          <w:szCs w:val="18"/>
          <w:color w:val="auto"/>
        </w:rPr>
      </w:pPr>
    </w:p>
    <w:p>
      <w:pPr>
        <w:ind w:left="-60" w:firstLine="656"/>
        <w:spacing w:after="0" w:line="263" w:lineRule="auto"/>
        <w:tabs>
          <w:tab w:leader="none" w:pos="13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6.01(8) occurs, the expenses and the compensation for the services (including the fees and expenses of its agents and counsel) are intended to constitute expenses of administration under any Bankruptcy Law.</w:t>
      </w:r>
    </w:p>
    <w:p>
      <w:pPr>
        <w:spacing w:after="0" w:line="183" w:lineRule="exact"/>
        <w:rPr>
          <w:rFonts w:ascii="Arial" w:cs="Arial" w:eastAsia="Arial" w:hAnsi="Arial"/>
          <w:sz w:val="18"/>
          <w:szCs w:val="18"/>
          <w:color w:val="auto"/>
        </w:rPr>
      </w:pPr>
    </w:p>
    <w:p>
      <w:pPr>
        <w:ind w:left="-60" w:right="100" w:firstLine="656"/>
        <w:spacing w:after="0" w:line="263" w:lineRule="auto"/>
        <w:tabs>
          <w:tab w:leader="none" w:pos="130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for the purposes of this Section 7.07 shall include any predecessor Trustee and the Trustee in each of its capacities hereunder and each agent, custodian and other person employed to act hereunder; provided, however, that the negligence or willful misconduct of any Trustee hereunder shall not affect the rights of any other Trustee hereunder.</w:t>
      </w:r>
    </w:p>
    <w:p>
      <w:pPr>
        <w:spacing w:after="0" w:line="184"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Replacement of Trustee.</w:t>
      </w:r>
    </w:p>
    <w:p>
      <w:pPr>
        <w:spacing w:after="0" w:line="225" w:lineRule="exact"/>
        <w:rPr>
          <w:sz w:val="20"/>
          <w:szCs w:val="20"/>
          <w:color w:val="auto"/>
        </w:rPr>
      </w:pPr>
    </w:p>
    <w:p>
      <w:pPr>
        <w:ind w:left="-60" w:right="480" w:firstLine="656"/>
        <w:spacing w:after="0" w:line="277" w:lineRule="auto"/>
        <w:tabs>
          <w:tab w:leader="none" w:pos="132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ind w:left="-60" w:right="160" w:firstLine="656"/>
        <w:spacing w:after="0" w:line="286" w:lineRule="auto"/>
        <w:tabs>
          <w:tab w:leader="none" w:pos="133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Trustee may resign in writing at any time on 30 days’ prior written notice and be discharged from the trust hereby created by so notifying the Company. The Holders of a majority in aggregate principal amount of the then outstanding Notes may remove the Trustee on 30 days’ prior written notice by so notifying the Trustee and the Company in writing. The Company may remove the Trustee if: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89" w:name="page90"/>
    <w:bookmarkEnd w:id="89"/>
    <w:p>
      <w:pPr>
        <w:ind w:left="2060" w:hanging="756"/>
        <w:spacing w:after="0"/>
        <w:tabs>
          <w:tab w:leader="none" w:pos="20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Bankruptcy Law;</w:t>
      </w:r>
    </w:p>
    <w:p>
      <w:pPr>
        <w:spacing w:after="0" w:line="210" w:lineRule="exact"/>
        <w:rPr>
          <w:rFonts w:ascii="Arial" w:cs="Arial" w:eastAsia="Arial" w:hAnsi="Arial"/>
          <w:sz w:val="17"/>
          <w:szCs w:val="17"/>
          <w:color w:val="auto"/>
        </w:rPr>
      </w:pPr>
    </w:p>
    <w:p>
      <w:pPr>
        <w:ind w:left="2060" w:hanging="756"/>
        <w:spacing w:after="0"/>
        <w:tabs>
          <w:tab w:leader="none" w:pos="20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80" w:firstLine="656"/>
        <w:spacing w:after="0" w:line="286" w:lineRule="auto"/>
        <w:tabs>
          <w:tab w:leader="none" w:pos="138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165" w:lineRule="exact"/>
        <w:rPr>
          <w:rFonts w:ascii="Arial" w:cs="Arial" w:eastAsia="Arial" w:hAnsi="Arial"/>
          <w:sz w:val="17"/>
          <w:szCs w:val="17"/>
          <w:color w:val="auto"/>
        </w:rPr>
      </w:pPr>
    </w:p>
    <w:p>
      <w:pPr>
        <w:ind w:right="120" w:firstLine="656"/>
        <w:spacing w:after="0" w:line="263" w:lineRule="auto"/>
        <w:tabs>
          <w:tab w:leader="none" w:pos="139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at the expense of the Company, the Company, or the Holders of at least 10% in aggregate principal amount of the then outstanding Notes may petition any court of competent jurisdiction for the appointment of a successor Trustee.</w:t>
      </w:r>
    </w:p>
    <w:p>
      <w:pPr>
        <w:spacing w:after="0" w:line="183" w:lineRule="exact"/>
        <w:rPr>
          <w:rFonts w:ascii="Arial" w:cs="Arial" w:eastAsia="Arial" w:hAnsi="Arial"/>
          <w:sz w:val="18"/>
          <w:szCs w:val="18"/>
          <w:color w:val="auto"/>
        </w:rPr>
      </w:pPr>
    </w:p>
    <w:p>
      <w:pPr>
        <w:ind w:right="20" w:firstLine="656"/>
        <w:spacing w:after="0" w:line="308" w:lineRule="auto"/>
        <w:tabs>
          <w:tab w:leader="none" w:pos="138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ind w:firstLine="656"/>
        <w:spacing w:after="0" w:line="301" w:lineRule="auto"/>
        <w:tabs>
          <w:tab w:leader="none" w:pos="136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(f) 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send a notice of its succession to Holders. The retiring Trustee will promptly transfer all property held by it as Trustee to the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all sums owing to the Trustee hereunder have been paid and subject to the Lien provided for in Section 7.07.</w:t>
      </w:r>
    </w:p>
    <w:p>
      <w:pPr>
        <w:spacing w:after="0" w:line="15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Notwithstanding replacement of the Trustee pursuant to this Section 7.08, the Company’s obligations under Section 7.07 will continue for the benefit of the retiring Trustee.</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(or, in the case of a Trustee included in a bank holding company system, the related bank holding company has) a combined capital and surplus of at least $50.0 million as set forth in its most recent published annual report of condition.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may at any time, at the option of its Board of Directors evidenced by a resolution set forth in an Officer’s Certificate delivered to the Trustee, elect to have either Section 8.02 or 8.03 be applied to all outstanding Notes and Note Guarantees upon compliance with the conditions set forth below in this Article VIII.</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0" w:name="page91"/>
    <w:bookmarkEnd w:id="90"/>
    <w:p>
      <w:pPr>
        <w:ind w:left="660"/>
        <w:spacing w:after="0"/>
        <w:tabs>
          <w:tab w:leader="none" w:pos="176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Upon the Company’s exercise under Section 8.01 of the option applicable to this Section 8.02, the Company and each of the Guarantors will, subject to the satisfaction of the conditions set forth in Section 8.04, be deemed to have been discharged from their obligations with respect to all outstanding Notes (including the Note Guarantees) on the date the conditions set forth below are satisfied (hereinafter, “</w:t>
      </w:r>
      <w:r>
        <w:rPr>
          <w:rFonts w:ascii="Arial" w:cs="Arial" w:eastAsia="Arial" w:hAnsi="Arial"/>
          <w:sz w:val="17"/>
          <w:szCs w:val="17"/>
          <w:b w:val="1"/>
          <w:bCs w:val="1"/>
          <w:i w:val="1"/>
          <w:iCs w:val="1"/>
          <w:color w:val="auto"/>
        </w:rPr>
        <w:t>Legal Defeasance</w:t>
      </w:r>
      <w:r>
        <w:rPr>
          <w:rFonts w:ascii="Arial" w:cs="Arial" w:eastAsia="Arial" w:hAnsi="Arial"/>
          <w:sz w:val="17"/>
          <w:szCs w:val="17"/>
          <w:color w:val="auto"/>
        </w:rPr>
        <w:t>”).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Section 8.05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in form and substance reasonably satisfactory to the Trustee), except for the following provisions which will survive until otherwise terminated or discharged hereunder:</w:t>
      </w:r>
    </w:p>
    <w:p>
      <w:pPr>
        <w:spacing w:after="0" w:line="181" w:lineRule="exact"/>
        <w:rPr>
          <w:sz w:val="20"/>
          <w:szCs w:val="20"/>
          <w:color w:val="auto"/>
        </w:rPr>
      </w:pPr>
    </w:p>
    <w:p>
      <w:pPr>
        <w:ind w:left="660" w:right="60" w:firstLine="644"/>
        <w:spacing w:after="0" w:line="277" w:lineRule="auto"/>
        <w:tabs>
          <w:tab w:leader="none" w:pos="205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such Notes when such payments are due from the trust referred to in Section 8.04;</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II and Section 4.02;</w:t>
      </w:r>
    </w:p>
    <w:p>
      <w:pPr>
        <w:spacing w:after="0" w:line="225" w:lineRule="exact"/>
        <w:rPr>
          <w:rFonts w:ascii="Arial" w:cs="Arial" w:eastAsia="Arial" w:hAnsi="Arial"/>
          <w:sz w:val="18"/>
          <w:szCs w:val="18"/>
          <w:color w:val="auto"/>
        </w:rPr>
      </w:pPr>
    </w:p>
    <w:p>
      <w:pPr>
        <w:ind w:left="660" w:right="140" w:firstLine="644"/>
        <w:spacing w:after="0" w:line="277" w:lineRule="auto"/>
        <w:tabs>
          <w:tab w:leader="none" w:pos="205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 the Company’s and the Guarantors’ obligations in connection therewith;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Article VIII.</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Subject to compliance with this Article VIII, the Company may exercise its option under this Section 8.02 notwithstanding the prior exercise of its option under Section 8.03.</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Upon the Company’s exercise under Section 8.01 of the option applicable to this Section 8.03, the Company and each of the Guarantors will, subject to the satisfaction of the conditions set forth in Section 8.04, be released from each of their obligations under the covenants contained in Sections</w:t>
      </w:r>
    </w:p>
    <w:p>
      <w:pPr>
        <w:spacing w:after="0" w:line="267" w:lineRule="auto"/>
        <w:rPr>
          <w:sz w:val="20"/>
          <w:szCs w:val="20"/>
          <w:color w:val="auto"/>
        </w:rPr>
      </w:pPr>
      <w:r>
        <w:rPr>
          <w:rFonts w:ascii="Arial" w:cs="Arial" w:eastAsia="Arial" w:hAnsi="Arial"/>
          <w:sz w:val="17"/>
          <w:szCs w:val="17"/>
          <w:color w:val="auto"/>
        </w:rPr>
        <w:t>4.07, 4.08, 4.09, 4.10, 4.11, 4.12, 4.13, 4.15, 4.16, 4.17, 4.18 and 4.19 and clause (4) of Section 5.01 with respect to the outstanding Notes on and after the date the conditions set forth in Section 8.04 are satisfied (hereinafter, “</w:t>
      </w:r>
      <w:r>
        <w:rPr>
          <w:rFonts w:ascii="Arial" w:cs="Arial" w:eastAsia="Arial" w:hAnsi="Arial"/>
          <w:sz w:val="17"/>
          <w:szCs w:val="17"/>
          <w:b w:val="1"/>
          <w:bCs w:val="1"/>
          <w:i w:val="1"/>
          <w:iCs w:val="1"/>
          <w:color w:val="auto"/>
        </w:rPr>
        <w:t>Covenant Defeasance</w:t>
      </w:r>
      <w:r>
        <w:rPr>
          <w:rFonts w:ascii="Arial" w:cs="Arial" w:eastAsia="Arial" w:hAnsi="Arial"/>
          <w:sz w:val="17"/>
          <w:szCs w:val="17"/>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and Note Guarantees will be unaffected thereby. In addition, upon the Company’s exercise under Section 8.01 of the option applicable to this Section 8.03, subject to the satisfaction of the conditions set forth in Section 8.04, Sections 6.01(3) through 6.01(6) will not constitute Events of Default.</w:t>
      </w:r>
    </w:p>
    <w:p>
      <w:pPr>
        <w:spacing w:after="0" w:line="18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1" w:name="page92"/>
    <w:bookmarkEnd w:id="91"/>
    <w:p>
      <w:pPr>
        <w:ind w:left="640" w:right="20" w:firstLine="644"/>
        <w:spacing w:after="0" w:line="296" w:lineRule="auto"/>
        <w:tabs>
          <w:tab w:leader="none" w:pos="203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Company must irrevocably deposit with the Trustee, in trust, for the benefit of the Holders,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61" w:lineRule="exact"/>
        <w:rPr>
          <w:rFonts w:ascii="Arial" w:cs="Arial" w:eastAsia="Arial" w:hAnsi="Arial"/>
          <w:sz w:val="16"/>
          <w:szCs w:val="16"/>
          <w:color w:val="auto"/>
        </w:rPr>
      </w:pPr>
    </w:p>
    <w:p>
      <w:pPr>
        <w:ind w:left="640" w:firstLine="644"/>
        <w:spacing w:after="0" w:line="293" w:lineRule="auto"/>
        <w:tabs>
          <w:tab w:leader="none" w:pos="203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 the case of an election under Section 8.02, the Company must deliver to the Trustee an Opinion of Counsel reasonably satisfactory to the Trustee confirming that (A) the Company has received from, or there has been published by, the Internal Revenue Service a ruling or (B) since the date of this Indenture, there has been a change in the applicable U.S. federal income tax law, in either case to the effect that, and based thereon such Opinion of Counsel will confirm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64" w:lineRule="exact"/>
        <w:rPr>
          <w:rFonts w:ascii="Arial" w:cs="Arial" w:eastAsia="Arial" w:hAnsi="Arial"/>
          <w:sz w:val="16"/>
          <w:szCs w:val="16"/>
          <w:color w:val="auto"/>
        </w:rPr>
      </w:pPr>
    </w:p>
    <w:p>
      <w:pPr>
        <w:ind w:left="640" w:right="220" w:firstLine="644"/>
        <w:spacing w:after="0" w:line="279" w:lineRule="auto"/>
        <w:tabs>
          <w:tab w:leader="none" w:pos="203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in the case of an election under Section 8.03, the Company must deliver to the Trustee an Opinion of Counsel reasonably acceptable to the Trustee confirming that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71" w:lineRule="exact"/>
        <w:rPr>
          <w:rFonts w:ascii="Arial" w:cs="Arial" w:eastAsia="Arial" w:hAnsi="Arial"/>
          <w:sz w:val="17"/>
          <w:szCs w:val="17"/>
          <w:color w:val="auto"/>
        </w:rPr>
      </w:pPr>
    </w:p>
    <w:p>
      <w:pPr>
        <w:ind w:left="640" w:right="60" w:firstLine="644"/>
        <w:spacing w:after="0" w:line="263" w:lineRule="auto"/>
        <w:tabs>
          <w:tab w:leader="none" w:pos="20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Default has occurred and is continuing on the date of such deposit (other than a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3" w:lineRule="exact"/>
        <w:rPr>
          <w:rFonts w:ascii="Arial" w:cs="Arial" w:eastAsia="Arial" w:hAnsi="Arial"/>
          <w:sz w:val="18"/>
          <w:szCs w:val="18"/>
          <w:color w:val="auto"/>
        </w:rPr>
      </w:pPr>
    </w:p>
    <w:p>
      <w:pPr>
        <w:ind w:left="640" w:right="120" w:firstLine="644"/>
        <w:spacing w:after="0" w:line="263" w:lineRule="auto"/>
        <w:tabs>
          <w:tab w:leader="none" w:pos="20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183" w:lineRule="exact"/>
        <w:rPr>
          <w:rFonts w:ascii="Arial" w:cs="Arial" w:eastAsia="Arial" w:hAnsi="Arial"/>
          <w:sz w:val="18"/>
          <w:szCs w:val="18"/>
          <w:color w:val="auto"/>
        </w:rPr>
      </w:pPr>
    </w:p>
    <w:p>
      <w:pPr>
        <w:ind w:left="640" w:right="220" w:firstLine="644"/>
        <w:spacing w:after="0" w:line="263" w:lineRule="auto"/>
        <w:tabs>
          <w:tab w:leader="none" w:pos="20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3" w:lineRule="exact"/>
        <w:rPr>
          <w:rFonts w:ascii="Arial" w:cs="Arial" w:eastAsia="Arial" w:hAnsi="Arial"/>
          <w:sz w:val="18"/>
          <w:szCs w:val="18"/>
          <w:color w:val="auto"/>
        </w:rPr>
      </w:pPr>
    </w:p>
    <w:p>
      <w:pPr>
        <w:ind w:left="640" w:right="360" w:firstLine="644"/>
        <w:spacing w:after="0" w:line="342" w:lineRule="auto"/>
        <w:tabs>
          <w:tab w:leader="none" w:pos="203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Company must deliver to the Trustee an Officer’s Certificate and an Opinion of Counsel, reasonably satisfactory to the Trustee each stating that all conditions precedent relating to the Legal Defeasance or the Covenant Defeasance have been complied with.</w:t>
      </w:r>
    </w:p>
    <w:p>
      <w:pPr>
        <w:spacing w:after="0" w:line="12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225" w:lineRule="exact"/>
        <w:rPr>
          <w:sz w:val="20"/>
          <w:szCs w:val="20"/>
          <w:color w:val="auto"/>
        </w:rPr>
      </w:pPr>
    </w:p>
    <w:p>
      <w:pPr>
        <w:ind w:left="-20" w:right="120" w:firstLine="656"/>
        <w:spacing w:after="0" w:line="296" w:lineRule="auto"/>
        <w:tabs>
          <w:tab w:leader="none" w:pos="136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Subject to Section 8.06, all money and non-callable Government Securities (including the proceeds thereof) deposited with the Trustee (or other qualifying trustee, collectively for purposes of this Section 8.05,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pursuant to Section 8.04 in respect of the outstanding Notes will be held in trust and applied by the Trustee, in accordance with the provisions of such Notes and this Indenture, to the payment, either directly or through any Paying Agent (other than the Company)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61" w:lineRule="exact"/>
        <w:rPr>
          <w:rFonts w:ascii="Arial" w:cs="Arial" w:eastAsia="Arial" w:hAnsi="Arial"/>
          <w:sz w:val="16"/>
          <w:szCs w:val="16"/>
          <w:color w:val="auto"/>
        </w:rPr>
      </w:pPr>
    </w:p>
    <w:p>
      <w:pPr>
        <w:jc w:val="both"/>
        <w:ind w:left="-20" w:right="180" w:firstLine="656"/>
        <w:spacing w:after="0" w:line="263" w:lineRule="auto"/>
        <w:tabs>
          <w:tab w:leader="none" w:pos="137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will pay and indemnify the Trustee against any tax, fee or other charge imposed on or assessed against the cash or non-callable Government Securities deposited pursuant to Section 8.04 or the principal and interest received in respect thereof other than any such tax, fee or other charge which by law is for the account of the Holders of the outstanding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92" w:name="page93"/>
    <w:bookmarkEnd w:id="92"/>
    <w:p>
      <w:pPr>
        <w:ind w:right="40" w:firstLine="656"/>
        <w:spacing w:after="0" w:line="257" w:lineRule="auto"/>
        <w:tabs>
          <w:tab w:leader="none" w:pos="138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Notwithstanding anything in this Article VIII to the contrary, the Trustee will deliver or pay to the Company from time to time upon the request of the Company any money or non-callable Government Securities held by it as provided in Section 8.04 which, in the opinion of a nationally recognized firm of independent public accountants expressed in a written certification thereof delivered to the Trustee (which may be the opinion delivered under Section 8.04(1)), are in excess of the amount thereof that would then be required to be deposited to effect an equivalent Legal Defeasance or Covenant Defeasance.</w:t>
      </w:r>
    </w:p>
    <w:p>
      <w:pPr>
        <w:spacing w:after="0" w:line="18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subject to compliance with applicable abandoned property law,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w:t>
      </w:r>
    </w:p>
    <w:p>
      <w:pPr>
        <w:spacing w:after="0" w:line="1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non-callable Government Securities in accordance with Section 8.02 or 8.03, as the case may be, by reason of any order or judgment of any court or governmental authority enjoining, restraining or otherwise prohibiting such application, then the Company’s and the Guarantors’ obligations under this Indenture and the Notes and the Note Guarantees will be revived and reinstated as though no deposit had occurred pursuant to Section 8.02 or 8.03 until such time as the Trustee or Paying Agent is permitted to apply all such money in accordance with Section 8.02 or 8.03,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Notwithstanding Section 9.02, the Company, the Guarantors and the Trustee may amend or supplement this Indenture, the Notes or the Note Guarantees without the consent of any Holder of Notes:</w:t>
      </w:r>
    </w:p>
    <w:p>
      <w:pPr>
        <w:spacing w:after="0" w:line="170" w:lineRule="exact"/>
        <w:rPr>
          <w:sz w:val="20"/>
          <w:szCs w:val="20"/>
          <w:color w:val="auto"/>
        </w:rPr>
      </w:pPr>
    </w:p>
    <w:p>
      <w:pPr>
        <w:ind w:left="2060" w:hanging="756"/>
        <w:spacing w:after="0"/>
        <w:tabs>
          <w:tab w:leader="none" w:pos="2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660" w:right="120" w:firstLine="644"/>
        <w:spacing w:after="0" w:line="277" w:lineRule="auto"/>
        <w:tabs>
          <w:tab w:leader="none" w:pos="20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provide for the assumption of the Company’s or a Guarantor’s obligations to the Holders of the Notes and Note Guarantees by a successor to the Company or such Guarantor pursuant to Article V or Article X hereof;</w:t>
      </w:r>
    </w:p>
    <w:p>
      <w:pPr>
        <w:spacing w:after="0" w:line="170" w:lineRule="exact"/>
        <w:rPr>
          <w:rFonts w:ascii="Arial" w:cs="Arial" w:eastAsia="Arial" w:hAnsi="Arial"/>
          <w:sz w:val="18"/>
          <w:szCs w:val="18"/>
          <w:color w:val="auto"/>
        </w:rPr>
      </w:pPr>
    </w:p>
    <w:p>
      <w:pPr>
        <w:ind w:left="660" w:right="120" w:firstLine="644"/>
        <w:spacing w:after="0" w:line="342" w:lineRule="auto"/>
        <w:tabs>
          <w:tab w:leader="none" w:pos="205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make any change that would provide any additional rights or benefits to the Holders of the Notes (including the addition of collateral to secure the Notes and/or additional guarantees) or that does not adversely affect the legal rights hereunder of any such Holder;</w:t>
      </w:r>
    </w:p>
    <w:p>
      <w:pPr>
        <w:spacing w:after="0" w:line="123" w:lineRule="exact"/>
        <w:rPr>
          <w:rFonts w:ascii="Arial" w:cs="Arial" w:eastAsia="Arial" w:hAnsi="Arial"/>
          <w:sz w:val="16"/>
          <w:szCs w:val="16"/>
          <w:color w:val="auto"/>
        </w:rPr>
      </w:pPr>
    </w:p>
    <w:p>
      <w:pPr>
        <w:ind w:left="660" w:right="80" w:firstLine="644"/>
        <w:spacing w:after="0" w:line="286" w:lineRule="auto"/>
        <w:tabs>
          <w:tab w:leader="none" w:pos="205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conform the text of this Indenture, the Note Guarantees or the Notes to any provision of the “Description of Notes” section of the Offering Memorandum to the extent that such provision of this Indenture, the Note Guarantees or the Notes was intended to conform to the text of the “Description of Notes” section of the Offering Memorandum as evidenced by an Officer’s Certificate;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3" w:name="page94"/>
    <w:bookmarkEnd w:id="93"/>
    <w:p>
      <w:pPr>
        <w:ind w:left="2060" w:hanging="756"/>
        <w:spacing w:after="0"/>
        <w:tabs>
          <w:tab w:leader="none" w:pos="20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provide for the issuance of Additional Notes in accordance with the limitations set forth in this Indenture as of the date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jc w:val="both"/>
        <w:ind w:left="660" w:firstLine="644"/>
        <w:spacing w:after="0" w:line="263" w:lineRule="auto"/>
        <w:tabs>
          <w:tab w:leader="none" w:pos="205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to allow any Guarantor to execute a supplemental indenture and/or a Note Guarantee with respect to the Notes or to release any Guarantor from its Note Guarantee if such release is in accordance with the terms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supplemental indenture may be signed by the Company, the Guarantor providing the Note Guarantee and the Trustee; or</w:t>
      </w:r>
    </w:p>
    <w:p>
      <w:pPr>
        <w:spacing w:after="0" w:line="183" w:lineRule="exact"/>
        <w:rPr>
          <w:rFonts w:ascii="Arial" w:cs="Arial" w:eastAsia="Arial" w:hAnsi="Arial"/>
          <w:sz w:val="18"/>
          <w:szCs w:val="18"/>
          <w:color w:val="auto"/>
        </w:rPr>
      </w:pPr>
    </w:p>
    <w:p>
      <w:pPr>
        <w:ind w:left="660" w:right="600" w:firstLine="644"/>
        <w:spacing w:after="0" w:line="277" w:lineRule="auto"/>
        <w:tabs>
          <w:tab w:leader="none" w:pos="205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of this Indenture.</w:t>
      </w:r>
    </w:p>
    <w:p>
      <w:pPr>
        <w:spacing w:after="0" w:line="170"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Upon the request of the Company accompanied by a resolution of its Board of Directors authorizing the execution of any such amended or supplemental indenture, and upon receipt by the Trustee of the documents described in Section 7.02, the Trustee will join with the Company and the Guarantors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Except as provided below in this Section 9.02, the Company, the Guarantors, and the Trustee may amend or supplement this Indenture (including, without limitation, Sections 3.09, 4.10 and 4.15) or the Notes and the Note Guarantees with the consent of the Holders of at least a majority in aggregate principal amount of the Notes then outstanding (including, without limitation, Additional Notes, if any) voting as a single class (including, without limitation, consents obtained in connection with a purchase of, or tender offer or exchange offer for, the Notes), and, subject to Sections 6.04 and 6.07,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and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the Notes). Section 2.08 shall determine which Notes are considered to be “outstanding” for purposes of this Section 9.02.</w:t>
      </w:r>
    </w:p>
    <w:p>
      <w:pPr>
        <w:spacing w:after="0" w:line="1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7.02(b), the Trustee will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9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It is not necessary for the consent of the Holders of Notes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an amendment, supplement or waiver under this Section 9.02 or under Section 9.01 becomes effective, the Company will deliver or cause to be delivered to the Holders of Notes affected thereby a notice briefly describing such amendment, supplement or waiver. Any failure of the Company to deliver such notice, or any defect therein, will not, however, in any way impair or affect the validity of any such amended or supplemental indenture or waiver. Subject to Sections 6.04 and 6.07, the Holders of a majority in aggregate principal amount of the Notes then outstanding voting as a single class may waive compliance in a particular instance by the Company with any provision of this Indenture or the Notes or the Note Guarantees. However, without the consent of each Holder of Notes affected, an amendment, supplement or waiver under this Section 9.02 may not (with respect to any Notes held by a non-consenting Holder):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4" w:name="page95"/>
    <w:bookmarkEnd w:id="94"/>
    <w:p>
      <w:pPr>
        <w:ind w:left="2060" w:hanging="756"/>
        <w:spacing w:after="0"/>
        <w:tabs>
          <w:tab w:leader="none" w:pos="2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25" w:lineRule="exact"/>
        <w:rPr>
          <w:rFonts w:ascii="Arial" w:cs="Arial" w:eastAsia="Arial" w:hAnsi="Arial"/>
          <w:sz w:val="18"/>
          <w:szCs w:val="18"/>
          <w:color w:val="auto"/>
        </w:rPr>
      </w:pPr>
    </w:p>
    <w:p>
      <w:pPr>
        <w:ind w:left="660" w:right="60" w:firstLine="644"/>
        <w:spacing w:after="0" w:line="263" w:lineRule="auto"/>
        <w:tabs>
          <w:tab w:leader="none" w:pos="20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change the date on which any Note may be subject to redemption or reduce the redemption price thereof as described in Section 3.07 (except as provided above with respect to Sections 3.09, 4.10 and 4.15);</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25" w:lineRule="exact"/>
        <w:rPr>
          <w:rFonts w:ascii="Arial" w:cs="Arial" w:eastAsia="Arial" w:hAnsi="Arial"/>
          <w:sz w:val="18"/>
          <w:szCs w:val="18"/>
          <w:color w:val="auto"/>
        </w:rPr>
      </w:pPr>
    </w:p>
    <w:p>
      <w:pPr>
        <w:jc w:val="both"/>
        <w:ind w:left="660" w:right="340" w:firstLine="644"/>
        <w:spacing w:after="0" w:line="263" w:lineRule="auto"/>
        <w:tabs>
          <w:tab w:leader="none" w:pos="20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225" w:lineRule="exact"/>
        <w:rPr>
          <w:rFonts w:ascii="Arial" w:cs="Arial" w:eastAsia="Arial" w:hAnsi="Arial"/>
          <w:sz w:val="18"/>
          <w:szCs w:val="18"/>
          <w:color w:val="auto"/>
        </w:rPr>
      </w:pPr>
    </w:p>
    <w:p>
      <w:pPr>
        <w:ind w:left="660" w:right="240" w:firstLine="644"/>
        <w:spacing w:after="0" w:line="277" w:lineRule="auto"/>
        <w:tabs>
          <w:tab w:leader="none" w:pos="20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Notes to receive payments of principal of, or interest or premium, if any, on, the Notes;</w:t>
      </w:r>
    </w:p>
    <w:p>
      <w:pPr>
        <w:spacing w:after="0" w:line="170" w:lineRule="exact"/>
        <w:rPr>
          <w:rFonts w:ascii="Arial" w:cs="Arial" w:eastAsia="Arial" w:hAnsi="Arial"/>
          <w:sz w:val="18"/>
          <w:szCs w:val="18"/>
          <w:color w:val="auto"/>
        </w:rPr>
      </w:pPr>
    </w:p>
    <w:p>
      <w:pPr>
        <w:jc w:val="both"/>
        <w:ind w:left="660" w:right="300" w:firstLine="644"/>
        <w:spacing w:after="0" w:line="279" w:lineRule="auto"/>
        <w:tabs>
          <w:tab w:leader="none" w:pos="205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amend, change or modify the obligation of the Company to make and consummate an Asset Sale Offer with respect to any Asset Sale in accordance with Section 3.09 after the obligation to make such Asset Sale Offer has arisen, or the obligation of the Company to make and consummate a Change of Control Offer in the event of a Change of Control in accordance with Section 4.15 after such Change of Control has occurred, including, in each case, amending, changing or modifying any definition relating thereto;</w:t>
      </w:r>
    </w:p>
    <w:p>
      <w:pPr>
        <w:spacing w:after="0" w:line="171" w:lineRule="exact"/>
        <w:rPr>
          <w:rFonts w:ascii="Arial" w:cs="Arial" w:eastAsia="Arial" w:hAnsi="Arial"/>
          <w:sz w:val="17"/>
          <w:szCs w:val="17"/>
          <w:color w:val="auto"/>
        </w:rPr>
      </w:pPr>
    </w:p>
    <w:p>
      <w:pPr>
        <w:ind w:left="660" w:right="260" w:firstLine="644"/>
        <w:spacing w:after="0" w:line="277" w:lineRule="auto"/>
        <w:tabs>
          <w:tab w:leader="none" w:pos="20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Note Guarantee or this Indenture, except in accordance with the terms of this Indenture; or</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Notation on or Exchange of Notes.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make the appropriate notation or issue a new Note will not affect the validity and effect of such amendment, supplement or waiver.</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95" w:name="page96"/>
    <w:bookmarkEnd w:id="95"/>
    <w:p>
      <w:pPr>
        <w:ind w:left="660"/>
        <w:spacing w:after="0"/>
        <w:tabs>
          <w:tab w:leader="none" w:pos="176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Trustee will sign any amended or supplemental indenture authorized pursuant to this Article IX if the amendment or supplement does not adversely affect the rights, duties, liabilities or immunities of the Trustee. The Company may not sign an amended or supplemental indenture until the Board of Directors of the Company has authorized or approved it, or delegated authority to authorize or approve it. In executing any amended or supplemental indenture, the Trustee will be provided with and (subject to Section 7.01) will be fully protected in relying upon, in addition to the documents required by Section 12.03, an Officer’s Certificate and an Opinion of Counsel stating that the execution of such amended or supplemental indenture is authorized or permitted by this Indenture, and that it will be valid and binding upon the Company and any Guarantor party thereto and enforceable in accordance with its terms.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 GUARANTEES</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5"/>
          <w:szCs w:val="15"/>
          <w:i w:val="1"/>
          <w:iCs w:val="1"/>
          <w:color w:val="auto"/>
        </w:rPr>
        <w:t>Guarantee.</w:t>
      </w:r>
    </w:p>
    <w:p>
      <w:pPr>
        <w:spacing w:after="0" w:line="225" w:lineRule="exact"/>
        <w:rPr>
          <w:sz w:val="20"/>
          <w:szCs w:val="20"/>
          <w:color w:val="auto"/>
        </w:rPr>
      </w:pPr>
    </w:p>
    <w:p>
      <w:pPr>
        <w:ind w:firstLine="656"/>
        <w:spacing w:after="0" w:line="263" w:lineRule="auto"/>
        <w:tabs>
          <w:tab w:leader="none" w:pos="138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Subject to this Article X,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83" w:lineRule="exact"/>
        <w:rPr>
          <w:rFonts w:ascii="Arial" w:cs="Arial" w:eastAsia="Arial" w:hAnsi="Arial"/>
          <w:sz w:val="18"/>
          <w:szCs w:val="18"/>
          <w:color w:val="auto"/>
        </w:rPr>
      </w:pPr>
    </w:p>
    <w:p>
      <w:pPr>
        <w:ind w:left="660" w:right="40" w:firstLine="644"/>
        <w:spacing w:after="0" w:line="259" w:lineRule="auto"/>
        <w:tabs>
          <w:tab w:leader="none" w:pos="205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w:t>
      </w:r>
    </w:p>
    <w:p>
      <w:pPr>
        <w:spacing w:after="0" w:line="186" w:lineRule="exact"/>
        <w:rPr>
          <w:rFonts w:ascii="Arial" w:cs="Arial" w:eastAsia="Arial" w:hAnsi="Arial"/>
          <w:sz w:val="18"/>
          <w:szCs w:val="18"/>
          <w:color w:val="auto"/>
        </w:rPr>
      </w:pPr>
    </w:p>
    <w:p>
      <w:pPr>
        <w:ind w:left="660" w:right="60" w:firstLine="644"/>
        <w:spacing w:after="0" w:line="263" w:lineRule="auto"/>
        <w:tabs>
          <w:tab w:leader="none" w:pos="205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ind w:right="20" w:firstLine="656"/>
        <w:spacing w:after="0" w:line="272" w:lineRule="auto"/>
        <w:tabs>
          <w:tab w:leader="none" w:pos="139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Subject to Section 6.06, each Guarantor hereby waives diligence, presentment, demand of payment, filing of claims with a court in the event of insolvency or bankruptcy of the Company, any right to require a proceeding first against the Company, protest, notice and all demands whatsoever and covenants that this Note Guarantee will not be discharged except by complete performance of the obligations contained in the Notes and this Indenture.</w:t>
      </w:r>
    </w:p>
    <w:p>
      <w:pPr>
        <w:spacing w:after="0" w:line="177" w:lineRule="exact"/>
        <w:rPr>
          <w:rFonts w:ascii="Arial" w:cs="Arial" w:eastAsia="Arial" w:hAnsi="Arial"/>
          <w:sz w:val="17"/>
          <w:szCs w:val="17"/>
          <w:color w:val="auto"/>
        </w:rPr>
      </w:pPr>
    </w:p>
    <w:p>
      <w:pPr>
        <w:ind w:right="100" w:firstLine="656"/>
        <w:spacing w:after="0" w:line="263" w:lineRule="auto"/>
        <w:tabs>
          <w:tab w:leader="none" w:pos="138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Note Guarantee, to the extent theretofore discharged, will be reinstated in full force and effect.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6" w:name="page97"/>
    <w:bookmarkEnd w:id="96"/>
    <w:p>
      <w:pPr>
        <w:ind w:firstLine="656"/>
        <w:spacing w:after="0" w:line="291" w:lineRule="auto"/>
        <w:tabs>
          <w:tab w:leader="none" w:pos="139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VI for the purposes of this Note Guarantee, notwithstanding any stay, injunction or other prohibition preventing such acceleration in respect of the obligations guaranteed hereby, and (2) in the event of any declaration of acceleration of such obligations as provided in Article VI,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w:t>
      </w:r>
    </w:p>
    <w:p>
      <w:pPr>
        <w:spacing w:after="0" w:line="16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7"/>
          <w:szCs w:val="17"/>
          <w:i w:val="1"/>
          <w:iCs w:val="1"/>
          <w:color w:val="auto"/>
        </w:rPr>
        <w:t>Limitation on Guarantor Liability.</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X, result in the obligations of such Guarantor under its Note Guarantee not constituting a fraudulent transfer or conveyance.</w:t>
      </w:r>
    </w:p>
    <w:p>
      <w:pPr>
        <w:spacing w:after="0" w:line="19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i w:val="1"/>
          <w:iCs w:val="1"/>
          <w:color w:val="auto"/>
        </w:rPr>
        <w:t>Execution and Delivery of Note Guarantee.</w:t>
      </w:r>
    </w:p>
    <w:p>
      <w:pPr>
        <w:spacing w:after="0" w:line="22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To evidence its Note Guarantee set forth in Section 10.01, each Guarantor hereby agrees that a supplemental indenture shall be executed on behalf of such Guarantor by an Officer of such Guarantor.</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Each Guarantor hereby agrees that its Note Guarantee set forth in Section 10.01 will remain in full force and effect notwithstanding any failure to endorse on each Note a notation of such Note Guarantee.</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If an Officer whose signature is on this Indenture or on the Note Guarantee no longer holds that office at the time the Trustee authenticates the Note on which a Note Guarantee is endorsed, the Note Guarantee will be valid nevertheless.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Note Guarantee set forth in this Indenture on behalf of the Guarantors.</w:t>
      </w:r>
    </w:p>
    <w:p>
      <w:pPr>
        <w:spacing w:after="0" w:line="17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the event that the Company or any of its Restricted Subsidiaries creates or acquires any Domestic Subsidiary after the date of this Indenture, if required by Section 4.18, the Company will cause such Domestic Subsidiary to comply with the provisions of Section 4.18 and this Article X, to the extent applicable.</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i w:val="1"/>
          <w:iCs w:val="1"/>
          <w:color w:val="auto"/>
        </w:rPr>
        <w:t>Guarantors May Consolidate, etc., on Certain Terms.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Except as otherwise provided in Section 10.05, no Guarantor may sell or otherwise dispose of all or substantially all of its assets to, or consolidate with or merge with or into, or consummate a Division as the Dividing Person with (whether or not such Guarantor is the surviving Person or Division Successor, as applicable) another Person, other than the Company or another Guarantor, unless:</w:t>
      </w:r>
    </w:p>
    <w:p>
      <w:pPr>
        <w:spacing w:after="0" w:line="184" w:lineRule="exact"/>
        <w:rPr>
          <w:sz w:val="20"/>
          <w:szCs w:val="20"/>
          <w:color w:val="auto"/>
        </w:rPr>
      </w:pPr>
    </w:p>
    <w:p>
      <w:pPr>
        <w:ind w:left="2060" w:hanging="756"/>
        <w:spacing w:after="0"/>
        <w:tabs>
          <w:tab w:leader="none" w:pos="20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firstLine="652"/>
        <w:spacing w:after="0" w:line="259" w:lineRule="auto"/>
        <w:tabs>
          <w:tab w:leader="none" w:pos="268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such Guarantor is the surviving Person in such merger or consolidation or the Person acquiring the property in any such sale or disposition or the Person formed by or surviving any such consolidation or merger or the Division Successor in the case of a Division assumes all the obligations of that Guarantor under this Indenture and its Note Guarantee on the terms set forth herein or therein, pursuant to a supplemental indenture;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left="1300" w:right="120" w:firstLine="652"/>
        <w:spacing w:after="0" w:line="342" w:lineRule="auto"/>
        <w:tabs>
          <w:tab w:leader="none" w:pos="269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such sale or other disposition or Division is permitted under this Indenture and the Net Proceeds of such sale or other disposition are applied in accordance with the applicable provisions of this Indenture, including without limitation, Section 4.10.</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foregoing requirements of this paragraph shall not apply to (1) a reincorporation of a Guarantor if, in the good faith determination of the Board of Directors of the Guarantor, whose determination shall be evidenced by a board resolution delivered to the Trustee, the principal purpose of such transaction is to change the state of incorporation of such Guarantor and any such transaction shall not have as one of its purposes the evasion of the foregoing limitations, (2) a consolidation or merger with or into or winding up into or transfer of all or part of a Guarantor’s properties and assets to the Company or any Guarantor, (3) conversion into a corporation, partnership, limited partnership, limited liability company or trust organized or existing under the laws of the jurisdiction of organization of such Guarantor, or (4) a liquidation or dissolution of such Guarantor if the Company determines in good faith that such action is in the best interests of the Company and is not materially disadvantageous to the Holders, in each case, without regard to the requirements set forth in the preceding paragraph.</w:t>
      </w:r>
    </w:p>
    <w:p>
      <w:pPr>
        <w:spacing w:after="0" w:line="19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case of any such consolidation, merger, sale or conveyance and upon the assumption by the successor Person, by supplemental indenture executed and delivered to the Trustee, of the Note Guarantee and the due and punctual performance of all of the covenants and conditions of this Indenture to be performed by the Guarantor, such successor Person shall succeed to and be substituted for the Guarantor with the same effect as if it had been named herein as a Guarantor.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92"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Except as set forth in Articles IV and V hereof, and notwithstanding clauses 2(a) and (b)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16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3"/>
          <w:szCs w:val="13"/>
          <w:i w:val="1"/>
          <w:iCs w:val="1"/>
          <w:color w:val="auto"/>
        </w:rPr>
        <w:t>Releases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 Guarantee of a Guarantor shall be automatically released upon:</w:t>
      </w:r>
    </w:p>
    <w:p>
      <w:pPr>
        <w:spacing w:after="0" w:line="225" w:lineRule="exact"/>
        <w:rPr>
          <w:sz w:val="20"/>
          <w:szCs w:val="20"/>
          <w:color w:val="auto"/>
        </w:rPr>
      </w:pPr>
    </w:p>
    <w:p>
      <w:pPr>
        <w:jc w:val="both"/>
        <w:ind w:right="60" w:firstLine="656"/>
        <w:spacing w:after="0" w:line="263" w:lineRule="auto"/>
        <w:tabs>
          <w:tab w:leader="none" w:pos="138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any sale or other disposition of all or substantially all of the assets of such Guarantor (including by way of merger or consolidation) to a Person that is not (either before or after giving effect to such transactions) the Company or a Restricted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or other disposition is permitted by Section 3.09, Section 4.10 or Section 5.01;</w:t>
      </w:r>
    </w:p>
    <w:p>
      <w:pPr>
        <w:spacing w:after="0" w:line="183" w:lineRule="exact"/>
        <w:rPr>
          <w:rFonts w:ascii="Arial" w:cs="Arial" w:eastAsia="Arial" w:hAnsi="Arial"/>
          <w:sz w:val="18"/>
          <w:szCs w:val="18"/>
          <w:color w:val="auto"/>
        </w:rPr>
      </w:pPr>
    </w:p>
    <w:p>
      <w:pPr>
        <w:ind w:right="180" w:firstLine="656"/>
        <w:spacing w:after="0" w:line="263" w:lineRule="auto"/>
        <w:tabs>
          <w:tab w:leader="none" w:pos="139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any sale or other disposition of the Capital Stock of such Guarantor, after which the applicable Guarantor is no longer a Restricted Subsidiary, to a Person that is not (either before or after giving effect to such transaction) a Restricted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or other disposition is permitted by Section 3.09, Section 4.10 or Section 5.01;</w:t>
      </w:r>
    </w:p>
    <w:p>
      <w:pPr>
        <w:spacing w:after="0" w:line="183" w:lineRule="exact"/>
        <w:rPr>
          <w:rFonts w:ascii="Arial" w:cs="Arial" w:eastAsia="Arial" w:hAnsi="Arial"/>
          <w:sz w:val="18"/>
          <w:szCs w:val="18"/>
          <w:color w:val="auto"/>
        </w:rPr>
      </w:pPr>
    </w:p>
    <w:p>
      <w:pPr>
        <w:ind w:firstLine="656"/>
        <w:spacing w:after="0" w:line="263" w:lineRule="auto"/>
        <w:tabs>
          <w:tab w:leader="none" w:pos="138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connection with the release or discharge of such Guarantor from all guarantee obligations of such Guarantor with respect to the Credit Agreement or any other Credit Facility that gave rise to the obligation to provide such Note Guarantee, except a release or discharge by or as a result of payment under such Guarantee or direct obligation;</w:t>
      </w:r>
    </w:p>
    <w:p>
      <w:pPr>
        <w:spacing w:after="0" w:line="183" w:lineRule="exact"/>
        <w:rPr>
          <w:rFonts w:ascii="Arial" w:cs="Arial" w:eastAsia="Arial" w:hAnsi="Arial"/>
          <w:sz w:val="18"/>
          <w:szCs w:val="18"/>
          <w:color w:val="auto"/>
        </w:rPr>
      </w:pPr>
    </w:p>
    <w:p>
      <w:pPr>
        <w:ind w:right="440" w:firstLine="656"/>
        <w:spacing w:after="0" w:line="277" w:lineRule="auto"/>
        <w:tabs>
          <w:tab w:leader="none" w:pos="139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designation of such Restricted Subsidiary that is a Guarantor as an Unrestricted Subsidiary in accordance with the terms of this Indenture (including Section 4.19); 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left="1400" w:hanging="744"/>
        <w:spacing w:after="0"/>
        <w:tabs>
          <w:tab w:leader="none" w:pos="14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Legal Defeasance in accordance with Article VIII or satisfaction and discharge of this Indenture in accordance with Article XI; and</w:t>
      </w:r>
    </w:p>
    <w:p>
      <w:pPr>
        <w:spacing w:after="0" w:line="237" w:lineRule="exact"/>
        <w:rPr>
          <w:sz w:val="20"/>
          <w:szCs w:val="20"/>
          <w:color w:val="auto"/>
        </w:rPr>
      </w:pPr>
    </w:p>
    <w:p>
      <w:pPr>
        <w:ind w:right="700" w:firstLine="648"/>
        <w:spacing w:after="0" w:line="286" w:lineRule="auto"/>
        <w:rPr>
          <w:sz w:val="20"/>
          <w:szCs w:val="20"/>
          <w:color w:val="auto"/>
        </w:rPr>
      </w:pPr>
      <w:r>
        <w:rPr>
          <w:rFonts w:ascii="Arial" w:cs="Arial" w:eastAsia="Arial" w:hAnsi="Arial"/>
          <w:sz w:val="17"/>
          <w:szCs w:val="17"/>
          <w:color w:val="auto"/>
        </w:rPr>
        <w:t>Upon request of the Company and upon delivering to the Trustee an Officer’s Certificate and an Opinion of Counsel, each stating that all conditions precedent provided for in this Indenture relating to such transaction have been complied with, the Trustee shall execute an instrument acknowledging the release of such Guarantor (in form and substance reasonably satisfactory to the Trustee).</w:t>
      </w:r>
    </w:p>
    <w:p>
      <w:pPr>
        <w:spacing w:after="0" w:line="16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Any Guarantor not released from its obligations under its Note Guarantee as provided in this Section 10.05 will remain liable for the full amount of principal of and interest and premium, if any, on the Notes and for the other obligations of any Guarantor under this Indenture as provided in this Article X.</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2060" w:hanging="756"/>
        <w:spacing w:after="0"/>
        <w:tabs>
          <w:tab w:leader="none" w:pos="2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right="60" w:firstLine="652"/>
        <w:spacing w:after="0" w:line="263" w:lineRule="auto"/>
        <w:tabs>
          <w:tab w:leader="none" w:pos="268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cancellation; or</w:t>
      </w:r>
    </w:p>
    <w:p>
      <w:pPr>
        <w:spacing w:after="0" w:line="183" w:lineRule="exact"/>
        <w:rPr>
          <w:rFonts w:ascii="Arial" w:cs="Arial" w:eastAsia="Arial" w:hAnsi="Arial"/>
          <w:sz w:val="18"/>
          <w:szCs w:val="18"/>
          <w:color w:val="auto"/>
        </w:rPr>
      </w:pPr>
    </w:p>
    <w:p>
      <w:pPr>
        <w:ind w:left="1300" w:right="140" w:firstLine="652"/>
        <w:spacing w:after="0" w:line="255" w:lineRule="auto"/>
        <w:tabs>
          <w:tab w:leader="none" w:pos="269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have become due and payable by reason of the delivery of a notice of redemption or otherwise or will become due and payable within one year and the Company or any Guarantor has irrevocably deposited or caused to be deposited with the Trustee as trust funds in trust solely for the benefit of the Holders, cash in U.S. dollars,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92" w:lineRule="exact"/>
        <w:rPr>
          <w:rFonts w:ascii="Arial" w:cs="Arial" w:eastAsia="Arial" w:hAnsi="Arial"/>
          <w:sz w:val="18"/>
          <w:szCs w:val="18"/>
          <w:color w:val="auto"/>
        </w:rPr>
      </w:pPr>
    </w:p>
    <w:p>
      <w:pPr>
        <w:ind w:left="660" w:firstLine="644"/>
        <w:spacing w:after="0" w:line="279" w:lineRule="auto"/>
        <w:tabs>
          <w:tab w:leader="none" w:pos="205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no Default or Event of Default has occurred and is continuing on the date of such deposit or will occur as a result of the deposit (other than a Default or Event of Default resulting from the borrowing of funds to be applied to such deposit and the granting of Liens in connection therewith) and the deposit will not result in a breach or violation of, or constitute a default under, any other instrument (other than this Indenture) to which the Company or any Guarantor is a party or by which the Company or any Guarantor is bound;</w:t>
      </w:r>
    </w:p>
    <w:p>
      <w:pPr>
        <w:spacing w:after="0" w:line="171" w:lineRule="exact"/>
        <w:rPr>
          <w:rFonts w:ascii="Arial" w:cs="Arial" w:eastAsia="Arial" w:hAnsi="Arial"/>
          <w:sz w:val="17"/>
          <w:szCs w:val="17"/>
          <w:color w:val="auto"/>
        </w:rPr>
      </w:pPr>
    </w:p>
    <w:p>
      <w:pPr>
        <w:ind w:left="2060" w:hanging="756"/>
        <w:spacing w:after="0"/>
        <w:tabs>
          <w:tab w:leader="none" w:pos="2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225" w:lineRule="exact"/>
        <w:rPr>
          <w:rFonts w:ascii="Arial" w:cs="Arial" w:eastAsia="Arial" w:hAnsi="Arial"/>
          <w:sz w:val="18"/>
          <w:szCs w:val="18"/>
          <w:color w:val="auto"/>
        </w:rPr>
      </w:pPr>
    </w:p>
    <w:p>
      <w:pPr>
        <w:ind w:left="660" w:right="240" w:firstLine="644"/>
        <w:spacing w:after="0" w:line="277" w:lineRule="auto"/>
        <w:tabs>
          <w:tab w:leader="none" w:pos="20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 Upon Company request and delivery to the Trustee of an Officer’s Certificate and an Opinion of Counsel as described above, the Trustee shall acknowledge in writing the discharge of the obligations of the Company and the Guarantors under this Indenture (except for those surviving rights, powers, trusts, duties and immunities of the Trustee hereunder and the Company’s and Guarantors’ obligations in connection therewith).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9" w:name="page100"/>
    <w:bookmarkEnd w:id="99"/>
    <w:p>
      <w:pPr>
        <w:ind w:left="66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w:t>
      </w:r>
    </w:p>
    <w:p>
      <w:pPr>
        <w:spacing w:after="0" w:line="46" w:lineRule="exact"/>
        <w:rPr>
          <w:sz w:val="20"/>
          <w:szCs w:val="20"/>
          <w:color w:val="auto"/>
        </w:rPr>
      </w:pPr>
    </w:p>
    <w:p>
      <w:pPr>
        <w:ind w:firstLine="8"/>
        <w:spacing w:after="0" w:line="260"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of this Section 11.01, the provisions of Sections 11.02 and 8.06 will survive. In addition, nothing in this Section 11.01 will be deemed to discharge those provisions of Section 7.07, that, by their terms, survive the satisfaction and discharge of this Indenture.</w:t>
      </w:r>
    </w:p>
    <w:p>
      <w:pPr>
        <w:spacing w:after="0" w:line="18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Government Securities in accordance with Section 11.01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11.01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Notices.</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mailed by first class mail (registered or certified, return receipt requested), facsimile transmission or electronic transmission or overnight air courier guaranteeing next day delivery, to the others’ address: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and/or any Guarantor: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Gaithersburg, MD 21079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(240) 631-3200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Atul Saran,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Wilmer Cutler Pickering Hale and Dorr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 World Trade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250 Greenwich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Brian A. Johnson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(212) 230-8888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Corporate Trust Dept</w:t>
      </w:r>
    </w:p>
    <w:p>
      <w:pPr>
        <w:ind w:left="1300"/>
        <w:spacing w:after="0" w:line="192" w:lineRule="auto"/>
        <w:rPr>
          <w:sz w:val="20"/>
          <w:szCs w:val="20"/>
          <w:color w:val="auto"/>
        </w:rPr>
      </w:pPr>
      <w:r>
        <w:rPr>
          <w:rFonts w:ascii="Arial" w:cs="Arial" w:eastAsia="Arial" w:hAnsi="Arial"/>
          <w:sz w:val="18"/>
          <w:szCs w:val="18"/>
          <w:color w:val="auto"/>
        </w:rPr>
        <w:t>One Federal St,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Laura.cawley@usbank.com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0" w:name="page101"/>
    <w:bookmarkEnd w:id="100"/>
    <w:p>
      <w:pPr>
        <w:ind w:right="300" w:firstLine="648"/>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at the time delivered by hand, if personally delivered; three Business Days after being deposited in the mail, postage prepaid, if mailed; when receipt acknowledged, if transmitted by facsimile or electronic transmission; and the next Business Day after timely delivery to the courier, if sent by overnight air courier guaranteeing next day delivery. Notice to the Trustee shall be effective only if such receipt is acknowledged. All notices, approvals, consents, requests and any communications hereunder must be in writing (provided that any communication sent to Trustee hereunder must be in the form of a document that is signed manually or by way of a digital signature provided by Docusign or Adobe (or such other digital signature provider as specified in writing to Trustee by the authorized representative), in English.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9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any other provision of this Indenture or any Note, where this Indenture or any Note provides for notice of any event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Applicable Procedures.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i w:val="1"/>
          <w:iCs w:val="1"/>
          <w:color w:val="auto"/>
        </w:rPr>
        <w:t>Communication by Holders of Notes with Other Holders of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the Trustee, the Registrar and anyone else shall have the protection of TIA §312(c).</w:t>
      </w:r>
    </w:p>
    <w:p>
      <w:pPr>
        <w:spacing w:after="0" w:line="22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ind w:left="660" w:right="240" w:firstLine="644"/>
        <w:spacing w:after="0" w:line="263" w:lineRule="auto"/>
        <w:tabs>
          <w:tab w:leader="none" w:pos="205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12.04 hereof) stating that, in the opinion of the signers, all conditions precedent and covenants, if any, provided for in this Indenture relating to the proposed action have been satisfied; and</w:t>
      </w:r>
    </w:p>
    <w:p>
      <w:pPr>
        <w:spacing w:after="0" w:line="183" w:lineRule="exact"/>
        <w:rPr>
          <w:rFonts w:ascii="Arial" w:cs="Arial" w:eastAsia="Arial" w:hAnsi="Arial"/>
          <w:sz w:val="18"/>
          <w:szCs w:val="18"/>
          <w:color w:val="auto"/>
        </w:rPr>
      </w:pPr>
    </w:p>
    <w:p>
      <w:pPr>
        <w:ind w:left="660" w:right="260" w:firstLine="644"/>
        <w:spacing w:after="0" w:line="342" w:lineRule="auto"/>
        <w:tabs>
          <w:tab w:leader="none" w:pos="205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12.04 hereof) stating that, in the opinion of such counsel, all such conditions precedent and covenants have been satisfied.</w:t>
      </w:r>
    </w:p>
    <w:p>
      <w:pPr>
        <w:spacing w:after="0" w:line="1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01" w:name="page102"/>
    <w:bookmarkEnd w:id="101"/>
    <w:p>
      <w:pPr>
        <w:ind w:left="2060" w:hanging="756"/>
        <w:spacing w:after="0"/>
        <w:tabs>
          <w:tab w:leader="none" w:pos="20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right="680" w:firstLine="644"/>
        <w:spacing w:after="0" w:line="277" w:lineRule="auto"/>
        <w:tabs>
          <w:tab w:leader="none" w:pos="205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100" w:firstLine="644"/>
        <w:spacing w:after="0" w:line="308" w:lineRule="auto"/>
        <w:tabs>
          <w:tab w:leader="none" w:pos="205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46" w:lineRule="exact"/>
        <w:rPr>
          <w:rFonts w:ascii="Arial" w:cs="Arial" w:eastAsia="Arial" w:hAnsi="Arial"/>
          <w:sz w:val="17"/>
          <w:szCs w:val="17"/>
          <w:color w:val="auto"/>
        </w:rPr>
      </w:pPr>
    </w:p>
    <w:p>
      <w:pPr>
        <w:jc w:val="both"/>
        <w:ind w:left="660" w:right="560" w:firstLine="644"/>
        <w:spacing w:after="0" w:line="342" w:lineRule="auto"/>
        <w:tabs>
          <w:tab w:leader="none" w:pos="205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a statement as to whether or not, in the opinion of such Person, such condition or covenant has been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matters of fact, an Opinion of Counsel may rely on an Officer’s Certificate or a certificate of a public official.</w:t>
      </w:r>
    </w:p>
    <w:p>
      <w:pPr>
        <w:spacing w:after="0" w:line="1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5"/>
          <w:szCs w:val="15"/>
          <w:i w:val="1"/>
          <w:iCs w:val="1"/>
          <w:color w:val="auto"/>
        </w:rPr>
        <w:t>Rules by Trustee and Agents.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and the Paying Agent may make reasonable rules and set reasonable requirements for its functions.</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 director, officer, employee, incorporator or stockholder of the Company or any Guarantor, as such, will have any liability for any obligations of the Company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INDENTURE AND THE NOTES, INCLUDING ANY NOTE GUARANTEES, AND THE RIGHTS AND DUTIES OF THE PARTIES HEREUNDER AND THEREUNDER ARE AND SHALL BE GOVERNED BY, AND CONSTRUED IN ACCORDANCE WITH, THE LAWS OF THE STATE OF NEW YORK WITHOUT GIVING EFFECT TO APPLICABLE PRINCIPLES OF CONFLICTS OF LAW TO THE EXTENT THAT THE APPLICATION OF THE LAW OF ANOTHER JURISDICTION WOULD BE REQUIRED THEREBY.</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All agreements of the Company in this Indenture and the Notes will bind its successors. All agreements of the Trustee in this Indenture will bind its successors. All agreements of each Guarantor in this Indenture will bind its successors, except as otherwise provided in Section 10.05.</w:t>
      </w:r>
    </w:p>
    <w:p>
      <w:pPr>
        <w:spacing w:after="0" w:line="14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2" w:name="page103"/>
    <w:bookmarkEnd w:id="102"/>
    <w:p>
      <w:pPr>
        <w:ind w:left="660"/>
        <w:spacing w:after="0"/>
        <w:tabs>
          <w:tab w:leader="none" w:pos="206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7"/>
          <w:szCs w:val="17"/>
          <w:i w:val="1"/>
          <w:iCs w:val="1"/>
          <w:color w:val="auto"/>
        </w:rPr>
        <w:t>Counterpart Originals.</w:t>
      </w:r>
    </w:p>
    <w:p>
      <w:pPr>
        <w:spacing w:after="0" w:line="22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The parties may sign any number of copies of this Indenture. Each signed copy will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i w:val="1"/>
          <w:iCs w:val="1"/>
          <w:color w:val="auto"/>
        </w:rPr>
        <w:t>Table of Contents, Headings, etc.</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i w:val="1"/>
          <w:iCs w:val="1"/>
          <w:color w:val="auto"/>
        </w:rPr>
        <w:t>Waiver of Jury Trial.</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EACH OF THE COMPANY, THE GUARANTORS, THE TRUSTEE AND THE HOLDERS OF THE NOTES BY ACCEPTANCE THEREOF HEREBY IRREVOCABLY WAIVES, TO THE FULLEST EXTENT PERMITTED BY APPLICABLE LAW, ANY AND ALL RIGHT TO TRIAL BY JURY IN ANY LEGAL PROCEEDING ARISING OUT OF OR RELATING TO THIS INDENTURE, THE NOTES, THE NOTE GUARANTEES OR ANY TRANSACTIONS CONTEMPLATED HEREBY OR THEREBY.</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i w:val="1"/>
          <w:iCs w:val="1"/>
          <w:color w:val="auto"/>
        </w:rPr>
        <w:t>Force Majeure.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acts of war or terrorism, civil or military disturbances, and nuclear or natural catastrophes or acts of God, or other unavailability of the Federal Reserve Bank wire or facsimile or other wire or communication facility, it being understood that the Trustee shall use reasonable efforts which are consistent with accepted practices in the banking industry to resume performance as soon as practicable under the circumstances.</w:t>
      </w:r>
    </w:p>
    <w:p>
      <w:pPr>
        <w:spacing w:after="0" w:line="18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i w:val="1"/>
          <w:iCs w:val="1"/>
          <w:color w:val="auto"/>
        </w:rPr>
        <w:t>Electronic Delivery.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The Trustee agrees to accept and act upon instructions or directions pursuant to this Indenture sent by unsecured e-mail, pdf, facsimile transmission or other similar unsecured electronic methods,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Company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agrees to assume all risks arising out of the use of such electronic methods to submit instructions and directions to the Trustee, including without limitation the risk of the Trustee acting on unauthorized instructions, and the risk of interception and/or misuse by third parties. 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8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i w:val="1"/>
          <w:iCs w:val="1"/>
          <w:color w:val="auto"/>
        </w:rPr>
        <w:t>Submission to Jurisdiction.</w:t>
      </w:r>
    </w:p>
    <w:p>
      <w:pPr>
        <w:spacing w:after="0" w:line="2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The Company and each Guarantor hereby irrevocably submits to the jurisdiction of any New York State court sitting in the Borough of Manhattan in the City of New York or any federal court sitting in the Borough of Manhattan in the City of New York in respect of any suit, action or proceeding arising out of or relating to this Indenture, the Guarantees and the Notes, and irrevocably accepts for itself and in respect of its property, generally and unconditionally, jurisdiction of the aforesaid courts.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3" w:name="page104"/>
    <w:bookmarkEnd w:id="103"/>
    <w:p>
      <w:pPr>
        <w:ind w:left="660"/>
        <w:spacing w:after="0"/>
        <w:tabs>
          <w:tab w:leader="none" w:pos="2040" w:val="left"/>
        </w:tabs>
        <w:rPr>
          <w:sz w:val="20"/>
          <w:szCs w:val="20"/>
          <w:color w:val="auto"/>
        </w:rPr>
      </w:pPr>
      <w:r>
        <w:rPr>
          <w:rFonts w:ascii="Arial" w:cs="Arial" w:eastAsia="Arial" w:hAnsi="Arial"/>
          <w:sz w:val="18"/>
          <w:szCs w:val="18"/>
          <w:color w:val="auto"/>
        </w:rPr>
        <w:t>Section 12.17</w:t>
      </w:r>
      <w:r>
        <w:rPr>
          <w:sz w:val="20"/>
          <w:szCs w:val="20"/>
          <w:color w:val="auto"/>
        </w:rPr>
        <w:tab/>
      </w:r>
      <w:r>
        <w:rPr>
          <w:rFonts w:ascii="Arial" w:cs="Arial" w:eastAsia="Arial" w:hAnsi="Arial"/>
          <w:sz w:val="16"/>
          <w:szCs w:val="16"/>
          <w:i w:val="1"/>
          <w:iCs w:val="1"/>
          <w:color w:val="auto"/>
        </w:rPr>
        <w:t>Foreign Account Tax Compliance Act (FATCA).</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comply with applicable tax laws, rules and regulations (inclusive of directives, guidelines and interpretations promulgated by competent authorities) in effect from time to time (“</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the Company agrees (i) to provide to the Trustee sufficient information about Holders or other applicable parties and/or transactions (including any modification to the terms of such transactions) so the Trustee can determine whether it has tax related obligations under Applicable Law, (ii) that the Trustee shall be entitled to make any withholding or deduction from payments under this Indenture to the extent necessary to comply with Applicable Law for which the Trustee shall not have any liability, and (iii) to hold harmless the Trustee for any losses it may suffer due to the actions it takes to comply with such Applicable Law. The terms of this section shall survive the termination of this Indenture.</w:t>
      </w:r>
    </w:p>
    <w:p>
      <w:pPr>
        <w:spacing w:after="0" w:line="19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12.18</w:t>
      </w:r>
      <w:r>
        <w:rPr>
          <w:sz w:val="20"/>
          <w:szCs w:val="20"/>
          <w:color w:val="auto"/>
        </w:rPr>
        <w:tab/>
      </w:r>
      <w:r>
        <w:rPr>
          <w:rFonts w:ascii="Arial" w:cs="Arial" w:eastAsia="Arial" w:hAnsi="Arial"/>
          <w:sz w:val="16"/>
          <w:szCs w:val="16"/>
          <w:i w:val="1"/>
          <w:iCs w:val="1"/>
          <w:color w:val="auto"/>
        </w:rPr>
        <w:t>Concerning the TIA.</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Except with respect to specific provisions of the TIA expressly referenced in the provisions of this Indenture, the TIA shall not be applicable to, and shall not govern, this Indenture, the Notes and the Note Guarantees.</w:t>
      </w:r>
    </w:p>
    <w:p>
      <w:pPr>
        <w:spacing w:after="0" w:line="17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12.19</w:t>
      </w:r>
      <w:r>
        <w:rPr>
          <w:sz w:val="20"/>
          <w:szCs w:val="20"/>
          <w:color w:val="auto"/>
        </w:rPr>
        <w:tab/>
      </w:r>
      <w:r>
        <w:rPr>
          <w:rFonts w:ascii="Arial" w:cs="Arial" w:eastAsia="Arial" w:hAnsi="Arial"/>
          <w:sz w:val="15"/>
          <w:szCs w:val="15"/>
          <w:i w:val="1"/>
          <w:iCs w:val="1"/>
          <w:color w:val="auto"/>
        </w:rPr>
        <w:t>Record Date.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record date for purposes of determining the identity of Holders entitled to vote or consent to any action by vote or consent authorized or permitted under this Indenture may be determined as provided for in TIA Section 316(c).</w:t>
      </w:r>
    </w:p>
    <w:p>
      <w:pPr>
        <w:spacing w:after="0" w:line="17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12.20</w:t>
      </w:r>
      <w:r>
        <w:rPr>
          <w:sz w:val="20"/>
          <w:szCs w:val="20"/>
          <w:color w:val="auto"/>
        </w:rPr>
        <w:tab/>
      </w:r>
      <w:r>
        <w:rPr>
          <w:rFonts w:ascii="Arial" w:cs="Arial" w:eastAsia="Arial" w:hAnsi="Arial"/>
          <w:sz w:val="16"/>
          <w:szCs w:val="16"/>
          <w:i w:val="1"/>
          <w:iCs w:val="1"/>
          <w:color w:val="auto"/>
        </w:rPr>
        <w:t>U.S.A. Patriot Act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parties hereto acknowledge that in accordance with the Customer Identification Program (CIP) requirements under the USA PATRIOT Act and its implementing regulations, the Trustee, in order to help fight the funding of terrorism and money laundering, is required to obtain, verify, and record information that identifies each person or legal entity that establishes a relationship or opens an account with the Trustee. The parties hereby agree that they shall provide the Trustee with such information as it may request including, but not limited to, each party’s name, physical address, tax identification number and other information that will help the Trustee identify and verify each party’s identity such as organizational documents, certificate of good standing, license to do business, or other pertinent identifying information.</w:t>
      </w:r>
    </w:p>
    <w:p>
      <w:pPr>
        <w:spacing w:after="0" w:line="19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12.21</w:t>
      </w:r>
      <w:r>
        <w:rPr>
          <w:sz w:val="20"/>
          <w:szCs w:val="20"/>
          <w:color w:val="auto"/>
        </w:rPr>
        <w:tab/>
      </w:r>
      <w:r>
        <w:rPr>
          <w:rFonts w:ascii="Arial" w:cs="Arial" w:eastAsia="Arial" w:hAnsi="Arial"/>
          <w:sz w:val="16"/>
          <w:szCs w:val="16"/>
          <w:i w:val="1"/>
          <w:iCs w:val="1"/>
          <w:color w:val="auto"/>
        </w:rPr>
        <w:t>Legal Holidays</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any case where an interest payment date, Change of Control Payment Date, Purchase Date, redemption date, or maturity date shall not be a Business Day, then each such payment need not be made on such date, but shall be made on the next succeeding Business Day with the same force and effect as if made on such interest payment date or Stated Maturity of such payment and no additional interest shall accrue as a result of such delay in payment.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center"/>
        <w:ind w:right="-4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August 7, 2020</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BIOSOLUTIONS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Lindahl</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Guarantors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DEVICES INC. (F/K/A ADAPT PHARMA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CANGENE BIOPHARMA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BIODEFENSE OPERATIONS LANSING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INTERNATIONAL INC.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EMERGENT MANUFACTURING OPERATIONS BALTIMORE LLC</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EMERGENT PRODUCT DEVELOPMENT GAITHERSBURG INC.</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TRAVEL HEALTH INC.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Lindahl</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908" w:right="739" w:bottom="1440" w:gutter="0" w:footer="0" w:header="0"/>
        </w:sectPr>
      </w:pPr>
    </w:p>
    <w:bookmarkStart w:id="105" w:name="page106"/>
    <w:bookmarkEnd w:id="105"/>
    <w:p>
      <w:pPr>
        <w:ind w:left="4400"/>
        <w:spacing w:after="0"/>
        <w:rPr>
          <w:sz w:val="20"/>
          <w:szCs w:val="20"/>
          <w:color w:val="auto"/>
        </w:rPr>
      </w:pPr>
      <w:r>
        <w:rPr>
          <w:rFonts w:ascii="Arial" w:cs="Arial" w:eastAsia="Arial" w:hAnsi="Arial"/>
          <w:sz w:val="16"/>
          <w:szCs w:val="16"/>
          <w:color w:val="auto"/>
        </w:rPr>
        <w:t>U.S. Bank National Association, as Trustee</w:t>
      </w: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Laura Cawley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14605</wp:posOffset>
            </wp:positionV>
            <wp:extent cx="34290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Name: Laura Cawley</w:t>
      </w:r>
    </w:p>
    <w:p>
      <w:pPr>
        <w:spacing w:after="0" w:line="23" w:lineRule="exact"/>
        <w:rPr>
          <w:sz w:val="20"/>
          <w:szCs w:val="20"/>
          <w:color w:val="auto"/>
        </w:rPr>
      </w:pPr>
    </w:p>
    <w:p>
      <w:pPr>
        <w:ind w:left="4720"/>
        <w:spacing w:after="0"/>
        <w:tabs>
          <w:tab w:leader="none" w:pos="5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25" w:lineRule="exact"/>
        <w:rPr>
          <w:sz w:val="20"/>
          <w:szCs w:val="20"/>
          <w:color w:val="auto"/>
        </w:rPr>
      </w:pPr>
    </w:p>
    <w:p>
      <w:pPr>
        <w:ind w:right="4340"/>
        <w:spacing w:after="0" w:line="311" w:lineRule="auto"/>
        <w:rPr>
          <w:sz w:val="20"/>
          <w:szCs w:val="20"/>
          <w:color w:val="auto"/>
        </w:rPr>
      </w:pPr>
      <w:r>
        <w:rPr>
          <w:rFonts w:ascii="Arial" w:cs="Arial" w:eastAsia="Arial" w:hAnsi="Arial"/>
          <w:sz w:val="16"/>
          <w:szCs w:val="16"/>
          <w:i w:val="1"/>
          <w:iCs w:val="1"/>
          <w:color w:val="auto"/>
        </w:rPr>
        <w:t>[Insert the Global Note Legend, if applicable pursuant to the provisions of the Indenture] [Insert the Private Placement Legend, if applicable pursuant to the provisions of the Indenture] [Insert the Regulation S Legend, if applicable pursuant to the provisions of the Indenture]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[29089QAC9]</w:t>
      </w:r>
      <w:r>
        <w:rPr>
          <w:rFonts w:ascii="Arial" w:cs="Arial" w:eastAsia="Arial" w:hAnsi="Arial"/>
          <w:sz w:val="29"/>
          <w:szCs w:val="29"/>
          <w:color w:val="auto"/>
          <w:vertAlign w:val="superscript"/>
        </w:rPr>
        <w:t>1</w:t>
      </w:r>
    </w:p>
    <w:p>
      <w:pPr>
        <w:jc w:val="right"/>
        <w:spacing w:after="0" w:line="198" w:lineRule="auto"/>
        <w:rPr>
          <w:sz w:val="20"/>
          <w:szCs w:val="20"/>
          <w:color w:val="auto"/>
        </w:rPr>
      </w:pPr>
      <w:r>
        <w:rPr>
          <w:rFonts w:ascii="Arial" w:cs="Arial" w:eastAsia="Arial" w:hAnsi="Arial"/>
          <w:sz w:val="18"/>
          <w:szCs w:val="18"/>
          <w:color w:val="auto"/>
        </w:rPr>
        <w:t>[U29136AA3]</w:t>
      </w:r>
      <w:r>
        <w:rPr>
          <w:rFonts w:ascii="Arial" w:cs="Arial" w:eastAsia="Arial" w:hAnsi="Arial"/>
          <w:sz w:val="29"/>
          <w:szCs w:val="29"/>
          <w:color w:val="auto"/>
          <w:vertAlign w:val="superscript"/>
        </w:rPr>
        <w:t>2</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[US29089QAC96]</w:t>
      </w:r>
      <w:r>
        <w:rPr>
          <w:rFonts w:ascii="Arial" w:cs="Arial" w:eastAsia="Arial" w:hAnsi="Arial"/>
          <w:sz w:val="29"/>
          <w:szCs w:val="29"/>
          <w:color w:val="auto"/>
          <w:vertAlign w:val="superscript"/>
        </w:rPr>
        <w:t>3</w:t>
      </w:r>
    </w:p>
    <w:p>
      <w:pPr>
        <w:jc w:val="right"/>
        <w:spacing w:after="0" w:line="198" w:lineRule="auto"/>
        <w:rPr>
          <w:sz w:val="20"/>
          <w:szCs w:val="20"/>
          <w:color w:val="auto"/>
        </w:rPr>
      </w:pPr>
      <w:r>
        <w:rPr>
          <w:rFonts w:ascii="Arial" w:cs="Arial" w:eastAsia="Arial" w:hAnsi="Arial"/>
          <w:sz w:val="18"/>
          <w:szCs w:val="18"/>
          <w:color w:val="auto"/>
        </w:rPr>
        <w:t>[USU29136AA31]</w:t>
      </w:r>
      <w:r>
        <w:rPr>
          <w:rFonts w:ascii="Arial" w:cs="Arial" w:eastAsia="Arial" w:hAnsi="Arial"/>
          <w:sz w:val="29"/>
          <w:szCs w:val="29"/>
          <w:color w:val="auto"/>
          <w:vertAlign w:val="superscript"/>
        </w:rPr>
        <w:t>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3.875% Senior Unsecured Notes due 2028</w:t>
      </w:r>
    </w:p>
    <w:p>
      <w:pPr>
        <w:spacing w:after="0" w:line="225" w:lineRule="exact"/>
        <w:rPr>
          <w:sz w:val="20"/>
          <w:szCs w:val="20"/>
          <w:color w:val="auto"/>
        </w:rPr>
      </w:pPr>
    </w:p>
    <w:p>
      <w:pPr>
        <w:spacing w:after="0"/>
        <w:tabs>
          <w:tab w:leader="none" w:pos="109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EMERGENT BIOSOLUTIONS INC., a Delaware corporation, promises to pay to CEDE &amp; CO., or its registered assigns, the principal sum of [●] DOLLARS [, subject to adjustments listed on the Schedule of Exchanges of Interests in the Global Note attached hereto,] on August 15, 2028.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15 and August 15, commencing February 15, 2021</w:t>
      </w:r>
      <w:r>
        <w:rPr>
          <w:rFonts w:ascii="Arial" w:cs="Arial" w:eastAsia="Arial" w:hAnsi="Arial"/>
          <w:sz w:val="29"/>
          <w:szCs w:val="29"/>
          <w:color w:val="auto"/>
          <w:vertAlign w:val="superscript"/>
        </w:rPr>
        <w:t>5</w:t>
      </w:r>
    </w:p>
    <w:p>
      <w:pPr>
        <w:spacing w:after="0"/>
        <w:rPr>
          <w:sz w:val="20"/>
          <w:szCs w:val="20"/>
          <w:color w:val="auto"/>
        </w:rPr>
      </w:pPr>
      <w:r>
        <w:rPr>
          <w:rFonts w:ascii="Arial" w:cs="Arial" w:eastAsia="Arial" w:hAnsi="Arial"/>
          <w:sz w:val="18"/>
          <w:szCs w:val="18"/>
          <w:color w:val="auto"/>
        </w:rPr>
        <w:t>Record Dates: February 1 and August 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7"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30"/>
          <w:szCs w:val="30"/>
          <w:color w:val="auto"/>
          <w:vertAlign w:val="superscript"/>
        </w:rPr>
      </w:pPr>
      <w:r>
        <w:rPr>
          <w:rFonts w:ascii="Arial" w:cs="Arial" w:eastAsia="Arial" w:hAnsi="Arial"/>
          <w:sz w:val="18"/>
          <w:szCs w:val="18"/>
          <w:color w:val="auto"/>
        </w:rPr>
        <w:t>For Notes sold in reliance on Rule 144A.</w:t>
      </w:r>
    </w:p>
    <w:p>
      <w:pPr>
        <w:spacing w:after="0" w:line="87"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30"/>
          <w:szCs w:val="30"/>
          <w:color w:val="auto"/>
          <w:vertAlign w:val="superscript"/>
        </w:rPr>
      </w:pPr>
      <w:r>
        <w:rPr>
          <w:rFonts w:ascii="Arial" w:cs="Arial" w:eastAsia="Arial" w:hAnsi="Arial"/>
          <w:sz w:val="18"/>
          <w:szCs w:val="18"/>
          <w:color w:val="auto"/>
        </w:rPr>
        <w:t>For Notes sold in reliance on Regulation S.</w:t>
      </w:r>
    </w:p>
    <w:p>
      <w:pPr>
        <w:spacing w:after="0" w:line="87"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30"/>
          <w:szCs w:val="30"/>
          <w:color w:val="auto"/>
          <w:vertAlign w:val="superscript"/>
        </w:rPr>
      </w:pPr>
      <w:r>
        <w:rPr>
          <w:rFonts w:ascii="Arial" w:cs="Arial" w:eastAsia="Arial" w:hAnsi="Arial"/>
          <w:sz w:val="18"/>
          <w:szCs w:val="18"/>
          <w:color w:val="auto"/>
        </w:rPr>
        <w:t>For Notes sold in reliance on Rule 144A.</w:t>
      </w:r>
    </w:p>
    <w:p>
      <w:pPr>
        <w:spacing w:after="0" w:line="87"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30"/>
          <w:szCs w:val="30"/>
          <w:color w:val="auto"/>
          <w:vertAlign w:val="superscript"/>
        </w:rPr>
      </w:pPr>
      <w:r>
        <w:rPr>
          <w:rFonts w:ascii="Arial" w:cs="Arial" w:eastAsia="Arial" w:hAnsi="Arial"/>
          <w:sz w:val="18"/>
          <w:szCs w:val="18"/>
          <w:color w:val="auto"/>
        </w:rPr>
        <w:t>For Notes sold in reliance on Regulation S.</w:t>
      </w:r>
    </w:p>
    <w:p>
      <w:pPr>
        <w:spacing w:after="0" w:line="87"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30"/>
          <w:szCs w:val="30"/>
          <w:color w:val="auto"/>
          <w:vertAlign w:val="superscript"/>
        </w:rPr>
      </w:pPr>
      <w:r>
        <w:rPr>
          <w:rFonts w:ascii="Arial" w:cs="Arial" w:eastAsia="Arial" w:hAnsi="Arial"/>
          <w:sz w:val="18"/>
          <w:szCs w:val="18"/>
          <w:color w:val="auto"/>
        </w:rPr>
        <w:t>With respect to Notes issued on the Issue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left="4520"/>
        <w:spacing w:after="0"/>
        <w:rPr>
          <w:sz w:val="20"/>
          <w:szCs w:val="20"/>
          <w:color w:val="auto"/>
        </w:rPr>
      </w:pPr>
      <w:r>
        <w:rPr>
          <w:rFonts w:ascii="Arial" w:cs="Arial" w:eastAsia="Arial" w:hAnsi="Arial"/>
          <w:sz w:val="17"/>
          <w:szCs w:val="17"/>
          <w:color w:val="auto"/>
        </w:rPr>
        <w:t>EMERGENT BIOSOLUTIONS INC.</w:t>
      </w:r>
    </w:p>
    <w:p>
      <w:pPr>
        <w:spacing w:after="0" w:line="200" w:lineRule="exact"/>
        <w:rPr>
          <w:sz w:val="20"/>
          <w:szCs w:val="20"/>
          <w:color w:val="auto"/>
        </w:rPr>
      </w:pPr>
    </w:p>
    <w:p>
      <w:pPr>
        <w:spacing w:after="0" w:line="25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8" w:name="page109"/>
    <w:bookmarkEnd w:id="108"/>
    <w:p>
      <w:pPr>
        <w:jc w:val="right"/>
        <w:ind w:right="3079"/>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3.875% Senior Unsecured Notes due 2028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left="1400" w:hanging="744"/>
        <w:spacing w:after="0"/>
        <w:tabs>
          <w:tab w:leader="none" w:pos="1400"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Emergent BioSolutions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promises to pay interest on the principal amount of this</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Note at 3.875% per annum from August 7, 2020</w:t>
      </w:r>
      <w:r>
        <w:rPr>
          <w:rFonts w:ascii="Arial" w:cs="Arial" w:eastAsia="Arial" w:hAnsi="Arial"/>
          <w:sz w:val="26"/>
          <w:szCs w:val="26"/>
          <w:color w:val="auto"/>
          <w:vertAlign w:val="superscript"/>
        </w:rPr>
        <w:t>6</w:t>
      </w:r>
      <w:r>
        <w:rPr>
          <w:rFonts w:ascii="Arial" w:cs="Arial" w:eastAsia="Arial" w:hAnsi="Arial"/>
          <w:sz w:val="16"/>
          <w:szCs w:val="16"/>
          <w:color w:val="auto"/>
        </w:rPr>
        <w:t>, until maturity. The Company will pay interest, if any, semiannually in arrears on February 15 and August 15 of each year (each, an “</w:t>
      </w:r>
      <w:r>
        <w:rPr>
          <w:rFonts w:ascii="Arial" w:cs="Arial" w:eastAsia="Arial" w:hAnsi="Arial"/>
          <w:sz w:val="16"/>
          <w:szCs w:val="16"/>
          <w:b w:val="1"/>
          <w:bCs w:val="1"/>
          <w:i w:val="1"/>
          <w:i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w:t>
      </w:r>
    </w:p>
    <w:p>
      <w:pPr>
        <w:ind w:right="40"/>
        <w:spacing w:after="0" w:line="231" w:lineRule="auto"/>
        <w:rPr>
          <w:sz w:val="20"/>
          <w:szCs w:val="20"/>
          <w:color w:val="auto"/>
        </w:rPr>
      </w:pPr>
      <w:r>
        <w:rPr>
          <w:rFonts w:ascii="Arial" w:cs="Arial" w:eastAsia="Arial" w:hAnsi="Arial"/>
          <w:sz w:val="18"/>
          <w:szCs w:val="18"/>
          <w:color w:val="auto"/>
        </w:rPr>
        <w:t xml:space="preserve">succeeding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first Interest Payment Date shall be February 15, 2021</w:t>
      </w:r>
      <w:r>
        <w:rPr>
          <w:rFonts w:ascii="Arial" w:cs="Arial" w:eastAsia="Arial" w:hAnsi="Arial"/>
          <w:sz w:val="29"/>
          <w:szCs w:val="29"/>
          <w:color w:val="auto"/>
          <w:vertAlign w:val="superscript"/>
        </w:rPr>
        <w:t>7</w:t>
      </w:r>
      <w:r>
        <w:rPr>
          <w:rFonts w:ascii="Arial" w:cs="Arial" w:eastAsia="Arial" w:hAnsi="Arial"/>
          <w:sz w:val="18"/>
          <w:szCs w:val="18"/>
          <w:color w:val="auto"/>
        </w:rPr>
        <w:t>. The Company will pay interest (including post-petition interest in any proceeding under any Bankruptcy Law) on overdue principal at the rate equal to 1% per annum in excess of the then applicable interest rate on the Notes to the extent lawful; it will pay interest (including post-petition interest in any proceeding under any Bankruptcy Law) on overdue installments of interest (without regard to any applicable grace period) at the same rate to the extent lawful. Interest will be computed on the basis of a 360-day year of twelve 30-day months.</w:t>
      </w:r>
    </w:p>
    <w:p>
      <w:pPr>
        <w:spacing w:after="0" w:line="204" w:lineRule="exact"/>
        <w:rPr>
          <w:sz w:val="20"/>
          <w:szCs w:val="20"/>
          <w:color w:val="auto"/>
        </w:rPr>
      </w:pPr>
    </w:p>
    <w:p>
      <w:pPr>
        <w:ind w:right="20" w:firstLine="656"/>
        <w:spacing w:after="0" w:line="269" w:lineRule="auto"/>
        <w:tabs>
          <w:tab w:leader="none" w:pos="1397"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Method of Payment</w:t>
      </w:r>
      <w:r>
        <w:rPr>
          <w:rFonts w:ascii="Arial" w:cs="Arial" w:eastAsia="Arial" w:hAnsi="Arial"/>
          <w:sz w:val="17"/>
          <w:szCs w:val="17"/>
          <w:color w:val="auto"/>
        </w:rPr>
        <w:t>. The Company will pay interest on the Notes (except defaulted interest), if any, to the Persons who are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Holders of Notes at the close of business on the February 1 or August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or, at the option of the Company, payment of interest, if any,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and interest, premium,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 If any payment date is not a Business Day, payment will be made on the next succeeding Business Day with the same force and effect and no interest shall accrue for the intervening period.</w:t>
      </w:r>
    </w:p>
    <w:p>
      <w:pPr>
        <w:spacing w:after="0" w:line="185" w:lineRule="exact"/>
        <w:rPr>
          <w:rFonts w:ascii="Arial" w:cs="Arial" w:eastAsia="Arial" w:hAnsi="Arial"/>
          <w:sz w:val="17"/>
          <w:szCs w:val="17"/>
          <w:color w:val="auto"/>
        </w:rPr>
      </w:pPr>
    </w:p>
    <w:p>
      <w:pPr>
        <w:ind w:right="180" w:firstLine="656"/>
        <w:spacing w:after="0" w:line="263" w:lineRule="auto"/>
        <w:tabs>
          <w:tab w:leader="none" w:pos="1397"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any Paying Agent or Registrar without notice to any Holder. The Company or any of its Subsidiaries may act in any such capacity.</w:t>
      </w:r>
    </w:p>
    <w:p>
      <w:pPr>
        <w:spacing w:after="0" w:line="183" w:lineRule="exact"/>
        <w:rPr>
          <w:rFonts w:ascii="Arial" w:cs="Arial" w:eastAsia="Arial" w:hAnsi="Arial"/>
          <w:sz w:val="18"/>
          <w:szCs w:val="18"/>
          <w:color w:val="auto"/>
        </w:rPr>
      </w:pPr>
    </w:p>
    <w:p>
      <w:pPr>
        <w:ind w:firstLine="656"/>
        <w:spacing w:after="0" w:line="257" w:lineRule="auto"/>
        <w:tabs>
          <w:tab w:leader="none" w:pos="1397"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Company issued the Notes under an Indenture dated as of August 7, 2020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among the Company,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Guarantors from time to time party thereto and the Trustee. The Notes are subject to all the terms and provisions of the Indenture, and Holders are referred to the Indenture for a statement of such terms and provisions.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187" w:lineRule="exact"/>
        <w:rPr>
          <w:rFonts w:ascii="Arial" w:cs="Arial" w:eastAsia="Arial" w:hAnsi="Arial"/>
          <w:sz w:val="18"/>
          <w:szCs w:val="18"/>
          <w:color w:val="auto"/>
        </w:rPr>
      </w:pPr>
    </w:p>
    <w:p>
      <w:pPr>
        <w:ind w:left="1400" w:hanging="744"/>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75" w:lineRule="auto"/>
        <w:tabs>
          <w:tab w:leader="none" w:pos="138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Except as set forth in subparagraphs (b) and (d) of this Paragraph 5, the Notes will not be redeemable at the Company’s option prior to August 15, 2023. On or after August 15, 2023, the Company may redeem all or a part of the Notes upon not less than 15 nor more than 60 days’ notice, at the redemption prices (expressed as percentages of principal amount) set forth below plus accrued and unpaid interest, if any, on the Notes redeemed, to the applicable redemption date, if redeemed during the twelve-month period beginning on August 15 of the years indicated below, subject to the rights of Holders of Notes on the relevant record date to receive interest on the relevant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7830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8"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30"/>
          <w:szCs w:val="30"/>
          <w:color w:val="auto"/>
          <w:vertAlign w:val="superscript"/>
        </w:rPr>
      </w:pPr>
      <w:r>
        <w:rPr>
          <w:rFonts w:ascii="Arial" w:cs="Arial" w:eastAsia="Arial" w:hAnsi="Arial"/>
          <w:sz w:val="18"/>
          <w:szCs w:val="18"/>
          <w:color w:val="auto"/>
        </w:rPr>
        <w:t>With respect to Notes issued on the Issue Date.</w:t>
      </w:r>
    </w:p>
    <w:p>
      <w:pPr>
        <w:spacing w:after="0" w:line="87" w:lineRule="exact"/>
        <w:rPr>
          <w:sz w:val="20"/>
          <w:szCs w:val="20"/>
          <w:color w:val="auto"/>
        </w:rPr>
      </w:pPr>
    </w:p>
    <w:p>
      <w:pPr>
        <w:ind w:left="660" w:hanging="652"/>
        <w:spacing w:after="0"/>
        <w:tabs>
          <w:tab w:leader="none" w:pos="660" w:val="left"/>
        </w:tabs>
        <w:numPr>
          <w:ilvl w:val="0"/>
          <w:numId w:val="187"/>
        </w:numPr>
        <w:rPr>
          <w:rFonts w:ascii="Arial" w:cs="Arial" w:eastAsia="Arial" w:hAnsi="Arial"/>
          <w:sz w:val="30"/>
          <w:szCs w:val="30"/>
          <w:color w:val="auto"/>
          <w:vertAlign w:val="superscript"/>
        </w:rPr>
      </w:pPr>
      <w:r>
        <w:rPr>
          <w:rFonts w:ascii="Arial" w:cs="Arial" w:eastAsia="Arial" w:hAnsi="Arial"/>
          <w:sz w:val="18"/>
          <w:szCs w:val="18"/>
          <w:color w:val="auto"/>
        </w:rPr>
        <w:t>With respect to Notes issued on the Issue Date.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tbl>
      <w:tblPr>
        <w:tblLayout w:type="fixed"/>
        <w:tblInd w:w="66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Percentage</w:t>
            </w:r>
          </w:p>
        </w:tc>
      </w:tr>
      <w:tr>
        <w:trPr>
          <w:trHeight w:val="210"/>
        </w:trPr>
        <w:tc>
          <w:tcPr>
            <w:tcW w:w="8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100.969%</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and after the applicable redemption date.</w:t>
      </w:r>
    </w:p>
    <w:p>
      <w:pPr>
        <w:spacing w:after="0" w:line="170" w:lineRule="exact"/>
        <w:rPr>
          <w:sz w:val="20"/>
          <w:szCs w:val="20"/>
          <w:color w:val="auto"/>
        </w:rPr>
      </w:pPr>
    </w:p>
    <w:p>
      <w:pPr>
        <w:ind w:firstLine="656"/>
        <w:spacing w:after="0" w:line="255" w:lineRule="auto"/>
        <w:tabs>
          <w:tab w:leader="none" w:pos="139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subparagraph (a) of this Paragraph 5, at any time prior to August 15, 2023, the Company may on any one or more occasions redeem up to 40% of the aggregate principal amount of Notes issued under the Indenture at a redemption price of 103.875% of the principal amount, plus accrued and unpaid interest, if any, to the redemption date with the net cash proceeds of one or more Equity Offerings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at least 60% of the aggregate principal amount of Notes originally issued under the Indenture (excluding Notes held by the Company and its Subsidiaries) remains outstanding immediately after the occurrence of such redemption, and (2) the redemption occurs within 180 days of the date of the closing of such Equity Offering.</w:t>
      </w:r>
    </w:p>
    <w:p>
      <w:pPr>
        <w:spacing w:after="0" w:line="192" w:lineRule="exact"/>
        <w:rPr>
          <w:rFonts w:ascii="Arial" w:cs="Arial" w:eastAsia="Arial" w:hAnsi="Arial"/>
          <w:sz w:val="18"/>
          <w:szCs w:val="18"/>
          <w:color w:val="auto"/>
        </w:rPr>
      </w:pPr>
    </w:p>
    <w:p>
      <w:pPr>
        <w:ind w:right="100" w:firstLine="656"/>
        <w:spacing w:after="0" w:line="275" w:lineRule="auto"/>
        <w:tabs>
          <w:tab w:leader="none" w:pos="138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Notices of any redemption of the notes may be subject to the satisfaction of one or more conditions precedent established by the Company, in its sole discretion. If applicable, such notice shall state that, at the discretion of the Company, the redemption date may be delayed until such time as any or all such conditions have been satisfied (or waived). In addition, any redemption or notice of any redemption with the proceeds of an Equity Offering pursuant to the prior paragraph may, at the Company’s discretion, be subject to one or more conditions precedent, including, but not limited to, completion of such Equity Offering and may be given prior to the completion thereof.</w:t>
      </w:r>
    </w:p>
    <w:p>
      <w:pPr>
        <w:spacing w:after="0" w:line="176" w:lineRule="exact"/>
        <w:rPr>
          <w:rFonts w:ascii="Arial" w:cs="Arial" w:eastAsia="Arial" w:hAnsi="Arial"/>
          <w:sz w:val="17"/>
          <w:szCs w:val="17"/>
          <w:color w:val="auto"/>
        </w:rPr>
      </w:pPr>
    </w:p>
    <w:p>
      <w:pPr>
        <w:ind w:firstLine="656"/>
        <w:spacing w:after="0" w:line="275" w:lineRule="auto"/>
        <w:tabs>
          <w:tab w:leader="none" w:pos="138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At any time prior to August 15, 2023, the Company may redeem all or a part of the notes upon notice as described in Section 3.03 of the Indenture at a redemption price equal to 100% of the principal amount of the notes redeemed plus the Applicable Premium as of, and accrued and unpaid interest, if any, to, but excluding the redemption date, subject to the rights of Holders of record on the relevant record date to receive interest due on the relevant interest payment date. Calculation of the Applicable Premium will be made by the Company or on its behalf by such Person as the Company may designate;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calculation or the correctness thereof shall not be a duty or obligation of the Trustee.</w:t>
      </w:r>
    </w:p>
    <w:p>
      <w:pPr>
        <w:spacing w:after="0" w:line="176" w:lineRule="exact"/>
        <w:rPr>
          <w:sz w:val="20"/>
          <w:szCs w:val="20"/>
          <w:color w:val="auto"/>
        </w:rPr>
      </w:pPr>
    </w:p>
    <w:p>
      <w:pPr>
        <w:ind w:right="300" w:firstLine="656"/>
        <w:spacing w:after="0" w:line="277" w:lineRule="auto"/>
        <w:tabs>
          <w:tab w:leader="none" w:pos="1397"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Open Market Purchases. </w:t>
      </w:r>
      <w:r>
        <w:rPr>
          <w:rFonts w:ascii="Arial" w:cs="Arial" w:eastAsia="Arial" w:hAnsi="Arial"/>
          <w:sz w:val="18"/>
          <w:szCs w:val="18"/>
          <w:color w:val="auto"/>
        </w:rPr>
        <w:t>For the avoidance of doubt, the Company may at any time and from time to time purchase the Notes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open market or otherwise.</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Repurchase at the Option of Holder</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Upon the occurrence of a Change of Control, the Company will make an offer (a “</w:t>
      </w:r>
      <w:r>
        <w:rPr>
          <w:rFonts w:ascii="Arial" w:cs="Arial" w:eastAsia="Arial" w:hAnsi="Arial"/>
          <w:sz w:val="17"/>
          <w:szCs w:val="17"/>
          <w:b w:val="1"/>
          <w:bCs w:val="1"/>
          <w:i w:val="1"/>
          <w:iCs w:val="1"/>
          <w:color w:val="auto"/>
        </w:rPr>
        <w:t>Change of Control Offer</w:t>
      </w:r>
      <w:r>
        <w:rPr>
          <w:rFonts w:ascii="Arial" w:cs="Arial" w:eastAsia="Arial" w:hAnsi="Arial"/>
          <w:sz w:val="17"/>
          <w:szCs w:val="17"/>
          <w:color w:val="auto"/>
        </w:rPr>
        <w:t>”) to each Holder to repurchase all or any part (equal to $2,000 or an integral multiple of $1,000 in excess thereof)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7"/>
          <w:szCs w:val="17"/>
          <w:b w:val="1"/>
          <w:bCs w:val="1"/>
          <w:i w:val="1"/>
          <w:iCs w:val="1"/>
          <w:color w:val="auto"/>
        </w:rPr>
        <w:t>Change of Control Payment</w:t>
      </w:r>
      <w:r>
        <w:rPr>
          <w:rFonts w:ascii="Arial" w:cs="Arial" w:eastAsia="Arial" w:hAnsi="Arial"/>
          <w:sz w:val="17"/>
          <w:szCs w:val="17"/>
          <w:color w:val="auto"/>
        </w:rPr>
        <w:t>”). Within 30 days following any Change of Control, the Company will send a notice to each Holder (with a copy to the Trustee) setting forth the procedures governing the Change of Control Offer as required by the Indenture.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1" w:name="page112"/>
    <w:bookmarkEnd w:id="111"/>
    <w:p>
      <w:pPr>
        <w:ind w:right="40" w:firstLine="648"/>
        <w:spacing w:after="0" w:line="268" w:lineRule="auto"/>
        <w:rPr>
          <w:sz w:val="20"/>
          <w:szCs w:val="20"/>
          <w:color w:val="auto"/>
        </w:rPr>
      </w:pPr>
      <w:r>
        <w:rPr>
          <w:rFonts w:ascii="Arial" w:cs="Arial" w:eastAsia="Arial" w:hAnsi="Arial"/>
          <w:sz w:val="17"/>
          <w:szCs w:val="17"/>
          <w:color w:val="auto"/>
        </w:rPr>
        <w:t xml:space="preserve">If the Company or a Restricted Subsidiary of the Company consummates any Asset Sales, within thirty days of each date on which the aggregate amount of Excess Proceeds exceeds $100.0 million, unless waived or modified with the consent of the Holders of at least a majority in aggregate principal amount of the Notes then outstanding, the Company will commence an offer to all Holders of Notes (with a copy to the Trustee) and all holders of other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containing provisions similar to those set forth in the Indenture with respect to offers to purchase or redeem with the proceeds of sales of assets (an “</w:t>
      </w:r>
      <w:r>
        <w:rPr>
          <w:rFonts w:ascii="Arial" w:cs="Arial" w:eastAsia="Arial" w:hAnsi="Arial"/>
          <w:sz w:val="17"/>
          <w:szCs w:val="17"/>
          <w:b w:val="1"/>
          <w:bCs w:val="1"/>
          <w:i w:val="1"/>
          <w:iCs w:val="1"/>
          <w:color w:val="auto"/>
        </w:rPr>
        <w:t>Asset Sale Offer</w:t>
      </w:r>
      <w:r>
        <w:rPr>
          <w:rFonts w:ascii="Arial" w:cs="Arial" w:eastAsia="Arial" w:hAnsi="Arial"/>
          <w:sz w:val="17"/>
          <w:szCs w:val="17"/>
          <w:color w:val="auto"/>
        </w:rPr>
        <w:t xml:space="preserve">”) in accordance with Section 3.09 of the Indenture to purchase the maximum principal amount of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that may be purchased out of the Excess Proceeds. The offer price in any Asset Sale Offer will be equal to 100% of the principal amount plus accrued and unpaid interest, if any, to the date of purchase, and will be payable in cash, in accordance with the procedures set forth in the Indenture. If any Excess Proceeds remain after the consummation of an Asset Sale Offer, the Company may use those Excess Proceeds for any purpose not otherwise prohibited by the Indenture. If the aggregate principal amount of Notes and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tendered into such Asset Sale Offer exceeds the amount of Excess Proceeds, the Company will select the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to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Holders of Notes that are the subject of an offer to purchase will receive an Asset Sale Offer from the Company prior to any related purchase date and may elect to have such Notes purchased by completing the form entitled “</w:t>
      </w:r>
      <w:r>
        <w:rPr>
          <w:rFonts w:ascii="Arial" w:cs="Arial" w:eastAsia="Arial" w:hAnsi="Arial"/>
          <w:sz w:val="17"/>
          <w:szCs w:val="17"/>
          <w:i w:val="1"/>
          <w:iCs w:val="1"/>
          <w:color w:val="auto"/>
        </w:rPr>
        <w:t>Option of Holder to Elect Purchase</w:t>
      </w:r>
      <w:r>
        <w:rPr>
          <w:rFonts w:ascii="Arial" w:cs="Arial" w:eastAsia="Arial" w:hAnsi="Arial"/>
          <w:sz w:val="17"/>
          <w:szCs w:val="17"/>
          <w:color w:val="auto"/>
        </w:rPr>
        <w:t>” attached to the Notes.</w:t>
      </w:r>
    </w:p>
    <w:p>
      <w:pPr>
        <w:spacing w:after="0" w:line="186" w:lineRule="exact"/>
        <w:rPr>
          <w:sz w:val="20"/>
          <w:szCs w:val="20"/>
          <w:color w:val="auto"/>
        </w:rPr>
      </w:pPr>
    </w:p>
    <w:p>
      <w:pPr>
        <w:jc w:val="both"/>
        <w:ind w:right="120" w:firstLine="656"/>
        <w:spacing w:after="0" w:line="301" w:lineRule="auto"/>
        <w:tabs>
          <w:tab w:leader="none" w:pos="1397"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Notice of Redemption</w:t>
      </w:r>
      <w:r>
        <w:rPr>
          <w:rFonts w:ascii="Arial" w:cs="Arial" w:eastAsia="Arial" w:hAnsi="Arial"/>
          <w:sz w:val="16"/>
          <w:szCs w:val="16"/>
          <w:color w:val="auto"/>
        </w:rPr>
        <w:t>. Notice of redemption will be sent at least 15 days but not more than 60 days before the redemption date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whose Notes are to be redeemed at its registered address, except that redemption notices may be sent more than 60 days prior to a redemption date if the notice is issued in connection with a defeasance of the Notes or a satisfaction and discharge of the Indenture. Notes in denominations larger than $2,000 may be redeemed in part but only in whole multiples of $1,000 thereof, unless all of the Notes held by a Holder are to be redeemed.</w:t>
      </w:r>
    </w:p>
    <w:p>
      <w:pPr>
        <w:spacing w:after="0" w:line="157" w:lineRule="exact"/>
        <w:rPr>
          <w:rFonts w:ascii="Arial" w:cs="Arial" w:eastAsia="Arial" w:hAnsi="Arial"/>
          <w:sz w:val="16"/>
          <w:szCs w:val="16"/>
          <w:color w:val="auto"/>
        </w:rPr>
      </w:pPr>
    </w:p>
    <w:p>
      <w:pPr>
        <w:ind w:firstLine="656"/>
        <w:spacing w:after="0" w:line="254" w:lineRule="auto"/>
        <w:tabs>
          <w:tab w:leader="none" w:pos="1397"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r>
        <w:rPr>
          <w:rFonts w:ascii="Arial" w:cs="Arial" w:eastAsia="Arial" w:hAnsi="Arial"/>
          <w:sz w:val="18"/>
          <w:szCs w:val="18"/>
          <w:color w:val="auto"/>
        </w:rPr>
        <w:t>. The Notes are in registered form without coupons in denominations of $2,000 and integral</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194" w:lineRule="exact"/>
        <w:rPr>
          <w:rFonts w:ascii="Arial" w:cs="Arial" w:eastAsia="Arial" w:hAnsi="Arial"/>
          <w:sz w:val="18"/>
          <w:szCs w:val="18"/>
          <w:color w:val="auto"/>
        </w:rPr>
      </w:pPr>
    </w:p>
    <w:p>
      <w:pPr>
        <w:ind w:left="1400" w:hanging="744"/>
        <w:spacing w:after="0"/>
        <w:tabs>
          <w:tab w:leader="none" w:pos="140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its owner for all purposes.</w:t>
      </w:r>
    </w:p>
    <w:p>
      <w:pPr>
        <w:spacing w:after="0" w:line="225" w:lineRule="exact"/>
        <w:rPr>
          <w:rFonts w:ascii="Arial" w:cs="Arial" w:eastAsia="Arial" w:hAnsi="Arial"/>
          <w:sz w:val="18"/>
          <w:szCs w:val="18"/>
          <w:color w:val="auto"/>
        </w:rPr>
      </w:pPr>
    </w:p>
    <w:p>
      <w:pPr>
        <w:ind w:right="20" w:firstLine="656"/>
        <w:spacing w:after="0" w:line="285" w:lineRule="auto"/>
        <w:tabs>
          <w:tab w:leader="none" w:pos="1388"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Amendment, Supplement and Waiver</w:t>
      </w:r>
      <w:r>
        <w:rPr>
          <w:rFonts w:ascii="Arial" w:cs="Arial" w:eastAsia="Arial" w:hAnsi="Arial"/>
          <w:sz w:val="16"/>
          <w:szCs w:val="16"/>
          <w:color w:val="auto"/>
        </w:rPr>
        <w:t>. Subject to certain exceptions, the Indenture, the Notes or the Note Guarantees may be amended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any existing Default or Event of Default (other than a Default or Event of Default in the payment of the principal of, premium, if any, or interest on, the Notes, except a payment default resulting from an acceleration that has been rescinded) or compliance with any provision of the Indenture or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Without the consent of any Holder of a Note, the Indenture or the Notes or the Note Guarantees may be amended or supplemented to cure any ambiguity, defect or inconsistency; to provide for uncertificated Notes in addition to or in place of certificated Notes; to provide for the assumption of the Company’s or a Guarantor’s obligations to Holders of the Notes and Note Guarantees by a successor to the Company or such Guarantor pursuant to Article V or Article X of the Indenture; to make any change that would provide any additional rights or benefits to the Holders of the Notes or that does not adversely affect the legal rights under the Indenture of any such Holder; to conform the text of the Indenture, the Note Guarantees or the Notes to any provision of the “Description of Notes” section of the Company’s Offering Memorandum dated August 4, 2020, relating to the initial offering of the Notes, to the extent that such provision of the Indenture, the Note Guarantees or the Notes was intended to conform to the text of the “Description of Notes” as evidenced by an Officer’s Certificate; to provide for the issuance of Additional Notes in accordance with the limitations set forth in the Indenture; to allow any Guarantor to execute a supplemental indenture to the Indenture and/or a Note Guarantee with respect to the Notes or to release any Guarantor from its Note Guarantee if such release is in accordance with the terms of the Indenture, provided any such supplemental indenture may be signed by the Company, the Guarantor providing the Note Guarantee and the Trustee; or to evidence and provide for the acceptance and appointment under the Indenture of a successor Trustee pursuant to the requirements of the Indenture.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2" w:name="page113"/>
    <w:bookmarkEnd w:id="112"/>
    <w:p>
      <w:pPr>
        <w:ind w:left="-8" w:right="40" w:firstLine="656"/>
        <w:spacing w:after="0" w:line="284" w:lineRule="auto"/>
        <w:tabs>
          <w:tab w:leader="none" w:pos="1389"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Events of Default include: (i) default for 30 days in the payment when due of interest on the Notes; (ii) default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payment when due (at maturity, upon redemption or otherwise) of the principal of, or premium, if any, on, the Notes; (iii) failure by the Company or any of its Restricted Subsidiaries to comply with the provisions of Section 5.01 of the Indenture; (iv) failure by the Company or any of its Restricted Subsidiaries to comply with the provisions of Section 4.15 of the Indenture; (v) failure by the Company or any of its Restricted Subsidiaries for 60 days after written notice to the Company by the Trustee or to the Company and the Trustee by the Holders of at least 25% in aggregate principal amount of the Notes then outstanding voting as a single class to comply with any of the other agreements in the Indenture; provided that in the case of a failure to comply with Section 4.03 of the Indenture, such period of continuance of such default or breach shall be 90 days after a written notice described in this clause</w:t>
      </w:r>
    </w:p>
    <w:p>
      <w:pPr>
        <w:spacing w:after="0" w:line="2" w:lineRule="exact"/>
        <w:rPr>
          <w:rFonts w:ascii="Arial" w:cs="Arial" w:eastAsia="Arial" w:hAnsi="Arial"/>
          <w:sz w:val="16"/>
          <w:szCs w:val="16"/>
          <w:color w:val="auto"/>
        </w:rPr>
      </w:pPr>
    </w:p>
    <w:p>
      <w:pPr>
        <w:ind w:left="-8" w:firstLine="8"/>
        <w:spacing w:after="0" w:line="283" w:lineRule="auto"/>
        <w:tabs>
          <w:tab w:leader="none" w:pos="2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has been given; (vi) default under any mortgage, indenture or instrument under which there be issued or by which there may be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date of the Indenture, if that default: (a) is caused by a failure to pay principal of, or interest or premium, if any, on, such Indebtedness at final maturity thereof, prior to the expiration of the grace period provided in such Indebtedness on the date of such default (a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Default</w:t>
      </w:r>
      <w:r>
        <w:rPr>
          <w:rFonts w:ascii="Arial" w:cs="Arial" w:eastAsia="Arial" w:hAnsi="Arial"/>
          <w:sz w:val="16"/>
          <w:szCs w:val="16"/>
          <w:color w:val="auto"/>
        </w:rPr>
        <w:t>”); or (b) results in the acceleration of such Indebtedness prior to its express maturity; and, in each case, the principal amount of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Indebtedness, together with the principal amount of any other such Indebtedness under which there has been a Payment Default or the maturity of which has been so accelerated, aggregates $50.0 million (or its foreign currency equivalent) or more; (vii) failure by the Company or any of its Restricted Subsidiaries to pay final judgments entered by a court or courts of competent jurisdiction aggregating in excess of $50.0 million (or its foreign currency equivalent) net of any amounts covered by independent third party insurance and as to which such insurer has not disputed coverage, which judgments are not paid, discharged or stayed for a period of 60 consecutive days; (viii) except as permitted by the Indenture, any Note Guarantee of a Significant Subsidiary is held in any judicial proceeding to be unenforceable or invalid or ceases for any reason to be in full force and effect or any Guarantor, or any Person acting on behalf of any Guarantor, denies or disaffirms its obligations under its Note Guarantee; and (ix) certain events of bankruptcy or insolvency described in the Indenture with respect to the Company or any of its Restricted Subsidiaries that is a Significant Subsidiary or any group of Restricted Subsidiaries that, taken together, would constitute a Significant Subsidiary. If any Event of Default occurs and is continuing, the Trustee or the Holders of at least 25% in aggregate principal amount of the then outstanding Notes may declare all the Notes to be due and payable immediately; </w:t>
      </w:r>
      <w:r>
        <w:rPr>
          <w:rFonts w:ascii="Arial" w:cs="Arial" w:eastAsia="Arial" w:hAnsi="Arial"/>
          <w:sz w:val="16"/>
          <w:szCs w:val="16"/>
          <w:i w:val="1"/>
          <w:iCs w:val="1"/>
          <w:color w:val="auto"/>
        </w:rPr>
        <w:t>provided</w:t>
      </w:r>
      <w:r>
        <w:rPr>
          <w:rFonts w:ascii="Arial" w:cs="Arial" w:eastAsia="Arial" w:hAnsi="Arial"/>
          <w:sz w:val="16"/>
          <w:szCs w:val="16"/>
          <w:color w:val="auto"/>
        </w:rPr>
        <w:t>, that a notice of a Default or Event of Default may not be given with respect to any action taken, and reported publicly or to Holders, more than two years prior to such notice of Default or Event of Default. Notwithstanding the foregoing, in the case of an Event of Default arising from certain events of bankruptcy or insolvency, all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Except in the case of a Default or Event of Default in payment of principal of, premium, if any, or interest on, any Note, the Trustee may withhold the notice of Default or Event of Default if and so long as a committee of its Responsible Officers in good faith determines that withholding the notice is in the interests of the Holders of the Notes. If certain conditions are satisfied, the Holders of at least a majority in aggregate principal amount of the then outstanding Notes by notice to the Trustee may, on behalf of the Holders of all of the Notes, rescind an acceleration provided all amounts owing to the Trustee have been paid or waive any existing Default or Event of Default and its consequences under the Indenture except a continuing Default or Event of Default in the payment of interest or premium, if any, on, or the principal of, the Notes. The Indenture requires the Company to deliver to the Trustee annually within 90 days after the end of each fiscal year a statement regarding compliance with the Indenture.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13" w:name="page114"/>
    <w:bookmarkEnd w:id="113"/>
    <w:p>
      <w:pPr>
        <w:ind w:right="60" w:firstLine="656"/>
        <w:spacing w:after="0" w:line="342" w:lineRule="auto"/>
        <w:tabs>
          <w:tab w:leader="none" w:pos="1397"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Trustee Dealings with Company</w:t>
      </w:r>
      <w:r>
        <w:rPr>
          <w:rFonts w:ascii="Arial" w:cs="Arial" w:eastAsia="Arial" w:hAnsi="Arial"/>
          <w:sz w:val="16"/>
          <w:szCs w:val="16"/>
          <w:color w:val="auto"/>
        </w:rPr>
        <w:t>. The Trustee or its affiliates, in its individual or any other capacity, may make loans to, accept deposits</w:t>
      </w:r>
      <w:r>
        <w:rPr>
          <w:rFonts w:ascii="Arial" w:cs="Arial" w:eastAsia="Arial" w:hAnsi="Arial"/>
          <w:sz w:val="16"/>
          <w:szCs w:val="16"/>
          <w:i w:val="1"/>
          <w:iCs w:val="1"/>
          <w:color w:val="auto"/>
        </w:rPr>
        <w:t xml:space="preserve"> </w:t>
      </w:r>
      <w:r>
        <w:rPr>
          <w:rFonts w:ascii="Arial" w:cs="Arial" w:eastAsia="Arial" w:hAnsi="Arial"/>
          <w:sz w:val="16"/>
          <w:szCs w:val="16"/>
          <w:color w:val="auto"/>
        </w:rPr>
        <w:t>from, and perform services for the Company or its Affiliates, and may otherwise deal with the Company or its Affiliates, as if it were not the Trustee.</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397"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A director, officer, employee, incorporator or stockholder of the Company or any of the Guarantors,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not have any liability for any obligations of the Company or the Guarantors under the Notes, the Note Guarantees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6" w:lineRule="exact"/>
        <w:rPr>
          <w:rFonts w:ascii="Arial" w:cs="Arial" w:eastAsia="Arial" w:hAnsi="Arial"/>
          <w:sz w:val="18"/>
          <w:szCs w:val="18"/>
          <w:color w:val="auto"/>
        </w:rPr>
      </w:pPr>
    </w:p>
    <w:p>
      <w:pPr>
        <w:ind w:left="1400" w:hanging="744"/>
        <w:spacing w:after="0"/>
        <w:tabs>
          <w:tab w:leader="none" w:pos="1400"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Note will not be valid until authenticated by the manual signature of the Trustee or an authenticating agent.</w:t>
      </w:r>
    </w:p>
    <w:p>
      <w:pPr>
        <w:spacing w:after="0" w:line="236" w:lineRule="exact"/>
        <w:rPr>
          <w:rFonts w:ascii="Arial" w:cs="Arial" w:eastAsia="Arial" w:hAnsi="Arial"/>
          <w:sz w:val="17"/>
          <w:szCs w:val="17"/>
          <w:color w:val="auto"/>
        </w:rPr>
      </w:pPr>
    </w:p>
    <w:p>
      <w:pPr>
        <w:ind w:right="80" w:firstLine="656"/>
        <w:spacing w:after="0" w:line="263" w:lineRule="auto"/>
        <w:tabs>
          <w:tab w:leader="none" w:pos="1442"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ind w:right="100" w:firstLine="656"/>
        <w:spacing w:after="0" w:line="275" w:lineRule="auto"/>
        <w:tabs>
          <w:tab w:leader="none" w:pos="1397"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CUSIP and ISIN Numbers</w:t>
      </w:r>
      <w:r>
        <w:rPr>
          <w:rFonts w:ascii="Arial" w:cs="Arial" w:eastAsia="Arial" w:hAnsi="Arial"/>
          <w:sz w:val="17"/>
          <w:szCs w:val="17"/>
          <w:color w:val="auto"/>
        </w:rPr>
        <w:t>. Pursuant to a recommendation promulgated by the Committee on Uniform Security Identification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the Company has caused CUSIP numbers to be printed on the Notes, and the Trustee may use CUSIP numbers in notices of redemption as a convenience to Holders. The Company has also caused ISINs to be printed on the Notes, and the Trustee may also use ISINs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6" w:lineRule="exact"/>
        <w:rPr>
          <w:rFonts w:ascii="Arial" w:cs="Arial" w:eastAsia="Arial" w:hAnsi="Arial"/>
          <w:sz w:val="17"/>
          <w:szCs w:val="17"/>
          <w:color w:val="auto"/>
        </w:rPr>
      </w:pPr>
    </w:p>
    <w:p>
      <w:pPr>
        <w:jc w:val="both"/>
        <w:ind w:right="160" w:firstLine="656"/>
        <w:spacing w:after="0" w:line="279" w:lineRule="auto"/>
        <w:tabs>
          <w:tab w:leader="none" w:pos="1397"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THE INDENTURE AND THIS NOTE, INCLUDING ANY NOTE GUARANTEES, AND THE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DUTIES OF THE PARTIES HEREUNDER AND THEREUNDER ARE AND SHALL BE GOVERNED BY, AND CONSTRUED IN ACCORDANCE WITH, THE LAWS OF THE STATE OF NEW YORK WITHOUT GIVING EFFECT TO APPLICABLE PRINCIPLES OF CONFLICTS OF LAW TO THE EXTENT THAT THE APPLICATION OF THE LAW OF ANOTHER JURISDICTION WOULD BE REQUIRED THEREBY.</w:t>
      </w:r>
    </w:p>
    <w:p>
      <w:pPr>
        <w:spacing w:after="0" w:line="171" w:lineRule="exact"/>
        <w:rPr>
          <w:rFonts w:ascii="Arial" w:cs="Arial" w:eastAsia="Arial" w:hAnsi="Arial"/>
          <w:sz w:val="17"/>
          <w:szCs w:val="17"/>
          <w:color w:val="auto"/>
        </w:rPr>
      </w:pPr>
    </w:p>
    <w:p>
      <w:pPr>
        <w:ind w:right="460" w:firstLine="656"/>
        <w:spacing w:after="0" w:line="277" w:lineRule="auto"/>
        <w:tabs>
          <w:tab w:leader="none" w:pos="1397"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Copies of Documents</w:t>
      </w:r>
      <w:r>
        <w:rPr>
          <w:rFonts w:ascii="Arial" w:cs="Arial" w:eastAsia="Arial" w:hAnsi="Arial"/>
          <w:sz w:val="18"/>
          <w:szCs w:val="18"/>
          <w:color w:val="auto"/>
        </w:rPr>
        <w:t>. The Company shall furnish to any Holder upon written request and without charge a copy of the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Requests may be made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Atul Saran, Esq.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Gaithersburg, MD 21079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(240) 631-3200</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4" w:name="page115"/>
    <w:bookmarkEnd w:id="114"/>
    <w:p>
      <w:pPr>
        <w:jc w:val="center"/>
        <w:ind w:right="-99"/>
        <w:spacing w:after="0"/>
        <w:rPr>
          <w:sz w:val="20"/>
          <w:szCs w:val="20"/>
          <w:color w:val="auto"/>
        </w:rPr>
      </w:pPr>
      <w:r>
        <w:rPr>
          <w:rFonts w:ascii="Arial" w:cs="Arial" w:eastAsia="Arial" w:hAnsi="Arial"/>
          <w:sz w:val="18"/>
          <w:szCs w:val="18"/>
          <w:color w:val="auto"/>
        </w:rPr>
        <w:t>ASSIGNMENT FORM</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assign this Note, fill in the form below:</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or (we) assign and transfer this Note to:</w:t>
      </w: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974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572135</wp:posOffset>
            </wp:positionV>
            <wp:extent cx="49974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288925</wp:posOffset>
            </wp:positionV>
            <wp:extent cx="49974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97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97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3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irrevocably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974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1499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29"/>
          <w:szCs w:val="29"/>
          <w:color w:val="auto"/>
          <w:vertAlign w:val="superscript"/>
        </w:rPr>
        <w:t>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-41275</wp:posOffset>
            </wp:positionV>
            <wp:extent cx="2854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17830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6" w:lineRule="exact"/>
        <w:rPr>
          <w:sz w:val="20"/>
          <w:szCs w:val="20"/>
          <w:color w:val="auto"/>
        </w:rPr>
      </w:pPr>
    </w:p>
    <w:p>
      <w:pPr>
        <w:ind w:left="5480" w:right="1500" w:hanging="5472"/>
        <w:spacing w:after="0" w:line="618" w:lineRule="auto"/>
        <w:tabs>
          <w:tab w:leader="none" w:pos="652" w:val="left"/>
        </w:tabs>
        <w:numPr>
          <w:ilvl w:val="0"/>
          <w:numId w:val="194"/>
        </w:numPr>
        <w:rPr>
          <w:rFonts w:ascii="Arial" w:cs="Arial" w:eastAsia="Arial" w:hAnsi="Arial"/>
          <w:sz w:val="30"/>
          <w:szCs w:val="30"/>
          <w:color w:val="auto"/>
          <w:vertAlign w:val="superscript"/>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115" w:name="page116"/>
    <w:bookmarkEnd w:id="115"/>
    <w:p>
      <w:pPr>
        <w:jc w:val="center"/>
        <w:ind w:right="-259"/>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want to elect to have this Note purchased by the Company pursuant to Section 4.10 or 4.15 of the Indenture, check the appropriate box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78" w:lineRule="exact"/>
        <w:rPr>
          <w:sz w:val="20"/>
          <w:szCs w:val="20"/>
          <w:color w:val="auto"/>
        </w:rPr>
      </w:pPr>
    </w:p>
    <w:p>
      <w:pPr>
        <w:ind w:left="4660" w:hanging="210"/>
        <w:spacing w:after="0" w:line="207" w:lineRule="exact"/>
        <w:tabs>
          <w:tab w:leader="none" w:pos="4660" w:val="left"/>
        </w:tabs>
        <w:numPr>
          <w:ilvl w:val="0"/>
          <w:numId w:val="195"/>
        </w:numPr>
        <w:rPr>
          <w:rFonts w:ascii="MS PGothic" w:cs="MS PGothic" w:eastAsia="MS PGothic" w:hAnsi="MS PGothic"/>
          <w:sz w:val="18"/>
          <w:szCs w:val="18"/>
          <w:color w:val="auto"/>
        </w:rPr>
      </w:pPr>
      <w:r>
        <w:rPr>
          <w:rFonts w:ascii="Arial" w:cs="Arial" w:eastAsia="Arial" w:hAnsi="Arial"/>
          <w:sz w:val="18"/>
          <w:szCs w:val="18"/>
          <w:color w:val="auto"/>
        </w:rPr>
        <w:t xml:space="preserve">Section 4.10 </w:t>
      </w:r>
      <w:r>
        <w:rPr>
          <w:rFonts w:ascii="MS PGothic" w:cs="MS PGothic" w:eastAsia="MS PGothic" w:hAnsi="MS PGothic"/>
          <w:sz w:val="18"/>
          <w:szCs w:val="18"/>
          <w:color w:val="auto"/>
        </w:rPr>
        <w:t>☐</w:t>
      </w:r>
      <w:r>
        <w:rPr>
          <w:rFonts w:ascii="Arial" w:cs="Arial" w:eastAsia="Arial" w:hAnsi="Arial"/>
          <w:sz w:val="18"/>
          <w:szCs w:val="18"/>
          <w:color w:val="auto"/>
        </w:rPr>
        <w:t xml:space="preserve"> Section 4.15</w:t>
      </w:r>
    </w:p>
    <w:p>
      <w:pPr>
        <w:spacing w:after="0" w:line="2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4.10 or Section 4.15 of the Indenture, state the amount you elect to have purchased: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5520" w:type="dxa"/>
            <w:vAlign w:val="bottom"/>
            <w:gridSpan w:val="2"/>
          </w:tcPr>
          <w:p>
            <w:pPr>
              <w:ind w:left="5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Borders>
              <w:bottom w:val="single" w:sz="8" w:color="auto"/>
            </w:tcBorders>
          </w:tcPr>
          <w:p>
            <w:pPr>
              <w:spacing w:after="0"/>
              <w:rPr>
                <w:sz w:val="19"/>
                <w:szCs w:val="19"/>
                <w:color w:val="auto"/>
              </w:rPr>
            </w:pPr>
          </w:p>
        </w:tc>
        <w:tc>
          <w:tcPr>
            <w:tcW w:w="2920" w:type="dxa"/>
            <w:vAlign w:val="bottom"/>
          </w:tcPr>
          <w:p>
            <w:pPr>
              <w:ind w:left="2580"/>
              <w:spacing w:after="0"/>
              <w:rPr>
                <w:sz w:val="20"/>
                <w:szCs w:val="20"/>
                <w:color w:val="auto"/>
              </w:rPr>
            </w:pPr>
            <w:r>
              <w:rPr>
                <w:rFonts w:ascii="Arial" w:cs="Arial" w:eastAsia="Arial" w:hAnsi="Arial"/>
                <w:sz w:val="18"/>
                <w:szCs w:val="18"/>
                <w:color w:val="auto"/>
                <w:w w:val="84"/>
              </w:rPr>
              <w:t>Your</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87"/>
              </w:rPr>
              <w:t>Signature:</w:t>
            </w:r>
          </w:p>
        </w:tc>
      </w:tr>
    </w:tbl>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168910</wp:posOffset>
            </wp:positionV>
            <wp:extent cx="35572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29"/>
          <w:szCs w:val="29"/>
          <w:color w:val="auto"/>
          <w:vertAlign w:val="superscript"/>
        </w:rPr>
        <w:t>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783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2" w:lineRule="exact"/>
        <w:rPr>
          <w:sz w:val="20"/>
          <w:szCs w:val="20"/>
          <w:color w:val="auto"/>
        </w:rPr>
      </w:pPr>
    </w:p>
    <w:p>
      <w:pPr>
        <w:ind w:left="5440" w:right="1720" w:hanging="5432"/>
        <w:spacing w:after="0" w:line="618" w:lineRule="auto"/>
        <w:tabs>
          <w:tab w:leader="none" w:pos="333" w:val="left"/>
        </w:tabs>
        <w:numPr>
          <w:ilvl w:val="0"/>
          <w:numId w:val="196"/>
        </w:numPr>
        <w:rPr>
          <w:rFonts w:ascii="Arial" w:cs="Arial" w:eastAsia="Arial" w:hAnsi="Arial"/>
          <w:sz w:val="30"/>
          <w:szCs w:val="30"/>
          <w:color w:val="auto"/>
          <w:vertAlign w:val="superscript"/>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SCHEDULE OF EXCHANGES OF INTERESTS IN THE GLOBAL NOTE</w:t>
      </w:r>
      <w:r>
        <w:rPr>
          <w:rFonts w:ascii="Arial" w:cs="Arial" w:eastAsia="Arial" w:hAnsi="Arial"/>
          <w:sz w:val="29"/>
          <w:szCs w:val="29"/>
          <w:color w:val="auto"/>
          <w:vertAlign w:val="superscript"/>
        </w:rPr>
        <w:t>10</w:t>
      </w:r>
    </w:p>
    <w:p>
      <w:pPr>
        <w:spacing w:after="0" w:line="13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168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Amount of</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Amount of</w:t>
            </w:r>
          </w:p>
        </w:tc>
        <w:tc>
          <w:tcPr>
            <w:tcW w:w="1780" w:type="dxa"/>
            <w:vAlign w:val="bottom"/>
            <w:gridSpan w:val="2"/>
          </w:tcPr>
          <w:p>
            <w:pPr>
              <w:spacing w:after="0"/>
              <w:rPr>
                <w:sz w:val="20"/>
                <w:szCs w:val="20"/>
                <w:color w:val="auto"/>
              </w:rPr>
            </w:pPr>
            <w:r>
              <w:rPr>
                <w:rFonts w:ascii="Arial" w:cs="Arial" w:eastAsia="Arial" w:hAnsi="Arial"/>
                <w:sz w:val="18"/>
                <w:szCs w:val="18"/>
                <w:color w:val="auto"/>
              </w:rPr>
              <w:t>Amount of this</w:t>
            </w:r>
          </w:p>
        </w:tc>
        <w:tc>
          <w:tcPr>
            <w:tcW w:w="1680" w:type="dxa"/>
            <w:vAlign w:val="bottom"/>
          </w:tcPr>
          <w:p>
            <w:pPr>
              <w:spacing w:after="0"/>
              <w:rPr>
                <w:sz w:val="20"/>
                <w:szCs w:val="20"/>
                <w:color w:val="auto"/>
              </w:rPr>
            </w:pPr>
            <w:r>
              <w:rPr>
                <w:rFonts w:ascii="Arial" w:cs="Arial" w:eastAsia="Arial" w:hAnsi="Arial"/>
                <w:sz w:val="18"/>
                <w:szCs w:val="18"/>
                <w:color w:val="auto"/>
              </w:rPr>
              <w:t>Signature of</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decrease in</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increase in</w:t>
            </w:r>
          </w:p>
        </w:tc>
        <w:tc>
          <w:tcPr>
            <w:tcW w:w="1780" w:type="dxa"/>
            <w:vAlign w:val="bottom"/>
            <w:gridSpan w:val="2"/>
          </w:tcPr>
          <w:p>
            <w:pPr>
              <w:spacing w:after="0"/>
              <w:rPr>
                <w:sz w:val="20"/>
                <w:szCs w:val="20"/>
                <w:color w:val="auto"/>
              </w:rPr>
            </w:pPr>
            <w:r>
              <w:rPr>
                <w:rFonts w:ascii="Arial" w:cs="Arial" w:eastAsia="Arial" w:hAnsi="Arial"/>
                <w:sz w:val="18"/>
                <w:szCs w:val="18"/>
                <w:color w:val="auto"/>
              </w:rPr>
              <w:t>Global Note</w:t>
            </w:r>
          </w:p>
        </w:tc>
        <w:tc>
          <w:tcPr>
            <w:tcW w:w="1680" w:type="dxa"/>
            <w:vAlign w:val="bottom"/>
          </w:tcPr>
          <w:p>
            <w:pPr>
              <w:spacing w:after="0"/>
              <w:rPr>
                <w:sz w:val="20"/>
                <w:szCs w:val="20"/>
                <w:color w:val="auto"/>
              </w:rPr>
            </w:pPr>
            <w:r>
              <w:rPr>
                <w:rFonts w:ascii="Arial" w:cs="Arial" w:eastAsia="Arial" w:hAnsi="Arial"/>
                <w:sz w:val="18"/>
                <w:szCs w:val="18"/>
                <w:color w:val="auto"/>
              </w:rPr>
              <w:t>authorized</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Principal</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Principal</w:t>
            </w:r>
          </w:p>
        </w:tc>
        <w:tc>
          <w:tcPr>
            <w:tcW w:w="1780" w:type="dxa"/>
            <w:vAlign w:val="bottom"/>
            <w:gridSpan w:val="2"/>
          </w:tcPr>
          <w:p>
            <w:pPr>
              <w:spacing w:after="0"/>
              <w:rPr>
                <w:sz w:val="20"/>
                <w:szCs w:val="20"/>
                <w:color w:val="auto"/>
              </w:rPr>
            </w:pPr>
            <w:r>
              <w:rPr>
                <w:rFonts w:ascii="Arial" w:cs="Arial" w:eastAsia="Arial" w:hAnsi="Arial"/>
                <w:sz w:val="18"/>
                <w:szCs w:val="18"/>
                <w:color w:val="auto"/>
              </w:rPr>
              <w:t>following such</w:t>
            </w:r>
          </w:p>
        </w:tc>
        <w:tc>
          <w:tcPr>
            <w:tcW w:w="1680" w:type="dxa"/>
            <w:vAlign w:val="bottom"/>
          </w:tcPr>
          <w:p>
            <w:pPr>
              <w:spacing w:after="0"/>
              <w:rPr>
                <w:sz w:val="20"/>
                <w:szCs w:val="20"/>
                <w:color w:val="auto"/>
              </w:rPr>
            </w:pPr>
            <w:r>
              <w:rPr>
                <w:rFonts w:ascii="Arial" w:cs="Arial" w:eastAsia="Arial" w:hAnsi="Arial"/>
                <w:sz w:val="18"/>
                <w:szCs w:val="18"/>
                <w:color w:val="auto"/>
              </w:rPr>
              <w:t>officer of</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Amount of this</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Amount of this</w:t>
            </w:r>
          </w:p>
        </w:tc>
        <w:tc>
          <w:tcPr>
            <w:tcW w:w="1780" w:type="dxa"/>
            <w:vAlign w:val="bottom"/>
            <w:gridSpan w:val="2"/>
          </w:tcPr>
          <w:p>
            <w:pPr>
              <w:spacing w:after="0"/>
              <w:rPr>
                <w:sz w:val="20"/>
                <w:szCs w:val="20"/>
                <w:color w:val="auto"/>
              </w:rPr>
            </w:pPr>
            <w:r>
              <w:rPr>
                <w:rFonts w:ascii="Arial" w:cs="Arial" w:eastAsia="Arial" w:hAnsi="Arial"/>
                <w:sz w:val="18"/>
                <w:szCs w:val="18"/>
                <w:color w:val="auto"/>
              </w:rPr>
              <w:t>decrease (or</w:t>
            </w:r>
          </w:p>
        </w:tc>
        <w:tc>
          <w:tcPr>
            <w:tcW w:w="1680" w:type="dxa"/>
            <w:vAlign w:val="bottom"/>
          </w:tcPr>
          <w:p>
            <w:pPr>
              <w:spacing w:after="0"/>
              <w:rPr>
                <w:sz w:val="20"/>
                <w:szCs w:val="20"/>
                <w:color w:val="auto"/>
              </w:rPr>
            </w:pPr>
            <w:r>
              <w:rPr>
                <w:rFonts w:ascii="Arial" w:cs="Arial" w:eastAsia="Arial" w:hAnsi="Arial"/>
                <w:sz w:val="18"/>
                <w:szCs w:val="18"/>
                <w:color w:val="auto"/>
              </w:rPr>
              <w:t>Trustee or</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Date of Exchange</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Global Note</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Global Note</w:t>
            </w:r>
          </w:p>
        </w:tc>
        <w:tc>
          <w:tcPr>
            <w:tcW w:w="1780" w:type="dxa"/>
            <w:vAlign w:val="bottom"/>
            <w:gridSpan w:val="2"/>
          </w:tcPr>
          <w:p>
            <w:pPr>
              <w:spacing w:after="0"/>
              <w:rPr>
                <w:sz w:val="20"/>
                <w:szCs w:val="20"/>
                <w:color w:val="auto"/>
              </w:rPr>
            </w:pPr>
            <w:r>
              <w:rPr>
                <w:rFonts w:ascii="Arial" w:cs="Arial" w:eastAsia="Arial" w:hAnsi="Arial"/>
                <w:sz w:val="18"/>
                <w:szCs w:val="18"/>
                <w:color w:val="auto"/>
              </w:rPr>
              <w:t>increase)</w:t>
            </w:r>
          </w:p>
        </w:tc>
        <w:tc>
          <w:tcPr>
            <w:tcW w:w="1680" w:type="dxa"/>
            <w:vAlign w:val="bottom"/>
          </w:tcPr>
          <w:p>
            <w:pPr>
              <w:spacing w:after="0"/>
              <w:rPr>
                <w:sz w:val="20"/>
                <w:szCs w:val="20"/>
                <w:color w:val="auto"/>
              </w:rPr>
            </w:pPr>
            <w:r>
              <w:rPr>
                <w:rFonts w:ascii="Arial" w:cs="Arial" w:eastAsia="Arial" w:hAnsi="Arial"/>
                <w:sz w:val="18"/>
                <w:szCs w:val="18"/>
                <w:color w:val="auto"/>
              </w:rPr>
              <w:t>Custodian</w:t>
            </w:r>
          </w:p>
        </w:tc>
      </w:tr>
      <w:tr>
        <w:trPr>
          <w:trHeight w:val="209"/>
        </w:trPr>
        <w:tc>
          <w:tcPr>
            <w:tcW w:w="28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820" w:type="dxa"/>
            <w:vAlign w:val="bottom"/>
            <w:tcBorders>
              <w:bottom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ind w:left="5440" w:right="5220" w:hanging="5432"/>
        <w:spacing w:after="0" w:line="739" w:lineRule="auto"/>
        <w:tabs>
          <w:tab w:leader="none" w:pos="654" w:val="left"/>
        </w:tabs>
        <w:numPr>
          <w:ilvl w:val="0"/>
          <w:numId w:val="197"/>
        </w:numPr>
        <w:rPr>
          <w:rFonts w:ascii="Arial" w:cs="Arial" w:eastAsia="Arial" w:hAnsi="Arial"/>
          <w:sz w:val="27"/>
          <w:szCs w:val="27"/>
          <w:color w:val="auto"/>
          <w:vertAlign w:val="superscript"/>
        </w:rPr>
      </w:pPr>
      <w:r>
        <w:rPr>
          <w:rFonts w:ascii="Arial" w:cs="Arial" w:eastAsia="Arial" w:hAnsi="Arial"/>
          <w:sz w:val="16"/>
          <w:szCs w:val="16"/>
          <w:color w:val="auto"/>
        </w:rPr>
        <w:t>This schedule should be included only if the Note is issued in global form.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Gaithersburg, MD 21079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Dept</w:t>
      </w:r>
    </w:p>
    <w:p>
      <w:pPr>
        <w:spacing w:after="0" w:line="192" w:lineRule="auto"/>
        <w:rPr>
          <w:sz w:val="20"/>
          <w:szCs w:val="20"/>
          <w:color w:val="auto"/>
        </w:rPr>
      </w:pPr>
      <w:r>
        <w:rPr>
          <w:rFonts w:ascii="Arial" w:cs="Arial" w:eastAsia="Arial" w:hAnsi="Arial"/>
          <w:sz w:val="18"/>
          <w:szCs w:val="18"/>
          <w:color w:val="auto"/>
        </w:rPr>
        <w:t>One Federal St,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Laura.cawley@usbank.com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3.875% Senior Unsecured Notes due 2028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Reference is hereby made to the Indenture, dated as of August 7,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Emergent BioSolutions Inc.,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Guarantors from time to time party thereto and U.S. Bank National Association, as trustee. Capitalized terms used but not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meanings given to them in the Indenture.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 the principal amount of</w:t>
      </w:r>
    </w:p>
    <w:p>
      <w:pPr>
        <w:spacing w:after="0" w:line="46" w:lineRule="exact"/>
        <w:rPr>
          <w:sz w:val="20"/>
          <w:szCs w:val="20"/>
          <w:color w:val="auto"/>
        </w:rPr>
      </w:pPr>
    </w:p>
    <w:p>
      <w:pPr>
        <w:spacing w:after="0"/>
        <w:tabs>
          <w:tab w:leader="none" w:pos="400" w:val="left"/>
          <w:tab w:leader="none" w:pos="4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color w:val="auto"/>
        </w:rPr>
        <w:t>Transferee</w:t>
      </w:r>
      <w:r>
        <w:rPr>
          <w:rFonts w:ascii="Arial" w:cs="Arial" w:eastAsia="Arial" w:hAnsi="Arial"/>
          <w:sz w:val="16"/>
          <w:szCs w:val="16"/>
          <w:color w:val="auto"/>
        </w:rPr>
        <w:t>”), as further specified in Annex A hereto. In connection with the Transfer,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ind w:right="60" w:firstLine="656"/>
        <w:spacing w:after="0" w:line="221" w:lineRule="exact"/>
        <w:tabs>
          <w:tab w:leader="none" w:pos="1323" w:val="left"/>
        </w:tabs>
        <w:numPr>
          <w:ilvl w:val="1"/>
          <w:numId w:val="19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to Rule 144A</w:t>
      </w:r>
      <w:r>
        <w:rPr>
          <w:rFonts w:ascii="Arial" w:cs="Arial" w:eastAsia="Arial" w:hAnsi="Arial"/>
          <w:sz w:val="17"/>
          <w:szCs w:val="17"/>
          <w:color w:val="auto"/>
        </w:rPr>
        <w:t>. 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Arial" w:cs="Arial" w:eastAsia="Arial" w:hAnsi="Arial"/>
          <w:sz w:val="17"/>
          <w:szCs w:val="17"/>
          <w:color w:val="auto"/>
        </w:rPr>
      </w:pPr>
    </w:p>
    <w:p>
      <w:pPr>
        <w:ind w:right="160" w:firstLine="656"/>
        <w:spacing w:after="0" w:line="223" w:lineRule="exact"/>
        <w:tabs>
          <w:tab w:leader="none" w:pos="1323" w:val="left"/>
        </w:tabs>
        <w:numPr>
          <w:ilvl w:val="1"/>
          <w:numId w:val="19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 Note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pursuant to Regulation S</w:t>
      </w:r>
      <w:r>
        <w:rPr>
          <w:rFonts w:ascii="Arial" w:cs="Arial" w:eastAsia="Arial" w:hAnsi="Arial"/>
          <w:sz w:val="16"/>
          <w:szCs w:val="16"/>
          <w:color w:val="auto"/>
        </w:rPr>
        <w:t>. The Transfer is being effected pursuant to and in accordance with Rule 903 or Rule 904 under the Securities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w:t>
      </w:r>
    </w:p>
    <w:p>
      <w:pPr>
        <w:spacing w:after="0" w:line="2" w:lineRule="exact"/>
        <w:rPr>
          <w:rFonts w:ascii="Arial" w:cs="Arial" w:eastAsia="Arial" w:hAnsi="Arial"/>
          <w:sz w:val="16"/>
          <w:szCs w:val="16"/>
          <w:color w:val="auto"/>
        </w:rPr>
      </w:pPr>
    </w:p>
    <w:p>
      <w:pPr>
        <w:jc w:val="both"/>
        <w:ind w:right="260" w:firstLine="8"/>
        <w:spacing w:after="0" w:line="271" w:lineRule="auto"/>
        <w:tabs>
          <w:tab w:leader="none" w:pos="31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transaction is not part of a plan or scheme to evade the registration requirements of the Securities Act and (iv) if the proposed transfer is being made prior to the expiration of B-1 the Restricted Period, the transfer is not being made to a U.S. Person or for the account or benefit of a U.S. Person (other than the Initial Purchasers).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8" w:name="page119"/>
    <w:bookmarkEnd w:id="118"/>
    <w:p>
      <w:pPr>
        <w:ind w:left="-20" w:right="40" w:firstLine="656"/>
        <w:spacing w:after="0" w:line="226" w:lineRule="exact"/>
        <w:tabs>
          <w:tab w:leader="none" w:pos="1303" w:val="left"/>
        </w:tabs>
        <w:numPr>
          <w:ilvl w:val="0"/>
          <w:numId w:val="20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and complete if Transferee will take delivery of a beneficial interest in the IAI Global Note or a Restricted Definitive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Note pursuant to any provision of the Securities Act other than Rule 144A or Regulation S</w:t>
      </w:r>
      <w:r>
        <w:rPr>
          <w:rFonts w:ascii="Arial" w:cs="Arial" w:eastAsia="Arial" w:hAnsi="Arial"/>
          <w:sz w:val="18"/>
          <w:szCs w:val="18"/>
          <w:color w:val="auto"/>
        </w:rPr>
        <w:t>. The Transfer is being effected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0" w:lineRule="exact"/>
        <w:rPr>
          <w:rFonts w:ascii="Arial" w:cs="Arial" w:eastAsia="Arial" w:hAnsi="Arial"/>
          <w:sz w:val="18"/>
          <w:szCs w:val="18"/>
          <w:color w:val="auto"/>
        </w:rPr>
      </w:pPr>
    </w:p>
    <w:p>
      <w:pPr>
        <w:ind w:left="2020" w:hanging="736"/>
        <w:spacing w:after="0" w:line="207" w:lineRule="exact"/>
        <w:tabs>
          <w:tab w:leader="none" w:pos="2020" w:val="left"/>
        </w:tabs>
        <w:numPr>
          <w:ilvl w:val="1"/>
          <w:numId w:val="20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 or</w:t>
      </w:r>
    </w:p>
    <w:p>
      <w:pPr>
        <w:spacing w:after="0" w:line="225" w:lineRule="exact"/>
        <w:rPr>
          <w:rFonts w:ascii="Arial" w:cs="Arial" w:eastAsia="Arial" w:hAnsi="Arial"/>
          <w:sz w:val="18"/>
          <w:szCs w:val="18"/>
          <w:color w:val="auto"/>
        </w:rPr>
      </w:pPr>
    </w:p>
    <w:p>
      <w:pPr>
        <w:ind w:left="2040" w:hanging="756"/>
        <w:spacing w:after="0" w:line="207" w:lineRule="exact"/>
        <w:tabs>
          <w:tab w:leader="none" w:pos="2040" w:val="left"/>
        </w:tabs>
        <w:numPr>
          <w:ilvl w:val="1"/>
          <w:numId w:val="20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225" w:lineRule="exact"/>
        <w:rPr>
          <w:rFonts w:ascii="Arial" w:cs="Arial" w:eastAsia="Arial" w:hAnsi="Arial"/>
          <w:sz w:val="18"/>
          <w:szCs w:val="18"/>
          <w:color w:val="auto"/>
        </w:rPr>
      </w:pPr>
    </w:p>
    <w:p>
      <w:pPr>
        <w:ind w:left="640" w:right="280" w:firstLine="644"/>
        <w:spacing w:after="0" w:line="239" w:lineRule="exact"/>
        <w:tabs>
          <w:tab w:leader="none" w:pos="2027" w:val="left"/>
        </w:tabs>
        <w:numPr>
          <w:ilvl w:val="1"/>
          <w:numId w:val="20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 or</w:t>
      </w:r>
    </w:p>
    <w:p>
      <w:pPr>
        <w:spacing w:after="0" w:line="170" w:lineRule="exact"/>
        <w:rPr>
          <w:rFonts w:ascii="Arial" w:cs="Arial" w:eastAsia="Arial" w:hAnsi="Arial"/>
          <w:sz w:val="18"/>
          <w:szCs w:val="18"/>
          <w:color w:val="auto"/>
        </w:rPr>
      </w:pPr>
    </w:p>
    <w:p>
      <w:pPr>
        <w:ind w:left="640" w:firstLine="644"/>
        <w:spacing w:after="0" w:line="220" w:lineRule="exact"/>
        <w:tabs>
          <w:tab w:leader="none" w:pos="2037" w:val="left"/>
        </w:tabs>
        <w:numPr>
          <w:ilvl w:val="1"/>
          <w:numId w:val="20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6" w:lineRule="exact"/>
        <w:rPr>
          <w:rFonts w:ascii="Arial" w:cs="Arial" w:eastAsia="Arial" w:hAnsi="Arial"/>
          <w:sz w:val="17"/>
          <w:szCs w:val="17"/>
          <w:color w:val="auto"/>
        </w:rPr>
      </w:pPr>
    </w:p>
    <w:p>
      <w:pPr>
        <w:ind w:left="820" w:hanging="184"/>
        <w:spacing w:after="0" w:line="184" w:lineRule="exact"/>
        <w:tabs>
          <w:tab w:leader="none" w:pos="820" w:val="left"/>
        </w:tabs>
        <w:numPr>
          <w:ilvl w:val="0"/>
          <w:numId w:val="20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u w:val="single" w:color="auto"/>
          <w:color w:val="auto"/>
        </w:rPr>
        <w:t>.</w:t>
      </w:r>
    </w:p>
    <w:p>
      <w:pPr>
        <w:spacing w:after="0" w:line="248" w:lineRule="exact"/>
        <w:rPr>
          <w:rFonts w:ascii="Arial" w:cs="Arial" w:eastAsia="Arial" w:hAnsi="Arial"/>
          <w:sz w:val="16"/>
          <w:szCs w:val="16"/>
          <w:color w:val="auto"/>
        </w:rPr>
      </w:pPr>
    </w:p>
    <w:p>
      <w:pPr>
        <w:ind w:left="640" w:firstLine="644"/>
        <w:spacing w:after="0" w:line="224" w:lineRule="exact"/>
        <w:tabs>
          <w:tab w:leader="none" w:pos="2027" w:val="left"/>
        </w:tabs>
        <w:numPr>
          <w:ilvl w:val="1"/>
          <w:numId w:val="20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Rule 144</w:t>
      </w:r>
      <w:r>
        <w:rPr>
          <w:rFonts w:ascii="Arial" w:cs="Arial" w:eastAsia="Arial" w:hAnsi="Arial"/>
          <w:sz w:val="16"/>
          <w:szCs w:val="16"/>
          <w:color w:val="auto"/>
        </w:rPr>
        <w:t>. (i) The Transfer is being effected pursuant to and in accordance with Rule 144</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6"/>
          <w:szCs w:val="16"/>
          <w:color w:val="auto"/>
        </w:rPr>
      </w:pPr>
    </w:p>
    <w:p>
      <w:pPr>
        <w:ind w:left="2040" w:hanging="756"/>
        <w:spacing w:after="0" w:line="196" w:lineRule="exact"/>
        <w:tabs>
          <w:tab w:leader="none" w:pos="2040" w:val="left"/>
        </w:tabs>
        <w:numPr>
          <w:ilvl w:val="1"/>
          <w:numId w:val="20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w:t>
      </w:r>
      <w:r>
        <w:rPr>
          <w:rFonts w:ascii="Arial" w:cs="Arial" w:eastAsia="Arial" w:hAnsi="Arial"/>
          <w:sz w:val="17"/>
          <w:szCs w:val="17"/>
          <w:color w:val="auto"/>
        </w:rPr>
        <w:t>. (i) The Transfer is being effected pursuant to and in accordance with</w:t>
      </w:r>
    </w:p>
    <w:p>
      <w:pPr>
        <w:spacing w:after="0" w:line="69" w:lineRule="exact"/>
        <w:rPr>
          <w:sz w:val="20"/>
          <w:szCs w:val="20"/>
          <w:color w:val="auto"/>
        </w:rPr>
      </w:pPr>
    </w:p>
    <w:p>
      <w:pPr>
        <w:ind w:left="640"/>
        <w:spacing w:after="0" w:line="291" w:lineRule="auto"/>
        <w:rPr>
          <w:sz w:val="20"/>
          <w:szCs w:val="20"/>
          <w:color w:val="auto"/>
        </w:rPr>
      </w:pPr>
      <w:r>
        <w:rPr>
          <w:rFonts w:ascii="Arial" w:cs="Arial" w:eastAsia="Arial" w:hAnsi="Arial"/>
          <w:sz w:val="16"/>
          <w:szCs w:val="16"/>
          <w:color w:val="auto"/>
        </w:rPr>
        <w:t>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or Restricted Definitive Notes and in the Indenture.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875" w:right="359" w:bottom="1440" w:gutter="0" w:footer="0" w:header="0"/>
        </w:sectPr>
      </w:pPr>
    </w:p>
    <w:bookmarkStart w:id="119" w:name="page120"/>
    <w:bookmarkEnd w:id="119"/>
    <w:p>
      <w:pPr>
        <w:ind w:left="660" w:right="60" w:firstLine="644"/>
        <w:spacing w:after="0" w:line="223" w:lineRule="exact"/>
        <w:tabs>
          <w:tab w:leader="none" w:pos="2047" w:val="left"/>
        </w:tabs>
        <w:numPr>
          <w:ilvl w:val="0"/>
          <w:numId w:val="20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Other Exemption</w:t>
      </w:r>
      <w:r>
        <w:rPr>
          <w:rFonts w:ascii="Arial" w:cs="Arial" w:eastAsia="Arial" w:hAnsi="Arial"/>
          <w:sz w:val="17"/>
          <w:szCs w:val="17"/>
          <w:color w:val="auto"/>
        </w:rPr>
        <w:t>. (i) The Transfer is being effected pursuant to and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0" w:name="page121"/>
    <w:bookmarkEnd w:id="120"/>
    <w:p>
      <w:pPr>
        <w:jc w:val="right"/>
        <w:ind w:right="2779"/>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720" w:hanging="712"/>
        <w:spacing w:after="0"/>
        <w:tabs>
          <w:tab w:leader="none" w:pos="7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[CHECK ONE OF (a) OR (b)]</w:t>
      </w:r>
    </w:p>
    <w:p>
      <w:pPr>
        <w:spacing w:after="0" w:line="192" w:lineRule="exact"/>
        <w:rPr>
          <w:sz w:val="20"/>
          <w:szCs w:val="20"/>
          <w:color w:val="auto"/>
        </w:rPr>
      </w:pPr>
    </w:p>
    <w:p>
      <w:pPr>
        <w:ind w:left="2040" w:hanging="736"/>
        <w:spacing w:after="0" w:line="207" w:lineRule="exact"/>
        <w:tabs>
          <w:tab w:leader="none" w:pos="2040" w:val="left"/>
        </w:tabs>
        <w:numPr>
          <w:ilvl w:val="0"/>
          <w:numId w:val="20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beneficial interest in the:</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25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w:t>
            </w:r>
          </w:p>
        </w:tc>
        <w:tc>
          <w:tcPr>
            <w:tcW w:w="720" w:type="dxa"/>
            <w:vAlign w:val="bottom"/>
          </w:tcPr>
          <w:p>
            <w:pPr>
              <w:ind w:left="280"/>
              <w:spacing w:after="0"/>
              <w:rPr>
                <w:sz w:val="20"/>
                <w:szCs w:val="20"/>
                <w:color w:val="auto"/>
              </w:rPr>
            </w:pPr>
            <w:r>
              <w:rPr>
                <w:rFonts w:ascii="Arial" w:cs="Arial" w:eastAsia="Arial" w:hAnsi="Arial"/>
                <w:sz w:val="18"/>
                <w:szCs w:val="18"/>
                <w:color w:val="auto"/>
              </w:rPr>
              <w:t>), or</w:t>
            </w:r>
          </w:p>
        </w:tc>
        <w:tc>
          <w:tcPr>
            <w:tcW w:w="44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3280" w:type="dxa"/>
            <w:vAlign w:val="bottom"/>
            <w:gridSpan w:val="2"/>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w:t>
            </w:r>
          </w:p>
        </w:tc>
        <w:tc>
          <w:tcPr>
            <w:tcW w:w="440" w:type="dxa"/>
            <w:vAlign w:val="bottom"/>
          </w:tcPr>
          <w:p>
            <w:pPr>
              <w:ind w:left="140"/>
              <w:spacing w:after="0"/>
              <w:rPr>
                <w:sz w:val="20"/>
                <w:szCs w:val="20"/>
                <w:color w:val="auto"/>
              </w:rPr>
            </w:pPr>
            <w:r>
              <w:rPr>
                <w:rFonts w:ascii="Arial" w:cs="Arial" w:eastAsia="Arial" w:hAnsi="Arial"/>
                <w:sz w:val="18"/>
                <w:szCs w:val="18"/>
                <w:color w:val="auto"/>
                <w:w w:val="87"/>
              </w:rPr>
              <w:t>), or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(iii)</w:t>
            </w:r>
          </w:p>
        </w:tc>
        <w:tc>
          <w:tcPr>
            <w:tcW w:w="25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w:t>
            </w:r>
          </w:p>
        </w:tc>
        <w:tc>
          <w:tcPr>
            <w:tcW w:w="720" w:type="dxa"/>
            <w:vAlign w:val="bottom"/>
          </w:tcPr>
          <w:p>
            <w:pPr>
              <w:ind w:left="220"/>
              <w:spacing w:after="0"/>
              <w:rPr>
                <w:sz w:val="20"/>
                <w:szCs w:val="20"/>
                <w:color w:val="auto"/>
              </w:rPr>
            </w:pPr>
            <w:r>
              <w:rPr>
                <w:rFonts w:ascii="Arial" w:cs="Arial" w:eastAsia="Arial" w:hAnsi="Arial"/>
                <w:sz w:val="18"/>
                <w:szCs w:val="18"/>
                <w:color w:val="auto"/>
              </w:rPr>
              <w:t>); or</w:t>
            </w:r>
          </w:p>
        </w:tc>
        <w:tc>
          <w:tcPr>
            <w:tcW w:w="440" w:type="dxa"/>
            <w:vAlign w:val="bottom"/>
          </w:tcPr>
          <w:p>
            <w:pPr>
              <w:spacing w:after="0"/>
              <w:rPr>
                <w:sz w:val="24"/>
                <w:szCs w:val="24"/>
                <w:color w:val="auto"/>
              </w:rPr>
            </w:pPr>
          </w:p>
        </w:tc>
      </w:tr>
    </w:tbl>
    <w:p>
      <w:pPr>
        <w:spacing w:after="0" w:line="149" w:lineRule="exact"/>
        <w:rPr>
          <w:sz w:val="20"/>
          <w:szCs w:val="20"/>
          <w:color w:val="auto"/>
        </w:rPr>
      </w:pPr>
    </w:p>
    <w:p>
      <w:pPr>
        <w:ind w:left="2060" w:hanging="756"/>
        <w:spacing w:after="0" w:line="207" w:lineRule="exact"/>
        <w:tabs>
          <w:tab w:leader="none" w:pos="2060" w:val="left"/>
        </w:tabs>
        <w:numPr>
          <w:ilvl w:val="1"/>
          <w:numId w:val="20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57" w:lineRule="exact"/>
        <w:rPr>
          <w:rFonts w:ascii="Arial" w:cs="Arial" w:eastAsia="Arial" w:hAnsi="Arial"/>
          <w:sz w:val="18"/>
          <w:szCs w:val="18"/>
          <w:color w:val="auto"/>
        </w:rPr>
      </w:pPr>
    </w:p>
    <w:p>
      <w:pPr>
        <w:ind w:left="720" w:hanging="712"/>
        <w:spacing w:after="0"/>
        <w:tabs>
          <w:tab w:leader="none" w:pos="7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[CHECK ONE]</w:t>
      </w:r>
    </w:p>
    <w:p>
      <w:pPr>
        <w:spacing w:after="0" w:line="192" w:lineRule="exact"/>
        <w:rPr>
          <w:sz w:val="20"/>
          <w:szCs w:val="20"/>
          <w:color w:val="auto"/>
        </w:rPr>
      </w:pPr>
    </w:p>
    <w:p>
      <w:pPr>
        <w:ind w:left="2040" w:hanging="736"/>
        <w:spacing w:after="0" w:line="207" w:lineRule="exact"/>
        <w:tabs>
          <w:tab w:leader="none" w:pos="2040" w:val="left"/>
        </w:tabs>
        <w:numPr>
          <w:ilvl w:val="0"/>
          <w:numId w:val="20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ectPr>
          <w:pgSz w:w="11900" w:h="16838" w:orient="portrait"/>
          <w:cols w:equalWidth="0" w:num="1">
            <w:col w:w="10139"/>
          </w:cols>
          <w:pgMar w:left="320" w:top="908" w:right="1440" w:bottom="1440" w:gutter="0" w:footer="0" w:header="0"/>
        </w:sectPr>
      </w:pPr>
    </w:p>
    <w:p>
      <w:pPr>
        <w:spacing w:after="0" w:line="225" w:lineRule="exact"/>
        <w:rPr>
          <w:sz w:val="20"/>
          <w:szCs w:val="20"/>
          <w:color w:val="auto"/>
        </w:rPr>
      </w:pPr>
    </w:p>
    <w:p>
      <w:pPr>
        <w:ind w:left="1960"/>
        <w:spacing w:after="0" w:line="184" w:lineRule="exact"/>
        <w:tabs>
          <w:tab w:leader="none" w:pos="2600" w:val="left"/>
        </w:tabs>
        <w:rPr>
          <w:sz w:val="20"/>
          <w:szCs w:val="20"/>
          <w:color w:val="auto"/>
        </w:rPr>
      </w:pPr>
      <w:r>
        <w:rPr>
          <w:rFonts w:ascii="Arial" w:cs="Arial" w:eastAsia="Arial" w:hAnsi="Arial"/>
          <w:sz w:val="16"/>
          <w:szCs w:val="16"/>
          <w:color w:val="auto"/>
        </w:rPr>
        <w:t>(i)</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(CUSIP</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4760" w:space="500"/>
            <w:col w:w="4879"/>
          </w:cols>
          <w:pgMar w:left="320" w:top="908" w:right="1440" w:bottom="1440" w:gutter="0" w:footer="0" w:header="0"/>
          <w:type w:val="continuous"/>
        </w:sectPr>
      </w:pPr>
    </w:p>
    <w:p>
      <w:pPr>
        <w:spacing w:after="0" w:line="15" w:lineRule="exact"/>
        <w:rPr>
          <w:sz w:val="20"/>
          <w:szCs w:val="20"/>
          <w:color w:val="auto"/>
        </w:rPr>
      </w:pPr>
    </w:p>
    <w:p>
      <w:pPr>
        <w:ind w:left="1960"/>
        <w:spacing w:after="0" w:line="184" w:lineRule="exact"/>
        <w:tabs>
          <w:tab w:leader="none" w:pos="2600" w:val="left"/>
        </w:tabs>
        <w:rPr>
          <w:sz w:val="20"/>
          <w:szCs w:val="20"/>
          <w:color w:val="auto"/>
        </w:rPr>
      </w:pPr>
      <w:r>
        <w:rPr>
          <w:rFonts w:ascii="Arial" w:cs="Arial" w:eastAsia="Arial" w:hAnsi="Arial"/>
          <w:sz w:val="16"/>
          <w:szCs w:val="16"/>
          <w:color w:val="auto"/>
        </w:rPr>
        <w:t>(ii)</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5300" w:space="580"/>
            <w:col w:w="4259"/>
          </w:cols>
          <w:pgMar w:left="320" w:top="908" w:right="1440" w:bottom="1440" w:gutter="0" w:footer="0" w:header="0"/>
          <w:type w:val="continuous"/>
        </w:sectPr>
      </w:pPr>
    </w:p>
    <w:p>
      <w:pPr>
        <w:spacing w:after="0" w:line="15" w:lineRule="exact"/>
        <w:rPr>
          <w:sz w:val="20"/>
          <w:szCs w:val="20"/>
          <w:color w:val="auto"/>
        </w:rPr>
      </w:pPr>
    </w:p>
    <w:p>
      <w:pPr>
        <w:ind w:left="1960"/>
        <w:spacing w:after="0" w:line="196" w:lineRule="exact"/>
        <w:tabs>
          <w:tab w:leader="none" w:pos="2600" w:val="left"/>
        </w:tabs>
        <w:rPr>
          <w:sz w:val="20"/>
          <w:szCs w:val="20"/>
          <w:color w:val="auto"/>
        </w:rPr>
      </w:pPr>
      <w:r>
        <w:rPr>
          <w:rFonts w:ascii="Arial" w:cs="Arial" w:eastAsia="Arial" w:hAnsi="Arial"/>
          <w:sz w:val="17"/>
          <w:szCs w:val="17"/>
          <w:color w:val="auto"/>
        </w:rPr>
        <w:t>(iii)</w:t>
      </w:r>
      <w:r>
        <w:rPr>
          <w:sz w:val="20"/>
          <w:szCs w:val="20"/>
          <w:color w:val="auto"/>
        </w:rPr>
        <w:tab/>
      </w:r>
      <w:r>
        <w:rPr>
          <w:rFonts w:ascii="MS PGothic" w:cs="MS PGothic" w:eastAsia="MS PGothic" w:hAnsi="MS PGothic"/>
          <w:sz w:val="17"/>
          <w:szCs w:val="17"/>
          <w:color w:val="auto"/>
        </w:rPr>
        <w:t>❑</w:t>
      </w:r>
      <w:r>
        <w:rPr>
          <w:rFonts w:ascii="Arial" w:cs="Arial" w:eastAsia="Arial" w:hAnsi="Arial"/>
          <w:sz w:val="17"/>
          <w:szCs w:val="17"/>
          <w:color w:val="auto"/>
        </w:rPr>
        <w:t xml:space="preserve"> IAI Global Note (CUSIP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4620" w:space="540"/>
            <w:col w:w="4979"/>
          </w:cols>
          <w:pgMar w:left="320" w:top="908" w:right="1440" w:bottom="1440" w:gutter="0" w:footer="0" w:header="0"/>
          <w:type w:val="continuous"/>
        </w:sectPr>
      </w:pPr>
    </w:p>
    <w:p>
      <w:pPr>
        <w:spacing w:after="0" w:line="15" w:lineRule="exact"/>
        <w:rPr>
          <w:sz w:val="20"/>
          <w:szCs w:val="20"/>
          <w:color w:val="auto"/>
        </w:rPr>
      </w:pPr>
    </w:p>
    <w:p>
      <w:pPr>
        <w:ind w:left="1960"/>
        <w:spacing w:after="0" w:line="184" w:lineRule="exact"/>
        <w:tabs>
          <w:tab w:leader="none" w:pos="2600" w:val="left"/>
        </w:tabs>
        <w:rPr>
          <w:sz w:val="20"/>
          <w:szCs w:val="20"/>
          <w:color w:val="auto"/>
        </w:rPr>
      </w:pPr>
      <w:r>
        <w:rPr>
          <w:rFonts w:ascii="Arial" w:cs="Arial" w:eastAsia="Arial" w:hAnsi="Arial"/>
          <w:sz w:val="16"/>
          <w:szCs w:val="16"/>
          <w:color w:val="auto"/>
        </w:rPr>
        <w:t>(iv)</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 xml:space="preserve"> Unrestricted Global Note (CUSIP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5260" w:space="540"/>
            <w:col w:w="4339"/>
          </w:cols>
          <w:pgMar w:left="320" w:top="908" w:right="1440" w:bottom="1440" w:gutter="0" w:footer="0" w:header="0"/>
          <w:type w:val="continuous"/>
        </w:sectPr>
      </w:pPr>
    </w:p>
    <w:p>
      <w:pPr>
        <w:spacing w:after="0" w:line="15" w:lineRule="exact"/>
        <w:rPr>
          <w:sz w:val="20"/>
          <w:szCs w:val="20"/>
          <w:color w:val="auto"/>
        </w:rPr>
      </w:pPr>
    </w:p>
    <w:p>
      <w:pPr>
        <w:ind w:left="2060" w:hanging="756"/>
        <w:spacing w:after="0" w:line="207" w:lineRule="exact"/>
        <w:tabs>
          <w:tab w:leader="none" w:pos="2060" w:val="left"/>
        </w:tabs>
        <w:numPr>
          <w:ilvl w:val="0"/>
          <w:numId w:val="20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225" w:lineRule="exact"/>
        <w:rPr>
          <w:rFonts w:ascii="Arial" w:cs="Arial" w:eastAsia="Arial" w:hAnsi="Arial"/>
          <w:sz w:val="18"/>
          <w:szCs w:val="18"/>
          <w:color w:val="auto"/>
        </w:rPr>
      </w:pPr>
    </w:p>
    <w:p>
      <w:pPr>
        <w:jc w:val="both"/>
        <w:ind w:left="1300" w:right="5519" w:firstLine="4"/>
        <w:spacing w:after="0" w:line="348" w:lineRule="exact"/>
        <w:tabs>
          <w:tab w:leader="none" w:pos="2039" w:val="left"/>
        </w:tabs>
        <w:numPr>
          <w:ilvl w:val="0"/>
          <w:numId w:val="20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 Unrestricted Definitive Note, in accordance with the terms of the Indenture.</w:t>
      </w:r>
    </w:p>
    <w:p>
      <w:pPr>
        <w:spacing w:after="0" w:line="200" w:lineRule="exact"/>
        <w:rPr>
          <w:sz w:val="20"/>
          <w:szCs w:val="20"/>
          <w:color w:val="auto"/>
        </w:rPr>
      </w:pPr>
    </w:p>
    <w:p>
      <w:pPr>
        <w:spacing w:after="0" w:line="218"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Gaithersburg, MD 21079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Dept</w:t>
      </w:r>
    </w:p>
    <w:p>
      <w:pPr>
        <w:spacing w:after="0" w:line="192" w:lineRule="auto"/>
        <w:rPr>
          <w:sz w:val="20"/>
          <w:szCs w:val="20"/>
          <w:color w:val="auto"/>
        </w:rPr>
      </w:pPr>
      <w:r>
        <w:rPr>
          <w:rFonts w:ascii="Arial" w:cs="Arial" w:eastAsia="Arial" w:hAnsi="Arial"/>
          <w:sz w:val="18"/>
          <w:szCs w:val="18"/>
          <w:color w:val="auto"/>
        </w:rPr>
        <w:t>One Federal St,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Laura.cawley@usbank.com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3.875% Senior Unsecured Notes due 2028</w:t>
      </w:r>
    </w:p>
    <w:p>
      <w:pPr>
        <w:spacing w:after="0" w:line="225" w:lineRule="exact"/>
        <w:rPr>
          <w:sz w:val="20"/>
          <w:szCs w:val="20"/>
          <w:color w:val="auto"/>
        </w:rPr>
      </w:pPr>
    </w:p>
    <w:p>
      <w:pPr>
        <w:ind w:left="5040"/>
        <w:spacing w:after="0"/>
        <w:tabs>
          <w:tab w:leader="none" w:pos="612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Reference is hereby made to the Indenture, dated as of August 7,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Emergent BioSolutions Inc.,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Guarantors from time to time party thereto and U.S. Bank National Association, as trustee. Capitalized terms used but not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meanings given to them in the Indenture.</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 principal amount of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in such</w:t>
      </w:r>
    </w:p>
    <w:p>
      <w:pPr>
        <w:spacing w:after="0" w:line="464" w:lineRule="exact"/>
        <w:rPr>
          <w:sz w:val="20"/>
          <w:szCs w:val="20"/>
          <w:color w:val="auto"/>
        </w:rPr>
      </w:pPr>
    </w:p>
    <w:p>
      <w:pPr>
        <w:sectPr>
          <w:pgSz w:w="11900" w:h="16838" w:orient="portrait"/>
          <w:cols w:equalWidth="0" w:num="2">
            <w:col w:w="10060" w:space="320"/>
            <w:col w:w="860"/>
          </w:cols>
          <w:pgMar w:left="320" w:top="908" w:right="339" w:bottom="1440" w:gutter="0" w:footer="0" w:header="0"/>
          <w:type w:val="continuous"/>
        </w:sectPr>
      </w:pPr>
    </w:p>
    <w:p>
      <w:pPr>
        <w:spacing w:after="0" w:line="7" w:lineRule="exact"/>
        <w:rPr>
          <w:sz w:val="20"/>
          <w:szCs w:val="20"/>
          <w:color w:val="auto"/>
        </w:rPr>
      </w:pPr>
    </w:p>
    <w:p>
      <w:pPr>
        <w:ind w:right="720" w:firstLine="656"/>
        <w:spacing w:after="0" w:line="282" w:lineRule="auto"/>
        <w:tabs>
          <w:tab w:leader="none" w:pos="828"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2" w:lineRule="exact"/>
        <w:rPr>
          <w:rFonts w:ascii="Arial" w:cs="Arial" w:eastAsia="Arial" w:hAnsi="Arial"/>
          <w:sz w:val="18"/>
          <w:szCs w:val="18"/>
          <w:color w:val="auto"/>
        </w:rPr>
      </w:pPr>
    </w:p>
    <w:p>
      <w:pPr>
        <w:ind w:left="660" w:right="40" w:firstLine="644"/>
        <w:spacing w:after="0" w:line="222" w:lineRule="exact"/>
        <w:tabs>
          <w:tab w:leader="none" w:pos="2047" w:val="left"/>
        </w:tabs>
        <w:numPr>
          <w:ilvl w:val="1"/>
          <w:numId w:val="20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beneficial interest in a Restricted Global Note to beneficial interest in an Unrestricted Global Note</w:t>
      </w:r>
      <w:r>
        <w:rPr>
          <w:rFonts w:ascii="Arial" w:cs="Arial" w:eastAsia="Arial" w:hAnsi="Arial"/>
          <w:sz w:val="18"/>
          <w:szCs w:val="18"/>
          <w:color w:val="auto"/>
        </w:rPr>
        <w:t>. In connection with the Exchange of the Owner’s beneficial interest in a Restricted Global Note for a beneficial interest in an</w:t>
      </w:r>
      <w:r>
        <w:rPr>
          <w:rFonts w:ascii="Arial" w:cs="Arial" w:eastAsia="Arial" w:hAnsi="Arial"/>
          <w:sz w:val="18"/>
          <w:szCs w:val="18"/>
          <w:b w:val="1"/>
          <w:bCs w:val="1"/>
          <w:color w:val="auto"/>
        </w:rPr>
        <w:t xml:space="preserve"> </w:t>
      </w:r>
      <w:r>
        <w:rPr>
          <w:rFonts w:ascii="Arial" w:cs="Arial" w:eastAsia="Arial" w:hAnsi="Arial"/>
          <w:sz w:val="18"/>
          <w:szCs w:val="18"/>
          <w:color w:val="auto"/>
        </w:rPr>
        <w:t>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0" w:lineRule="exact"/>
        <w:rPr>
          <w:rFonts w:ascii="Arial" w:cs="Arial" w:eastAsia="Arial" w:hAnsi="Arial"/>
          <w:sz w:val="18"/>
          <w:szCs w:val="18"/>
          <w:color w:val="auto"/>
        </w:rPr>
      </w:pPr>
    </w:p>
    <w:p>
      <w:pPr>
        <w:ind w:left="660" w:right="60" w:firstLine="644"/>
        <w:spacing w:after="0" w:line="223" w:lineRule="exact"/>
        <w:tabs>
          <w:tab w:leader="none" w:pos="2057" w:val="left"/>
        </w:tabs>
        <w:numPr>
          <w:ilvl w:val="1"/>
          <w:numId w:val="20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beneficial interest in a Restricted Global Note to Unrestricted Definitive Note</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70" w:lineRule="exact"/>
        <w:rPr>
          <w:rFonts w:ascii="Arial" w:cs="Arial" w:eastAsia="Arial" w:hAnsi="Arial"/>
          <w:sz w:val="18"/>
          <w:szCs w:val="18"/>
          <w:color w:val="auto"/>
        </w:rPr>
      </w:pPr>
    </w:p>
    <w:p>
      <w:pPr>
        <w:ind w:left="660" w:right="60" w:firstLine="644"/>
        <w:spacing w:after="0" w:line="223" w:lineRule="exact"/>
        <w:tabs>
          <w:tab w:leader="none" w:pos="2047" w:val="left"/>
        </w:tabs>
        <w:numPr>
          <w:ilvl w:val="1"/>
          <w:numId w:val="20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beneficial interest in an Unrestricted Global Note</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22" w:name="page123"/>
    <w:bookmarkEnd w:id="122"/>
    <w:p>
      <w:pPr>
        <w:ind w:left="660" w:right="100" w:firstLine="644"/>
        <w:spacing w:after="0" w:line="224" w:lineRule="exact"/>
        <w:tabs>
          <w:tab w:leader="none" w:pos="2057" w:val="left"/>
        </w:tabs>
        <w:numPr>
          <w:ilvl w:val="1"/>
          <w:numId w:val="20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Unrestricted Definitive Note</w:t>
      </w:r>
      <w:r>
        <w:rPr>
          <w:rFonts w:ascii="Arial" w:cs="Arial" w:eastAsia="Arial" w:hAnsi="Arial"/>
          <w:sz w:val="16"/>
          <w:szCs w:val="16"/>
          <w:color w:val="auto"/>
        </w:rPr>
        <w:t>. In connection with the Owner’s</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2" w:lineRule="exact"/>
        <w:rPr>
          <w:rFonts w:ascii="Arial" w:cs="Arial" w:eastAsia="Arial" w:hAnsi="Arial"/>
          <w:sz w:val="16"/>
          <w:szCs w:val="16"/>
          <w:color w:val="auto"/>
        </w:rPr>
      </w:pPr>
    </w:p>
    <w:p>
      <w:pPr>
        <w:ind w:right="160" w:firstLine="656"/>
        <w:spacing w:after="0" w:line="282" w:lineRule="auto"/>
        <w:tabs>
          <w:tab w:leader="none" w:pos="828" w:val="left"/>
        </w:tabs>
        <w:numPr>
          <w:ilvl w:val="0"/>
          <w:numId w:val="210"/>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2" w:lineRule="exact"/>
        <w:rPr>
          <w:rFonts w:ascii="Arial" w:cs="Arial" w:eastAsia="Arial" w:hAnsi="Arial"/>
          <w:sz w:val="18"/>
          <w:szCs w:val="18"/>
          <w:color w:val="auto"/>
        </w:rPr>
      </w:pPr>
    </w:p>
    <w:p>
      <w:pPr>
        <w:ind w:left="660" w:right="120" w:firstLine="644"/>
        <w:spacing w:after="0" w:line="224" w:lineRule="exact"/>
        <w:tabs>
          <w:tab w:leader="none" w:pos="2047" w:val="left"/>
        </w:tabs>
        <w:numPr>
          <w:ilvl w:val="1"/>
          <w:numId w:val="2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beneficial interest in a Restricted Global Note to Restricted Definitive Note</w:t>
      </w:r>
      <w:r>
        <w:rPr>
          <w:rFonts w:ascii="Arial" w:cs="Arial" w:eastAsia="Arial" w:hAnsi="Arial"/>
          <w:sz w:val="18"/>
          <w:szCs w:val="18"/>
          <w:color w:val="auto"/>
        </w:rPr>
        <w: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1" w:lineRule="exact"/>
        <w:rPr>
          <w:rFonts w:ascii="Arial" w:cs="Arial" w:eastAsia="Arial" w:hAnsi="Arial"/>
          <w:sz w:val="18"/>
          <w:szCs w:val="18"/>
          <w:color w:val="auto"/>
        </w:rPr>
      </w:pPr>
    </w:p>
    <w:p>
      <w:pPr>
        <w:ind w:left="660" w:right="20" w:firstLine="644"/>
        <w:spacing w:after="0" w:line="222" w:lineRule="exact"/>
        <w:tabs>
          <w:tab w:leader="none" w:pos="2057" w:val="left"/>
        </w:tabs>
        <w:numPr>
          <w:ilvl w:val="1"/>
          <w:numId w:val="21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 Restricted Global Note</w:t>
      </w:r>
      <w:r>
        <w:rPr>
          <w:rFonts w:ascii="Arial" w:cs="Arial" w:eastAsia="Arial" w:hAnsi="Arial"/>
          <w:sz w:val="17"/>
          <w:szCs w:val="17"/>
          <w:color w:val="auto"/>
        </w:rPr>
        <w:t>.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the Exchange of the Owner’s Restricted Definitive Note for a beneficial interest in the [CHECK ONE] </w:t>
      </w:r>
      <w:r>
        <w:rPr>
          <w:rFonts w:ascii="MS PGothic" w:cs="MS PGothic" w:eastAsia="MS PGothic" w:hAnsi="MS PGothic"/>
          <w:sz w:val="17"/>
          <w:szCs w:val="17"/>
          <w:color w:val="auto"/>
        </w:rPr>
        <w:t>❑</w:t>
      </w:r>
      <w:r>
        <w:rPr>
          <w:rFonts w:ascii="Arial" w:cs="Arial" w:eastAsia="Arial" w:hAnsi="Arial"/>
          <w:sz w:val="17"/>
          <w:szCs w:val="17"/>
          <w:color w:val="auto"/>
        </w:rPr>
        <w:t xml:space="preserve"> 144A Global Note, </w:t>
      </w:r>
      <w:r>
        <w:rPr>
          <w:rFonts w:ascii="MS PGothic" w:cs="MS PGothic" w:eastAsia="MS PGothic" w:hAnsi="MS PGothic"/>
          <w:sz w:val="17"/>
          <w:szCs w:val="17"/>
          <w:color w:val="auto"/>
        </w:rPr>
        <w:t>❑</w:t>
      </w:r>
      <w:r>
        <w:rPr>
          <w:rFonts w:ascii="Arial" w:cs="Arial" w:eastAsia="Arial" w:hAnsi="Arial"/>
          <w:sz w:val="17"/>
          <w:szCs w:val="17"/>
          <w:color w:val="auto"/>
        </w:rPr>
        <w:t xml:space="preserve"> Regulation S Global Note,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Gaithersburg, MD 21079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Dept</w:t>
      </w:r>
    </w:p>
    <w:p>
      <w:pPr>
        <w:spacing w:after="0" w:line="192" w:lineRule="auto"/>
        <w:rPr>
          <w:sz w:val="20"/>
          <w:szCs w:val="20"/>
          <w:color w:val="auto"/>
        </w:rPr>
      </w:pPr>
      <w:r>
        <w:rPr>
          <w:rFonts w:ascii="Arial" w:cs="Arial" w:eastAsia="Arial" w:hAnsi="Arial"/>
          <w:sz w:val="18"/>
          <w:szCs w:val="18"/>
          <w:color w:val="auto"/>
        </w:rPr>
        <w:t>One Federal St,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Laura.cawley@usbank.com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3.875% Senior Unsecured Notes due 2028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Reference is hereby made to the Indenture, dated as of August 7,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Emergent BioSolutions Inc.,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guarantors from time to time party thereto and U.S. Bank National Association, as trustee. Capitalized terms used but not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meanings given to them in the Indenture.</w:t>
      </w:r>
    </w:p>
    <w:p>
      <w:pPr>
        <w:spacing w:after="0" w:line="211" w:lineRule="exact"/>
        <w:rPr>
          <w:sz w:val="20"/>
          <w:szCs w:val="20"/>
          <w:color w:val="auto"/>
        </w:rPr>
      </w:pPr>
    </w:p>
    <w:p>
      <w:pPr>
        <w:ind w:left="660"/>
        <w:spacing w:after="0"/>
        <w:tabs>
          <w:tab w:leader="none" w:pos="434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6"/>
          <w:szCs w:val="16"/>
          <w:color w:val="auto"/>
        </w:rPr>
        <w:t>aggregate principal amount of:</w:t>
      </w:r>
    </w:p>
    <w:p>
      <w:pPr>
        <w:spacing w:after="0" w:line="192" w:lineRule="exact"/>
        <w:rPr>
          <w:sz w:val="20"/>
          <w:szCs w:val="20"/>
          <w:color w:val="auto"/>
        </w:rPr>
      </w:pPr>
    </w:p>
    <w:p>
      <w:pPr>
        <w:ind w:left="2040" w:hanging="736"/>
        <w:spacing w:after="0" w:line="207" w:lineRule="exact"/>
        <w:tabs>
          <w:tab w:leader="none" w:pos="2040" w:val="left"/>
        </w:tabs>
        <w:numPr>
          <w:ilvl w:val="0"/>
          <w:numId w:val="2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225" w:lineRule="exact"/>
        <w:rPr>
          <w:rFonts w:ascii="Arial" w:cs="Arial" w:eastAsia="Arial" w:hAnsi="Arial"/>
          <w:sz w:val="18"/>
          <w:szCs w:val="18"/>
          <w:color w:val="auto"/>
        </w:rPr>
      </w:pPr>
    </w:p>
    <w:p>
      <w:pPr>
        <w:ind w:left="2060" w:hanging="756"/>
        <w:spacing w:after="0" w:line="207" w:lineRule="exact"/>
        <w:tabs>
          <w:tab w:leader="none" w:pos="2060" w:val="left"/>
        </w:tabs>
        <w:numPr>
          <w:ilvl w:val="0"/>
          <w:numId w:val="2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ind w:left="660" w:firstLine="644"/>
        <w:spacing w:after="0" w:line="311" w:lineRule="auto"/>
        <w:tabs>
          <w:tab w:leader="none" w:pos="2069" w:val="left"/>
        </w:tabs>
        <w:numPr>
          <w:ilvl w:val="0"/>
          <w:numId w:val="212"/>
        </w:numPr>
        <w:rPr>
          <w:rFonts w:ascii="Arial" w:cs="Arial" w:eastAsia="Arial" w:hAnsi="Arial"/>
          <w:sz w:val="16"/>
          <w:szCs w:val="16"/>
          <w:color w:val="auto"/>
        </w:rPr>
      </w:pPr>
      <w:r>
        <w:rPr>
          <w:rFonts w:ascii="Arial" w:cs="Arial" w:eastAsia="Arial" w:hAnsi="Arial"/>
          <w:sz w:val="16"/>
          <w:szCs w:val="16"/>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660" w:right="40" w:firstLine="644"/>
        <w:spacing w:after="0" w:line="269" w:lineRule="auto"/>
        <w:tabs>
          <w:tab w:leader="none" w:pos="206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78" w:lineRule="exact"/>
        <w:rPr>
          <w:rFonts w:ascii="Arial" w:cs="Arial" w:eastAsia="Arial" w:hAnsi="Arial"/>
          <w:sz w:val="17"/>
          <w:szCs w:val="17"/>
          <w:color w:val="auto"/>
        </w:rPr>
      </w:pPr>
    </w:p>
    <w:p>
      <w:pPr>
        <w:ind w:left="660" w:right="20" w:firstLine="644"/>
        <w:spacing w:after="0" w:line="259" w:lineRule="auto"/>
        <w:tabs>
          <w:tab w:leader="none" w:pos="206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ind w:left="660" w:right="120" w:firstLine="644"/>
        <w:spacing w:after="0" w:line="311" w:lineRule="auto"/>
        <w:tabs>
          <w:tab w:leader="none" w:pos="206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48" w:lineRule="exact"/>
        <w:rPr>
          <w:rFonts w:ascii="Arial" w:cs="Arial" w:eastAsia="Arial" w:hAnsi="Arial"/>
          <w:sz w:val="16"/>
          <w:szCs w:val="16"/>
          <w:color w:val="auto"/>
        </w:rPr>
      </w:pPr>
    </w:p>
    <w:p>
      <w:pPr>
        <w:ind w:left="660" w:right="420" w:firstLine="644"/>
        <w:spacing w:after="0" w:line="308" w:lineRule="auto"/>
        <w:tabs>
          <w:tab w:leader="none" w:pos="206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4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[Insert Name of Accredited Investor]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20 , among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Emergent BioSolutions Inc. (or its permitted successor),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the Company, and U.S. Bank National Association, as trustee under the Indenture referred to herein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7, 2020 providing for the issuance of 3.875% Senior Unsecured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Company,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40" w:firstLine="656"/>
        <w:spacing w:after="0" w:line="259" w:lineRule="auto"/>
        <w:tabs>
          <w:tab w:leader="none" w:pos="132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The Guaranteeing Subsidiary hereby becomes a party to the Indenture as a Guarantor and as such shall have all of the rights and be subject to all of the obligations and agreements of a Guarantor under the Indenture. The Guaranteeing Subsidiary hereby agrees, on a joint and several basis with all the existing Guarantors, to provide an unconditional Guarantee on the terms and subject to the conditions set forth in the Note Guarantee and in the Indenture including but not limited to Article X thereof.</w:t>
      </w:r>
    </w:p>
    <w:p>
      <w:pPr>
        <w:spacing w:after="0" w:line="186" w:lineRule="exact"/>
        <w:rPr>
          <w:rFonts w:ascii="Arial" w:cs="Arial" w:eastAsia="Arial" w:hAnsi="Arial"/>
          <w:sz w:val="18"/>
          <w:szCs w:val="18"/>
          <w:color w:val="auto"/>
        </w:rPr>
      </w:pPr>
    </w:p>
    <w:p>
      <w:pPr>
        <w:ind w:firstLine="656"/>
        <w:spacing w:after="0" w:line="311" w:lineRule="auto"/>
        <w:tabs>
          <w:tab w:leader="none" w:pos="1323"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48" w:lineRule="exact"/>
        <w:rPr>
          <w:rFonts w:ascii="Arial" w:cs="Arial" w:eastAsia="Arial" w:hAnsi="Arial"/>
          <w:sz w:val="16"/>
          <w:szCs w:val="16"/>
          <w:color w:val="auto"/>
        </w:rPr>
      </w:pPr>
    </w:p>
    <w:p>
      <w:pPr>
        <w:ind w:right="160" w:firstLine="656"/>
        <w:spacing w:after="0" w:line="255" w:lineRule="auto"/>
        <w:tabs>
          <w:tab w:leader="none" w:pos="132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past, present or future director, officer, employee, incorporator, stockholder or agent of the Guaranteeing Subsidiary, as such, shall have any liability for any obligations of the Company or any Guaranteeing Subsidiary under the Notes, any Note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92" w:lineRule="exact"/>
        <w:rPr>
          <w:rFonts w:ascii="Arial" w:cs="Arial" w:eastAsia="Arial" w:hAnsi="Arial"/>
          <w:sz w:val="18"/>
          <w:szCs w:val="18"/>
          <w:color w:val="auto"/>
        </w:rPr>
      </w:pPr>
    </w:p>
    <w:p>
      <w:pPr>
        <w:ind w:right="80" w:firstLine="656"/>
        <w:spacing w:after="0" w:line="286" w:lineRule="auto"/>
        <w:tabs>
          <w:tab w:leader="none" w:pos="1323"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SUPPLEMENTAL INDENTURE SHALL BE GOVERNED BY, AND CONSTRUED IN ACCORDANCE WITH, THE LAWS OF THE STATE OF NEW YORK WITHOUT GIVING EFFECT TO APPLICABLE PRINCIPLES OF CONFLICTS OF LAW TO THE EXTENT THAT THE APPLICATION OF THE LAWS OF ANOTHER JURISDICTION WOULD BE REQUIRED THEREBY.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right="160" w:firstLine="656"/>
        <w:spacing w:after="0" w:line="263" w:lineRule="auto"/>
        <w:tabs>
          <w:tab w:leader="none" w:pos="1323"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83" w:lineRule="exact"/>
        <w:rPr>
          <w:rFonts w:ascii="Arial" w:cs="Arial" w:eastAsia="Arial" w:hAnsi="Arial"/>
          <w:sz w:val="18"/>
          <w:szCs w:val="18"/>
          <w:color w:val="auto"/>
        </w:rPr>
      </w:pPr>
    </w:p>
    <w:p>
      <w:pPr>
        <w:ind w:firstLine="656"/>
        <w:spacing w:after="0" w:line="277" w:lineRule="auto"/>
        <w:tabs>
          <w:tab w:leader="none" w:pos="1323"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300" w:firstLine="656"/>
        <w:spacing w:after="0" w:line="263" w:lineRule="auto"/>
        <w:tabs>
          <w:tab w:leader="none" w:pos="1323"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The Trustee shall not be responsible in any manner whatsoever for or in respect of the validity or sufficiency of this Supplemental Indenture, the Note Guarantee of the Guaranteeing Subsidiary or for or in respect of the recitals contained herein, all of which recitals are made solely by the Guaranteeing Subsidiary and the Company.</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[Guaranteeing Subsidiary]</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9240"/>
        <w:spacing w:after="0"/>
        <w:rPr>
          <w:sz w:val="20"/>
          <w:szCs w:val="20"/>
          <w:color w:val="auto"/>
        </w:rPr>
      </w:pPr>
      <w:r>
        <w:rPr>
          <w:rFonts w:ascii="Arial" w:cs="Arial" w:eastAsia="Arial" w:hAnsi="Arial"/>
          <w:sz w:val="16"/>
          <w:szCs w:val="16"/>
          <w:color w:val="auto"/>
        </w:rPr>
        <w:t>Emergent BioSolutions Inc.</w:t>
      </w: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U.S. Bank National Association, as Trustee</w:t>
      </w: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Certain identified information marked with ** has been excluded from this exhibit because it is both (i) not material and (ii) would be competitively harmful if publicly disclosed.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Schedules to this Exhibit have also been omitted. The omitted information is not material and, if publicly disclosed, would likely cause competitive harm to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$450,000,000</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3.875% Senior Unsecured Notes due 2028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August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10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18"/>
        </w:trPr>
        <w:tc>
          <w:tcPr>
            <w:tcW w:w="10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w:t>
            </w:r>
          </w:p>
        </w:tc>
        <w:tc>
          <w:tcPr>
            <w:tcW w:w="810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2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w:t>
            </w:r>
          </w:p>
        </w:tc>
        <w:tc>
          <w:tcPr>
            <w:tcW w:w="8100" w:type="dxa"/>
            <w:vAlign w:val="bottom"/>
          </w:tcPr>
          <w:p>
            <w:pPr>
              <w:ind w:left="60"/>
              <w:spacing w:after="0"/>
              <w:rPr>
                <w:sz w:val="20"/>
                <w:szCs w:val="20"/>
                <w:color w:val="auto"/>
              </w:rPr>
            </w:pPr>
            <w:r>
              <w:rPr>
                <w:rFonts w:ascii="Arial" w:cs="Arial" w:eastAsia="Arial" w:hAnsi="Arial"/>
                <w:sz w:val="18"/>
                <w:szCs w:val="18"/>
                <w:color w:val="auto"/>
              </w:rPr>
              <w:t>Sale and Delivery to Initial Purchasers; Closing; Agreements to Sell, Purchase and Resell</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w:t>
            </w:r>
          </w:p>
        </w:tc>
        <w:tc>
          <w:tcPr>
            <w:tcW w:w="8100" w:type="dxa"/>
            <w:vAlign w:val="bottom"/>
          </w:tcPr>
          <w:p>
            <w:pPr>
              <w:ind w:left="60"/>
              <w:spacing w:after="0"/>
              <w:rPr>
                <w:sz w:val="20"/>
                <w:szCs w:val="20"/>
                <w:color w:val="auto"/>
              </w:rPr>
            </w:pPr>
            <w:r>
              <w:rPr>
                <w:rFonts w:ascii="Arial" w:cs="Arial" w:eastAsia="Arial" w:hAnsi="Arial"/>
                <w:sz w:val="18"/>
                <w:szCs w:val="18"/>
                <w:color w:val="auto"/>
              </w:rPr>
              <w:t>Covenants of the Company and the Guarantors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w:t>
            </w:r>
          </w:p>
        </w:tc>
        <w:tc>
          <w:tcPr>
            <w:tcW w:w="8100" w:type="dxa"/>
            <w:vAlign w:val="bottom"/>
          </w:tcPr>
          <w:p>
            <w:pPr>
              <w:ind w:left="60"/>
              <w:spacing w:after="0"/>
              <w:rPr>
                <w:sz w:val="20"/>
                <w:szCs w:val="20"/>
                <w:color w:val="auto"/>
              </w:rPr>
            </w:pPr>
            <w:r>
              <w:rPr>
                <w:rFonts w:ascii="Arial" w:cs="Arial" w:eastAsia="Arial" w:hAnsi="Arial"/>
                <w:sz w:val="18"/>
                <w:szCs w:val="18"/>
                <w:color w:val="auto"/>
              </w:rPr>
              <w:t>Payment of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w:t>
            </w:r>
          </w:p>
        </w:tc>
        <w:tc>
          <w:tcPr>
            <w:tcW w:w="8100" w:type="dxa"/>
            <w:vAlign w:val="bottom"/>
          </w:tcPr>
          <w:p>
            <w:pPr>
              <w:ind w:left="60"/>
              <w:spacing w:after="0"/>
              <w:rPr>
                <w:sz w:val="20"/>
                <w:szCs w:val="20"/>
                <w:color w:val="auto"/>
              </w:rPr>
            </w:pPr>
            <w:r>
              <w:rPr>
                <w:rFonts w:ascii="Arial" w:cs="Arial" w:eastAsia="Arial" w:hAnsi="Arial"/>
                <w:sz w:val="18"/>
                <w:szCs w:val="18"/>
                <w:color w:val="auto"/>
              </w:rPr>
              <w:t>Conditions of Initial Purchasers’ Obligations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w:t>
            </w:r>
          </w:p>
        </w:tc>
        <w:tc>
          <w:tcPr>
            <w:tcW w:w="810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w:t>
            </w:r>
          </w:p>
        </w:tc>
        <w:tc>
          <w:tcPr>
            <w:tcW w:w="8100" w:type="dxa"/>
            <w:vAlign w:val="bottom"/>
          </w:tcPr>
          <w:p>
            <w:pPr>
              <w:ind w:left="60"/>
              <w:spacing w:after="0"/>
              <w:rPr>
                <w:sz w:val="20"/>
                <w:szCs w:val="20"/>
                <w:color w:val="auto"/>
              </w:rPr>
            </w:pPr>
            <w:r>
              <w:rPr>
                <w:rFonts w:ascii="Arial" w:cs="Arial" w:eastAsia="Arial" w:hAnsi="Arial"/>
                <w:sz w:val="18"/>
                <w:szCs w:val="18"/>
                <w:color w:val="auto"/>
              </w:rPr>
              <w:t>Contribution</w:t>
            </w:r>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w:t>
            </w:r>
          </w:p>
        </w:tc>
        <w:tc>
          <w:tcPr>
            <w:tcW w:w="8100" w:type="dxa"/>
            <w:vAlign w:val="bottom"/>
          </w:tcPr>
          <w:p>
            <w:pPr>
              <w:ind w:left="60"/>
              <w:spacing w:after="0"/>
              <w:rPr>
                <w:sz w:val="20"/>
                <w:szCs w:val="20"/>
                <w:color w:val="auto"/>
              </w:rPr>
            </w:pPr>
            <w:r>
              <w:rPr>
                <w:rFonts w:ascii="Arial" w:cs="Arial" w:eastAsia="Arial" w:hAnsi="Arial"/>
                <w:sz w:val="18"/>
                <w:szCs w:val="18"/>
                <w:color w:val="auto"/>
              </w:rPr>
              <w:t>Representations, Warranties and Agreements to Survive Delivery</w:t>
            </w: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w:t>
            </w:r>
          </w:p>
        </w:tc>
        <w:tc>
          <w:tcPr>
            <w:tcW w:w="8100" w:type="dxa"/>
            <w:vAlign w:val="bottom"/>
          </w:tcPr>
          <w:p>
            <w:pPr>
              <w:ind w:left="60"/>
              <w:spacing w:after="0"/>
              <w:rPr>
                <w:sz w:val="20"/>
                <w:szCs w:val="20"/>
                <w:color w:val="auto"/>
              </w:rPr>
            </w:pPr>
            <w:r>
              <w:rPr>
                <w:rFonts w:ascii="Arial" w:cs="Arial" w:eastAsia="Arial" w:hAnsi="Arial"/>
                <w:sz w:val="18"/>
                <w:szCs w:val="18"/>
                <w:color w:val="auto"/>
              </w:rPr>
              <w:t>Termination of Agreement</w:t>
            </w:r>
          </w:p>
        </w:tc>
        <w:tc>
          <w:tcPr>
            <w:tcW w:w="2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w:t>
            </w:r>
          </w:p>
        </w:tc>
        <w:tc>
          <w:tcPr>
            <w:tcW w:w="8100" w:type="dxa"/>
            <w:vAlign w:val="bottom"/>
          </w:tcPr>
          <w:p>
            <w:pPr>
              <w:ind w:left="60"/>
              <w:spacing w:after="0"/>
              <w:rPr>
                <w:sz w:val="20"/>
                <w:szCs w:val="20"/>
                <w:color w:val="auto"/>
              </w:rPr>
            </w:pPr>
            <w:r>
              <w:rPr>
                <w:rFonts w:ascii="Arial" w:cs="Arial" w:eastAsia="Arial" w:hAnsi="Arial"/>
                <w:sz w:val="18"/>
                <w:szCs w:val="18"/>
                <w:color w:val="auto"/>
              </w:rPr>
              <w:t>Default by One or More of the Initial Purchasers</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w:t>
            </w:r>
          </w:p>
        </w:tc>
        <w:tc>
          <w:tcPr>
            <w:tcW w:w="8100" w:type="dxa"/>
            <w:vAlign w:val="bottom"/>
          </w:tcPr>
          <w:p>
            <w:pPr>
              <w:ind w:left="60"/>
              <w:spacing w:after="0"/>
              <w:rPr>
                <w:sz w:val="20"/>
                <w:szCs w:val="20"/>
                <w:color w:val="auto"/>
              </w:rPr>
            </w:pPr>
            <w:r>
              <w:rPr>
                <w:rFonts w:ascii="Arial" w:cs="Arial" w:eastAsia="Arial" w:hAnsi="Arial"/>
                <w:sz w:val="18"/>
                <w:szCs w:val="18"/>
                <w:color w:val="auto"/>
              </w:rPr>
              <w:t>Notices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w:t>
            </w:r>
          </w:p>
        </w:tc>
        <w:tc>
          <w:tcPr>
            <w:tcW w:w="8100" w:type="dxa"/>
            <w:vAlign w:val="bottom"/>
          </w:tcPr>
          <w:p>
            <w:pPr>
              <w:ind w:left="60"/>
              <w:spacing w:after="0"/>
              <w:rPr>
                <w:sz w:val="20"/>
                <w:szCs w:val="20"/>
                <w:color w:val="auto"/>
              </w:rPr>
            </w:pPr>
            <w:r>
              <w:rPr>
                <w:rFonts w:ascii="Arial" w:cs="Arial" w:eastAsia="Arial" w:hAnsi="Arial"/>
                <w:sz w:val="18"/>
                <w:szCs w:val="18"/>
                <w:color w:val="auto"/>
              </w:rPr>
              <w:t>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w:t>
            </w:r>
          </w:p>
        </w:tc>
        <w:tc>
          <w:tcPr>
            <w:tcW w:w="8100" w:type="dxa"/>
            <w:vAlign w:val="bottom"/>
          </w:tcPr>
          <w:p>
            <w:pPr>
              <w:ind w:left="60"/>
              <w:spacing w:after="0"/>
              <w:rPr>
                <w:sz w:val="20"/>
                <w:szCs w:val="20"/>
                <w:color w:val="auto"/>
              </w:rPr>
            </w:pPr>
            <w:r>
              <w:rPr>
                <w:rFonts w:ascii="Arial" w:cs="Arial" w:eastAsia="Arial" w:hAnsi="Arial"/>
                <w:sz w:val="18"/>
                <w:szCs w:val="18"/>
                <w:color w:val="auto"/>
              </w:rPr>
              <w:t>GOVERNING LAW AND TIME</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14.</w:t>
            </w:r>
          </w:p>
        </w:tc>
        <w:tc>
          <w:tcPr>
            <w:tcW w:w="8100" w:type="dxa"/>
            <w:vAlign w:val="bottom"/>
          </w:tcPr>
          <w:p>
            <w:pPr>
              <w:ind w:left="60"/>
              <w:spacing w:after="0"/>
              <w:rPr>
                <w:sz w:val="20"/>
                <w:szCs w:val="20"/>
                <w:color w:val="auto"/>
              </w:rPr>
            </w:pPr>
            <w:r>
              <w:rPr>
                <w:rFonts w:ascii="Arial" w:cs="Arial" w:eastAsia="Arial" w:hAnsi="Arial"/>
                <w:sz w:val="18"/>
                <w:szCs w:val="18"/>
                <w:color w:val="auto"/>
              </w:rPr>
              <w:t>Effect of Headings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15.</w:t>
            </w:r>
          </w:p>
        </w:tc>
        <w:tc>
          <w:tcPr>
            <w:tcW w:w="810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16.</w:t>
            </w:r>
          </w:p>
        </w:tc>
        <w:tc>
          <w:tcPr>
            <w:tcW w:w="8100" w:type="dxa"/>
            <w:vAlign w:val="bottom"/>
          </w:tcPr>
          <w:p>
            <w:pPr>
              <w:ind w:left="60"/>
              <w:spacing w:after="0"/>
              <w:rPr>
                <w:sz w:val="20"/>
                <w:szCs w:val="20"/>
                <w:color w:val="auto"/>
              </w:rPr>
            </w:pPr>
            <w:r>
              <w:rPr>
                <w:rFonts w:ascii="Arial" w:cs="Arial" w:eastAsia="Arial" w:hAnsi="Arial"/>
                <w:sz w:val="18"/>
                <w:szCs w:val="18"/>
                <w:color w:val="auto"/>
              </w:rPr>
              <w:t>Permitted Free Writing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17.</w:t>
            </w:r>
          </w:p>
        </w:tc>
        <w:tc>
          <w:tcPr>
            <w:tcW w:w="8100" w:type="dxa"/>
            <w:vAlign w:val="bottom"/>
          </w:tcPr>
          <w:p>
            <w:pPr>
              <w:ind w:left="60"/>
              <w:spacing w:after="0"/>
              <w:rPr>
                <w:sz w:val="20"/>
                <w:szCs w:val="20"/>
                <w:color w:val="auto"/>
              </w:rPr>
            </w:pPr>
            <w:r>
              <w:rPr>
                <w:rFonts w:ascii="Arial" w:cs="Arial" w:eastAsia="Arial" w:hAnsi="Arial"/>
                <w:sz w:val="18"/>
                <w:szCs w:val="18"/>
                <w:color w:val="auto"/>
              </w:rPr>
              <w:t>Absence of Fiduciary Relationship</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18.</w:t>
            </w:r>
          </w:p>
        </w:tc>
        <w:tc>
          <w:tcPr>
            <w:tcW w:w="8100" w:type="dxa"/>
            <w:vAlign w:val="bottom"/>
          </w:tcPr>
          <w:p>
            <w:pPr>
              <w:ind w:left="60"/>
              <w:spacing w:after="0"/>
              <w:rPr>
                <w:sz w:val="20"/>
                <w:szCs w:val="20"/>
                <w:color w:val="auto"/>
              </w:rPr>
            </w:pPr>
            <w:r>
              <w:rPr>
                <w:rFonts w:ascii="Arial" w:cs="Arial" w:eastAsia="Arial" w:hAnsi="Arial"/>
                <w:sz w:val="18"/>
                <w:szCs w:val="18"/>
                <w:color w:val="auto"/>
              </w:rPr>
              <w:t>Research Analyst Independence and Other Activities of the Initial Purchasers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19.</w:t>
            </w:r>
          </w:p>
        </w:tc>
        <w:tc>
          <w:tcPr>
            <w:tcW w:w="810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20.</w:t>
            </w:r>
          </w:p>
        </w:tc>
        <w:tc>
          <w:tcPr>
            <w:tcW w:w="8100" w:type="dxa"/>
            <w:vAlign w:val="bottom"/>
          </w:tcPr>
          <w:p>
            <w:pPr>
              <w:ind w:left="60"/>
              <w:spacing w:after="0"/>
              <w:rPr>
                <w:sz w:val="20"/>
                <w:szCs w:val="20"/>
                <w:color w:val="auto"/>
              </w:rPr>
            </w:pPr>
            <w:r>
              <w:rPr>
                <w:rFonts w:ascii="Arial" w:cs="Arial" w:eastAsia="Arial" w:hAnsi="Arial"/>
                <w:sz w:val="18"/>
                <w:szCs w:val="18"/>
                <w:color w:val="auto"/>
              </w:rPr>
              <w:t>Consent to Jurisdiction</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21.</w:t>
            </w:r>
          </w:p>
        </w:tc>
        <w:tc>
          <w:tcPr>
            <w:tcW w:w="8100" w:type="dxa"/>
            <w:vAlign w:val="bottom"/>
          </w:tcPr>
          <w:p>
            <w:pPr>
              <w:ind w:left="60"/>
              <w:spacing w:after="0"/>
              <w:rPr>
                <w:sz w:val="20"/>
                <w:szCs w:val="20"/>
                <w:color w:val="auto"/>
              </w:rPr>
            </w:pPr>
            <w:r>
              <w:rPr>
                <w:rFonts w:ascii="Arial" w:cs="Arial" w:eastAsia="Arial" w:hAnsi="Arial"/>
                <w:sz w:val="18"/>
                <w:szCs w:val="18"/>
                <w:color w:val="auto"/>
              </w:rPr>
              <w:t>Recognition of the U.S. Special Resolution Regimes</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Initial Purchasers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Guarantors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Subsidiaries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Form of Pricing Term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Issuer Free Writing Documents</w:t>
      </w:r>
    </w:p>
    <w:p>
      <w:pPr>
        <w:spacing w:after="0" w:line="9" w:lineRule="exact"/>
        <w:rPr>
          <w:sz w:val="20"/>
          <w:szCs w:val="20"/>
          <w:color w:val="auto"/>
        </w:rPr>
      </w:pPr>
    </w:p>
    <w:p>
      <w:pPr>
        <w:ind w:right="4159"/>
        <w:spacing w:after="0" w:line="260" w:lineRule="auto"/>
        <w:rPr>
          <w:sz w:val="20"/>
          <w:szCs w:val="20"/>
          <w:color w:val="auto"/>
        </w:rPr>
      </w:pPr>
      <w:r>
        <w:rPr>
          <w:rFonts w:ascii="Arial" w:cs="Arial" w:eastAsia="Arial" w:hAnsi="Arial"/>
          <w:sz w:val="18"/>
          <w:szCs w:val="18"/>
          <w:color w:val="auto"/>
        </w:rPr>
        <w:t>Exhibit F – Form of Opinion and Negative Assurance Letter of Company Counsel Exhibit G – Form of Opinion of Maryland Counsel</w:t>
      </w: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color w:val="auto"/>
        </w:rPr>
        <w:t>$450,000,000</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3.875% Senior Unsecured Notes due 2028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AGREEMENT</w:t>
      </w:r>
    </w:p>
    <w:p>
      <w:pPr>
        <w:spacing w:after="0" w:line="225"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August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Initial Purchasers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Wells Fargo Securities,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Emergent BioSolutions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confirms its agreement with Wells Fargo Securities, LLC (“</w:t>
      </w:r>
      <w:r>
        <w:rPr>
          <w:rFonts w:ascii="Arial" w:cs="Arial" w:eastAsia="Arial" w:hAnsi="Arial"/>
          <w:sz w:val="17"/>
          <w:szCs w:val="17"/>
          <w:u w:val="single" w:color="auto"/>
          <w:color w:val="auto"/>
        </w:rPr>
        <w:t>Wells Fargo</w:t>
      </w:r>
      <w:r>
        <w:rPr>
          <w:rFonts w:ascii="Arial" w:cs="Arial" w:eastAsia="Arial" w:hAnsi="Arial"/>
          <w:sz w:val="17"/>
          <w:szCs w:val="17"/>
          <w:color w:val="auto"/>
        </w:rPr>
        <w:t>”) and each of the other Initial Purchasers named on Exhibit A hereto (collectively, the “</w:t>
      </w:r>
      <w:r>
        <w:rPr>
          <w:rFonts w:ascii="Arial" w:cs="Arial" w:eastAsia="Arial" w:hAnsi="Arial"/>
          <w:sz w:val="17"/>
          <w:szCs w:val="17"/>
          <w:u w:val="single" w:color="auto"/>
          <w:color w:val="auto"/>
        </w:rPr>
        <w:t>Initial Purchasers</w:t>
      </w:r>
      <w:r>
        <w:rPr>
          <w:rFonts w:ascii="Arial" w:cs="Arial" w:eastAsia="Arial" w:hAnsi="Arial"/>
          <w:sz w:val="17"/>
          <w:szCs w:val="17"/>
          <w:color w:val="auto"/>
        </w:rPr>
        <w:t>,” which term shall also include any person substituted for an Initial Purchaser pursuant to Section 10 hereof), for whom Wells Fargo is acting as representative (in such capacity, the “</w:t>
      </w:r>
      <w:r>
        <w:rPr>
          <w:rFonts w:ascii="Arial" w:cs="Arial" w:eastAsia="Arial" w:hAnsi="Arial"/>
          <w:sz w:val="17"/>
          <w:szCs w:val="17"/>
          <w:u w:val="single" w:color="auto"/>
          <w:color w:val="auto"/>
        </w:rPr>
        <w:t>Representative</w:t>
      </w:r>
      <w:r>
        <w:rPr>
          <w:rFonts w:ascii="Arial" w:cs="Arial" w:eastAsia="Arial" w:hAnsi="Arial"/>
          <w:sz w:val="17"/>
          <w:szCs w:val="17"/>
          <w:color w:val="auto"/>
        </w:rPr>
        <w:t>”), with respect to the issue and sale by the Company and the purchase by the Initial Purchasers, acting severally and not jointly, of $450,000,000 in aggregate principal amount of the Company’s 3.875% Senior Unsecured Notes due 2028 (the “</w:t>
      </w:r>
      <w:r>
        <w:rPr>
          <w:rFonts w:ascii="Arial" w:cs="Arial" w:eastAsia="Arial" w:hAnsi="Arial"/>
          <w:sz w:val="17"/>
          <w:szCs w:val="17"/>
          <w:u w:val="single" w:color="auto"/>
          <w:color w:val="auto"/>
        </w:rPr>
        <w:t>Securities</w:t>
      </w:r>
      <w:r>
        <w:rPr>
          <w:rFonts w:ascii="Arial" w:cs="Arial" w:eastAsia="Arial" w:hAnsi="Arial"/>
          <w:sz w:val="17"/>
          <w:szCs w:val="17"/>
          <w:color w:val="auto"/>
        </w:rPr>
        <w:t>”). The Securities will be issued pursuant to an Indenture to be dated as of August 7, 2020 (the “</w:t>
      </w:r>
      <w:r>
        <w:rPr>
          <w:rFonts w:ascii="Arial" w:cs="Arial" w:eastAsia="Arial" w:hAnsi="Arial"/>
          <w:sz w:val="17"/>
          <w:szCs w:val="17"/>
          <w:u w:val="single" w:color="auto"/>
          <w:color w:val="auto"/>
        </w:rPr>
        <w:t>Indenture</w:t>
      </w:r>
      <w:r>
        <w:rPr>
          <w:rFonts w:ascii="Arial" w:cs="Arial" w:eastAsia="Arial" w:hAnsi="Arial"/>
          <w:sz w:val="17"/>
          <w:szCs w:val="17"/>
          <w:color w:val="auto"/>
        </w:rPr>
        <w:t>”) among the Company, the Guarantors referred to below, and U.S.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The Company’s obligations under the Securities, including the due and punctual payment of interest on the Securities, will be irrevocably and unconditionally guaranteed on an unsecured senior basis (the “</w:t>
      </w:r>
      <w:r>
        <w:rPr>
          <w:rFonts w:ascii="Arial" w:cs="Arial" w:eastAsia="Arial" w:hAnsi="Arial"/>
          <w:sz w:val="17"/>
          <w:szCs w:val="17"/>
          <w:u w:val="single" w:color="auto"/>
          <w:color w:val="auto"/>
        </w:rPr>
        <w:t>Guarantees</w:t>
      </w:r>
      <w:r>
        <w:rPr>
          <w:rFonts w:ascii="Arial" w:cs="Arial" w:eastAsia="Arial" w:hAnsi="Arial"/>
          <w:sz w:val="17"/>
          <w:szCs w:val="17"/>
          <w:color w:val="auto"/>
        </w:rPr>
        <w:t>”) by the guarantors named on Exhibit B hereto (together, the “</w:t>
      </w:r>
      <w:r>
        <w:rPr>
          <w:rFonts w:ascii="Arial" w:cs="Arial" w:eastAsia="Arial" w:hAnsi="Arial"/>
          <w:sz w:val="17"/>
          <w:szCs w:val="17"/>
          <w:u w:val="single" w:color="auto"/>
          <w:color w:val="auto"/>
        </w:rPr>
        <w:t>Guarantors</w:t>
      </w:r>
      <w:r>
        <w:rPr>
          <w:rFonts w:ascii="Arial" w:cs="Arial" w:eastAsia="Arial" w:hAnsi="Arial"/>
          <w:sz w:val="17"/>
          <w:szCs w:val="17"/>
          <w:color w:val="auto"/>
        </w:rPr>
        <w:t>”). As used herein, the term “Securities” shall include the Guarantees, unless the context otherwise requires. Certain terms used in this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are defined in Section 15 hereof.</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Securities will be offered and sold to the Initial Purchasers without registration under the 1933 Act, in reliance on the exemption provided by Section 4(a)(2) of the 1933 Act. The Company and the Guarantors have prepared a preliminary offering memorandum, dated August 4, 2020 (the “</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a pricing term sheet substantially in the form attached hereto as Exhibit D (the “</w:t>
      </w:r>
      <w:r>
        <w:rPr>
          <w:rFonts w:ascii="Arial" w:cs="Arial" w:eastAsia="Arial" w:hAnsi="Arial"/>
          <w:sz w:val="17"/>
          <w:szCs w:val="17"/>
          <w:u w:val="single" w:color="auto"/>
          <w:color w:val="auto"/>
        </w:rPr>
        <w:t>Pricing Term Sheet</w:t>
      </w:r>
      <w:r>
        <w:rPr>
          <w:rFonts w:ascii="Arial" w:cs="Arial" w:eastAsia="Arial" w:hAnsi="Arial"/>
          <w:sz w:val="17"/>
          <w:szCs w:val="17"/>
          <w:color w:val="auto"/>
        </w:rPr>
        <w:t>”) setting forth the terms of the Securities omitted from the Preliminary Offering Memorandum and an offering memorandum, dated August 4, 2020 (the “</w:t>
      </w:r>
      <w:r>
        <w:rPr>
          <w:rFonts w:ascii="Arial" w:cs="Arial" w:eastAsia="Arial" w:hAnsi="Arial"/>
          <w:sz w:val="17"/>
          <w:szCs w:val="17"/>
          <w:u w:val="single" w:color="auto"/>
          <w:color w:val="auto"/>
        </w:rPr>
        <w:t>Offering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Memorandum</w:t>
      </w:r>
      <w:r>
        <w:rPr>
          <w:rFonts w:ascii="Arial" w:cs="Arial" w:eastAsia="Arial" w:hAnsi="Arial"/>
          <w:sz w:val="17"/>
          <w:szCs w:val="17"/>
          <w:color w:val="auto"/>
        </w:rPr>
        <w:t>”), setting forth information regarding the Company and the Securities. The Preliminary Offering Memorandum, as supplemented and amended as of the Applicable Time, together with the Pricing Term Sheet and any of the documents listed on Exhibit E hereto are collectively referred to as the “</w:t>
      </w: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The Company and the Guarantors hereby confirm that they have authorized the use of the General Disclosure Package and the Offering Memorandum in connection with the offering and resale of the Securities by the Initial Purchasers.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648"/>
        <w:spacing w:after="0" w:line="296" w:lineRule="auto"/>
        <w:rPr>
          <w:sz w:val="20"/>
          <w:szCs w:val="20"/>
          <w:color w:val="auto"/>
        </w:rPr>
      </w:pPr>
      <w:r>
        <w:rPr>
          <w:rFonts w:ascii="Arial" w:cs="Arial" w:eastAsia="Arial" w:hAnsi="Arial"/>
          <w:sz w:val="16"/>
          <w:szCs w:val="16"/>
          <w:color w:val="auto"/>
        </w:rPr>
        <w:t>The Initial Purchasers have advised the Company that they will offer and resell (the “</w:t>
      </w:r>
      <w:r>
        <w:rPr>
          <w:rFonts w:ascii="Arial" w:cs="Arial" w:eastAsia="Arial" w:hAnsi="Arial"/>
          <w:sz w:val="16"/>
          <w:szCs w:val="16"/>
          <w:u w:val="single" w:color="auto"/>
          <w:color w:val="auto"/>
        </w:rPr>
        <w:t>Exempt Resales</w:t>
      </w:r>
      <w:r>
        <w:rPr>
          <w:rFonts w:ascii="Arial" w:cs="Arial" w:eastAsia="Arial" w:hAnsi="Arial"/>
          <w:sz w:val="16"/>
          <w:szCs w:val="16"/>
          <w:color w:val="auto"/>
        </w:rPr>
        <w:t>”) the Securities purchased by them hereunder on the terms set forth in each of the General Disclosure Package and the Offering Memorandum, as amended or supplemented, solely (i) to persons whom they reasonably believe to be “qualified institutional buyers” as defined in Rule 144A under the 1933 Act (“</w:t>
      </w:r>
      <w:r>
        <w:rPr>
          <w:rFonts w:ascii="Arial" w:cs="Arial" w:eastAsia="Arial" w:hAnsi="Arial"/>
          <w:sz w:val="16"/>
          <w:szCs w:val="16"/>
          <w:u w:val="single" w:color="auto"/>
          <w:color w:val="auto"/>
        </w:rPr>
        <w:t>QIBs</w:t>
      </w:r>
      <w:r>
        <w:rPr>
          <w:rFonts w:ascii="Arial" w:cs="Arial" w:eastAsia="Arial" w:hAnsi="Arial"/>
          <w:sz w:val="16"/>
          <w:szCs w:val="16"/>
          <w:color w:val="auto"/>
        </w:rPr>
        <w:t>”) and will take reasonable steps to ensure that such purchasers are aware that such sales are being made in reliance on Rule 144A, and (ii) in compliance with Regulation S under the 1933 Act (“</w:t>
      </w:r>
      <w:r>
        <w:rPr>
          <w:rFonts w:ascii="Arial" w:cs="Arial" w:eastAsia="Arial" w:hAnsi="Arial"/>
          <w:sz w:val="16"/>
          <w:szCs w:val="16"/>
          <w:u w:val="single" w:color="auto"/>
          <w:color w:val="auto"/>
        </w:rPr>
        <w:t>Regulation S</w:t>
      </w:r>
      <w:r>
        <w:rPr>
          <w:rFonts w:ascii="Arial" w:cs="Arial" w:eastAsia="Arial" w:hAnsi="Arial"/>
          <w:sz w:val="16"/>
          <w:szCs w:val="16"/>
          <w:color w:val="auto"/>
        </w:rPr>
        <w:t>”). Those persons specified in clauses (i) and (ii) of this paragraph are referred to herein as “</w:t>
      </w:r>
      <w:r>
        <w:rPr>
          <w:rFonts w:ascii="Arial" w:cs="Arial" w:eastAsia="Arial" w:hAnsi="Arial"/>
          <w:sz w:val="16"/>
          <w:szCs w:val="16"/>
          <w:u w:val="single" w:color="auto"/>
          <w:color w:val="auto"/>
        </w:rPr>
        <w:t>Eligible Purchasers</w:t>
      </w:r>
      <w:r>
        <w:rPr>
          <w:rFonts w:ascii="Arial" w:cs="Arial" w:eastAsia="Arial" w:hAnsi="Arial"/>
          <w:sz w:val="16"/>
          <w:szCs w:val="16"/>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6" w:lineRule="auto"/>
        <w:tabs>
          <w:tab w:leader="none" w:pos="1455"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by the Company and the Guarantors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and each Guarantor (it being understood that each Guarantor represents only as to itself), jointly and severally, represent and warrant to each Initial Purchaser as of the date hereof, as of the Applicable Time, and as of the Closing Date referred to in Section 2(b) hereof, and agree with each Initial Purchaser, as follows:</w:t>
      </w:r>
    </w:p>
    <w:p>
      <w:pPr>
        <w:spacing w:after="0" w:line="165" w:lineRule="exact"/>
        <w:rPr>
          <w:rFonts w:ascii="Arial" w:cs="Arial" w:eastAsia="Arial" w:hAnsi="Arial"/>
          <w:sz w:val="17"/>
          <w:szCs w:val="17"/>
          <w:color w:val="auto"/>
        </w:rPr>
      </w:pPr>
    </w:p>
    <w:p>
      <w:pPr>
        <w:ind w:left="660" w:firstLine="644"/>
        <w:spacing w:after="0" w:line="277" w:lineRule="auto"/>
        <w:tabs>
          <w:tab w:leader="none" w:pos="2269"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Rule 144A Information</w:t>
      </w:r>
      <w:r>
        <w:rPr>
          <w:rFonts w:ascii="Arial" w:cs="Arial" w:eastAsia="Arial" w:hAnsi="Arial"/>
          <w:sz w:val="18"/>
          <w:szCs w:val="18"/>
          <w:color w:val="auto"/>
        </w:rPr>
        <w:t>. Each of the Preliminary Offering Memorandum, the General Disclosure Package and the Offering Memorandum, each as of its respective date, contains all the information required by Rule 144A(d)(4) under the 1933 Act.</w:t>
      </w:r>
    </w:p>
    <w:p>
      <w:pPr>
        <w:spacing w:after="0" w:line="170" w:lineRule="exact"/>
        <w:rPr>
          <w:rFonts w:ascii="Arial" w:cs="Arial" w:eastAsia="Arial" w:hAnsi="Arial"/>
          <w:sz w:val="18"/>
          <w:szCs w:val="18"/>
          <w:color w:val="auto"/>
        </w:rPr>
      </w:pPr>
    </w:p>
    <w:p>
      <w:pPr>
        <w:jc w:val="both"/>
        <w:ind w:left="660" w:firstLine="644"/>
        <w:spacing w:after="0" w:line="296" w:lineRule="auto"/>
        <w:tabs>
          <w:tab w:leader="none" w:pos="2296"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No Stop Orders</w:t>
      </w:r>
      <w:r>
        <w:rPr>
          <w:rFonts w:ascii="Arial" w:cs="Arial" w:eastAsia="Arial" w:hAnsi="Arial"/>
          <w:sz w:val="16"/>
          <w:szCs w:val="16"/>
          <w:color w:val="auto"/>
        </w:rPr>
        <w:t>. The Preliminary Offering Memorandum, the General Disclosure Package and the Offering Memorandum have been prepared by the Company and the Guarantors for use by the Initial Purchasers in connection with the Exempt Resales. No order or decree preventing the use of the Preliminary Offering Memorandum, the General Disclosure Package or the Offering Memorandum, or any order asserting that the transactions contemplated by this Agreement are subject to the registration requirements of the 1933 Act has been issued, and no proceeding for that purpose has commenced or is pending or, to the knowledge of the Company or any of the Guarantors is contemplated.</w:t>
      </w:r>
    </w:p>
    <w:p>
      <w:pPr>
        <w:spacing w:after="0" w:line="161" w:lineRule="exact"/>
        <w:rPr>
          <w:rFonts w:ascii="Arial" w:cs="Arial" w:eastAsia="Arial" w:hAnsi="Arial"/>
          <w:sz w:val="16"/>
          <w:szCs w:val="16"/>
          <w:color w:val="auto"/>
        </w:rPr>
      </w:pPr>
    </w:p>
    <w:p>
      <w:pPr>
        <w:jc w:val="both"/>
        <w:ind w:left="660" w:firstLine="644"/>
        <w:spacing w:after="0" w:line="289" w:lineRule="auto"/>
        <w:tabs>
          <w:tab w:leader="none" w:pos="2147"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No Material Misstatement or Omission</w:t>
      </w:r>
      <w:r>
        <w:rPr>
          <w:rFonts w:ascii="Arial" w:cs="Arial" w:eastAsia="Arial" w:hAnsi="Arial"/>
          <w:sz w:val="16"/>
          <w:szCs w:val="16"/>
          <w:color w:val="auto"/>
        </w:rPr>
        <w:t>. (i) The Preliminary Offering Memorandum, as of the date thereof, did not include any untrue statement of a material fact or omit to state a material fact necessary to make the statements therein, in the light of the circumstances under which they were made, not misleading, (ii) the General Disclosure Package, as of the Applicable Time, did not include any untrue statement of a material fact or omit to state a material fact necessary to make the statements therein, in the light of the circumstances under which they were made, not misleading, (iii) the Offering Memorandum, as of the date thereof, did not and, at the Closing Date, will not include any untrue statement of a material fact or omit to state a material fact necessary to make the statements therein, in the light of the circumstances under which they were made, not misleading and (iv) each Issuer Free Writing Document (as defined below), when taken together with the General Disclosure Package, did not, and, at the Closing Date, will not contain any untrue statement of a material fact or omit to state a material fact necessary to make the statements therein, in the light of the circumstances under which they were made, not misleading.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648"/>
        <w:spacing w:after="0" w:line="296" w:lineRule="auto"/>
        <w:rPr>
          <w:sz w:val="20"/>
          <w:szCs w:val="20"/>
          <w:color w:val="auto"/>
        </w:rPr>
      </w:pPr>
      <w:r>
        <w:rPr>
          <w:rFonts w:ascii="Arial" w:cs="Arial" w:eastAsia="Arial" w:hAnsi="Arial"/>
          <w:sz w:val="16"/>
          <w:szCs w:val="16"/>
          <w:color w:val="auto"/>
        </w:rPr>
        <w:t>The representations and warranties in the preceding paragraph do not apply to statements in or omissions from the Preliminary Offering Memorandum, the Offering Memorandum, the General Disclosure Package, any Issuer Free Writing Document or any amendment or supplement to any of the foregoing made in reliance upon and in conformity with written information relating to any Initial Purchaser furnished to the Company by such Initial Purchaser through the Representative expressly for use therein, it being understood and agreed that the only such information furnished by the Initial Purchasers as aforesaid consists of the information described as such in Section 6(b) hereof.</w:t>
      </w:r>
    </w:p>
    <w:p>
      <w:pPr>
        <w:spacing w:after="0" w:line="161" w:lineRule="exact"/>
        <w:rPr>
          <w:sz w:val="20"/>
          <w:szCs w:val="20"/>
          <w:color w:val="auto"/>
        </w:rPr>
      </w:pPr>
    </w:p>
    <w:p>
      <w:pPr>
        <w:ind w:left="1480" w:hanging="836"/>
        <w:spacing w:after="0"/>
        <w:tabs>
          <w:tab w:leader="none" w:pos="1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44"/>
        <w:spacing w:after="0" w:line="277" w:lineRule="auto"/>
        <w:tabs>
          <w:tab w:leader="none" w:pos="1717"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Reporting Compliance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is subject to, and is in full compliance in all material respects with, the reporting requirements of Section 13 and Section 15(d), as applicable, of the 1934 Act.</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541"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Ernst &amp; Young LLP are independent public accountants as required by the 1933 Act and the 1934 Act and the rules and regulations thereunder/pursuant to the rules applicable to such accountants under the American Institute of Certified Public Accountants, or AICPA.</w:t>
      </w:r>
    </w:p>
    <w:p>
      <w:pPr>
        <w:spacing w:after="0" w:line="183" w:lineRule="exact"/>
        <w:rPr>
          <w:rFonts w:ascii="Arial" w:cs="Arial" w:eastAsia="Arial" w:hAnsi="Arial"/>
          <w:sz w:val="18"/>
          <w:szCs w:val="18"/>
          <w:color w:val="auto"/>
        </w:rPr>
      </w:pPr>
    </w:p>
    <w:p>
      <w:pPr>
        <w:jc w:val="both"/>
        <w:ind w:firstLine="644"/>
        <w:spacing w:after="0" w:line="269" w:lineRule="auto"/>
        <w:tabs>
          <w:tab w:leader="none" w:pos="1541"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of the Company included in the General Disclosure Package and the Offering Memorandum, together with the related schedules (if any) and notes thereto, present fairly in all material respects the financial position of the Company and its consolidated subsidiaries at the dates indicated and the results of operations, changes in stockholders’ equity and cash flows of the Company and its consolidated subsidiaries for the periods specified in conformity with GAAP. These statements comply, in all material respects, with all applicable accounting requirements under the 1933 Act and the 1933 Act Regulations, or the 1934 Act and the 1934 Act Regulations, as applicable, except as otherwise disclosed therein. Unaudited, interim financial statements are subject to normal year end audit adjustments and the exclusion of certain footnotes. The information in the Preliminary Offering Memorandum and the Offering Memorandum under the captions “Summary Consolidated Financial Data” and “Selected Financial Information” presents fairly in all material respects the information shown therein and has been prepared on a basis consistent with that of the audited financial statements of the Company included in the General Disclosure Package and the Offering Memorandum.</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3" w:name="page134"/>
    <w:bookmarkEnd w:id="133"/>
    <w:p>
      <w:pPr>
        <w:jc w:val="both"/>
        <w:ind w:left="-460" w:firstLine="644"/>
        <w:spacing w:after="0" w:line="286" w:lineRule="auto"/>
        <w:tabs>
          <w:tab w:leader="none" w:pos="1216"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respective dates as of which information is given in the Preliminary Offering Memorandum, the General Disclosure Package and the Offering Memorandum (in each case exclusive of any amendments or supplements thereto subsequent to the date of this Agreement), (A) there has been no material adverse change or any development that would reasonably be expected to result in a material adverse change, in the financial condition, results of operations, business, properties or management of the Company and its subsidiaries taken as a whole, whether or not arising in the ordinary course of business (in any such case, a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Adverse Effect</w:t>
      </w:r>
      <w:r>
        <w:rPr>
          <w:rFonts w:ascii="Arial" w:cs="Arial" w:eastAsia="Arial" w:hAnsi="Arial"/>
          <w:sz w:val="16"/>
          <w:szCs w:val="16"/>
          <w:color w:val="auto"/>
        </w:rPr>
        <w:t>”); (B) except as otherwise disclosed in the General Disclosure Package and the Offering Memorandum (in each case exclusive of any amendments or supplements thereto subsequent to the date of this Agreement), neither the Company nor any of its subsidiaries has incurred any liability or obligation, direct or contingent, or entered into any transaction or agreement that, individually or in the aggregate, is material with respect to the Company and its subsidiaries taken as a whole, and neither the Company nor any of its subsidiaries has sustained any loss or interference with its business or operations from fire, explosion, flood, earthquake or other natural disaster or calamity, whether or not covered by insurance, or from any labor dispute or disturbance or court or governmental action, order or decree which would reasonably be expected, individually or in the aggregate, to result in a Material Adverse Effect; and (C) there has been no dividend or distribution of any kind declared, paid or made by the Company on any class of its capital stock.</w:t>
      </w:r>
    </w:p>
    <w:p>
      <w:pPr>
        <w:spacing w:after="0" w:line="173" w:lineRule="exact"/>
        <w:rPr>
          <w:rFonts w:ascii="Arial" w:cs="Arial" w:eastAsia="Arial" w:hAnsi="Arial"/>
          <w:sz w:val="16"/>
          <w:szCs w:val="16"/>
          <w:color w:val="auto"/>
        </w:rPr>
      </w:pPr>
    </w:p>
    <w:p>
      <w:pPr>
        <w:jc w:val="both"/>
        <w:ind w:left="-460" w:firstLine="644"/>
        <w:spacing w:after="0" w:line="289" w:lineRule="auto"/>
        <w:tabs>
          <w:tab w:leader="none" w:pos="1108"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 the Guarantors and Subsidiaries</w:t>
      </w:r>
      <w:r>
        <w:rPr>
          <w:rFonts w:ascii="Arial" w:cs="Arial" w:eastAsia="Arial" w:hAnsi="Arial"/>
          <w:sz w:val="16"/>
          <w:szCs w:val="16"/>
          <w:color w:val="auto"/>
        </w:rPr>
        <w:t>. Each of the Company, the Guarantors and their respective subsidiaries has been duly organized and is validly existing as a corporation, limited liability company, limited partnership or general partnership, as the case may be, in good standing under the laws of the state of its jurisdiction of organization and has power and authority to own, lease and operate its properties and to conduct its business as described in the Preliminary Offering Memorandum, the General Disclosure Package and the Offering Memorandum and to enter into and perform its obligations under the Transaction Documents. Each of the Company, the Guarantors and their respective subsidiaries is duly qualified as a foreign corporation, limited liability company, limited partnership or general partnership, as the case may be, to transact business and is in good standing in each jurisdiction in which such qualification is required, whether by reason of the ownership or leasing of property or the conduct of business, except where the failure so to qualify or to be in good standing would not, individually or in the aggregate, reasonably be expected to result in a Material Adverse Effect.</w:t>
      </w:r>
    </w:p>
    <w:p>
      <w:pPr>
        <w:spacing w:after="0" w:line="166" w:lineRule="exact"/>
        <w:rPr>
          <w:rFonts w:ascii="Arial" w:cs="Arial" w:eastAsia="Arial" w:hAnsi="Arial"/>
          <w:sz w:val="16"/>
          <w:szCs w:val="16"/>
          <w:color w:val="auto"/>
        </w:rPr>
      </w:pPr>
    </w:p>
    <w:p>
      <w:pPr>
        <w:jc w:val="both"/>
        <w:ind w:left="-460" w:firstLine="644"/>
        <w:spacing w:after="0" w:line="285" w:lineRule="auto"/>
        <w:tabs>
          <w:tab w:leader="none" w:pos="1041"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Ownership of Subsidiaries</w:t>
      </w:r>
      <w:r>
        <w:rPr>
          <w:rFonts w:ascii="Arial" w:cs="Arial" w:eastAsia="Arial" w:hAnsi="Arial"/>
          <w:sz w:val="16"/>
          <w:szCs w:val="16"/>
          <w:color w:val="auto"/>
        </w:rPr>
        <w:t>. All of the issued and outstanding shares of capital stock of each subsidiary of the Company that is a corporation, all of the issued and outstanding partnership interests of each subsidiary of the Company that is a limited or general partnership and all of the issued and outstanding limited liability company interests, membership interests or other similar interests of each subsidiary of the Company that is a limited liability company have been duly authorized and validly issued, are fully paid and (except in the case of general partnership interests) non-assessable (to the extent that such status is applicable and exists under the laws of the jurisdiction in which such entity is organized) and are owned by the Company, directly or through subsidiaries, free and clear of any Lien, except pursuant to the Company’s Amended and Restated Credit Agreement, dated as of September 29, 2017 (as amended and restated on October 15, 2018, and as may be further amended, amended and restated, supplemented or otherwise modified from time to time) among the Company, the lenders from time to time party thereto and Wells Fargo Bank, National Association, as administrative agent. None of the issued and outstanding shares of capital stock of any such subsidiary that is a corporation, none of the issued and outstanding partnership interests of any such subsidiary that is a limited or general partnership, and none of the issued and outstanding limited liability company interests, membership interests or other similar interests of any such subsidiary that is a limited liability company was issued in violation of any preemptive rights, rights of first refusal or other similar rights of any securityholder of such subsidiary or any other person. The only significant subsidiaries (as defined in Rule 1-02 of Regulation S-X of the Commission) of the Company are the subsidiaries listed on Exhibit C hereto and Exhibit C accurately sets forth whether each such subsidiary is a corporation, limited or general partnership or limited liability company and the jurisdiction of organization of each such subsidiary and, in the case of any subsidiary which is a partnership or limited liability company, its general partners and managing members, respectively.</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4" w:name="page135"/>
    <w:bookmarkEnd w:id="134"/>
    <w:p>
      <w:pPr>
        <w:jc w:val="both"/>
        <w:ind w:left="-460" w:firstLine="644"/>
        <w:spacing w:after="0" w:line="271" w:lineRule="auto"/>
        <w:tabs>
          <w:tab w:leader="none" w:pos="1075"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issued and outstanding capital stock of the Company as of June 30, 2020 is as set forth in the column entitled “Actual” and in the corresponding line items under the caption “Capitalization” in the Preliminary Offering Memorandum and the Offering Memorandum (except for subsequent issuances, if any, pursuant to employee or director stock option, stock purchase or other equity incentive plans described in the Preliminary Offering Memorandum and the Offering Memorandum or upon the exercise of options issued under such plans). The shares of issued and outstanding capital stock of the Company have been duly authorized and validly issued and are fully paid and non-assessable and were issued in material compliance with all applicable foreign, state and federal securities and “Blue Sky” laws. None of the outstanding shares of capital stock of the Company was issued in violation of any preemptive rights, rights of first refusal or other similar rights of any securityholder of the Company or any other person.</w:t>
      </w:r>
    </w:p>
    <w:p>
      <w:pPr>
        <w:spacing w:after="0" w:line="178" w:lineRule="exact"/>
        <w:rPr>
          <w:rFonts w:ascii="Arial" w:cs="Arial" w:eastAsia="Arial" w:hAnsi="Arial"/>
          <w:sz w:val="17"/>
          <w:szCs w:val="17"/>
          <w:color w:val="auto"/>
        </w:rPr>
      </w:pPr>
    </w:p>
    <w:p>
      <w:pPr>
        <w:jc w:val="both"/>
        <w:ind w:left="-460" w:firstLine="644"/>
        <w:spacing w:after="0" w:line="259" w:lineRule="auto"/>
        <w:tabs>
          <w:tab w:leader="none" w:pos="105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 Other Securities of Same Class</w:t>
      </w:r>
      <w:r>
        <w:rPr>
          <w:rFonts w:ascii="Arial" w:cs="Arial" w:eastAsia="Arial" w:hAnsi="Arial"/>
          <w:sz w:val="18"/>
          <w:szCs w:val="18"/>
          <w:color w:val="auto"/>
        </w:rPr>
        <w:t>. When the Securities and Guarantees are issued and delivered pursuant to this Agreement, such Securities and Guarantees will not be of the same class (within the meaning of Rule 144A under the 1933 Act) as securities of the Company or the Guarantors that are listed on a national securities exchange registered under Section 6 of the 1934 Act or that are quoted in a United States automated inter-dealer quotation system.</w:t>
      </w:r>
    </w:p>
    <w:p>
      <w:pPr>
        <w:spacing w:after="0" w:line="186" w:lineRule="exact"/>
        <w:rPr>
          <w:rFonts w:ascii="Arial" w:cs="Arial" w:eastAsia="Arial" w:hAnsi="Arial"/>
          <w:sz w:val="18"/>
          <w:szCs w:val="18"/>
          <w:color w:val="auto"/>
        </w:rPr>
      </w:pPr>
    </w:p>
    <w:p>
      <w:pPr>
        <w:jc w:val="both"/>
        <w:ind w:left="-460" w:firstLine="644"/>
        <w:spacing w:after="0" w:line="311" w:lineRule="auto"/>
        <w:tabs>
          <w:tab w:leader="none" w:pos="1055"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No Registration</w:t>
      </w:r>
      <w:r>
        <w:rPr>
          <w:rFonts w:ascii="Arial" w:cs="Arial" w:eastAsia="Arial" w:hAnsi="Arial"/>
          <w:sz w:val="16"/>
          <w:szCs w:val="16"/>
          <w:color w:val="auto"/>
        </w:rPr>
        <w:t>. No registration under the 1933 Act of the Securities or the Guarantees, and no qualification of the Indenture under the 1939 Act with respect thereto, is required for the sale of the Securities and the Guarantees to you as contemplated hereby or for the initial resale of Securities by you to the Eligible Purchasers, assuming the accuracy of the Initial Purchasers’ representations in this Agreement.</w:t>
      </w:r>
    </w:p>
    <w:p>
      <w:pPr>
        <w:spacing w:after="0" w:line="148" w:lineRule="exact"/>
        <w:rPr>
          <w:rFonts w:ascii="Arial" w:cs="Arial" w:eastAsia="Arial" w:hAnsi="Arial"/>
          <w:sz w:val="16"/>
          <w:szCs w:val="16"/>
          <w:color w:val="auto"/>
        </w:rPr>
      </w:pPr>
    </w:p>
    <w:p>
      <w:pPr>
        <w:jc w:val="both"/>
        <w:ind w:left="-460" w:firstLine="644"/>
        <w:spacing w:after="0" w:line="296" w:lineRule="auto"/>
        <w:tabs>
          <w:tab w:leader="none" w:pos="1055"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No General Solicitation</w:t>
      </w:r>
      <w:r>
        <w:rPr>
          <w:rFonts w:ascii="Arial" w:cs="Arial" w:eastAsia="Arial" w:hAnsi="Arial"/>
          <w:sz w:val="16"/>
          <w:szCs w:val="16"/>
          <w:color w:val="auto"/>
        </w:rPr>
        <w:t>. No form of general solicitation or general advertising within the meaning of Regulation D under the 1933 Act (including, but not limited to, advertisements, articles, notices or other communications published in any newspaper, magazine or similar medium or broadcast over television or radio, or any seminar or meeting whose attendees have been invited by any general solicitation or general advertising) (each, a “</w:t>
      </w:r>
      <w:r>
        <w:rPr>
          <w:rFonts w:ascii="Arial" w:cs="Arial" w:eastAsia="Arial" w:hAnsi="Arial"/>
          <w:sz w:val="16"/>
          <w:szCs w:val="16"/>
          <w:u w:val="single" w:color="auto"/>
          <w:color w:val="auto"/>
        </w:rPr>
        <w:t>General Solicitation</w:t>
      </w:r>
      <w:r>
        <w:rPr>
          <w:rFonts w:ascii="Arial" w:cs="Arial" w:eastAsia="Arial" w:hAnsi="Arial"/>
          <w:sz w:val="16"/>
          <w:szCs w:val="16"/>
          <w:color w:val="auto"/>
        </w:rPr>
        <w:t>”) was used by the Company or any of its affiliates or any of its representatives (other than the Initial Purchasers, as to whom the Company and the Guarantors make no representation) in connection with the offer and sale of the Securities.</w:t>
      </w:r>
    </w:p>
    <w:p>
      <w:pPr>
        <w:spacing w:after="0" w:line="3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5" w:name="page136"/>
    <w:bookmarkEnd w:id="135"/>
    <w:p>
      <w:pPr>
        <w:jc w:val="both"/>
        <w:ind w:firstLine="644"/>
        <w:spacing w:after="0" w:line="296" w:lineRule="auto"/>
        <w:tabs>
          <w:tab w:leader="none" w:pos="1488"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Regulation S Compliance</w:t>
      </w:r>
      <w:r>
        <w:rPr>
          <w:rFonts w:ascii="Arial" w:cs="Arial" w:eastAsia="Arial" w:hAnsi="Arial"/>
          <w:sz w:val="16"/>
          <w:szCs w:val="16"/>
          <w:color w:val="auto"/>
        </w:rPr>
        <w:t>. No directed selling efforts within the meaning of Rule 902 under the 1933 Act were or will be used by the Company and its subsidiaries or any of their respective representatives (other than the Initial Purchasers, as to whom the Company and the Guarantors make no representation) with respect to Securities sold in reliance on Regulation S, and the Company, any affiliate of the Company and any person acting on its or their behalf (other than the Initial Purchasers, as to whom the Company and the Guarantors make no representation) has complied with and will implement the “offering restrictions” required by Rule 902 under the 1933 Act.</w:t>
      </w:r>
    </w:p>
    <w:p>
      <w:pPr>
        <w:spacing w:after="0" w:line="161" w:lineRule="exact"/>
        <w:rPr>
          <w:rFonts w:ascii="Arial" w:cs="Arial" w:eastAsia="Arial" w:hAnsi="Arial"/>
          <w:sz w:val="16"/>
          <w:szCs w:val="16"/>
          <w:color w:val="auto"/>
        </w:rPr>
      </w:pPr>
    </w:p>
    <w:p>
      <w:pPr>
        <w:jc w:val="both"/>
        <w:ind w:firstLine="644"/>
        <w:spacing w:after="0" w:line="259" w:lineRule="auto"/>
        <w:tabs>
          <w:tab w:leader="none" w:pos="158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No Integration</w:t>
      </w:r>
      <w:r>
        <w:rPr>
          <w:rFonts w:ascii="Arial" w:cs="Arial" w:eastAsia="Arial" w:hAnsi="Arial"/>
          <w:sz w:val="18"/>
          <w:szCs w:val="18"/>
          <w:color w:val="auto"/>
        </w:rPr>
        <w:t>. None of the Company, any Guarantor or any person acting on behalf of the Company or any Guarantor has sold or issued any securities that would be integrated with the offering of the Securities contemplated by this Agreement pursuant to the 1933 Act, the rules and regulations thereunder or the interpretations thereof by the Commission, in a manner that would require the Securities to be registered under the 1933 Act.</w:t>
      </w:r>
    </w:p>
    <w:p>
      <w:pPr>
        <w:spacing w:after="0" w:line="186" w:lineRule="exact"/>
        <w:rPr>
          <w:rFonts w:ascii="Arial" w:cs="Arial" w:eastAsia="Arial" w:hAnsi="Arial"/>
          <w:sz w:val="18"/>
          <w:szCs w:val="18"/>
          <w:color w:val="auto"/>
        </w:rPr>
      </w:pPr>
    </w:p>
    <w:p>
      <w:pPr>
        <w:ind w:left="1600" w:hanging="956"/>
        <w:spacing w:after="0"/>
        <w:tabs>
          <w:tab w:leader="none" w:pos="1600"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Authorization of Agreement</w:t>
      </w:r>
      <w:r>
        <w:rPr>
          <w:rFonts w:ascii="Arial" w:cs="Arial" w:eastAsia="Arial" w:hAnsi="Arial"/>
          <w:sz w:val="16"/>
          <w:szCs w:val="16"/>
          <w:color w:val="auto"/>
        </w:rPr>
        <w:t>. This Agreement has been duly authorized, executed and delivered by the Company and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210" w:lineRule="exact"/>
        <w:rPr>
          <w:rFonts w:ascii="Arial" w:cs="Arial" w:eastAsia="Arial" w:hAnsi="Arial"/>
          <w:sz w:val="16"/>
          <w:szCs w:val="16"/>
          <w:color w:val="auto"/>
        </w:rPr>
      </w:pPr>
    </w:p>
    <w:p>
      <w:pPr>
        <w:ind w:firstLine="644"/>
        <w:spacing w:after="0" w:line="277" w:lineRule="auto"/>
        <w:tabs>
          <w:tab w:leader="none" w:pos="1771"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Full Power</w:t>
      </w:r>
      <w:r>
        <w:rPr>
          <w:rFonts w:ascii="Arial" w:cs="Arial" w:eastAsia="Arial" w:hAnsi="Arial"/>
          <w:sz w:val="18"/>
          <w:szCs w:val="18"/>
          <w:color w:val="auto"/>
        </w:rPr>
        <w:t>. The Company and each Guarantor has full right, power and authority to execute, deliver and perform its obligations under the Transaction Documents.</w:t>
      </w:r>
    </w:p>
    <w:p>
      <w:pPr>
        <w:spacing w:after="0" w:line="170" w:lineRule="exact"/>
        <w:rPr>
          <w:rFonts w:ascii="Arial" w:cs="Arial" w:eastAsia="Arial" w:hAnsi="Arial"/>
          <w:sz w:val="18"/>
          <w:szCs w:val="18"/>
          <w:color w:val="auto"/>
        </w:rPr>
      </w:pPr>
    </w:p>
    <w:p>
      <w:pPr>
        <w:jc w:val="both"/>
        <w:ind w:firstLine="644"/>
        <w:spacing w:after="0" w:line="296" w:lineRule="auto"/>
        <w:tabs>
          <w:tab w:leader="none" w:pos="1582"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The Indenture</w:t>
      </w:r>
      <w:r>
        <w:rPr>
          <w:rFonts w:ascii="Arial" w:cs="Arial" w:eastAsia="Arial" w:hAnsi="Arial"/>
          <w:sz w:val="16"/>
          <w:szCs w:val="16"/>
          <w:color w:val="auto"/>
        </w:rPr>
        <w:t>. The Indenture has been duly authorized by the Company and each Guarantor and, on the Closing Date, will have been duly executed and delivered by the Company and each Guarantor and, assuming the due authorization, execution and delivery thereof by the Trustee, will constitute a valid and binding agreement of the Company and each Guarantor, enforceable against the Company and each Guarantor in accordance with its terms, except as enforcement thereof may be limited by bankruptcy, insolvency, fraudulent conveyance, reorganization, moratorium or similar laws affecting enforcement of creditors’ rights generally or by general principles of equity.</w:t>
      </w:r>
    </w:p>
    <w:p>
      <w:pPr>
        <w:spacing w:after="0" w:line="161" w:lineRule="exact"/>
        <w:rPr>
          <w:rFonts w:ascii="Arial" w:cs="Arial" w:eastAsia="Arial" w:hAnsi="Arial"/>
          <w:sz w:val="16"/>
          <w:szCs w:val="16"/>
          <w:color w:val="auto"/>
        </w:rPr>
      </w:pPr>
    </w:p>
    <w:p>
      <w:pPr>
        <w:jc w:val="both"/>
        <w:ind w:firstLine="644"/>
        <w:spacing w:after="0" w:line="255" w:lineRule="auto"/>
        <w:tabs>
          <w:tab w:leader="none" w:pos="1515"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The Securities</w:t>
      </w:r>
      <w:r>
        <w:rPr>
          <w:rFonts w:ascii="Arial" w:cs="Arial" w:eastAsia="Arial" w:hAnsi="Arial"/>
          <w:sz w:val="18"/>
          <w:szCs w:val="18"/>
          <w:color w:val="auto"/>
        </w:rPr>
        <w:t>. The Securities (excluding the Guarantees) have been duly authorized and, at the Closing Date, will have been duly executed by the Company and, when authenticated by the Trustee in the manner provided in the Indenture and delivered against payment of the purchase price therefor as provided in this Agreement, will constitute valid and binding obligations of the Company, enforceable against the Company in accordance with their terms, except as enforcement thereof may be limited by bankruptcy, insolvency, fraudulent conveyance, reorganization, moratorium or similar laws affecting enforcement of creditors’ rights generally or by general principles of equity, and will be in the form contemplated by, and entitled to the benefits of, the Indenture.</w:t>
      </w:r>
    </w:p>
    <w:p>
      <w:pPr>
        <w:spacing w:after="0" w:line="192" w:lineRule="exact"/>
        <w:rPr>
          <w:rFonts w:ascii="Arial" w:cs="Arial" w:eastAsia="Arial" w:hAnsi="Arial"/>
          <w:sz w:val="18"/>
          <w:szCs w:val="18"/>
          <w:color w:val="auto"/>
        </w:rPr>
      </w:pPr>
    </w:p>
    <w:p>
      <w:pPr>
        <w:jc w:val="both"/>
        <w:ind w:firstLine="644"/>
        <w:spacing w:after="0" w:line="255" w:lineRule="auto"/>
        <w:tabs>
          <w:tab w:leader="none" w:pos="1704"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The Guarantees</w:t>
      </w:r>
      <w:r>
        <w:rPr>
          <w:rFonts w:ascii="Arial" w:cs="Arial" w:eastAsia="Arial" w:hAnsi="Arial"/>
          <w:sz w:val="18"/>
          <w:szCs w:val="18"/>
          <w:color w:val="auto"/>
        </w:rPr>
        <w:t>. The Guarantees have been duly authorized and, at the Closing Date, the Indenture (which includes the Guarantees) will have been duly executed by the Guarantors. When the Securities are authenticated by the Trustee in the manner provided for in the Indenture and delivered against payment therefor as provided in this Agreement, the Guarantees will constitute valid and binding obligations of the Guarantors, except as enforcement thereof may be limited by bankruptcy, insolvency, fraudulent conveyance, reorganization, moratorium or similar laws affecting enforcement of creditors’ rights generally or by general principles of equity, and will be in the form contemplated by, and entitled to the benefits of, the Indenture.</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6" w:name="page137"/>
    <w:bookmarkEnd w:id="136"/>
    <w:p>
      <w:pPr>
        <w:jc w:val="both"/>
        <w:ind w:left="-460" w:firstLine="644"/>
        <w:spacing w:after="0" w:line="263" w:lineRule="auto"/>
        <w:tabs>
          <w:tab w:leader="none" w:pos="1109"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Description of the Securities and Agreements</w:t>
      </w:r>
      <w:r>
        <w:rPr>
          <w:rFonts w:ascii="Arial" w:cs="Arial" w:eastAsia="Arial" w:hAnsi="Arial"/>
          <w:sz w:val="18"/>
          <w:szCs w:val="18"/>
          <w:color w:val="auto"/>
        </w:rPr>
        <w:t>. The Securities, the Guarantees and the Indenture will conform in all material respects to the respective statements relating thereto contained in the Preliminary Offering Memorandum, the General Disclosure Package and the Offering Memorandum.</w:t>
      </w:r>
    </w:p>
    <w:p>
      <w:pPr>
        <w:spacing w:after="0" w:line="183" w:lineRule="exact"/>
        <w:rPr>
          <w:rFonts w:ascii="Arial" w:cs="Arial" w:eastAsia="Arial" w:hAnsi="Arial"/>
          <w:sz w:val="18"/>
          <w:szCs w:val="18"/>
          <w:color w:val="auto"/>
        </w:rPr>
      </w:pPr>
    </w:p>
    <w:p>
      <w:pPr>
        <w:jc w:val="both"/>
        <w:ind w:left="-460" w:firstLine="644"/>
        <w:spacing w:after="0" w:line="267" w:lineRule="auto"/>
        <w:tabs>
          <w:tab w:leader="none" w:pos="1149"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Absence of Defaults and Conflicts</w:t>
      </w:r>
      <w:r>
        <w:rPr>
          <w:rFonts w:ascii="Arial" w:cs="Arial" w:eastAsia="Arial" w:hAnsi="Arial"/>
          <w:sz w:val="17"/>
          <w:szCs w:val="17"/>
          <w:color w:val="auto"/>
        </w:rPr>
        <w:t>. Neither the Company nor any of its subsidiaries is (i) in violation of its Organizational Documents, (ii) in violation of any applicable law, statute, rule, regulation, judgment, order, writ or decree of any government, government instrumentality or court, domestic or foreign, having jurisdiction over the Company or any of its subsidiaries or any of their respective assets, properties or operations or (iii) in breach or default (or with or without the giving of notice or the passage of time or both, would be in breach or default) in the performance or observance of any obligation, agreement, covenant or condition contained in any Company Document, except in the case of clauses (ii) or (iii) for such violations, breaches or defaults that would not, individually or in the aggregate, reasonably be expected to result in a Material Adverse Effect. The execution, delivery and performance of the Transaction Documents and the consummation of the transactions contemplated therein and in the Preliminary Offering Memorandum, the General Disclosure Package and the Offering Memorandum (including the issuance and sale of the Securities and the use of the proceeds from the sale of the Securities as described in the Preliminary Offering Memorandum and the Offering Memorandum under the caption “Use of Proceeds”) and compliance by the Company and the Guarantors with their obligations under the Transaction Documents do not and will not, whether with or without the giving of notice or passage of time or both, conflict with or constitute a breach of, or default, Termination Event or Repayment Event under, or result in the creation or imposition of any Lien upon any property or assets of the Company or any of its subsidiaries pursuant to, any Company Documents, except for such conflicts, breaches or defaults that would not, individually or in the aggregate, reasonably be expected to result in a Material Adverse Effect. Such actions will not result in any violation of (i) the provisions of the Organizational Documents of the Company or any of its subsidiaries or (ii) any applicable law, statute, rule, regulation, judgment, order, writ or decree of any government, government instrumentality or court, domestic or foreign, having jurisdiction over the Company or any of its subsidiaries or any of its or their respective assets, properties or operations, except in the case of clause (ii) for such violations that would not, individually or in the aggregate, reasonably be expected to result in a Material Adverse Effect.</w:t>
      </w:r>
    </w:p>
    <w:p>
      <w:pPr>
        <w:spacing w:after="0" w:line="188" w:lineRule="exact"/>
        <w:rPr>
          <w:rFonts w:ascii="Arial" w:cs="Arial" w:eastAsia="Arial" w:hAnsi="Arial"/>
          <w:sz w:val="17"/>
          <w:szCs w:val="17"/>
          <w:color w:val="auto"/>
        </w:rPr>
      </w:pPr>
    </w:p>
    <w:p>
      <w:pPr>
        <w:jc w:val="both"/>
        <w:ind w:left="-460" w:firstLine="644"/>
        <w:spacing w:after="0" w:line="259" w:lineRule="auto"/>
        <w:tabs>
          <w:tab w:leader="none" w:pos="1068"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Transactions with Related Persons</w:t>
      </w:r>
      <w:r>
        <w:rPr>
          <w:rFonts w:ascii="Arial" w:cs="Arial" w:eastAsia="Arial" w:hAnsi="Arial"/>
          <w:sz w:val="18"/>
          <w:szCs w:val="18"/>
          <w:color w:val="auto"/>
        </w:rPr>
        <w:t>. No relationship, direct or indirect, that would be required to be described in a registration statement of the Company pursuant to Item 404 of Regulation S-K currently exists, between or among the Company and its subsidiaries, on the one hand, and the directors, officers, affiliates, stockholders, customers or suppliers of the Company and its subsidiaries, on the other hand, that has not been described in the General Disclosure Package and the Offering Memorandum.</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7" w:name="page138"/>
    <w:bookmarkEnd w:id="137"/>
    <w:p>
      <w:pPr>
        <w:jc w:val="both"/>
        <w:ind w:left="-460" w:firstLine="644"/>
        <w:spacing w:after="0" w:line="301" w:lineRule="auto"/>
        <w:tabs>
          <w:tab w:leader="none" w:pos="1136"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Absence of Labor Dispute</w:t>
      </w:r>
      <w:r>
        <w:rPr>
          <w:rFonts w:ascii="Arial" w:cs="Arial" w:eastAsia="Arial" w:hAnsi="Arial"/>
          <w:sz w:val="16"/>
          <w:szCs w:val="16"/>
          <w:color w:val="auto"/>
        </w:rPr>
        <w:t>. No labor dispute with the employees of the Company or any of its subsidiaries exists or, to the knowledge of the Company or any of its subsidiaries, is imminent, and neither the Company nor any of its subsidiaries are aware of any existing or imminent labor disturbance by the employees of any of the principal suppliers, manufacturers, customers or contractors of the Company or any of its subsidiaries which, in each case, would reasonably be expected, individually or in the aggregate, to result in a Material Adverse Effect.</w:t>
      </w:r>
    </w:p>
    <w:p>
      <w:pPr>
        <w:spacing w:after="0" w:line="157" w:lineRule="exact"/>
        <w:rPr>
          <w:rFonts w:ascii="Arial" w:cs="Arial" w:eastAsia="Arial" w:hAnsi="Arial"/>
          <w:sz w:val="16"/>
          <w:szCs w:val="16"/>
          <w:color w:val="auto"/>
        </w:rPr>
      </w:pPr>
    </w:p>
    <w:p>
      <w:pPr>
        <w:jc w:val="both"/>
        <w:ind w:left="-460" w:firstLine="644"/>
        <w:spacing w:after="0" w:line="289" w:lineRule="auto"/>
        <w:tabs>
          <w:tab w:leader="none" w:pos="1230"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There is no action, suit, proceeding, inquiry or investigation before or brought by any court or governmental agency or body, domestic or foreign, now pending, or, to the knowledge of the Company or its subsidiaries, threatened, against or affecting the Company or any of its subsidiaries (other than as disclosed in the Preliminary Offering Memorandum, the General Disclosure Package or the Offering Memorandum), which would reasonably be expected, individually or in the aggregate, to result in a Material Adverse Effect or to materially and adversely affect the consummation of the transactions contemplated in the Transaction Documents or the performance by the Company or the Guarantors of their obligations under the Transaction Documents. The aggregate of all pending legal or governmental proceedings to which the Company or any of its subsidiaries is a party or of which any of their respective property or assets is the subject which are not described in the Preliminary Offering Memorandum or the Offering Memorandum, including ordinary routine litigation incidental to the business, would not reasonably be expected, individually or in the aggregate, to result in a Material Adverse Effect.</w:t>
      </w:r>
    </w:p>
    <w:p>
      <w:pPr>
        <w:spacing w:after="0" w:line="166" w:lineRule="exact"/>
        <w:rPr>
          <w:rFonts w:ascii="Arial" w:cs="Arial" w:eastAsia="Arial" w:hAnsi="Arial"/>
          <w:sz w:val="16"/>
          <w:szCs w:val="16"/>
          <w:color w:val="auto"/>
        </w:rPr>
      </w:pPr>
    </w:p>
    <w:p>
      <w:pPr>
        <w:jc w:val="both"/>
        <w:ind w:left="-460" w:firstLine="644"/>
        <w:spacing w:after="0" w:line="296" w:lineRule="auto"/>
        <w:tabs>
          <w:tab w:leader="none" w:pos="1109"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Description of Contracts</w:t>
      </w:r>
      <w:r>
        <w:rPr>
          <w:rFonts w:ascii="Arial" w:cs="Arial" w:eastAsia="Arial" w:hAnsi="Arial"/>
          <w:sz w:val="16"/>
          <w:szCs w:val="16"/>
          <w:color w:val="auto"/>
        </w:rPr>
        <w:t>. There are no contracts or other documents that would be required to be described in a registration statement filed under the 1933 Act or filed as exhibits to a registration statement of the Company pursuant to Item 601(b)(10) of Regulation S-K that have not been described in the General Disclosure Package and the Offering Memorandum. The statements made in the General Disclosure Package and the Offering Memorandum, insofar as they purport to constitute summaries of the terms of the contracts and other documents that are so described, constitute accurate summaries of the terms of such contracts and documents in all material respects.</w:t>
      </w:r>
    </w:p>
    <w:p>
      <w:pPr>
        <w:spacing w:after="0" w:line="161" w:lineRule="exact"/>
        <w:rPr>
          <w:rFonts w:ascii="Arial" w:cs="Arial" w:eastAsia="Arial" w:hAnsi="Arial"/>
          <w:sz w:val="16"/>
          <w:szCs w:val="16"/>
          <w:color w:val="auto"/>
        </w:rPr>
      </w:pPr>
    </w:p>
    <w:p>
      <w:pPr>
        <w:jc w:val="both"/>
        <w:ind w:left="-460" w:firstLine="644"/>
        <w:spacing w:after="0" w:line="301" w:lineRule="auto"/>
        <w:tabs>
          <w:tab w:leader="none" w:pos="1082"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Description of Legal Matters</w:t>
      </w:r>
      <w:r>
        <w:rPr>
          <w:rFonts w:ascii="Arial" w:cs="Arial" w:eastAsia="Arial" w:hAnsi="Arial"/>
          <w:sz w:val="16"/>
          <w:szCs w:val="16"/>
          <w:color w:val="auto"/>
        </w:rPr>
        <w:t>. The statements made in the General Disclosure Package and the Offering Memorandum under the captions “Risk Factors—Intellectual Property Risks” and “Business—Regulation”,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37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8" w:name="page139"/>
    <w:bookmarkEnd w:id="138"/>
    <w:p>
      <w:pPr>
        <w:jc w:val="both"/>
        <w:ind w:left="-460" w:firstLine="644"/>
        <w:spacing w:after="0" w:line="288" w:lineRule="auto"/>
        <w:tabs>
          <w:tab w:leader="none" w:pos="1176"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On the Closing Date, after giving pro forma effect to the Offering and the use of proceeds therefrom described under the caption “Use of Proceeds” in the General Disclosure Package and the Offering Memorandum, the Company and the Guarantors taken as a whole will be Solvent (as hereinafter defined). As used in this paragraph, the term “Solvent” means, with respect to a particular date, that on such date (i) the present fair market value (or present fair saleable value) of the assets of the Company and the Guarantors, taken as a whole, is not less than the total amount required to pay the liabilities of the Company and the Guarantors on their total existing debts and liabilities (including contingent liabilities) as they become absolute and matured; (ii) the Company and the Guarantors are able to pay their debts and other liabilities, contingent obligations and commitments as they mature and become due in the normal course of business; (iii) assuming consummation of the issuance of the Securities as contemplated by this Agreement and the General Disclosure Package and the Offering Memorandum, the Company and the Guarantors, taken as a whole, are not incurring debts or liabilities beyond their ability to pay as such debts and liabilities mature; and (iv) the Company and the Guarantors, taken as a whole, are not otherwise insolvent under the standards set forth in applicable laws.</w:t>
      </w:r>
    </w:p>
    <w:p>
      <w:pPr>
        <w:spacing w:after="0" w:line="168" w:lineRule="exact"/>
        <w:rPr>
          <w:rFonts w:ascii="Arial" w:cs="Arial" w:eastAsia="Arial" w:hAnsi="Arial"/>
          <w:sz w:val="16"/>
          <w:szCs w:val="16"/>
          <w:color w:val="auto"/>
        </w:rPr>
      </w:pPr>
    </w:p>
    <w:p>
      <w:pPr>
        <w:jc w:val="both"/>
        <w:ind w:left="-460" w:firstLine="644"/>
        <w:spacing w:after="0" w:line="284" w:lineRule="auto"/>
        <w:tabs>
          <w:tab w:leader="none" w:pos="1041"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The Company and its subsidiaries own and possess or have valid and enforceable licenses to use, all patents, patent rights, patent applications, licenses, copyrights, inventions, know-how (including trade secrets and other unpatented and/or unpatentable proprietary or confidential information, systems or procedures), trademarks, service marks, trade names, service names, software, internet addresses, domain names and other intellectual property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that is necessary for the conduct of their respective businesses as currently conducted and as described in the General Disclosure Package and the Offering Memorandum. Neither the Company nor any of its subsidiaries has received any notice or is otherwise aware of any infringement of or conflict with rights of others with respect to any Intellectual Property or of any facts or circumstances which could form a reasonable basis for concluding that any Intellectual Property of the Company is invalid or inadequate to protect the interests of the Company or any of its subsidiaries therein, except as would not reasonably be expected, individually or in the aggregate, to result in a Material Adverse Effect. There are no third parties who have or, to the knowledge of the Company or any of its subsidiaries, will be able to establish rights to any Intellectual Property of the Company or any of its subsidiaries, except for, and to the extent of, the ownership rights of the owners of the Intellectual Property which the General Disclosure Package and the Offering Memorandum disclose is licensed to the Company or any of its subsidiaries and except as would not reasonably be expected, individually or in the aggregate, to result in a Material Adverse Effect. Except as otherwise disclosed in the Company’s filings made pursuant to the 1934 Act, there is no pending or, to the knowledge of the Company or any of its subsidiaries, threatened action, suit, proceeding or claim by others challenging the Company’s or any subsidiary’s rights in or to any such Intellectual Property, or challenging the validity, enforceability or scope of any such Intellectual Property, or asserting that the Company or any subsidiary of the Company infringes or otherwise violates, or would, upon the commercialization of any product or service described in the General Disclosure Package or the Offering Memorandum, infringe or violate, any Intellectual Property of others, and the Company and its subsidiaries are unaware of any facts which could form a reasonable basis for any such action, suit, proceeding or claim, except as would not reasonably be expected, individually or in the aggregate, to result in a Material Adverse Effect. The Company and its subsidiaries have complied with the terms of each agreement pursuant to which any Intellectual Property has been licensed to the Company and its subsidiaries or any Company subsidiary, all such agreements are in full force and effect, and no event or condition has occurred or exists that gives or, with notice or passage of time or both, would give any person the right to terminate any such agreement, except as would not reasonably be expected, individually or in the aggregate, to result in a Material Adverse Effect.</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9" w:name="page140"/>
    <w:bookmarkEnd w:id="139"/>
    <w:p>
      <w:pPr>
        <w:jc w:val="both"/>
        <w:ind w:left="-460" w:firstLine="644"/>
        <w:spacing w:after="0" w:line="287" w:lineRule="auto"/>
        <w:tabs>
          <w:tab w:leader="none" w:pos="1217"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Assuming the accuracy of the representations and warranties of the Initial Purchasers contained in Section 2(d) and their compliance with their agreements set forth herein, (A) no filing with, or authorization, approval, consent, license, order, registration, qualification or decree of, any court or governmental authority or agency, domestic or foreign, (B) no authorization, approval, vote or consent of any holder of capital stock or other securities of the Company or any Guarantor or creditor of the Company or any of its subsidiaries, (C) no authorization, approval, waiver or consent under any Company Document, and (D) no authorization, approval, vote or consent of any other person or entity, is necessary or required for the execution, delivery or performance by the Company or the Guarantors of their obligations under the Transaction Documents, for the offering, issuance, sale or delivery of the Securities or the Guarantees hereunder, or for the consummation of any of the other transactions contemplated by this Agreement, in each case on the terms contemplated by the General Disclosure Package and the Offering Memorandum, except, in each case, (i) that no representation is made as to such as may be required under state or foreign securities laws and (ii) where the failure to make or obtain any of the foregoing in the case of clause (A) would not, individually or in the aggregate, reasonably be expected to have a Material Adverse Effect.</w:t>
      </w:r>
    </w:p>
    <w:p>
      <w:pPr>
        <w:spacing w:after="0" w:line="171" w:lineRule="exact"/>
        <w:rPr>
          <w:rFonts w:ascii="Arial" w:cs="Arial" w:eastAsia="Arial" w:hAnsi="Arial"/>
          <w:sz w:val="16"/>
          <w:szCs w:val="16"/>
          <w:color w:val="auto"/>
        </w:rPr>
      </w:pPr>
    </w:p>
    <w:p>
      <w:pPr>
        <w:jc w:val="both"/>
        <w:ind w:left="-460" w:firstLine="644"/>
        <w:spacing w:after="0" w:line="291" w:lineRule="auto"/>
        <w:tabs>
          <w:tab w:leader="none" w:pos="1028"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its subsidiaries possess such permits, licenses, approvals, consents and other authorizations (collectively, “</w:t>
      </w:r>
      <w:r>
        <w:rPr>
          <w:rFonts w:ascii="Arial" w:cs="Arial" w:eastAsia="Arial" w:hAnsi="Arial"/>
          <w:sz w:val="16"/>
          <w:szCs w:val="16"/>
          <w:u w:val="single" w:color="auto"/>
          <w:color w:val="auto"/>
        </w:rPr>
        <w:t>Governmental Licenses</w:t>
      </w:r>
      <w:r>
        <w:rPr>
          <w:rFonts w:ascii="Arial" w:cs="Arial" w:eastAsia="Arial" w:hAnsi="Arial"/>
          <w:sz w:val="16"/>
          <w:szCs w:val="16"/>
          <w:color w:val="auto"/>
        </w:rPr>
        <w:t>”) issued by the appropriate federal, state, local or foreign regulatory agencies or bodies necessary to conduct the business now operated by them. The Company and its subsidiaries are in compliance with the terms and conditions of all such Governmental Licenses, except where the failure so to comply would not reasonably be expected to, individually or in the aggregate, result in a Material Adverse Effect. All of the Governmental Licenses are valid and in full force and effect, except where the failure to be valid and in full force and effect would not reasonably be expected to, individually or in the aggregate, result in a Material Adverse Effect. Neither the Company nor any of its subsidiaries has received any notice of proceedings relating to the revocation or modification of any such Governmental Licenses.</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0" w:name="page141"/>
    <w:bookmarkEnd w:id="140"/>
    <w:p>
      <w:pPr>
        <w:jc w:val="both"/>
        <w:ind w:left="-460" w:firstLine="644"/>
        <w:spacing w:after="0" w:line="286" w:lineRule="auto"/>
        <w:tabs>
          <w:tab w:leader="none" w:pos="1095"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each of its subsidiaries have good and marketable title in fee simple to all real property owned by any of them (if any) and good title to all other properties and assets owned by any of them, in each case, free and clear of all Liens except such as (a) are described in the General Disclosure Package and the Offering Memorandum or (b) do not, individually or in the aggregate, materially affect the value of such property or interfere with the use made and proposed to be made of such property by the Company or any of its subsidiaries. All real property, buildings and other improvements, and all equipment and other property, held under lease or sublease by the Company or any of its subsidiaries is held by them under valid, subsisting and enforceable leases or subleases, as the case may be, with, solely in the case of leases or subleases relating to real property, buildings or other improvements, such exceptions as are not material and do not interfere with the use made or proposed to be made of such property and buildings or other improvements by the Company and its subsidiaries, and all such leases and subleases are in full force and effect. Neither the Company nor any of its subsidiaries has any notice of any claim of any sort that has been asserted by anyone adverse to the rights of the Company or any of its subsidiaries under any of the leases or subleases mentioned above or affecting or questioning the rights of the Company or any of its subsidiaries to the continued possession of the leased or subleased premises or the continued use of the leased or subleased equipment or other property, except for such claims which, if successfully asserted against the Company, or any of its subsidiaries, would not, individually or in the aggregate, reasonably be expected to result in a Material Adverse Effect.</w:t>
      </w:r>
    </w:p>
    <w:p>
      <w:pPr>
        <w:spacing w:after="0" w:line="173" w:lineRule="exact"/>
        <w:rPr>
          <w:rFonts w:ascii="Arial" w:cs="Arial" w:eastAsia="Arial" w:hAnsi="Arial"/>
          <w:sz w:val="16"/>
          <w:szCs w:val="16"/>
          <w:color w:val="auto"/>
        </w:rPr>
      </w:pPr>
    </w:p>
    <w:p>
      <w:pPr>
        <w:jc w:val="both"/>
        <w:ind w:left="-460" w:firstLine="644"/>
        <w:spacing w:after="0" w:line="259" w:lineRule="auto"/>
        <w:tabs>
          <w:tab w:leader="none" w:pos="1028"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any of its subsidiaries is, and upon the issuance and sale of the Securities as herein contemplated and the receipt and application of the net proceeds therefrom as described in the General Disclosure Package and the Offering Memorandum under the caption “Use Of Proceeds,” will be, required to register as an “investment company” or an entity “controlled” by an “investment company” as such terms are defined in the 1940 Act.</w:t>
      </w:r>
    </w:p>
    <w:p>
      <w:pPr>
        <w:spacing w:after="0" w:line="186" w:lineRule="exact"/>
        <w:rPr>
          <w:rFonts w:ascii="Arial" w:cs="Arial" w:eastAsia="Arial" w:hAnsi="Arial"/>
          <w:sz w:val="18"/>
          <w:szCs w:val="18"/>
          <w:color w:val="auto"/>
        </w:rPr>
      </w:pPr>
    </w:p>
    <w:p>
      <w:pPr>
        <w:jc w:val="both"/>
        <w:ind w:left="-460" w:firstLine="644"/>
        <w:spacing w:after="0" w:line="268" w:lineRule="auto"/>
        <w:tabs>
          <w:tab w:leader="none" w:pos="1109"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described in the General Disclosure Package and the Offering Memorandum and except, in each case, as would not, individually or in the aggregate, reasonably be expected to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u w:val="single" w:color="auto"/>
          <w:color w:val="auto"/>
        </w:rPr>
        <w:t>Hazardous</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1" w:name="page142"/>
    <w:bookmarkEnd w:id="141"/>
    <w:p>
      <w:pPr>
        <w:jc w:val="both"/>
        <w:ind w:firstLine="656"/>
        <w:spacing w:after="0" w:line="273" w:lineRule="auto"/>
        <w:tabs>
          <w:tab w:leader="none" w:pos="1515"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Tax Matters</w:t>
      </w:r>
      <w:r>
        <w:rPr>
          <w:rFonts w:ascii="Arial" w:cs="Arial" w:eastAsia="Arial" w:hAnsi="Arial"/>
          <w:sz w:val="17"/>
          <w:szCs w:val="17"/>
          <w:color w:val="auto"/>
        </w:rPr>
        <w:t>. Except for failures that would not, individually or in the aggregate, result in a Material Adverse Effect, the Company and each of its subsidiaries (a) have timely filed all tax returns that were required to have been filed or have obtained extensions thereof, (b) have paid all taxes (including, without limitation, any estimated taxes) that were required to have been paid and any other assessment, fine or penalty (including, in each case, in its capacity as a withholding agent), except for any such tax, assessment, fine or penalty that is currently being contested in good faith by appropriate actions and for which adequate reserves have been provided in accordance with GAAP and (c) have made adequate accruals and reserves (in accordance with GAAP) for all taxes, assessments, fines or penalties not yet due and payable.</w:t>
      </w:r>
    </w:p>
    <w:p>
      <w:pPr>
        <w:spacing w:after="0" w:line="177" w:lineRule="exact"/>
        <w:rPr>
          <w:rFonts w:ascii="Arial" w:cs="Arial" w:eastAsia="Arial" w:hAnsi="Arial"/>
          <w:sz w:val="17"/>
          <w:szCs w:val="17"/>
          <w:color w:val="auto"/>
        </w:rPr>
      </w:pPr>
    </w:p>
    <w:p>
      <w:pPr>
        <w:jc w:val="both"/>
        <w:ind w:firstLine="656"/>
        <w:spacing w:after="0" w:line="270" w:lineRule="auto"/>
        <w:tabs>
          <w:tab w:leader="none" w:pos="1488"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its subsidiaries are insured by insurers of recognized financial responsibility against such losses and risks and in such amounts as the Company reasonably believes are prudent and customary in the businesses in which they are engaged; all policies of insurance and any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there are no claims by the Company, or any of its subsidiaries under any such policy or instrument as to which any insurance company is denying liability or defending under a reservation of rights clause; none of the Company nor any of its subsidiaries has been refused any insurance coverage sought or applied for; and none of the Company, nor any of its subsidiaries has any reason to believe that it will not be able to renew its existing insurance coverage as and when such coverage expires or to obtain similar coverage from similar insurers at a cost that would not, individually or in the aggregate, reasonably be expected to result in a Material Adverse Effect.</w:t>
      </w:r>
    </w:p>
    <w:p>
      <w:pPr>
        <w:spacing w:after="0" w:line="180" w:lineRule="exact"/>
        <w:rPr>
          <w:rFonts w:ascii="Arial" w:cs="Arial" w:eastAsia="Arial" w:hAnsi="Arial"/>
          <w:sz w:val="17"/>
          <w:szCs w:val="17"/>
          <w:color w:val="auto"/>
        </w:rPr>
      </w:pPr>
    </w:p>
    <w:p>
      <w:pPr>
        <w:jc w:val="both"/>
        <w:ind w:firstLine="656"/>
        <w:spacing w:after="0" w:line="267" w:lineRule="auto"/>
        <w:tabs>
          <w:tab w:leader="none" w:pos="1515"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Accounting and Disclosure Controls</w:t>
      </w:r>
      <w:r>
        <w:rPr>
          <w:rFonts w:ascii="Arial" w:cs="Arial" w:eastAsia="Arial" w:hAnsi="Arial"/>
          <w:sz w:val="17"/>
          <w:szCs w:val="17"/>
          <w:color w:val="auto"/>
        </w:rPr>
        <w:t>. The Company and its subsidiaries maintain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General Disclosure Package and the Offering Memorandum, since the first day of the Company’s earliest fiscal year for which audited financial statements are included in the General Disclosure Package and the Offering Memorandum, there has been (1) no material weakness or significant deficiency (as defined in Rule 1-02 of Regulation S-X of the Commission) in the Company’s internal control over financial reporting (whether or not remediated), and (2) no material fraud involving management or other employees who have a role in the Company’s internal control over financial reporting and, since the end of the Company’s earliest fiscal year for which audited financial statements are included in the General Disclosure Package and the Offering Memorandum, there has been no change in the Company’s internal control over financial reporting that has materially affected, or is reasonably likely to materially affect, the Company’s internal control over financial reporting. The Company and its subsidiaries have established, maintained and periodically evaluate the effectiveness of “disclosure controls and procedures” (as defined in Rules 13a-15 and 15d-15 under the 1934 Act). Such disclosure controls and procedures are designed to ensure that information required to be disclosed by the Company in the reports that it will be required to file or submit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both"/>
        <w:ind w:firstLine="648"/>
        <w:spacing w:after="0" w:line="296" w:lineRule="auto"/>
        <w:rPr>
          <w:sz w:val="20"/>
          <w:szCs w:val="20"/>
          <w:color w:val="auto"/>
        </w:rPr>
      </w:pPr>
      <w:r>
        <w:rPr>
          <w:rFonts w:ascii="Arial" w:cs="Arial" w:eastAsia="Arial" w:hAnsi="Arial"/>
          <w:sz w:val="16"/>
          <w:szCs w:val="16"/>
          <w:color w:val="auto"/>
        </w:rPr>
        <w:t>The Company’s independent public accountants and the audit committee of the Company’s board of directors have been advised of all material weaknesses, if any, and significant deficiencies (as defined in Rule 1-02 of Regulation S-X of the Commission), if any, in the Company’s internal control over financial reporting and of all fraud, if any, whether or not material, involving management or other employees who have a role in the Company’s internal controls, in each case that occurred or existed, or was first detected, at any time during the three most recent fiscal years covered by the Company’s audited financial statements included in the General Disclosure Package and the Offering Memorandum or at any time subsequent thereto.</w:t>
      </w:r>
    </w:p>
    <w:p>
      <w:pPr>
        <w:spacing w:after="0" w:line="161" w:lineRule="exact"/>
        <w:rPr>
          <w:sz w:val="20"/>
          <w:szCs w:val="20"/>
          <w:color w:val="auto"/>
        </w:rPr>
      </w:pPr>
    </w:p>
    <w:p>
      <w:pPr>
        <w:jc w:val="both"/>
        <w:ind w:firstLine="656"/>
        <w:spacing w:after="0" w:line="263" w:lineRule="auto"/>
        <w:tabs>
          <w:tab w:leader="none" w:pos="1663"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There is and has been no failure on the part of the Company or any of the Company’s directors or officers, in their capacities as such, to comply in all material respects with any provision of the Sarbanes-Oxley Act with which any of them is required to comply, including Section 402 related to loans.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01"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Margin Requirements</w:t>
      </w:r>
      <w:r>
        <w:rPr>
          <w:rFonts w:ascii="Arial" w:cs="Arial" w:eastAsia="Arial" w:hAnsi="Arial"/>
          <w:sz w:val="18"/>
          <w:szCs w:val="18"/>
          <w:color w:val="auto"/>
        </w:rPr>
        <w:t>. None of the transactions contemplated by this Agreement (including, without limitation, the use of the proceeds from the sale of the Securities), will violate or result in a violation of Section 7 of the 1934 Act, or any regulation promulgated thereunder, including, without limitation, Regulations T, U and X of the Board of Governors of the Federal Reserve System.</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88"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or any of the Guarantors nor any of their respective subsidiaries has taken or will take, directly or indirectly, any action designed to or that would constitute or that would reasonably be expected to cause or result in the stabilization or manipulation of the price of any security to facilitate the sale or resale of the Securities.</w:t>
      </w:r>
    </w:p>
    <w:p>
      <w:pPr>
        <w:spacing w:after="0" w:line="183" w:lineRule="exact"/>
        <w:rPr>
          <w:rFonts w:ascii="Arial" w:cs="Arial" w:eastAsia="Arial" w:hAnsi="Arial"/>
          <w:sz w:val="18"/>
          <w:szCs w:val="18"/>
          <w:color w:val="auto"/>
        </w:rPr>
      </w:pPr>
    </w:p>
    <w:p>
      <w:pPr>
        <w:jc w:val="both"/>
        <w:ind w:firstLine="656"/>
        <w:spacing w:after="0" w:line="301" w:lineRule="auto"/>
        <w:tabs>
          <w:tab w:leader="none" w:pos="1542"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Any statistical, demographic, market-related and similar data included in the General Disclosure Package or the Offering Memorandum are based on or derived from sources that the Company believes to be reliable and accurate in all material respects and accurately reflect the materials upon which such data is based or from which it was derived in all material respects, and the Company has delivered true, complete and correct copies of such materials to the Representative if the Representative has requested such materials.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656"/>
        <w:spacing w:after="0" w:line="286" w:lineRule="auto"/>
        <w:tabs>
          <w:tab w:leader="none" w:pos="1501"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No Unlawful Payments</w:t>
      </w:r>
      <w:r>
        <w:rPr>
          <w:rFonts w:ascii="Arial" w:cs="Arial" w:eastAsia="Arial" w:hAnsi="Arial"/>
          <w:sz w:val="16"/>
          <w:szCs w:val="16"/>
          <w:color w:val="auto"/>
        </w:rPr>
        <w:t>. Neither the Company nor any of its subsidiaries, nor any director, officer, or employee of the Company or any of its subsidiaries, nor, to the knowledge of the Company and each of the Guarantors, any agent or other person acting on behalf of the Company or any of its subsidiaries is aware of or has taken any action, directly or indirectly, that has resulted or would result in (i) the use of any funds for any unlawful contribution, gift, entertainment or other unlawful expense relating to political activity; (ii) the making or taking of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a violation by any such person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the making, offering, requesting or taking of, or the agreement to take,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in all material respects with all applicable anti-bribery and anti-corruption laws.</w:t>
      </w:r>
    </w:p>
    <w:p>
      <w:pPr>
        <w:spacing w:after="0" w:line="173" w:lineRule="exact"/>
        <w:rPr>
          <w:rFonts w:ascii="Arial" w:cs="Arial" w:eastAsia="Arial" w:hAnsi="Arial"/>
          <w:sz w:val="16"/>
          <w:szCs w:val="16"/>
          <w:color w:val="auto"/>
        </w:rPr>
      </w:pPr>
    </w:p>
    <w:p>
      <w:pPr>
        <w:jc w:val="both"/>
        <w:ind w:firstLine="656"/>
        <w:spacing w:after="0" w:line="254" w:lineRule="auto"/>
        <w:tabs>
          <w:tab w:leader="none" w:pos="1609"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Compliance with Money Laundering Laws</w:t>
      </w:r>
      <w:r>
        <w:rPr>
          <w:rFonts w:ascii="Arial" w:cs="Arial" w:eastAsia="Arial" w:hAnsi="Arial"/>
          <w:sz w:val="18"/>
          <w:szCs w:val="18"/>
          <w:color w:val="auto"/>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the applicable money laundering statutes of all applicable jurisdictions, the rules and regulations thereunder and any related or similar rules, regulations or guidelines issued, administered or enforced by any governmental or regulatory agency (collectively, the “</w:t>
      </w:r>
      <w:r>
        <w:rPr>
          <w:rFonts w:ascii="Arial" w:cs="Arial" w:eastAsia="Arial" w:hAnsi="Arial"/>
          <w:sz w:val="18"/>
          <w:szCs w:val="18"/>
          <w:u w:val="single" w:color="auto"/>
          <w:color w:val="auto"/>
        </w:rPr>
        <w:t>Anti-Money</w:t>
      </w:r>
      <w:r>
        <w:rPr>
          <w:rFonts w:ascii="Arial" w:cs="Arial" w:eastAsia="Arial" w:hAnsi="Arial"/>
          <w:sz w:val="18"/>
          <w:szCs w:val="18"/>
          <w:color w:val="auto"/>
        </w:rPr>
        <w:t xml:space="preserve"> </w:t>
      </w:r>
      <w:r>
        <w:rPr>
          <w:rFonts w:ascii="Arial" w:cs="Arial" w:eastAsia="Arial" w:hAnsi="Arial"/>
          <w:sz w:val="18"/>
          <w:szCs w:val="18"/>
          <w:u w:val="single" w:color="auto"/>
          <w:color w:val="auto"/>
        </w:rPr>
        <w:t>Laundering Laws</w:t>
      </w:r>
      <w:r>
        <w:rPr>
          <w:rFonts w:ascii="Arial" w:cs="Arial" w:eastAsia="Arial" w:hAnsi="Arial"/>
          <w:sz w:val="18"/>
          <w:szCs w:val="18"/>
          <w:color w:val="auto"/>
        </w:rPr>
        <w:t>”) and no action, suit or proceeding by or before any court or governmental or regulatory agency, authority or body or any arbitrator involving the Company or any of its subsidiaries with respect to the Anti-Money Laundering Laws is pending or, to the knowledge of the Company or any Guarantor, threatened.</w:t>
      </w:r>
    </w:p>
    <w:p>
      <w:pPr>
        <w:spacing w:after="0" w:line="194" w:lineRule="exact"/>
        <w:rPr>
          <w:rFonts w:ascii="Arial" w:cs="Arial" w:eastAsia="Arial" w:hAnsi="Arial"/>
          <w:sz w:val="18"/>
          <w:szCs w:val="18"/>
          <w:color w:val="auto"/>
        </w:rPr>
      </w:pPr>
    </w:p>
    <w:p>
      <w:pPr>
        <w:jc w:val="both"/>
        <w:ind w:firstLine="656"/>
        <w:spacing w:after="0" w:line="268" w:lineRule="auto"/>
        <w:tabs>
          <w:tab w:leader="none" w:pos="1542"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No Conflicts with Sanctions Laws</w:t>
      </w:r>
      <w:r>
        <w:rPr>
          <w:rFonts w:ascii="Arial" w:cs="Arial" w:eastAsia="Arial" w:hAnsi="Arial"/>
          <w:sz w:val="17"/>
          <w:szCs w:val="17"/>
          <w:color w:val="auto"/>
        </w:rPr>
        <w:t>. None of the Company nor any of its subsidiaries, nor to the knowledge of the Company or any of the Guarantors, any of the Company’s or any subsidiary’s directors, officers, employees, or agents is currently the subject of any sanctions administered or enforced by the U.S. Government, (including, without limitation, the Office of Foreign Assets Control of the U.S. Department of the Treasury (“</w:t>
      </w:r>
      <w:r>
        <w:rPr>
          <w:rFonts w:ascii="Arial" w:cs="Arial" w:eastAsia="Arial" w:hAnsi="Arial"/>
          <w:sz w:val="17"/>
          <w:szCs w:val="17"/>
          <w:u w:val="single" w:color="auto"/>
          <w:color w:val="auto"/>
        </w:rPr>
        <w:t>OFAC</w:t>
      </w:r>
      <w:r>
        <w:rPr>
          <w:rFonts w:ascii="Arial" w:cs="Arial" w:eastAsia="Arial" w:hAnsi="Arial"/>
          <w:sz w:val="17"/>
          <w:szCs w:val="17"/>
          <w:color w:val="auto"/>
        </w:rPr>
        <w:t>”) or the U.S. Department of State and including, without limitation, the designation as a “specially designated national” or “blocked person”), the United Nations Security Council (“</w:t>
      </w:r>
      <w:r>
        <w:rPr>
          <w:rFonts w:ascii="Arial" w:cs="Arial" w:eastAsia="Arial" w:hAnsi="Arial"/>
          <w:sz w:val="17"/>
          <w:szCs w:val="17"/>
          <w:u w:val="single" w:color="auto"/>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nor is the Company, any of its subsidiaries located, organized or resident in a country, region or territory that is the subject or the target of Sanctions, including, without limitation, Cuba, Iran, North Korea, Crimea and Syria (each,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and the Company will not directly or indirectly use any of the proceeds of the offering, or lend, contribute or otherwise make available such proceeds to any subsidiary, joint venture partner or other person or entity (i) to fund or facilitate any activities of or business with any person that, at the time of such funding or facilitation, is the subject or the target of any Sanctions, except as otherwise permitted by applicable law, (ii) to fund or facilitate any activities of or any business in any Sanctioned Country, except as otherwise permitted by applicable law, or (iii) in any other manner that could result in a violation by any person (including any person participating in the transaction, whether as initial purchaser, advisor, investor or otherwise) of any Sanctions. For the past three years, the Company and its subsidiaries have not knowingly engaged in, are not now knowingly engaged in, and will not engage in, any dealings or transactions with any person that at the time of the dealing or transaction is or was the subject or the target of any Sanctions or with any Sanctioned Country, except as otherwise permitted by applicable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656"/>
        <w:spacing w:after="0" w:line="268" w:lineRule="auto"/>
        <w:tabs>
          <w:tab w:leader="none" w:pos="1704"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i w:val="1"/>
          <w:iCs w:val="1"/>
          <w:color w:val="auto"/>
        </w:rPr>
        <w:t>.</w:t>
      </w:r>
      <w:r>
        <w:rPr>
          <w:rFonts w:ascii="Arial" w:cs="Arial" w:eastAsia="Arial" w:hAnsi="Arial"/>
          <w:sz w:val="17"/>
          <w:szCs w:val="17"/>
          <w:color w:val="auto"/>
        </w:rPr>
        <w:t xml:space="preserve"> None of the following events has occurred or exists: (i) a failure to fulfill the obligations, if any, under the minimum funding standards of Section 302 of ERISA with respect to a Plan determined without regard to any waiver of such obligations or extension of any amortization period; (ii) an audit or investigation by the Internal Revenue Service, the U.S. Department of Labor, the Pension Benefit Guaranty Corporation or any other federal, state or foreign governmental or regulatory agency with respect to the employment or compensation of employees by the Company or any of its subsidiaries that would reasonably be expected, individually or in the aggregate, to result in a Material Adverse Effect; or (iii) any breach of any contractual obligation, or any violation of law or applicable qualification standards, with respect to the employment or compensation of employees by the Company or any of its subsidiaries that would reasonably be expected, individually or in the aggregate, to result in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Company’s most recently completed fiscal year; (ii) a material increase in the “accumulated post-retirement benefit obligations” (within the meaning of Statement of Financial Accounting Standards 106) of the Company and its subsidiaries compared to the amount of such obligations in the Company’s most recently completed fiscal year; (iii) any event or condition giving rise to a liability under Title IV of ERISA that would reasonably be expected, individually or in the aggregate, to result in a Material Adverse Effect; or (iv) the filing of a claim by one or more employees or former employees of the Company or any of its subsidiaries related to its or their employment that would reasonably be expected, individually or in the aggregate, to result in a Material Adverse Effect. For purposes of this paragraph and the definition of ERISA, the term “</w:t>
      </w:r>
      <w:r>
        <w:rPr>
          <w:rFonts w:ascii="Arial" w:cs="Arial" w:eastAsia="Arial" w:hAnsi="Arial"/>
          <w:sz w:val="17"/>
          <w:szCs w:val="17"/>
          <w:u w:val="single" w:color="auto"/>
          <w:color w:val="auto"/>
        </w:rPr>
        <w:t>Plan</w:t>
      </w:r>
      <w:r>
        <w:rPr>
          <w:rFonts w:ascii="Arial" w:cs="Arial" w:eastAsia="Arial" w:hAnsi="Arial"/>
          <w:sz w:val="17"/>
          <w:szCs w:val="17"/>
          <w:color w:val="auto"/>
        </w:rPr>
        <w:t>” means a plan (within the meaning of Section 3(3) of ERISA) with respect to which the Company or any of its subsidiaries may have any liability.</w:t>
      </w:r>
    </w:p>
    <w:p>
      <w:pPr>
        <w:spacing w:after="0" w:line="179" w:lineRule="exact"/>
        <w:rPr>
          <w:rFonts w:ascii="Arial" w:cs="Arial" w:eastAsia="Arial" w:hAnsi="Arial"/>
          <w:sz w:val="17"/>
          <w:szCs w:val="17"/>
          <w:color w:val="auto"/>
        </w:rPr>
      </w:pPr>
    </w:p>
    <w:p>
      <w:pPr>
        <w:jc w:val="both"/>
        <w:ind w:firstLine="656"/>
        <w:spacing w:after="0" w:line="273" w:lineRule="auto"/>
        <w:tabs>
          <w:tab w:leader="none" w:pos="1542"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Changes in Management</w:t>
      </w:r>
      <w:r>
        <w:rPr>
          <w:rFonts w:ascii="Arial" w:cs="Arial" w:eastAsia="Arial" w:hAnsi="Arial"/>
          <w:sz w:val="17"/>
          <w:szCs w:val="17"/>
          <w:color w:val="auto"/>
        </w:rPr>
        <w:t>. Except as disclosed in the General Disclosure Package and the Offering Memorandum, none of the persons who were officers or directors of the Company as of the date of the Preliminary Offering Memorandum has given oral or written notice to the Company or any of its subsidiaries of his or her resignation (or otherwise indicated to the Company or any of its subsidiaries an intention to resign within the next 24 months), nor has any such officer or director been terminated by the Company or otherwise removed from his or her office or from the board of directors, as the case may be (including, without limitation, any such termination or removal which is to be effective as of a future date) nor is any such termination or removal under consideration by the Company or its board of directors.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656"/>
        <w:spacing w:after="0" w:line="255" w:lineRule="auto"/>
        <w:tabs>
          <w:tab w:leader="none" w:pos="1609"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No Restrictions on Dividends</w:t>
      </w:r>
      <w:r>
        <w:rPr>
          <w:rFonts w:ascii="Arial" w:cs="Arial" w:eastAsia="Arial" w:hAnsi="Arial"/>
          <w:sz w:val="18"/>
          <w:szCs w:val="18"/>
          <w:color w:val="auto"/>
        </w:rPr>
        <w:t>. No subsidiary of the Company is a party to or otherwise bound by any instrument or agreement that limits or prohibits or could limit or prohibit, directly or indirectly, any subsidiary of the Company from paying any dividends or making any other distributions on its capital stock, limited or general partnership interests, limited liability company interests, or other equity interests, as the case may be, or from repaying any loans or advances from, or (except for instruments or agreements that by their express terms prohibit the transfer or assignment thereof or of any rights thereunder) transferring any of its properties or assets to, the Company or any other subsidiary, in each case except as described in the General Disclosure Package and the Offering Memorandum.</w:t>
      </w:r>
    </w:p>
    <w:p>
      <w:pPr>
        <w:spacing w:after="0" w:line="192" w:lineRule="exact"/>
        <w:rPr>
          <w:rFonts w:ascii="Arial" w:cs="Arial" w:eastAsia="Arial" w:hAnsi="Arial"/>
          <w:sz w:val="18"/>
          <w:szCs w:val="18"/>
          <w:color w:val="auto"/>
        </w:rPr>
      </w:pPr>
    </w:p>
    <w:p>
      <w:pPr>
        <w:jc w:val="both"/>
        <w:ind w:firstLine="656"/>
        <w:spacing w:after="0" w:line="286" w:lineRule="auto"/>
        <w:tabs>
          <w:tab w:leader="none" w:pos="1731"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There is not a broker, finder or other party that is entitled to receive from the Company or any of its subsidiaries any brokerage or finder’s fee or other fee or commission as a result of any of the transactions contemplated by this Agreement, except for discounts and commissions payable to the Initial Purchasers in connection with the sale of the Securities pursuant to this Agreement.</w:t>
      </w:r>
    </w:p>
    <w:p>
      <w:pPr>
        <w:spacing w:after="0" w:line="165" w:lineRule="exact"/>
        <w:rPr>
          <w:rFonts w:ascii="Arial" w:cs="Arial" w:eastAsia="Arial" w:hAnsi="Arial"/>
          <w:sz w:val="17"/>
          <w:szCs w:val="17"/>
          <w:color w:val="auto"/>
        </w:rPr>
      </w:pPr>
    </w:p>
    <w:p>
      <w:pPr>
        <w:jc w:val="both"/>
        <w:ind w:firstLine="656"/>
        <w:spacing w:after="0" w:line="287" w:lineRule="auto"/>
        <w:tabs>
          <w:tab w:leader="none" w:pos="1798"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Cyber Security; Data Protection</w:t>
      </w:r>
      <w:r>
        <w:rPr>
          <w:rFonts w:ascii="Arial" w:cs="Arial" w:eastAsia="Arial" w:hAnsi="Arial"/>
          <w:sz w:val="16"/>
          <w:szCs w:val="16"/>
          <w:color w:val="auto"/>
        </w:rPr>
        <w:t>. The Company and its subsidiaries’ information technology and computer systems, networks, hardware, software, internet web sites, data and databases (including the data of their respective customers, employees, suppliers, vendors and any third party data maintained by or on behalf of them),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are adequate for, and operate and perform in all material respects as required in connection with, the operation of the business of the Company and the subsidiaries as currently conducted. The Company and its subsidiaries have implemented and maintained commercially reasonable information technology, information security, cyber security and data protection controls, policies and procedures to adequately protect and prevent security breaches of, unauthorized access to and other similar compromises of IT Systems and Data in accordance with industry practices and as required by applicable regulatory standards. The Company and its subsidiaries have not experienced and have no knowledge of any cyber-attack, security breach, unauthorized access or other similar compromise to their IT Systems and Data, which attack, breach, unauthorized access or similar compromise that would reasonably be expected to result in a Material Adverse Effect.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jc w:val="both"/>
        <w:ind w:firstLine="656"/>
        <w:spacing w:after="0" w:line="263" w:lineRule="auto"/>
        <w:tabs>
          <w:tab w:leader="none" w:pos="146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i w:val="1"/>
          <w:iCs w:val="1"/>
          <w:color w:val="auto"/>
        </w:rPr>
        <w:t>.</w:t>
      </w:r>
      <w:r>
        <w:rPr>
          <w:rFonts w:ascii="Arial" w:cs="Arial" w:eastAsia="Arial" w:hAnsi="Arial"/>
          <w:sz w:val="18"/>
          <w:szCs w:val="18"/>
          <w:color w:val="auto"/>
        </w:rPr>
        <w:t xml:space="preserve"> Any certificate signed by any officer of the Company, or any of its subsidiaries (whether signed on behalf of such officer, the Company, or such subsidiary) and delivered to the Representative or to counsel for the Initial Purchasers shall be deemed a representation and warranty by the Company or such Guarantor to each Initial Purchaser as to the matters covered thereby.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Initial Purchasers; Closing; Agreements to Sell, Purchase and Resell</w:t>
      </w:r>
    </w:p>
    <w:p>
      <w:pPr>
        <w:spacing w:after="0" w:line="225" w:lineRule="exact"/>
        <w:rPr>
          <w:sz w:val="20"/>
          <w:szCs w:val="20"/>
          <w:color w:val="auto"/>
        </w:rPr>
      </w:pPr>
    </w:p>
    <w:p>
      <w:pPr>
        <w:jc w:val="both"/>
        <w:ind w:firstLine="656"/>
        <w:spacing w:after="0" w:line="255" w:lineRule="auto"/>
        <w:tabs>
          <w:tab w:leader="none" w:pos="1495"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The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On the basis of the representations and warranties herein contained and subject to the terms and conditions herein set forth, the Company and each of the Guarantors agree to sell to each Initial Purchaser, severally and not jointly, and each Initial Purchaser, severally and not jointly, agrees to purchase from the Company and each of the Guarantors, the aggregate principal amount of Securities set forth opposite such Initial Purchaser’s name in Exhibit A hereto plus any additional principal amount of Securities which such Initial Purchaser may become obligated to purchase pursuant to the provisions of Section 10 hereof, in each case at a price equal to [**]% of the principal amount thereof, plus accrued interest, if any, from August 7, 2020.</w:t>
      </w:r>
    </w:p>
    <w:p>
      <w:pPr>
        <w:spacing w:after="0" w:line="192" w:lineRule="exact"/>
        <w:rPr>
          <w:rFonts w:ascii="Arial" w:cs="Arial" w:eastAsia="Arial" w:hAnsi="Arial"/>
          <w:sz w:val="18"/>
          <w:szCs w:val="18"/>
          <w:color w:val="auto"/>
        </w:rPr>
      </w:pPr>
    </w:p>
    <w:p>
      <w:pPr>
        <w:jc w:val="both"/>
        <w:ind w:firstLine="656"/>
        <w:spacing w:after="0" w:line="257" w:lineRule="auto"/>
        <w:tabs>
          <w:tab w:leader="none" w:pos="1519"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i w:val="1"/>
          <w:iCs w:val="1"/>
          <w:color w:val="auto"/>
        </w:rPr>
        <w:t>.</w:t>
      </w:r>
      <w:r>
        <w:rPr>
          <w:rFonts w:ascii="Arial" w:cs="Arial" w:eastAsia="Arial" w:hAnsi="Arial"/>
          <w:sz w:val="18"/>
          <w:szCs w:val="18"/>
          <w:color w:val="auto"/>
        </w:rPr>
        <w:t xml:space="preserve"> Payment of the purchase price for, and delivery of, the Securities shall be made at the offices of Cahill Gordon &amp; Reindel LLP, 80 Pine Street, New York, New York 10005, or at such other place as shall be agreed upon by the Representative and the Company, at 9:00 A.M. (New York City time) on August 7, 2020 (unless postponed in accordance with the provisions of Section 10), or such other time not later than five business days after such date as shall be agreed upon by the Representative and the Company (such time and date of payment and delivery being herein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Payment shall be made to the Company by wire transfer of immediately available funds to a single bank account designated by the Company against delivery to the Representative for the respective accounts of the Initial Purchasers of the Securities to be purchased by them. It is understood that each Initial Purchaser has authorized the Representative, for its account, to accept delivery of, receipt for, and make payment of the purchase price for, the Securities which it has agreed to purchase. Wells Fargo, individually and not as representative of the Initial Purchasers, may (but shall not be obligated to) make payment of the purchase price for the Securities to be purchased by any Initial Purchaser whose funds have not been received by the Closing Date, but such payment shall not relieve such Initial Purchaser from its obligations hereunder.</w:t>
      </w:r>
    </w:p>
    <w:p>
      <w:pPr>
        <w:spacing w:after="0" w:line="178" w:lineRule="exact"/>
        <w:rPr>
          <w:sz w:val="20"/>
          <w:szCs w:val="20"/>
          <w:color w:val="auto"/>
        </w:rPr>
      </w:pPr>
    </w:p>
    <w:p>
      <w:pPr>
        <w:jc w:val="both"/>
        <w:ind w:firstLine="656"/>
        <w:spacing w:after="0" w:line="301" w:lineRule="auto"/>
        <w:tabs>
          <w:tab w:leader="none" w:pos="1441"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Delivery of Securities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make one or more global certificates (collectively, the “</w:t>
      </w:r>
      <w:r>
        <w:rPr>
          <w:rFonts w:ascii="Arial" w:cs="Arial" w:eastAsia="Arial" w:hAnsi="Arial"/>
          <w:sz w:val="16"/>
          <w:szCs w:val="16"/>
          <w:u w:val="single" w:color="auto"/>
          <w:color w:val="auto"/>
        </w:rPr>
        <w:t>Global Securities</w:t>
      </w:r>
      <w:r>
        <w:rPr>
          <w:rFonts w:ascii="Arial" w:cs="Arial" w:eastAsia="Arial" w:hAnsi="Arial"/>
          <w:sz w:val="16"/>
          <w:szCs w:val="16"/>
          <w:color w:val="auto"/>
        </w:rPr>
        <w:t>”) representing the Securities available for inspection by the Representative not later than 1:00 p.m., New York City time, on the business day prior to the Closing Date and, on or prior to the Closing Date, the Company shall deliver the Global Securities to DTC or to the Trustee, acting as custodian for DTC, as applicable. Delivery of the Securities to the Initial Purchasers on the Closing Date shall be made through the facilities of DTC unless the Representative shall otherwise instruct.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both"/>
        <w:ind w:firstLine="656"/>
        <w:spacing w:after="0" w:line="288" w:lineRule="auto"/>
        <w:tabs>
          <w:tab w:leader="none" w:pos="1451"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Representations of the Initial Purchasers</w:t>
      </w:r>
      <w:r>
        <w:rPr>
          <w:rFonts w:ascii="Arial" w:cs="Arial" w:eastAsia="Arial" w:hAnsi="Arial"/>
          <w:sz w:val="16"/>
          <w:szCs w:val="16"/>
          <w:color w:val="auto"/>
        </w:rPr>
        <w:t>. (i) Each of the Initial Purchasers, severally and not jointly, hereby represents and warrants to the Company that it intends to offer the Securities for sale upon the terms and conditions set forth in this Agreement and in the General Disclosure Package. Each of the Initial Purchasers, severally and not jointly, hereby represents and warrants to, and agrees with, the Company, on the basis of the representations, warranties and agreements of the Company and the Guarantors, that such Initial Purchaser: (A) is a QIB; (B) in connection with the Exempt Resales, will sell the Securities only to the Eligible Purchasers; (C) will not offer or sell the Securities, nor has it offered or sold the Securities by, or otherwise engaged in, any form of general solicitation or general advertising (within the meaning of Regulation D under the 1933 Act) and will not engage in any directed selling efforts within the meaning of Rule 902 under the 1933 Act, in connection with the offering of the Securities; and (D) in the case of offers outside the United States, will solicit offers for such Securities only from, and will offer such Securities only to, persons that it reasonably believes to be persons other than “U.S. persons” as defined in Regulation S in reliance upon Regulation S that, in each case, in purchasing such Securities are deemed to have represented and agreed as provided in the Offering Memorandum under the caption “Notice to Investors.”</w:t>
      </w:r>
    </w:p>
    <w:p>
      <w:pPr>
        <w:spacing w:after="0" w:line="168" w:lineRule="exact"/>
        <w:rPr>
          <w:sz w:val="20"/>
          <w:szCs w:val="20"/>
          <w:color w:val="auto"/>
        </w:rPr>
      </w:pPr>
    </w:p>
    <w:p>
      <w:pPr>
        <w:ind w:right="20" w:firstLine="656"/>
        <w:spacing w:after="0" w:line="277" w:lineRule="auto"/>
        <w:tabs>
          <w:tab w:leader="none" w:pos="132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Initial Purchaser, severally and not jointly, hereby represents and warrants to, and agrees with, the Company, with respect to offers and sales outside the United States, that:</w:t>
      </w:r>
    </w:p>
    <w:p>
      <w:pPr>
        <w:spacing w:after="0" w:line="170" w:lineRule="exact"/>
        <w:rPr>
          <w:rFonts w:ascii="Arial" w:cs="Arial" w:eastAsia="Arial" w:hAnsi="Arial"/>
          <w:sz w:val="18"/>
          <w:szCs w:val="18"/>
          <w:color w:val="auto"/>
        </w:rPr>
      </w:pPr>
    </w:p>
    <w:p>
      <w:pPr>
        <w:jc w:val="both"/>
        <w:ind w:left="660" w:firstLine="968"/>
        <w:spacing w:after="0" w:line="311" w:lineRule="auto"/>
        <w:tabs>
          <w:tab w:leader="none" w:pos="192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such Initial Purchaser understands that no action has been or will be taken by the Issuer that would permit a public offering of the Securities, or possession or distribution of the Preliminary Offering Memorandum, the General Disclosure Package, the Offering Memorandum or any other offering or publicity material relating to the Securities, in any country or jurisdiction where action for that purpose is required;</w:t>
      </w:r>
    </w:p>
    <w:p>
      <w:pPr>
        <w:spacing w:after="0" w:line="148" w:lineRule="exact"/>
        <w:rPr>
          <w:rFonts w:ascii="Arial" w:cs="Arial" w:eastAsia="Arial" w:hAnsi="Arial"/>
          <w:sz w:val="16"/>
          <w:szCs w:val="16"/>
          <w:color w:val="auto"/>
        </w:rPr>
      </w:pPr>
    </w:p>
    <w:p>
      <w:pPr>
        <w:ind w:left="660" w:right="40" w:firstLine="968"/>
        <w:spacing w:after="0" w:line="342" w:lineRule="auto"/>
        <w:tabs>
          <w:tab w:leader="none" w:pos="191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such Initial Purchaser understands that the Securities have not been registered under the 1933 Act and may not be sold within the United States or to, or for the account or benefit of, U.S. persons except in accordance with Rule 144A or Regulation S under the 1933 Act;</w:t>
      </w:r>
    </w:p>
    <w:p>
      <w:pPr>
        <w:spacing w:after="0" w:line="123" w:lineRule="exact"/>
        <w:rPr>
          <w:rFonts w:ascii="Arial" w:cs="Arial" w:eastAsia="Arial" w:hAnsi="Arial"/>
          <w:sz w:val="16"/>
          <w:szCs w:val="16"/>
          <w:color w:val="auto"/>
        </w:rPr>
      </w:pPr>
    </w:p>
    <w:p>
      <w:pPr>
        <w:ind w:left="1920" w:hanging="292"/>
        <w:spacing w:after="0"/>
        <w:tabs>
          <w:tab w:leader="none" w:pos="192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such Initial Purchaser has offered the Securities and will offer and sell the Securities (1) as part of its distribution at any time and</w:t>
      </w:r>
    </w:p>
    <w:p>
      <w:pPr>
        <w:spacing w:after="0" w:line="46" w:lineRule="exact"/>
        <w:rPr>
          <w:rFonts w:ascii="Arial" w:cs="Arial" w:eastAsia="Arial" w:hAnsi="Arial"/>
          <w:sz w:val="16"/>
          <w:szCs w:val="16"/>
          <w:color w:val="auto"/>
        </w:rPr>
      </w:pPr>
    </w:p>
    <w:p>
      <w:pPr>
        <w:ind w:left="660"/>
        <w:spacing w:after="0" w:line="253" w:lineRule="auto"/>
        <w:rPr>
          <w:rFonts w:ascii="Arial" w:cs="Arial" w:eastAsia="Arial" w:hAnsi="Arial"/>
          <w:sz w:val="16"/>
          <w:szCs w:val="16"/>
          <w:color w:val="auto"/>
        </w:rPr>
      </w:pPr>
      <w:r>
        <w:rPr>
          <w:rFonts w:ascii="Arial" w:cs="Arial" w:eastAsia="Arial" w:hAnsi="Arial"/>
          <w:sz w:val="18"/>
          <w:szCs w:val="18"/>
          <w:color w:val="auto"/>
        </w:rPr>
        <w:t>(2) otherwise until 40 days after the later of the commencement of the offering and the Closing Date, only in accordance with Rule 903 of Regulation S or as otherwise permitted in Section 2(d)(i); accordingly, neither such Initial Purchaser, its affiliates nor any persons acting on its or their behalf have engaged or will engage in any directed selling efforts (within the meaning of Regulation S) with respect to the Securities, and any such Initial Purchaser, its affiliates and any such persons have complied and will comply with the offering restrictions requirement of Regulation S; and</w:t>
      </w:r>
    </w:p>
    <w:p>
      <w:pPr>
        <w:spacing w:after="0" w:line="190" w:lineRule="exact"/>
        <w:rPr>
          <w:rFonts w:ascii="Arial" w:cs="Arial" w:eastAsia="Arial" w:hAnsi="Arial"/>
          <w:sz w:val="16"/>
          <w:szCs w:val="16"/>
          <w:color w:val="auto"/>
        </w:rPr>
      </w:pPr>
    </w:p>
    <w:p>
      <w:pPr>
        <w:ind w:left="660" w:right="260" w:firstLine="968"/>
        <w:spacing w:after="0" w:line="263" w:lineRule="auto"/>
        <w:tabs>
          <w:tab w:leader="none" w:pos="192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such Initial Purchaser agrees that, at or prior to confirmation of sales of the Securities in reliance on Regulation S, it will have sent to each distributor, dealer or person receiving a selling concession, fee or other remuneration that purchases Securities from it during the restricted period a confirmation or notice to substantially the following effect: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ind w:left="1960"/>
        <w:spacing w:after="0" w:line="257" w:lineRule="auto"/>
        <w:rPr>
          <w:sz w:val="20"/>
          <w:szCs w:val="20"/>
          <w:color w:val="auto"/>
        </w:rPr>
      </w:pPr>
      <w:r>
        <w:rPr>
          <w:rFonts w:ascii="Arial" w:cs="Arial" w:eastAsia="Arial" w:hAnsi="Arial"/>
          <w:sz w:val="18"/>
          <w:szCs w:val="18"/>
          <w:color w:val="auto"/>
        </w:rPr>
        <w:t>“The Securities covered hereby have not been registered under the U.S. Securities Act of 1933 (the “1933 Act”) and may not be offered and sold within the United States or to, or for the account or benefit of, U.S. persons (i) as part of their distribution at any time or (ii) otherwise until 40 days after the later of the commencement of the offering and the Closing Date, except in either case in accordance with Regulation S (or Rule 144A if available) under the 1933 Act. Terms used above have the meaning given to them by Regulation 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Terms used in this Section 2(d)(ii) have the meanings given to them by Regulation S.</w:t>
      </w:r>
    </w:p>
    <w:p>
      <w:pPr>
        <w:spacing w:after="0" w:line="225" w:lineRule="exact"/>
        <w:rPr>
          <w:sz w:val="20"/>
          <w:szCs w:val="20"/>
          <w:color w:val="auto"/>
        </w:rPr>
      </w:pPr>
    </w:p>
    <w:p>
      <w:pPr>
        <w:jc w:val="both"/>
        <w:ind w:firstLine="656"/>
        <w:spacing w:after="0" w:line="275" w:lineRule="auto"/>
        <w:tabs>
          <w:tab w:leader="none" w:pos="963"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Initial Purchasers have advised the Company that they will resell the Securities to Eligible Purchasers at a price initially equal to 100% of the principal amount thereof, plus accrued interest, if any, from August 7, 2020. Such price may be changed by the Initial Purchasers at any time without notice. Each of the Initial Purchasers understands that the Company and, for purposes of the opinions to be delivered to the Initial Purchasers pursuant to this Agreement, counsel to the Company and counsel to the Initial Purchasers, will rely upon the accuracy and truth of the foregoing representations, warranties and agreements, and the Initial Purchasers hereby consent to such reliance.</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 and the Guarantors</w:t>
      </w:r>
      <w:r>
        <w:rPr>
          <w:rFonts w:ascii="Arial" w:cs="Arial" w:eastAsia="Arial" w:hAnsi="Arial"/>
          <w:sz w:val="18"/>
          <w:szCs w:val="18"/>
          <w:color w:val="auto"/>
        </w:rPr>
        <w:t>. The Company and the Guarantors, jointly and severally, covenant with each Initial Purchaser as follows:</w:t>
      </w:r>
    </w:p>
    <w:p>
      <w:pPr>
        <w:spacing w:after="0" w:line="170" w:lineRule="exact"/>
        <w:rPr>
          <w:sz w:val="20"/>
          <w:szCs w:val="20"/>
          <w:color w:val="auto"/>
        </w:rPr>
      </w:pPr>
    </w:p>
    <w:p>
      <w:pPr>
        <w:jc w:val="both"/>
        <w:ind w:left="660" w:firstLine="968"/>
        <w:spacing w:after="0" w:line="269" w:lineRule="auto"/>
        <w:tabs>
          <w:tab w:leader="none" w:pos="2398"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Securities Law Compliance</w:t>
      </w:r>
      <w:r>
        <w:rPr>
          <w:rFonts w:ascii="Arial" w:cs="Arial" w:eastAsia="Arial" w:hAnsi="Arial"/>
          <w:sz w:val="17"/>
          <w:szCs w:val="17"/>
          <w:color w:val="auto"/>
        </w:rPr>
        <w:t>. The Company will (i) advise each Initial Purchaser promptly after obtaining knowledge (and, if requested by any Initial Purchaser, confirm such advice in writing) of (A) the issuance by any U.S. or non-U.S. federal or state securities commission of any stop order suspending the qualification or exemption from qualification of any of the Securities for offer or sale in any jurisdiction, or the initiation of any proceeding for such purpose by any U.S. or non-U.S. federal or state securities commission or other regulatory authority, or (B) the happening of any event that makes any statement of a material fact made in the General Disclosure Package, any Issuer Free Writing Document or the Offering Memorandum, untrue or that requires the making of any additions to or changes in the General Disclosure Package, any Issuer Free Writing Document or the Offering Memorandum, to make the statements therein, in the light of the circumstances under which they were made, not misleading, (ii) use its reasonable best efforts to prevent the issuance of any stop order or order suspending the qualification or exemption from qualification of any of the Securities under any securities or “Blue Sky” laws of U.S. state or non-U.S. jurisdictions and (iii) if, at any time, any U.S. or non-U.S. federal or state securities commission or other regulatory authority shall issue an order suspending the qualification or exemption from qualification of any of the Securities under any such laws, use its reasonable best efforts to obtain the withdrawal or lifting of such order at the earliest possible time.</w:t>
      </w:r>
    </w:p>
    <w:p>
      <w:pPr>
        <w:spacing w:after="0" w:line="178" w:lineRule="exact"/>
        <w:rPr>
          <w:rFonts w:ascii="Arial" w:cs="Arial" w:eastAsia="Arial" w:hAnsi="Arial"/>
          <w:sz w:val="17"/>
          <w:szCs w:val="17"/>
          <w:color w:val="auto"/>
        </w:rPr>
      </w:pPr>
    </w:p>
    <w:p>
      <w:pPr>
        <w:jc w:val="both"/>
        <w:ind w:left="660" w:firstLine="968"/>
        <w:spacing w:after="0" w:line="289" w:lineRule="auto"/>
        <w:tabs>
          <w:tab w:leader="none" w:pos="2408"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will give the Representative notice of its intention to prepare any amendment, supplement or revision to the Preliminary Offering Memorandum, the Offering Memorandum or any Issuer Free Writing Document, and the Company will furnish the Representative with copies of any such documents within a reasonable amount of time prior to such proposed use, and will not use any such document to which the Representative or counsel for the Initial Purchasers shall reasonably object. The Company has given the Representative notice of any filings made pursuant to the 1934 Act or the 1934 Act Regulations within 48 hours prior to the Applicable Time. The Company will give the Representative notice of its intention to make any such filing from and after the Applicable Time through the Closing Date (or, if later, through the completion of the distribution of the Securities by the Initial Purchasers to Eligible Purchasers) and will furnish the Representative with copies of any such documents within a reasonable amount of time prior to such proposed filing, as the case may be, and will not file or use any such document to which the Representative or counsel for the Initial Purchasers shall reasonably object.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left="-460" w:firstLine="968"/>
        <w:spacing w:after="0" w:line="259" w:lineRule="auto"/>
        <w:tabs>
          <w:tab w:leader="none" w:pos="129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Delivery of Disclosure Documents to the Representative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will deliver to the Representative and counsel for the Initial Purchasers, within two business days of the date hereof and without charge, such number of copies of the Preliminary Offering Memorandum, the Pricing Term Sheet and the Offering Memorandum and any amendment or supplement to any of the foregoing as they reasonably request.</w:t>
      </w:r>
    </w:p>
    <w:p>
      <w:pPr>
        <w:spacing w:after="0" w:line="186" w:lineRule="exact"/>
        <w:rPr>
          <w:rFonts w:ascii="Arial" w:cs="Arial" w:eastAsia="Arial" w:hAnsi="Arial"/>
          <w:sz w:val="18"/>
          <w:szCs w:val="18"/>
          <w:color w:val="auto"/>
        </w:rPr>
      </w:pPr>
    </w:p>
    <w:p>
      <w:pPr>
        <w:jc w:val="both"/>
        <w:ind w:left="-460" w:firstLine="968"/>
        <w:spacing w:after="0" w:line="284" w:lineRule="auto"/>
        <w:tabs>
          <w:tab w:leader="none" w:pos="1275"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Continued Compliance with Securities Laws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will comply with the 1933 Act, the 1933 Act Regulations, the 1934 Act and the 1934 Act Regulations so as to permit the completion of the distribution of the Securities as contemplated by this Agreement, the General Disclosure Package and the Offering Memorandum. If at any time prior to the completion of the distribution of the Securities by the Initial Purchasers to Eligible Purchasers, any event shall occur or condition shall exist as a result of which it is necessary (or if the Representative or counsel for the Initial Purchasers shall notify the Company that, in their judgment, it is necessary) to amend or supplement the General Disclosure Package or the Offering Memorandum so that the General Disclosure Package or the Offering Memorandum, as the case may be, will not include any untrue statement of a material fact or omit to state a material fact necessary in order to make the statements therein, in the light of the circumstances under which they were made or then prevailing, not misleading or if it is necessary (or, if the Representative or counsel for the Initial Purchasers shall notify the Company that, in their judgment, it is necessary) to amend or supplement the General Disclosure Package or the Offering Memorandum in order to comply with the requirements of the 1933 Act or the 1933 Act Regulations, the 1934 Act or the 1934 Act Regulations, the Company will promptly notify the Representative of such event or condition and of its intention to prepare such amendment or supplement (or, if the Representative or counsel for the Initial Purchasers shall have notified the Company as aforesaid, the Company will promptly notify the Representative of its intention to prepare such amendment or supplement) and will promptly prepare, subject to Section 3(b) hereof, such amendment or supplement as may be necessary to correct such untrue statement or omission or to comply with such requirements, and the Company will furnish to the Initial Purchasers such number of copies of such amendment or supplement as the Initial Purchasers may reasonably request. If at any time an event shall occur or condition shall exist as a result of which it is necessary (or if the Representative or counsel for the Initial Purchasers shall notify the Company that, in their judgment, it is necessary) to amend or supplement any Issuer Free Writing Document so that it will not include an untrue statement of a material fact or omit to state a material fact necessary in order to make the statements therein, in the light of the circumstances under which they were made or then prevailing, not misleading, or if it is necessary (or, if the Representative or counsel for the Initial Purchasers shall notify the Company that, in their judgment, it is necessary) to amend or supplement such Issuer Free Writing Document in order to comply with the requirements of the 1933 Act or the 1933 Act Regulations, the Company will promptly notify the Representative of such event or condition and of its intention to prepare such amendment or supplement (or, if the Representative or counsel for the Initial Purchasers shall have notified the Company as aforesaid, the Company will promptly notify the Representative of its intention to prepare such amendment or supplement) and will promptly prepare and, subject to Section 3(b) hereof distribute, such amendment or supplement as may be necessary to eliminate or correct such conflict, untrue statement or omission or to comply with such requirements, and the Company will furnish to the Initial Purchasers such number of copies of such amendment or supplement as the Initial Purchasers may reasonably request.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0" w:name="page151"/>
    <w:bookmarkEnd w:id="150"/>
    <w:p>
      <w:pPr>
        <w:jc w:val="both"/>
        <w:ind w:left="-460" w:firstLine="968"/>
        <w:spacing w:after="0" w:line="311" w:lineRule="auto"/>
        <w:tabs>
          <w:tab w:leader="none" w:pos="1494"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Use of Offering Materials</w:t>
      </w:r>
      <w:r>
        <w:rPr>
          <w:rFonts w:ascii="Arial" w:cs="Arial" w:eastAsia="Arial" w:hAnsi="Arial"/>
          <w:sz w:val="16"/>
          <w:szCs w:val="16"/>
          <w:color w:val="auto"/>
        </w:rPr>
        <w:t>. The Company and each of the Guarantors consents to the use of the General Disclosure Package and the Offering Memorandum in accordance with the securities or “Blue Sky” laws of the jurisdictions in which the Securities are offered by the Initial Purchasers and by all dealers to whom Securities may be sold, in connection with the offering and sale of the Securities.</w:t>
      </w:r>
    </w:p>
    <w:p>
      <w:pPr>
        <w:spacing w:after="0" w:line="148" w:lineRule="exact"/>
        <w:rPr>
          <w:rFonts w:ascii="Arial" w:cs="Arial" w:eastAsia="Arial" w:hAnsi="Arial"/>
          <w:sz w:val="16"/>
          <w:szCs w:val="16"/>
          <w:color w:val="auto"/>
        </w:rPr>
      </w:pPr>
    </w:p>
    <w:p>
      <w:pPr>
        <w:jc w:val="both"/>
        <w:ind w:left="-460" w:firstLine="968"/>
        <w:spacing w:after="0" w:line="269" w:lineRule="auto"/>
        <w:tabs>
          <w:tab w:leader="none" w:pos="1299"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“Blue Sky” and Other Qualifications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will use its best efforts, in cooperation with the Initial Purchasers, to qualify the Securities for offering and sale, or to obtain an exemption for the Securities to be offered and sold, under the applicable securities laws of such states and other jurisdictions (domestic or foreign) as the Representative may designate and to maintain such qualifications and exemptions in effect for so long as required for the distribution of the Securities (but in no event for a period of more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or are exempt, the Company will file such statements and reports as may be required by the laws of such jurisdiction to continue such qualification or exemption, as the case may be, in effect for so long as required for the distribution of the Securities (but in no event for a period of more than one year from the date of this Agreement).</w:t>
      </w:r>
    </w:p>
    <w:p>
      <w:pPr>
        <w:spacing w:after="0" w:line="185" w:lineRule="exact"/>
        <w:rPr>
          <w:rFonts w:ascii="Arial" w:cs="Arial" w:eastAsia="Arial" w:hAnsi="Arial"/>
          <w:sz w:val="17"/>
          <w:szCs w:val="17"/>
          <w:color w:val="auto"/>
        </w:rPr>
      </w:pPr>
    </w:p>
    <w:p>
      <w:pPr>
        <w:ind w:left="-460" w:firstLine="968"/>
        <w:spacing w:after="0" w:line="308" w:lineRule="auto"/>
        <w:tabs>
          <w:tab w:leader="none" w:pos="1437"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received by it from the sale of the Securities in all material respects in the manner specified in the Preliminary Offering Memorandum and the Offering Memorandum under “Use of Proceeds.”</w:t>
      </w:r>
    </w:p>
    <w:p>
      <w:pPr>
        <w:spacing w:after="0" w:line="149" w:lineRule="exact"/>
        <w:rPr>
          <w:rFonts w:ascii="Arial" w:cs="Arial" w:eastAsia="Arial" w:hAnsi="Arial"/>
          <w:sz w:val="17"/>
          <w:szCs w:val="17"/>
          <w:color w:val="auto"/>
        </w:rPr>
      </w:pPr>
    </w:p>
    <w:p>
      <w:pPr>
        <w:jc w:val="both"/>
        <w:ind w:left="-460" w:firstLine="968"/>
        <w:spacing w:after="0" w:line="267" w:lineRule="auto"/>
        <w:tabs>
          <w:tab w:leader="none" w:pos="1315"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Restriction on Sale of Securities</w:t>
      </w:r>
      <w:r>
        <w:rPr>
          <w:rFonts w:ascii="Arial" w:cs="Arial" w:eastAsia="Arial" w:hAnsi="Arial"/>
          <w:sz w:val="16"/>
          <w:szCs w:val="16"/>
          <w:i w:val="1"/>
          <w:iCs w:val="1"/>
          <w:color w:val="auto"/>
        </w:rPr>
        <w:t>.</w:t>
      </w:r>
      <w:r>
        <w:rPr>
          <w:rFonts w:ascii="Arial" w:cs="Arial" w:eastAsia="Arial" w:hAnsi="Arial"/>
          <w:sz w:val="16"/>
          <w:szCs w:val="16"/>
          <w:color w:val="auto"/>
        </w:rPr>
        <w:t xml:space="preserve"> From and including the date of this Agreement through and including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date of this Agreement, the Company and the Guarantors will not, without the prior written consent of Wells Fargo, directly or indirectly issue, offer, pledge, sell, contract to sell, sell any option or contract to purchase, purchase any option or contract to sell, grant any option or right to sell or otherwise transfer or dispose of any debt securities of or guaranteed by the Company or any Guarantor (other than the Securities issued under this Agreement) or any securities convertible into or exercisable or exchangeable for any debt securities of or guaranteed by the Company.</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1" w:name="page152"/>
    <w:bookmarkEnd w:id="151"/>
    <w:p>
      <w:pPr>
        <w:jc w:val="both"/>
        <w:ind w:firstLine="968"/>
        <w:spacing w:after="0" w:line="259" w:lineRule="auto"/>
        <w:tabs>
          <w:tab w:leader="none" w:pos="1763"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Rule 144A Information</w:t>
      </w:r>
      <w:r>
        <w:rPr>
          <w:rFonts w:ascii="Arial" w:cs="Arial" w:eastAsia="Arial" w:hAnsi="Arial"/>
          <w:sz w:val="18"/>
          <w:szCs w:val="18"/>
          <w:color w:val="auto"/>
        </w:rPr>
        <w:t>. So long as any of the Securities are outstanding, during any period in which the Company is not subject to and in compliance with Section 13 or 15(d) of the Exchange Act, the Company and the Guarantors will, furnish at their expense to the Initial Purchasers, and, upon request, to the holders of the Securities and prospective purchasers of the Securities the information required by Rule 144A(d)(4) under the 1933 Act (if any).</w:t>
      </w:r>
    </w:p>
    <w:p>
      <w:pPr>
        <w:spacing w:after="0" w:line="186" w:lineRule="exact"/>
        <w:rPr>
          <w:rFonts w:ascii="Arial" w:cs="Arial" w:eastAsia="Arial" w:hAnsi="Arial"/>
          <w:sz w:val="18"/>
          <w:szCs w:val="18"/>
          <w:color w:val="auto"/>
        </w:rPr>
      </w:pPr>
    </w:p>
    <w:p>
      <w:pPr>
        <w:jc w:val="both"/>
        <w:ind w:firstLine="968"/>
        <w:spacing w:after="0" w:line="259" w:lineRule="auto"/>
        <w:tabs>
          <w:tab w:leader="none" w:pos="1884"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Pricing Term Sheet</w:t>
      </w:r>
      <w:r>
        <w:rPr>
          <w:rFonts w:ascii="Arial" w:cs="Arial" w:eastAsia="Arial" w:hAnsi="Arial"/>
          <w:sz w:val="18"/>
          <w:szCs w:val="18"/>
          <w:color w:val="auto"/>
        </w:rPr>
        <w:t xml:space="preserve">. The Company will prepare the Pricing Term Sheet reflecting the final terms of the Securities, in substantially the form attached hereto as Exhibit D and otherwise in form and substance reasonably satisfactory to the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will furnish the Representative with copies of any such Pricing Term Sheet and will not use any such document to which the Representative or counsel to the Initial Purchasers shall reasonably object.</w:t>
      </w:r>
    </w:p>
    <w:p>
      <w:pPr>
        <w:spacing w:after="0" w:line="186" w:lineRule="exact"/>
        <w:rPr>
          <w:rFonts w:ascii="Arial" w:cs="Arial" w:eastAsia="Arial" w:hAnsi="Arial"/>
          <w:sz w:val="18"/>
          <w:szCs w:val="18"/>
          <w:color w:val="auto"/>
        </w:rPr>
      </w:pPr>
    </w:p>
    <w:p>
      <w:pPr>
        <w:jc w:val="both"/>
        <w:ind w:firstLine="968"/>
        <w:spacing w:after="0" w:line="286" w:lineRule="auto"/>
        <w:tabs>
          <w:tab w:leader="none" w:pos="1870"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Preparation of the Offering Memorandum</w:t>
      </w:r>
      <w:r>
        <w:rPr>
          <w:rFonts w:ascii="Arial" w:cs="Arial" w:eastAsia="Arial" w:hAnsi="Arial"/>
          <w:sz w:val="17"/>
          <w:szCs w:val="17"/>
          <w:i w:val="1"/>
          <w:iCs w:val="1"/>
          <w:color w:val="auto"/>
        </w:rPr>
        <w:t>.</w:t>
      </w:r>
      <w:r>
        <w:rPr>
          <w:rFonts w:ascii="Arial" w:cs="Arial" w:eastAsia="Arial" w:hAnsi="Arial"/>
          <w:sz w:val="17"/>
          <w:szCs w:val="17"/>
          <w:color w:val="auto"/>
        </w:rPr>
        <w:t xml:space="preserve"> Immediately following the execution of this Agreement, the Company will, subject to Section 3(b) hereof, prepare the Offering Memorandum, which shall contain the public offering price and terms of the Securities, the plan of distribution thereof and such other information as the Representative and the Company may deem appropriate.</w:t>
      </w:r>
    </w:p>
    <w:p>
      <w:pPr>
        <w:spacing w:after="0" w:line="165" w:lineRule="exact"/>
        <w:rPr>
          <w:rFonts w:ascii="Arial" w:cs="Arial" w:eastAsia="Arial" w:hAnsi="Arial"/>
          <w:sz w:val="17"/>
          <w:szCs w:val="17"/>
          <w:color w:val="auto"/>
        </w:rPr>
      </w:pPr>
    </w:p>
    <w:p>
      <w:pPr>
        <w:ind w:left="1740" w:hanging="772"/>
        <w:spacing w:after="0"/>
        <w:tabs>
          <w:tab w:leader="none" w:pos="174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DTC</w:t>
      </w:r>
      <w:r>
        <w:rPr>
          <w:rFonts w:ascii="Arial" w:cs="Arial" w:eastAsia="Arial" w:hAnsi="Arial"/>
          <w:sz w:val="16"/>
          <w:szCs w:val="16"/>
          <w:color w:val="auto"/>
        </w:rPr>
        <w:t>. The Company will use its reasonable best efforts to permit the Securities to be eligible for clearance and settlement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through DTC.</w:t>
      </w:r>
    </w:p>
    <w:p>
      <w:pPr>
        <w:spacing w:after="0" w:line="210" w:lineRule="exact"/>
        <w:rPr>
          <w:rFonts w:ascii="Arial" w:cs="Arial" w:eastAsia="Arial" w:hAnsi="Arial"/>
          <w:sz w:val="16"/>
          <w:szCs w:val="16"/>
          <w:color w:val="auto"/>
        </w:rPr>
      </w:pPr>
    </w:p>
    <w:p>
      <w:pPr>
        <w:jc w:val="both"/>
        <w:ind w:firstLine="968"/>
        <w:spacing w:after="0" w:line="263" w:lineRule="auto"/>
        <w:tabs>
          <w:tab w:leader="none" w:pos="1933"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No Stabilization</w:t>
      </w:r>
      <w:r>
        <w:rPr>
          <w:rFonts w:ascii="Arial" w:cs="Arial" w:eastAsia="Arial" w:hAnsi="Arial"/>
          <w:sz w:val="18"/>
          <w:szCs w:val="18"/>
          <w:color w:val="auto"/>
        </w:rPr>
        <w:t>. The Company, the Guarantors and their respective affiliates will not take, directly or indirectly, any action designed to or that has constituted or that reasonably could be expected to cause or result in the stabilization or manipulation of the price of any security of the Company or the Guarantors in connection with the offering of the Securities.</w:t>
      </w:r>
    </w:p>
    <w:p>
      <w:pPr>
        <w:spacing w:after="0" w:line="183" w:lineRule="exact"/>
        <w:rPr>
          <w:rFonts w:ascii="Arial" w:cs="Arial" w:eastAsia="Arial" w:hAnsi="Arial"/>
          <w:sz w:val="18"/>
          <w:szCs w:val="18"/>
          <w:color w:val="auto"/>
        </w:rPr>
      </w:pPr>
    </w:p>
    <w:p>
      <w:pPr>
        <w:jc w:val="both"/>
        <w:ind w:firstLine="968"/>
        <w:spacing w:after="0" w:line="286" w:lineRule="auto"/>
        <w:tabs>
          <w:tab w:leader="none" w:pos="1802"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No Affiliate Resales</w:t>
      </w:r>
      <w:r>
        <w:rPr>
          <w:rFonts w:ascii="Arial" w:cs="Arial" w:eastAsia="Arial" w:hAnsi="Arial"/>
          <w:sz w:val="17"/>
          <w:szCs w:val="17"/>
          <w:color w:val="auto"/>
        </w:rPr>
        <w:t>. The Company and the Guarantors will not, and will not permit any of their respective affiliates (as defined in Rule 144 under the 1933 Act) to, resell any of the Securities that have been acquired by any of them, except for Securities purchased by the Company, the Guarantors or any of their respective affiliates and resold in a transaction registered under the 1933 Act.</w:t>
      </w:r>
    </w:p>
    <w:p>
      <w:pPr>
        <w:spacing w:after="0" w:line="165" w:lineRule="exact"/>
        <w:rPr>
          <w:rFonts w:ascii="Arial" w:cs="Arial" w:eastAsia="Arial" w:hAnsi="Arial"/>
          <w:sz w:val="17"/>
          <w:szCs w:val="17"/>
          <w:color w:val="auto"/>
        </w:rPr>
      </w:pPr>
    </w:p>
    <w:p>
      <w:pPr>
        <w:jc w:val="both"/>
        <w:ind w:firstLine="968"/>
        <w:spacing w:after="0" w:line="273" w:lineRule="auto"/>
        <w:tabs>
          <w:tab w:leader="none" w:pos="1802"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No General Solicitation</w:t>
      </w:r>
      <w:r>
        <w:rPr>
          <w:rFonts w:ascii="Arial" w:cs="Arial" w:eastAsia="Arial" w:hAnsi="Arial"/>
          <w:sz w:val="17"/>
          <w:szCs w:val="17"/>
          <w:color w:val="auto"/>
        </w:rPr>
        <w:t>. In connection with any offer or sale of the Securities, the Company and the Guarantors will not engage, and will cause their respective affiliates and any person acting on their behalf (other than, in any case, the Initial Purchasers and any of their affiliates, as to whom the Company and the Guarantors make no covenant) not to engage (i) in any form of general solicitation or general advertising (within the meaning of Regulation D of the 1933 Act) or any public offering within the meaning of Section 4(a)(2) of the 1933 Act in connection with any offer or sale of the Notes and/or (ii) in any directed selling effort with respect to the Securities within the meaning of Regulation S, and to comply with the offering restrictions requirement of Regulation S.</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2" w:name="page153"/>
    <w:bookmarkEnd w:id="152"/>
    <w:p>
      <w:pPr>
        <w:jc w:val="both"/>
        <w:ind w:left="660" w:firstLine="968"/>
        <w:spacing w:after="0" w:line="259" w:lineRule="auto"/>
        <w:tabs>
          <w:tab w:leader="none" w:pos="2449"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No Integration</w:t>
      </w:r>
      <w:r>
        <w:rPr>
          <w:rFonts w:ascii="Arial" w:cs="Arial" w:eastAsia="Arial" w:hAnsi="Arial"/>
          <w:sz w:val="18"/>
          <w:szCs w:val="18"/>
          <w:color w:val="auto"/>
        </w:rPr>
        <w:t>. The Company will not, and will ensure that no affiliate of the Company will, sell, offer for sale or solicit offers to buy or otherwise negotiate in respect of any “security” (as defined in the 1933 Act) that would be integrated with the sale of the Securities in a manner that would require the registration under the 1933 Act of the sale to the Initial Purchasers or to the Eligible Purchasers of the Securities.</w:t>
      </w:r>
    </w:p>
    <w:p>
      <w:pPr>
        <w:spacing w:after="0" w:line="186" w:lineRule="exact"/>
        <w:rPr>
          <w:rFonts w:ascii="Arial" w:cs="Arial" w:eastAsia="Arial" w:hAnsi="Arial"/>
          <w:sz w:val="18"/>
          <w:szCs w:val="18"/>
          <w:color w:val="auto"/>
        </w:rPr>
      </w:pPr>
    </w:p>
    <w:p>
      <w:pPr>
        <w:jc w:val="both"/>
        <w:ind w:left="660" w:firstLine="968"/>
        <w:spacing w:after="0" w:line="263" w:lineRule="auto"/>
        <w:tabs>
          <w:tab w:leader="none" w:pos="2395"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The Company and the Guarantors will do and perform all things required or necessary to be done and performed under the Transaction Documents by them prior to the Closing Date, and to satisfy all conditions precedent to the Initial Purchasers’ obligations hereunder to purchase the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5" w:lineRule="auto"/>
        <w:tabs>
          <w:tab w:leader="none" w:pos="1428"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and the Guarantors, jointly and severally, will pay all expenses incident to the performance of their respective obligations under this Agreement, including (i) the preparation, printing and delivery of the Preliminary Offering Memorandum, the General Disclosure Package, the Offering Memorandum and any Issuer Free Writing Documents and each amendment thereto (in each case including exhibits) and any costs associated with electronic delivery of any of the foregoing, (ii) the word processing and delivery to the Initial Purchasers of each of the Transaction Documents and such other documents as may be required in connection with the offering, purchase, sale, issuance or delivery of the Securities, (iii) the preparation, issuance and delivery of the certificates for the Securities, the issuance and delivery of the Securities to the Initial Purchasers and the resale of the Securities to the initial investors, including any issue, stamp, transfer or similar taxes or charges payable in connection with the sale, issuance or delivery of the Securities to the Initial Purchasers or by the Initial Purchasers to the initial investors, (iv) the fees and disbursements of the counsel, accountants and other advisors to the Company and the Guarantors, (v) the qualification or exemption of the Securities under securities laws in accordance with the provisions of Section 3(f) hereof, including the reasonable and documented fees and disbursements of counsel for the Initial Purchasers in connection therewith and in connection with the preparation, printing and delivery of the Blue Sky Survey and any supplements thereto, (vi) the fees and expenses of the Trustee, including the fees and disbursements of counsel for the Trustee in connection with the Transaction Documents, (vii) all fees charged by any rating agencies for rating the Securities and all expenses and application fees incurred in connection with the approval of the Securities for clearance, settlement and book-entry transfer through DTC and (viii) all travel expenses of the Company’s officers and employees and any other expenses of each Initial Purchaser and the Company in connection with attending or hosting meetings with prospective purchasers of the Securities (other than travel expenses of the Initial Purchasers’ officers and employees), and expenses associated with any electronic road show.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ind w:firstLine="656"/>
        <w:spacing w:after="0" w:line="263" w:lineRule="auto"/>
        <w:tabs>
          <w:tab w:leader="none" w:pos="1568"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Termination of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If this Agreement is terminated by the Representative in accordance with the provisions of Section 5, Section 9 or Section 10 hereof, the Company and the Guarantors, jointly and severally, will reimburse the Initial Purchasers for all of their out-of-pocket expenses, including the reasonable and documented fees and disbursements of counsel for the Initial Purchasers.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Conditions of Initial Purchasers’ Obligations</w:t>
      </w:r>
      <w:r>
        <w:rPr>
          <w:rFonts w:ascii="Arial" w:cs="Arial" w:eastAsia="Arial" w:hAnsi="Arial"/>
          <w:sz w:val="17"/>
          <w:szCs w:val="17"/>
          <w:color w:val="auto"/>
        </w:rPr>
        <w:t>. The obligations of the several Initial Purchasers hereunder are subject to the accuracy, on the date hereof and at the Closing Date, of the representations and warranties of the Company and the Guarantors contained in this Agreement, or in certificates signed by any officer of the Company, any Guarantor or any subsidiary of the Company (whether signed on behalf of such officer, the Company or such subsidiary) delivered to the Representative or counsel for the Initial Purchasers, to the performance by the Company and the Guarantors of their respective covenants and other obligations hereunder, and to the following further conditions:</w:t>
      </w:r>
    </w:p>
    <w:p>
      <w:pPr>
        <w:spacing w:after="0" w:line="176" w:lineRule="exact"/>
        <w:rPr>
          <w:sz w:val="20"/>
          <w:szCs w:val="20"/>
          <w:color w:val="auto"/>
        </w:rPr>
      </w:pPr>
    </w:p>
    <w:p>
      <w:pPr>
        <w:jc w:val="both"/>
        <w:ind w:left="660" w:firstLine="968"/>
        <w:spacing w:after="0" w:line="257" w:lineRule="auto"/>
        <w:tabs>
          <w:tab w:leader="none" w:pos="2763"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Opinion and Negative Assurance Letter of Counsel for Company and the Guarantors</w:t>
      </w:r>
      <w:r>
        <w:rPr>
          <w:rFonts w:ascii="Arial" w:cs="Arial" w:eastAsia="Arial" w:hAnsi="Arial"/>
          <w:sz w:val="18"/>
          <w:szCs w:val="18"/>
          <w:i w:val="1"/>
          <w:iCs w:val="1"/>
          <w:color w:val="auto"/>
        </w:rPr>
        <w:t>.</w:t>
      </w:r>
      <w:r>
        <w:rPr>
          <w:rFonts w:ascii="Arial" w:cs="Arial" w:eastAsia="Arial" w:hAnsi="Arial"/>
          <w:sz w:val="18"/>
          <w:szCs w:val="18"/>
          <w:color w:val="auto"/>
        </w:rPr>
        <w:t xml:space="preserve"> At the Closing Date, the Representative shall have received (i) the favorable opinion and negative assurance letter, dated as of the Closing Date, of Wilmer Cutler Pickering Hale and Dorr LLP, counsel for the Company and the Guarantors (“</w:t>
      </w:r>
      <w:r>
        <w:rPr>
          <w:rFonts w:ascii="Arial" w:cs="Arial" w:eastAsia="Arial" w:hAnsi="Arial"/>
          <w:sz w:val="18"/>
          <w:szCs w:val="18"/>
          <w:u w:val="single" w:color="auto"/>
          <w:color w:val="auto"/>
        </w:rPr>
        <w:t>Company Counsel</w:t>
      </w:r>
      <w:r>
        <w:rPr>
          <w:rFonts w:ascii="Arial" w:cs="Arial" w:eastAsia="Arial" w:hAnsi="Arial"/>
          <w:sz w:val="18"/>
          <w:szCs w:val="18"/>
          <w:color w:val="auto"/>
        </w:rPr>
        <w:t>”), substantially in the form of Exhibit F hereto and (ii) the favorable opinion, dated as of the Closing Date, of DLA Piper LLP (US), Maryland counsel for certain of the Guarantors, substantially in the form of Exhibit G hereto.</w:t>
      </w:r>
    </w:p>
    <w:p>
      <w:pPr>
        <w:spacing w:after="0" w:line="187" w:lineRule="exact"/>
        <w:rPr>
          <w:rFonts w:ascii="Arial" w:cs="Arial" w:eastAsia="Arial" w:hAnsi="Arial"/>
          <w:sz w:val="18"/>
          <w:szCs w:val="18"/>
          <w:color w:val="auto"/>
        </w:rPr>
      </w:pPr>
    </w:p>
    <w:p>
      <w:pPr>
        <w:jc w:val="both"/>
        <w:ind w:left="660" w:firstLine="968"/>
        <w:spacing w:after="0" w:line="296" w:lineRule="auto"/>
        <w:tabs>
          <w:tab w:leader="none" w:pos="2503"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Opinion and Negative Assurance Letter of Counsel for Initial Purchasers</w:t>
      </w:r>
      <w:r>
        <w:rPr>
          <w:rFonts w:ascii="Arial" w:cs="Arial" w:eastAsia="Arial" w:hAnsi="Arial"/>
          <w:sz w:val="16"/>
          <w:szCs w:val="16"/>
          <w:i w:val="1"/>
          <w:iCs w:val="1"/>
          <w:color w:val="auto"/>
        </w:rPr>
        <w:t>.</w:t>
      </w:r>
      <w:r>
        <w:rPr>
          <w:rFonts w:ascii="Arial" w:cs="Arial" w:eastAsia="Arial" w:hAnsi="Arial"/>
          <w:sz w:val="16"/>
          <w:szCs w:val="16"/>
          <w:color w:val="auto"/>
        </w:rPr>
        <w:t xml:space="preserve"> At the Closing Date, the Representative shall have received the favorable opinion and negative assurance letter, dated as of the Closing Date, of Cahill Gordon &amp; Reindel LLP, counsel for the Initial Purchasers, together with signed or reproduced copies of such letter for each of the other Initial Purchasers, with respect to the Securities to be sold by the Company pursuant to this Agreement, this Agreement, the Indenture, the General Disclosure Package and the Offering Memorandum, and any amendments or supplements thereto and such other matters as the Representative may reasonably request.</w:t>
      </w:r>
    </w:p>
    <w:p>
      <w:pPr>
        <w:spacing w:after="0" w:line="161" w:lineRule="exact"/>
        <w:rPr>
          <w:rFonts w:ascii="Arial" w:cs="Arial" w:eastAsia="Arial" w:hAnsi="Arial"/>
          <w:sz w:val="16"/>
          <w:szCs w:val="16"/>
          <w:color w:val="auto"/>
        </w:rPr>
      </w:pPr>
    </w:p>
    <w:p>
      <w:pPr>
        <w:jc w:val="both"/>
        <w:ind w:left="660" w:firstLine="968"/>
        <w:spacing w:after="0" w:line="287" w:lineRule="auto"/>
        <w:tabs>
          <w:tab w:leader="none" w:pos="2439"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i w:val="1"/>
          <w:iCs w:val="1"/>
          <w:color w:val="auto"/>
        </w:rPr>
        <w:t>.</w:t>
      </w:r>
      <w:r>
        <w:rPr>
          <w:rFonts w:ascii="Arial" w:cs="Arial" w:eastAsia="Arial" w:hAnsi="Arial"/>
          <w:sz w:val="16"/>
          <w:szCs w:val="16"/>
          <w:color w:val="auto"/>
        </w:rPr>
        <w:t xml:space="preserve"> At the Closing Date, there shall not have been, since the date hereof or since the respective dates as of which information is given in the General Disclosure Package and the Offering Memorandum (in each case exclusive of any amendments or supplements thereto subsequent to the date of this Agreement), any material adverse change or any development that would reasonably be expected to result in a material adverse change, in the financial condition, results of operations, business, properties or management of the Company and its subsidiaries taken as a whole, whether or not arising in the ordinary course of business. At the Closing Date, the Representative shall have received a certificate, signed on behalf of the Company and each Guarantor by the President or the Chief Executive Officer of the Company and each Guarantor and the Chief Financial Officer or Chief Accounting Officer of the Company and each Guarantor, dated as of the Closing Date, to the effect that (i) there has been no such material adverse change, (ii) the representations and warranties of the Company and the Guarantors in this Agreement are true and correct at and as of the Closing Date with the same force and effect as though expressly made at and as of the Closing Date and (iii) the Company and the Guarantors have complied in all material respects with all agreements and satisfied all conditions on their part to be performed or satisfied at or prior to the Closing Date under or pursuant to this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4" w:name="page155"/>
    <w:bookmarkEnd w:id="154"/>
    <w:p>
      <w:pPr>
        <w:jc w:val="both"/>
        <w:ind w:left="-460" w:firstLine="968"/>
        <w:spacing w:after="0" w:line="293" w:lineRule="auto"/>
        <w:tabs>
          <w:tab w:leader="none" w:pos="127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Accountant’s Comfort Letter</w:t>
      </w:r>
      <w:r>
        <w:rPr>
          <w:rFonts w:ascii="Arial" w:cs="Arial" w:eastAsia="Arial" w:hAnsi="Arial"/>
          <w:sz w:val="16"/>
          <w:szCs w:val="16"/>
          <w:i w:val="1"/>
          <w:iCs w:val="1"/>
          <w:color w:val="auto"/>
        </w:rPr>
        <w:t>.</w:t>
      </w:r>
      <w:r>
        <w:rPr>
          <w:rFonts w:ascii="Arial" w:cs="Arial" w:eastAsia="Arial" w:hAnsi="Arial"/>
          <w:sz w:val="16"/>
          <w:szCs w:val="16"/>
          <w:color w:val="auto"/>
        </w:rPr>
        <w:t xml:space="preserve"> At the time of the execution of this Agreement, the Representative shall have received from Ernst &amp; Young LLP a letter addressed to the Initial Purchasers, dated the date of this Agreement and in form and substance reasonably satisfactory to the Representative, together with signed or reproduced copies of such letter for each of the other Initial Purchasers, containing statements and information of the type ordinarily included in accountants’ “comfort letters” to initial purchasers with respect to the financial statements and certain financial information of the Company contained in the General Disclosure Package, any Issuer Free Writing Documents (other than any electronic road show) and the Offering Memorandum and any amendments or supplements to any of the foregoing.</w:t>
      </w:r>
    </w:p>
    <w:p>
      <w:pPr>
        <w:spacing w:after="0" w:line="164" w:lineRule="exact"/>
        <w:rPr>
          <w:rFonts w:ascii="Arial" w:cs="Arial" w:eastAsia="Arial" w:hAnsi="Arial"/>
          <w:sz w:val="16"/>
          <w:szCs w:val="16"/>
          <w:color w:val="auto"/>
        </w:rPr>
      </w:pPr>
    </w:p>
    <w:p>
      <w:pPr>
        <w:jc w:val="both"/>
        <w:ind w:left="-460" w:firstLine="968"/>
        <w:spacing w:after="0" w:line="259" w:lineRule="auto"/>
        <w:tabs>
          <w:tab w:leader="none" w:pos="1278"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i w:val="1"/>
          <w:iCs w:val="1"/>
          <w:color w:val="auto"/>
        </w:rPr>
        <w:t>.</w:t>
      </w:r>
      <w:r>
        <w:rPr>
          <w:rFonts w:ascii="Arial" w:cs="Arial" w:eastAsia="Arial" w:hAnsi="Arial"/>
          <w:sz w:val="18"/>
          <w:szCs w:val="18"/>
          <w:color w:val="auto"/>
        </w:rPr>
        <w:t xml:space="preserve"> At the Closing Date, the Representative shall have received from Ernst &amp; Young LLP a letter addressed to the Initial Purchasers, dated as of the Closing Date and in form and substance reasonably satisfactory to the Representative, to the effect that they reaffirm the statements made in the letter furnished pursuant to subsection (d) of this Section, except that the specified date referred to shall be a date not more than three business days prior to the Closing Date.</w:t>
      </w:r>
    </w:p>
    <w:p>
      <w:pPr>
        <w:spacing w:after="0" w:line="186" w:lineRule="exact"/>
        <w:rPr>
          <w:rFonts w:ascii="Arial" w:cs="Arial" w:eastAsia="Arial" w:hAnsi="Arial"/>
          <w:sz w:val="18"/>
          <w:szCs w:val="18"/>
          <w:color w:val="auto"/>
        </w:rPr>
      </w:pPr>
    </w:p>
    <w:p>
      <w:pPr>
        <w:jc w:val="both"/>
        <w:ind w:left="-460" w:firstLine="968"/>
        <w:spacing w:after="0" w:line="254" w:lineRule="auto"/>
        <w:tabs>
          <w:tab w:leader="none" w:pos="1371"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No Downgrade</w:t>
      </w:r>
      <w:r>
        <w:rPr>
          <w:rFonts w:ascii="Arial" w:cs="Arial" w:eastAsia="Arial" w:hAnsi="Arial"/>
          <w:sz w:val="18"/>
          <w:szCs w:val="18"/>
          <w:i w:val="1"/>
          <w:iCs w:val="1"/>
          <w:color w:val="auto"/>
        </w:rPr>
        <w:t>.</w:t>
      </w:r>
      <w:r>
        <w:rPr>
          <w:rFonts w:ascii="Arial" w:cs="Arial" w:eastAsia="Arial" w:hAnsi="Arial"/>
          <w:sz w:val="18"/>
          <w:szCs w:val="18"/>
          <w:color w:val="auto"/>
        </w:rPr>
        <w:t xml:space="preserve"> There shall not have occurred, on or after the date of this Agreement, any downgrading in the rating of any debt securities of or guaranteed by the Company, any preferred stock of the Company or any debt securities, preferred stock or trust preferred securities of any subsidiary or subsidiary trust of the Company by any “nationally recognized statistical rating organization” (as defined by the Commission in Section 3(a)(62) of the 1934 Act) or any public announcement that any such organization has placed its rating on the Company or any such debt securities, preferred stock or other securities under surveillance or review or on a so-called “watch list” (other than an announcement with positive implications of a possible upgrading, and no implication of a possible downgrading, of such rating) or any announcement by any such organization that the Company or any such debt securities, preferred stock or other securities has been placed on negative outlook.</w:t>
      </w:r>
    </w:p>
    <w:p>
      <w:pPr>
        <w:spacing w:after="0" w:line="191" w:lineRule="exact"/>
        <w:rPr>
          <w:rFonts w:ascii="Arial" w:cs="Arial" w:eastAsia="Arial" w:hAnsi="Arial"/>
          <w:sz w:val="18"/>
          <w:szCs w:val="18"/>
          <w:color w:val="auto"/>
        </w:rPr>
      </w:pPr>
    </w:p>
    <w:p>
      <w:pPr>
        <w:ind w:left="1260" w:hanging="752"/>
        <w:spacing w:after="0"/>
        <w:tabs>
          <w:tab w:leader="none" w:pos="126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DTC Eligibility</w:t>
      </w:r>
      <w:r>
        <w:rPr>
          <w:rFonts w:ascii="Arial" w:cs="Arial" w:eastAsia="Arial" w:hAnsi="Arial"/>
          <w:sz w:val="18"/>
          <w:szCs w:val="18"/>
          <w:color w:val="auto"/>
        </w:rPr>
        <w:t>. The Securities shall be eligible for clearance and settlement through DTC.</w:t>
      </w:r>
    </w:p>
    <w:p>
      <w:pPr>
        <w:spacing w:after="0" w:line="225" w:lineRule="exact"/>
        <w:rPr>
          <w:rFonts w:ascii="Arial" w:cs="Arial" w:eastAsia="Arial" w:hAnsi="Arial"/>
          <w:sz w:val="18"/>
          <w:szCs w:val="18"/>
          <w:color w:val="auto"/>
        </w:rPr>
      </w:pPr>
    </w:p>
    <w:p>
      <w:pPr>
        <w:jc w:val="both"/>
        <w:ind w:left="-460" w:firstLine="968"/>
        <w:spacing w:after="0" w:line="263" w:lineRule="auto"/>
        <w:tabs>
          <w:tab w:leader="none" w:pos="123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The Company, the Guarantors and the other parties thereto shall have executed and delivered each of the Transaction Documents, and the Initial Purchasers shall have received reproduced copies thereof, duly executed by the Company, the Guarantors and the other parties thereto.</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5" w:name="page156"/>
    <w:bookmarkEnd w:id="155"/>
    <w:p>
      <w:pPr>
        <w:jc w:val="both"/>
        <w:ind w:left="660" w:firstLine="968"/>
        <w:spacing w:after="0" w:line="293" w:lineRule="auto"/>
        <w:tabs>
          <w:tab w:leader="none" w:pos="2625"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Additional Documents</w:t>
      </w:r>
      <w:r>
        <w:rPr>
          <w:rFonts w:ascii="Arial" w:cs="Arial" w:eastAsia="Arial" w:hAnsi="Arial"/>
          <w:sz w:val="16"/>
          <w:szCs w:val="16"/>
          <w:i w:val="1"/>
          <w:iCs w:val="1"/>
          <w:color w:val="auto"/>
        </w:rPr>
        <w:t>.</w:t>
      </w:r>
      <w:r>
        <w:rPr>
          <w:rFonts w:ascii="Arial" w:cs="Arial" w:eastAsia="Arial" w:hAnsi="Arial"/>
          <w:sz w:val="16"/>
          <w:szCs w:val="16"/>
          <w:color w:val="auto"/>
        </w:rPr>
        <w:t xml:space="preserve"> At the Closing Date, counsel for the Initial Purchasers shall have 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contained in this Agreement, or as the Representative or counsel for the Initial Purchasers may otherwise reasonably request; and all proceedings taken by the Company or any Guarantor in connection with the issuance and sale of the Securities as herein contemplated and in connection with the other transactions contemplated by this Agreement shall be satisfactory in form and substance to the Representative.</w:t>
      </w:r>
    </w:p>
    <w:p>
      <w:pPr>
        <w:spacing w:after="0" w:line="164" w:lineRule="exact"/>
        <w:rPr>
          <w:rFonts w:ascii="Arial" w:cs="Arial" w:eastAsia="Arial" w:hAnsi="Arial"/>
          <w:sz w:val="16"/>
          <w:szCs w:val="16"/>
          <w:color w:val="auto"/>
        </w:rPr>
      </w:pPr>
    </w:p>
    <w:p>
      <w:pPr>
        <w:jc w:val="both"/>
        <w:ind w:left="660" w:firstLine="968"/>
        <w:spacing w:after="0" w:line="257" w:lineRule="auto"/>
        <w:tabs>
          <w:tab w:leader="none" w:pos="2454"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Termination of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If any condition specified in this Section 5 shall not have been fulfilled when and as required to be fulfilled, this Agreement may be terminated by the Representative by notice to the Company and the Guarantors at any time on or prior to the Closing Date and such termination shall be without liability of any party to any other party except as provided in Section 4 hereof and except that Sections 1, 4(b), 6, 7, 8, 11, 12, 13, 14, 15, 17, 18, 19 and 20 hereof shall survive any such termination of this Agreement and remain in full force and effect.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6" w:lineRule="auto"/>
        <w:tabs>
          <w:tab w:leader="none" w:pos="1423"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 and the Guarantors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and each Guarantor agree, jointly and severally, to indemnify and hold harmless each Initial Purchaser, its affiliates, and its and their respective officers, directors, employees, partners and members and each person, if any, who controls any Initial Purchaser within the meaning of Section 15 of the 1933 Act or Section 20 of the 1934 Act as follows:</w:t>
      </w:r>
    </w:p>
    <w:p>
      <w:pPr>
        <w:spacing w:after="0" w:line="165" w:lineRule="exact"/>
        <w:rPr>
          <w:rFonts w:ascii="Arial" w:cs="Arial" w:eastAsia="Arial" w:hAnsi="Arial"/>
          <w:sz w:val="17"/>
          <w:szCs w:val="17"/>
          <w:color w:val="auto"/>
        </w:rPr>
      </w:pPr>
    </w:p>
    <w:p>
      <w:pPr>
        <w:jc w:val="both"/>
        <w:ind w:left="1300" w:firstLine="976"/>
        <w:spacing w:after="0" w:line="272" w:lineRule="auto"/>
        <w:tabs>
          <w:tab w:leader="none" w:pos="2995"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or based upon any untrue statement or alleged untrue statement of a material fact in the Preliminary Offering Memorandum, any Issuer Free Writing Document, the General Disclosure Package or the Offering Memorandum (or any amendment or supplement to any of the foregoing), or in any materials, presentations or information provided to investors by, or with the approval of, the Company or any Guarantor in connection with the marketing of the offering of the Securities, including any road show or investor presentations made to investors by the Company (whether in person or electronically), or the omission or alleged omission therefrom of a material fact necessary in order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jc w:val="both"/>
        <w:ind w:left="1300" w:firstLine="976"/>
        <w:spacing w:after="0" w:line="275" w:lineRule="auto"/>
        <w:tabs>
          <w:tab w:leader="none" w:pos="3256" w:val="left"/>
        </w:tabs>
        <w:numPr>
          <w:ilvl w:val="1"/>
          <w:numId w:val="247"/>
        </w:numPr>
        <w:rPr>
          <w:rFonts w:ascii="Arial" w:cs="Arial" w:eastAsia="Arial" w:hAnsi="Arial"/>
          <w:sz w:val="17"/>
          <w:szCs w:val="17"/>
          <w:color w:val="auto"/>
        </w:rPr>
      </w:pPr>
      <w:r>
        <w:rPr>
          <w:rFonts w:ascii="Arial" w:cs="Arial" w:eastAsia="Arial" w:hAnsi="Arial"/>
          <w:sz w:val="17"/>
          <w:szCs w:val="17"/>
          <w:color w:val="auto"/>
        </w:rPr>
        <w:t xml:space="preserve">against any and all loss, liability, claim, damage and expense whatsoever, as incurred, to the extent of the aggregate amount paid in settlement of, or pursuant to a judgment or other disposition in, any litigation, or any investigation or proceeding by any governmental or self-regulatory agency or body, commenced or threatened, or of any claim whatsoever arising out of or based upon any such untrue statement or omission, or any such alleged untrue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Section 6(d) below) any such settlement is effected with the written consent of the Company and the Guarantors;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left="1300" w:firstLine="976"/>
        <w:spacing w:after="0" w:line="286" w:lineRule="auto"/>
        <w:tabs>
          <w:tab w:leader="none" w:pos="3433"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fees and disbursements of counsel), reasonably incurred in investigating, preparing or defending against any litigation, or any investigation or proceeding by any governmental or self-regulatory agency or body, commenced or threatened, or any claim whatsoever arising out of or based upon any such untrue statement or omission, or any such alleged untrue statement or omission, to the extent that any such expense is not paid under</w:t>
      </w:r>
    </w:p>
    <w:p>
      <w:pPr>
        <w:spacing w:after="0" w:line="1" w:lineRule="exact"/>
        <w:rPr>
          <w:rFonts w:ascii="Arial" w:cs="Arial" w:eastAsia="Arial" w:hAnsi="Arial"/>
          <w:sz w:val="16"/>
          <w:szCs w:val="16"/>
          <w:color w:val="auto"/>
        </w:rPr>
      </w:pPr>
    </w:p>
    <w:p>
      <w:pPr>
        <w:ind w:left="1520" w:hanging="216"/>
        <w:spacing w:after="0"/>
        <w:tabs>
          <w:tab w:leader="none" w:pos="15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or (ii) above,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indemnity agreement shall not apply to any loss, liability, claim, damage or expense to the extent arising out of or based upon any untrue statement or omission or alleged untrue statement or omission made in reliance upon and in conformity with written information about any Initial Purchaser furnished to the Company or any Guarantor by such Initial Purchaser through the Representative expressly for use in the Preliminary Offering Memorandum, any Issuer Free Writing Document, the General Disclosure Package or the Offering Memorandum (or in any amendment or supplement to any of the foregoing), it being understood and agreed that the only such information furnished by the Initial Purchasers as aforesaid consists of the information described as such in Section 6(b) hereof.</w:t>
      </w:r>
    </w:p>
    <w:p>
      <w:pPr>
        <w:spacing w:after="0" w:line="192" w:lineRule="exact"/>
        <w:rPr>
          <w:sz w:val="20"/>
          <w:szCs w:val="20"/>
          <w:color w:val="auto"/>
        </w:rPr>
      </w:pPr>
    </w:p>
    <w:p>
      <w:pPr>
        <w:jc w:val="both"/>
        <w:ind w:firstLine="656"/>
        <w:spacing w:after="0" w:line="268" w:lineRule="auto"/>
        <w:tabs>
          <w:tab w:leader="none" w:pos="1460"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Indemnification by the Initial Purchasers</w:t>
      </w:r>
      <w:r>
        <w:rPr>
          <w:rFonts w:ascii="Arial" w:cs="Arial" w:eastAsia="Arial" w:hAnsi="Arial"/>
          <w:sz w:val="17"/>
          <w:szCs w:val="17"/>
          <w:color w:val="auto"/>
        </w:rPr>
        <w:t>. Each Initial Purchaser agrees, severally and not jointly, to indemnify and hold harmless the Company and the Guarantors, their respective directors and each person, if any, who controls the Company within the meaning of Section 15 of the 1933 Act or Section 20 of the 1934 Act against any and all loss, liability, claim, damage and expense described in the indemnity contained in subsection (a) of this Section 6, as incurred, but only with respect to untrue statements or omissions, or alleged untrue statements or omissions, made in the Preliminary Offering Memorandum, any Issuer Free Writing Document or the Offering Memorandum (or any amendment or supplement to any of the foregoing), in reliance upon and in conformity with written information relating to such Initial Purchaser furnished to the Company or any Guarantor by such Initial Purchaser through the Representative expressly for use therein. The Company and the Guarantors hereby acknowledge and agree that the information furnished to the Company and any Guarantor by the Initial Purchasers through the Representative expressly for use in the Preliminary Offering Memorandum, any Issuer Free Writing Document or the Offering Memorandum (or any amendment or supplement to any of the foregoing), consists exclusively of the following information appearing under the caption “Plan of Distribution” in the Preliminary Offering Memorandum and the Offering Memorandum: (i) the information regarding stabilization, syndicate covering transactions and penalty bids appearing in the fourth paragraph under such caption (but only insofar as such information concerns the Initial Purchasers) and (ii) the information regarding market making by the Initial Purchasers appearing in the second and third sentences of the seventh paragraph under such caption.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56"/>
        <w:spacing w:after="0" w:line="284" w:lineRule="auto"/>
        <w:tabs>
          <w:tab w:leader="none" w:pos="1707"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Actions Against Parties; Notification</w:t>
      </w:r>
      <w:r>
        <w:rPr>
          <w:rFonts w:ascii="Arial" w:cs="Arial" w:eastAsia="Arial" w:hAnsi="Arial"/>
          <w:sz w:val="16"/>
          <w:szCs w:val="16"/>
          <w:i w:val="1"/>
          <w:iCs w:val="1"/>
          <w:color w:val="auto"/>
        </w:rPr>
        <w:t>.</w:t>
      </w:r>
      <w:r>
        <w:rPr>
          <w:rFonts w:ascii="Arial" w:cs="Arial" w:eastAsia="Arial" w:hAnsi="Arial"/>
          <w:sz w:val="16"/>
          <w:szCs w:val="16"/>
          <w:color w:val="auto"/>
        </w:rPr>
        <w:t xml:space="preserve"> Each indemnified party shall give notice as promptly as reasonably practicable to each indemnifying party of any action commenced against it in respect of which indemnity may be sought hereunder; provided, however, that the failure to so notify an indemnifying party shall not relieve such indemnifying party from any liability that it may have under this Section 6; provided further, that the failure to so notify such indemnifying party shall not relieve such indemnifying party from any liability that it may have to such indemnified party otherwise than under this Section 6. Counsel to the indemnified parties shall be selected as follows: counsel to the Initial Purchasers and the other indemnified parties referred to in Section 6(a) above shall be selected by Wells Fargo; and counsel to the Company and the Guarantors, their respective directors, each of their respective officers and each person, if any, who controls the Company within the meaning of Section 15 of the 1933 Act or Section 20 of the 1934 Act shall be selected by the Company and the Guarantors. An indemnifying party may participate at its own expense in the defense of any such action, and, to the extent it wishes either by itself or jointly with any other similarly situated notified indemnifying party, assume the defense thereof with counsel reasonably satisfactory to the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provided further, however, that counsel to the indemnifying party shall not (except with the consent of the indemnified party) also be counsel to the indemnified party. In no event shall the indemnifying party be liable for the fees and expenses of more than one counsel (in addition to any local counsel) separate from their own counsel for the Initial Purchasers and the other indemnified parties referred to in Section 6(a) above; and the fees and expenses of more than one counsel (in addition to any local counsel) separate from their own counsel for the Company and the Guarantors, their respective directors, each of their respective officers and each person, if any, who controls the Company within the meaning of Section 15 of the 1933 Act or Section 20 of the 1934 Act, in each case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389" w:lineRule="exact"/>
        <w:rPr>
          <w:rFonts w:ascii="Arial" w:cs="Arial" w:eastAsia="Arial" w:hAnsi="Arial"/>
          <w:sz w:val="16"/>
          <w:szCs w:val="16"/>
          <w:color w:val="auto"/>
        </w:rPr>
      </w:pPr>
    </w:p>
    <w:p>
      <w:pPr>
        <w:jc w:val="both"/>
        <w:ind w:firstLine="656"/>
        <w:spacing w:after="0" w:line="272" w:lineRule="auto"/>
        <w:tabs>
          <w:tab w:leader="none" w:pos="1420"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Settlement Without Consent if Failure to Reimburse</w:t>
      </w:r>
      <w:r>
        <w:rPr>
          <w:rFonts w:ascii="Arial" w:cs="Arial" w:eastAsia="Arial" w:hAnsi="Arial"/>
          <w:sz w:val="17"/>
          <w:szCs w:val="17"/>
          <w:i w:val="1"/>
          <w:iCs w:val="1"/>
          <w:color w:val="auto"/>
        </w:rPr>
        <w:t>.</w:t>
      </w:r>
      <w:r>
        <w:rPr>
          <w:rFonts w:ascii="Arial" w:cs="Arial" w:eastAsia="Arial" w:hAnsi="Arial"/>
          <w:sz w:val="17"/>
          <w:szCs w:val="17"/>
          <w:color w:val="auto"/>
        </w:rPr>
        <w:t xml:space="preserve"> If at any time an indemnified party shall have requested an indemnifying party to reimburse the indemnified party for fees and expenses of counsel as contemplated by this Section 6, such indemnifying party agrees that it shall be liable for any settlement of the nature contemplated by Section 6(a)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Except as set forth in this subsection (d), an indemnifying party shall not be liable for any settlement of any litigation, investigation or proceeding effected without its prior written consent.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both"/>
        <w:ind w:firstLine="648"/>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Guarantors on the one hand and the Initial Purchasers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Guarantors on the one hand and of the Initial Purchasers on the other hand in connection with the statements or omissions which resulted in such losses, liabilities, claims, damages or expenses, as well as any other relevant equitable considerations.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relative benefits received by the Company and the Guarantors on the one hand and the Initial Purchasers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Guarantors and the total discounts and commissions received by the Initial Purchasers, in each case as determined pursuant to this Agreement, bear to the aggregate initial offering price of the Securities as set forth on the cover of the Offering Memorandum.</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relative fault of the Company and the Guarantors on the one hand and the Initial Purchasers on the other hand shall be determined by reference to, among other things, whether any such untrue or alleged untrue statement of a material fact or omission or alleged omission to state a material fact relates to information supplied by the Company and the Guarantors on the one hand or by the Initial Purchasers on the other hand and the parties’ relative intent, knowledge, access to information and opportunity to correct or prevent such statement or omission.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and the Guarantors and the Initial Purchasers agree that it would not be just and equitable if contribution pursuant to this Section 7 were determined by pro rata allocation (even if the Initial Purchasers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Notwithstanding the provisions of this Section 7, no Initial Purchaser shall be required to contribute any amount in excess of the amount by which the total discounts and commissions from the sale to Eligible Purchasers of the Securities initially purchased by it exceeds the amount of any damages which such Initial Purchaser has otherwise been required to pay by reason of any such untrue or alleged untrue statement or omission or alleged omission.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this Section 7, each affiliate, officer, director, employee, partner and member of each Initial Purchaser and each person, if any, who controls any Initial Purchaser within the meaning of Section 15 of the 1933 Act or Section 20 of the 1934 Act shall have the same rights to contribution as such Initial Purchaser, and each director of the Company and of each Guarantor, each officer of the Company and of each Guarantor, and each person, if any, who controls the Company within the meaning of Section 15 of the 1933 Act or Section 20 of the 1934 Act shall have the same rights to contribution as the Company and the Guarantors. The Initial Purchasers’ respective obligations to contribute pursuant to this Section 7 are several in proportion to the principal amount of Securities set forth opposite their respective names in Exhibit A hereto and not joint.</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signed by any officer of the Company or any of its subsidiaries (whether signed on behalf of such officer, the Company, or such subsidiary) and delivered to the Representative or counsel to the Initial Purchasers, shall remain operative and in full force and effect, regardless of any investigation made by or on behalf of any Initial Purchaser, its affiliates and any of their any officers, directors, employees, partners, members or agents of any Initial Purchaser or any person controlling any Initial Purchaser, or by or on behalf of the Company, any Guarantor, any officer, director or employee of the Company or any Guarantor or any person controlling the Company, any Guarantor, and shall survive delivery of and payment for the Securities.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4" w:lineRule="auto"/>
        <w:tabs>
          <w:tab w:leader="none" w:pos="1396"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Termination; General</w:t>
      </w:r>
      <w:r>
        <w:rPr>
          <w:rFonts w:ascii="Arial" w:cs="Arial" w:eastAsia="Arial" w:hAnsi="Arial"/>
          <w:sz w:val="16"/>
          <w:szCs w:val="16"/>
          <w:i w:val="1"/>
          <w:iCs w:val="1"/>
          <w:color w:val="auto"/>
        </w:rPr>
        <w:t>.</w:t>
      </w:r>
      <w:r>
        <w:rPr>
          <w:rFonts w:ascii="Arial" w:cs="Arial" w:eastAsia="Arial" w:hAnsi="Arial"/>
          <w:sz w:val="16"/>
          <w:szCs w:val="16"/>
          <w:color w:val="auto"/>
        </w:rPr>
        <w:t xml:space="preserve"> The Representative may terminate this Agreement, by notice to the Company and the Guarantors, at any time on or prior to the Closing Date (i) if there has been, at any time on or after the date of this Agreement or since the respective dates as of which information is given in the General Disclosure Package or the Offering Memorandum (in each case exclusive of any amendments or supplements thereto subsequent to the date of this Agreement), any material adverse change or any development that would reasonably be expected to result in a material adverse change, in the financial condition, results of operations, business, properties or management of the Company and its subsidiaries taken as a whole, whether or not arising in the ordinary course of business, or (ii) if there has occurred any material adverse change in the financial markets in the United States or the international financial markets, any declaration of a national emergency or war by the United States, any outbreak of hostilities or escalation thereof or other calamity or crisis or any change or development involving a prospective change in national or international political, financial or economic conditions (including, without limitation, as a result of terrorist activities), in each case the effect of which is such as to make it, in the judgment of the Representative, impracticable or inadvisable to proceed with the offering, sale or delivery of the Securities or to enforce contracts for the sale of the Securities on the terms and in the manner contemplated in the General Disclosure Package and the Offering Memorandum, or (iii) (A) if trading in any securities of the Company has been suspended or materially limited by the Commission or the NYSE, or (B) if trading generally on the NYSE, the Nasdaq Global Select Market, the Nasdaq Global Market, the Chicago Board of Options Exchange, the Chicago Mercantile Exchange or the Chicago Board of Trade has been suspended or limited, or minimum or maximum prices for trading have been fixed, or maximum ranges for prices have been required, by any of said exchanges or by order of the Commission or any other governmental authority, or (C) if a material disruption has occurred in commercial banking or securities settlement or clearance services in the United States or in Europe, or (iv) if a banking moratorium has been declared by either Federal or New York authorities or (v) if there shall have occurred, on or after the date of this Agreement, any downgrading in the rating of any debt securities of or guaranteed by the Company or any Guarantor, any preferred stock of the Company or any Guarantor or any debt securities, preferred stock or trust preferred securities of any subsidiary or subsidiary trust of the Company by any “nationally recognized statistical rating organization” (as defined by the Commission in Section 3(a)(62) of the 1934 Act) or any public announcement that any such organization has placed its rating on the Company or any Guarantor or any such debt securities, preferred stock or other securities under surveillance or review or on a so-called “watch list” (other than an announcement with positive implications of a possible upgrading, and no implication of a possible downgrading, of such rating) or any announcement by any such organization that the Company or any Guarantor or any such debt securities, preferred stock or other securities has been placed on negative outlook.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jc w:val="both"/>
        <w:ind w:firstLine="656"/>
        <w:spacing w:after="0" w:line="263" w:lineRule="auto"/>
        <w:tabs>
          <w:tab w:leader="none" w:pos="135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Liabilities</w:t>
      </w:r>
      <w:r>
        <w:rPr>
          <w:rFonts w:ascii="Arial" w:cs="Arial" w:eastAsia="Arial" w:hAnsi="Arial"/>
          <w:sz w:val="18"/>
          <w:szCs w:val="18"/>
          <w:i w:val="1"/>
          <w:iCs w:val="1"/>
          <w:color w:val="auto"/>
        </w:rPr>
        <w:t>.</w:t>
      </w:r>
      <w:r>
        <w:rPr>
          <w:rFonts w:ascii="Arial" w:cs="Arial" w:eastAsia="Arial" w:hAnsi="Arial"/>
          <w:sz w:val="18"/>
          <w:szCs w:val="18"/>
          <w:color w:val="auto"/>
        </w:rPr>
        <w:t xml:space="preserve"> If this Agreement is terminated pursuant to this Section 9, such termination shall be without liability of any party to any other party except as provided in Section 4 hereof, and except that Sections 1, 4(b), 6, 7, 8, 11, 12, 13, 14, 15, 17, 18, 19 and 20 hereof shall survive such termination and remain in full force and effect.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Default by One or More of the Initial Purchasers</w:t>
      </w:r>
      <w:r>
        <w:rPr>
          <w:rFonts w:ascii="Arial" w:cs="Arial" w:eastAsia="Arial" w:hAnsi="Arial"/>
          <w:sz w:val="17"/>
          <w:szCs w:val="17"/>
          <w:color w:val="auto"/>
        </w:rPr>
        <w:t>. (a) If one or more of the Initial Purchasers shall fail at the Closing Date to purchase the aggregate principal amount of Securities which it or they are obligated to purchase under this Agreement (the “</w:t>
      </w:r>
      <w:r>
        <w:rPr>
          <w:rFonts w:ascii="Arial" w:cs="Arial" w:eastAsia="Arial" w:hAnsi="Arial"/>
          <w:sz w:val="17"/>
          <w:szCs w:val="17"/>
          <w:u w:val="single" w:color="auto"/>
          <w:color w:val="auto"/>
        </w:rPr>
        <w:t>Defaulted Securities</w:t>
      </w:r>
      <w:r>
        <w:rPr>
          <w:rFonts w:ascii="Arial" w:cs="Arial" w:eastAsia="Arial" w:hAnsi="Arial"/>
          <w:sz w:val="17"/>
          <w:szCs w:val="17"/>
          <w:color w:val="auto"/>
        </w:rPr>
        <w:t>”), the Representative shall have the right, within 24 hours thereafter, to make arrangements for one or more of the non-defaulting Initial Purchasers, or any other purchaser, to purchase all, but not less than all, of the Defaulted Securities in such amounts as may be agreed upon and upon the terms herein set forth; if, however, the Representative shall not have completed such arrangements within such 24-hour period, then:</w:t>
      </w:r>
    </w:p>
    <w:p>
      <w:pPr>
        <w:spacing w:after="0" w:line="176" w:lineRule="exact"/>
        <w:rPr>
          <w:sz w:val="20"/>
          <w:szCs w:val="20"/>
          <w:color w:val="auto"/>
        </w:rPr>
      </w:pPr>
    </w:p>
    <w:p>
      <w:pPr>
        <w:jc w:val="both"/>
        <w:ind w:left="1300" w:firstLine="976"/>
        <w:spacing w:after="0" w:line="259" w:lineRule="auto"/>
        <w:tabs>
          <w:tab w:leader="none" w:pos="302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the aggregate principal amount of Defaulted Securities does not exceed 10% of the aggregate principal amount of Securities, each of the non-defaulting Initial Purchasers shall be obligated, severally and not jointly, to purchase the full amount of such Defaulted Securities in the proportions that their respective underwriting obligations hereunder bear to the underwriting obligations of all non-defaulting Initial Purchasers; or</w:t>
      </w:r>
    </w:p>
    <w:p>
      <w:pPr>
        <w:spacing w:after="0" w:line="186" w:lineRule="exact"/>
        <w:rPr>
          <w:rFonts w:ascii="Arial" w:cs="Arial" w:eastAsia="Arial" w:hAnsi="Arial"/>
          <w:sz w:val="18"/>
          <w:szCs w:val="18"/>
          <w:color w:val="auto"/>
        </w:rPr>
      </w:pPr>
    </w:p>
    <w:p>
      <w:pPr>
        <w:ind w:left="1300" w:firstLine="976"/>
        <w:spacing w:after="0" w:line="277" w:lineRule="auto"/>
        <w:tabs>
          <w:tab w:leader="none" w:pos="33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aggregate principal amount of Securities, this Agreement shall terminate without liability on the part of any non-defaulting Initial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10 shall relieve any defaulting Initial Purchaser from liability in respect of its default.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648"/>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the Representative shall have the right to postpone the Closing Date for a period not exceeding seven days in order to effect any required changes in the General Disclosure Package or Offering Memorandum or in any other documents or arrangements. As used herein, the term “Initial Purchaser” includes any person substituted for an Initial Purchaser under this Section 10.</w:t>
      </w:r>
    </w:p>
    <w:p>
      <w:pPr>
        <w:spacing w:after="0" w:line="187"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shall be effective only upon receipt and shall be mailed, delivered by hand or overnight courier, or transmitted by fax (with the receipt of any such fax to be confirmed by telephone). Notices to the Initial</w:t>
      </w:r>
    </w:p>
    <w:p>
      <w:pPr>
        <w:jc w:val="both"/>
        <w:spacing w:after="0" w:line="259" w:lineRule="auto"/>
        <w:rPr>
          <w:sz w:val="20"/>
          <w:szCs w:val="20"/>
          <w:color w:val="auto"/>
        </w:rPr>
      </w:pPr>
      <w:r>
        <w:rPr>
          <w:rFonts w:ascii="Arial" w:cs="Arial" w:eastAsia="Arial" w:hAnsi="Arial"/>
          <w:sz w:val="16"/>
          <w:szCs w:val="16"/>
          <w:color w:val="auto"/>
        </w:rPr>
        <w:t>Purchasers shall be directed to the Representative at Wells Fargo Securities, LLC, 550 S. Tryon Street,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Charlotte, North Carolina 28202, Attention: Leveraged Syndicate, fax no. (704) 410-4874 (with such fax to be confirmed by telephone to (704) 410-4885), electronic mail </w:t>
      </w:r>
      <w:r>
        <w:rPr>
          <w:rFonts w:ascii="Arial" w:cs="Arial" w:eastAsia="Arial" w:hAnsi="Arial"/>
          <w:sz w:val="16"/>
          <w:szCs w:val="16"/>
          <w:u w:val="single" w:color="auto"/>
          <w:color w:val="auto"/>
        </w:rPr>
        <w:t>IBCMDCMLSHYLeveragedSyndicate@wellsfargo.com</w:t>
      </w:r>
      <w:r>
        <w:rPr>
          <w:rFonts w:ascii="Arial" w:cs="Arial" w:eastAsia="Arial" w:hAnsi="Arial"/>
          <w:sz w:val="16"/>
          <w:szCs w:val="16"/>
          <w:color w:val="auto"/>
        </w:rPr>
        <w:t>; and notices to the Company or any Guarantor shall be directed to it at 400 Professional Drive, Suite 400 Gaithersburg, MD 21079, Attention: Atul Saran, Esq., fax no. 240-631-3203 (with such fax to be confirmed by telephone to 240-631-3200).</w:t>
      </w:r>
    </w:p>
    <w:p>
      <w:pPr>
        <w:spacing w:after="0" w:line="18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Initial Purchasers are required to obtain, verify and record information that identifies their respective clients, including the Company, which information may include the name and address of their respective clients, as well as other information that will allow the Initial Purchasers to properly identify their respective clients.</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Parties</w:t>
      </w:r>
      <w:r>
        <w:rPr>
          <w:rFonts w:ascii="Arial" w:cs="Arial" w:eastAsia="Arial" w:hAnsi="Arial"/>
          <w:sz w:val="17"/>
          <w:szCs w:val="17"/>
          <w:color w:val="auto"/>
        </w:rPr>
        <w:t>. This Agreement shall each inure to the benefit of and be binding upon the Initial Purchasers, the Company, the Guarantors and their respective successors. Nothing expressed or mentioned in this Agreement is intended or shall be construed to give any person, firm or corporation, other than the Initial Purchasers, the Company, the Guarantors and their respective successors and the controlling persons and other indemnified parties referred to in Sections 6 and 7 and their successors, heirs and legal representatives, any legal or equitable right, remedy or claim under or in respect of this Agreement or any provision herein contained. This Agreement and all conditions and provisions hereof are intended to be for the sole and exclusive benefit of the Initial Purchasers, the Company, the Guarantors and their respective successors, and said controlling persons and other indemnified parties and their successors, heirs and legal representatives, and for the benefit of no other person or entity. No purchaser of Securities from any Initial Purchaser shall be deemed to be a successor by reason merely of such purchase.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EXCEPT AS OTHERWISE EXPRESSLY SET FORTH HEREIN, SPECIFIED TIMES OF DAY REFER TO NEW YORK CITY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and Exhibit headings herein are for convenience only and shall not affect the construction hereof.</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ind w:left="660"/>
        <w:spacing w:after="0"/>
        <w:tabs>
          <w:tab w:leader="none" w:pos="2740" w:val="left"/>
        </w:tabs>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used in this Agreement, the following terms have the respective meanings set forth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3:22p.m. (New York City time) on August 4, 2020 or such other time as agreed by the Company, the Guarantors and the Representative.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Documents</w:t>
      </w:r>
      <w:r>
        <w:rPr>
          <w:rFonts w:ascii="Arial" w:cs="Arial" w:eastAsia="Arial" w:hAnsi="Arial"/>
          <w:sz w:val="16"/>
          <w:szCs w:val="16"/>
          <w:color w:val="auto"/>
        </w:rPr>
        <w:t>” means all contracts, indentures, mortgages, deeds of trust, loan or credit agreements, bonds, notes, debentures, evidences of indebtedness, swap agreements, leases or other instruments or agreements to which the Company or any of its subsidiaries is a party or by which the Company or any of its subsidiaries is bound or to which any of the property or assets of the Company or any of its subsidiaries is subject.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 and the regulations and published interpretations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 and the rules and regulations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security interest, mortgage, pledge, lien, encumbrance, claim or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Treasury Department.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 in the case of a corporation, its charter and by-laws; (b) in the case of a limited or general partnership, its partnership certificate, certificate of formation or similar organizational document and its partnership agreement; (c) in the case of a limited liability company, its articles of organization, certificate of formation or similar organizational documents and its operating agreement, limited liability company agreement, membership agreement or other similar agreement; (d) in the case of a trust, its certificate of trust, certificate of formation or similar organizational document and its trust agreement or other similar agreement; and (e) in the case of any other entity, the organizational and governing documents of such entity.</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Event</w:t>
      </w:r>
      <w:r>
        <w:rPr>
          <w:rFonts w:ascii="Arial" w:cs="Arial" w:eastAsia="Arial" w:hAnsi="Arial"/>
          <w:sz w:val="18"/>
          <w:szCs w:val="18"/>
          <w:color w:val="auto"/>
        </w:rPr>
        <w:t>” means any event or condition which, either immediately or with notice or passage of time or both, (i) gives the holder of any bond, note, debenture or other evidence of indebtedness (or any person acting on such holder’s behalf) the right to require the repurchase, redemption or repayment of all or a portion of such indebtedness by the Company or any subsidiary of the Company, or (ii) gives any counterparty (or any person acting on such counterparty’s behalf) under any swap agreement, hedging agreement or similar agreement or instrument to which the Company or any subsidiary of the Company is a party the right to liquidate or accelerate the payment obligations or designate an early termination date under such agreement or instrument, as the case may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4" w:name="page165"/>
    <w:bookmarkEnd w:id="164"/>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any event or condition which gives any person the right, either immediately or with notice or passage of time or both, to terminate or limit (in whole or in part) any Company Documents or any rights of the Company, or any of its subsidiaries thereunder, including, without limitation, upon the occurrence of a change of control of the Company or any Guarantor or other similar events.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Indenture, the Securities and the Guarantees, collectively.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 Regulations</w:t>
      </w:r>
      <w:r>
        <w:rPr>
          <w:rFonts w:ascii="Arial" w:cs="Arial" w:eastAsia="Arial" w:hAnsi="Arial"/>
          <w:sz w:val="18"/>
          <w:szCs w:val="18"/>
          <w:color w:val="auto"/>
        </w:rPr>
        <w:t>” means the rules and regulations of the Commission under the 1933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 Regulations</w:t>
      </w:r>
      <w:r>
        <w:rPr>
          <w:rFonts w:ascii="Arial" w:cs="Arial" w:eastAsia="Arial" w:hAnsi="Arial"/>
          <w:sz w:val="18"/>
          <w:szCs w:val="18"/>
          <w:color w:val="auto"/>
        </w:rPr>
        <w:t>” means the rules and regulations of the Commission under the 1934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1939 Act</w:t>
      </w:r>
      <w:r>
        <w:rPr>
          <w:rFonts w:ascii="Arial" w:cs="Arial" w:eastAsia="Arial" w:hAnsi="Arial"/>
          <w:sz w:val="18"/>
          <w:szCs w:val="18"/>
          <w:color w:val="auto"/>
        </w:rPr>
        <w:t>” means the Trust Indenture Act of 1939, as amended, and the rules and regulations of the Commission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1940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references in this Agreement to the Preliminary Offering Memorandum and the Offering Memorandum, any Issuer Free Writing Document or any amendment or supplement to any of the foregoing shall be deemed to include all versions thereof delivered (physically or electronically) to the Representative or the Initial Purchasers.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in the Preliminary Offering Memorandum or the Offering Memorandum (and all other references of like import) shall be deemed to mean and include all such financial statements and schedules.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Permitted Free Writing Documents</w:t>
      </w:r>
      <w:r>
        <w:rPr>
          <w:rFonts w:ascii="Arial" w:cs="Arial" w:eastAsia="Arial" w:hAnsi="Arial"/>
          <w:sz w:val="17"/>
          <w:szCs w:val="17"/>
          <w:color w:val="auto"/>
        </w:rPr>
        <w:t>. The Company and each Guarantor represents, warrants and agrees that it has not made and, unless it obtains the prior written consent of the Representative, it will not make, and each Initial Purchaser, severally and not jointly, represents, warrants and agrees that it has not made and, unless it obtains the prior written consent of the Company, the Guarantors and the Representative, it will not make, any offer relating to the Securities that (if the offering of the Securities was made pursuant to a registered offering under the 1933 Act) would constitute an “Issuer Free Writing Prospectus” (as defined in Rule 433 under the 1933 Act) (any such document, a “</w:t>
      </w:r>
      <w:r>
        <w:rPr>
          <w:rFonts w:ascii="Arial" w:cs="Arial" w:eastAsia="Arial" w:hAnsi="Arial"/>
          <w:sz w:val="17"/>
          <w:szCs w:val="17"/>
          <w:u w:val="single" w:color="auto"/>
          <w:color w:val="auto"/>
        </w:rPr>
        <w:t>Issuer Free Writing Document</w:t>
      </w:r>
      <w:r>
        <w:rPr>
          <w:rFonts w:ascii="Arial" w:cs="Arial" w:eastAsia="Arial" w:hAnsi="Arial"/>
          <w:sz w:val="17"/>
          <w:szCs w:val="17"/>
          <w:color w:val="auto"/>
        </w:rPr>
        <w:t xml:space="preserve">”) or that would constitute a “free writing prospectus” (as defined in Rule 405 under the 1933 Act) which would be required to be filed with the Commission in connection with an offering registered under the 1933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prior written consent of the Company, the Guarantors and the Representative shall be deemed to have been given in respect of the Issuer Free Writing Documents, if any, listed on Exhibit E hereto and to any electronic road show in the form previously provided by the Company to and approved by the Representative.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left="6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and each Guarantor acknowledges and agrees that:</w:t>
      </w:r>
    </w:p>
    <w:p>
      <w:pPr>
        <w:spacing w:after="0" w:line="225" w:lineRule="exact"/>
        <w:rPr>
          <w:sz w:val="20"/>
          <w:szCs w:val="20"/>
          <w:color w:val="auto"/>
        </w:rPr>
      </w:pPr>
    </w:p>
    <w:p>
      <w:pPr>
        <w:jc w:val="both"/>
        <w:ind w:firstLine="656"/>
        <w:spacing w:after="0" w:line="275" w:lineRule="auto"/>
        <w:tabs>
          <w:tab w:leader="none" w:pos="157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each of the Initial Purchasers is acting solely as an initial purchaser in connection with the sale of the Securities and no fiduciary, advisory or agency relationship between the Company and any Guarantor, on the one hand, and any of the Initial Purchasers, on the other hand, has been created in respect of any of the transactions contemplated by this Agreement, irrespective of whether or not any of the Initial Purchasers has advised or is advising the Company or any Guarantor on other matters (it being understood that in any event that no Initial Purchaser shall be deemed to have provided legal, accounting or tax advice to the Company, any Guarantor or any of their respective subsidiaries);</w:t>
      </w:r>
    </w:p>
    <w:p>
      <w:pPr>
        <w:spacing w:after="0" w:line="176" w:lineRule="exact"/>
        <w:rPr>
          <w:rFonts w:ascii="Arial" w:cs="Arial" w:eastAsia="Arial" w:hAnsi="Arial"/>
          <w:sz w:val="17"/>
          <w:szCs w:val="17"/>
          <w:color w:val="auto"/>
        </w:rPr>
      </w:pPr>
    </w:p>
    <w:p>
      <w:pPr>
        <w:ind w:right="20" w:firstLine="656"/>
        <w:spacing w:after="0" w:line="308" w:lineRule="auto"/>
        <w:tabs>
          <w:tab w:leader="none" w:pos="146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offering price of the Securities and the price to be paid by the Initial Purchasers for the Securities set forth in this Agreement were established by the Company and the Guarantors following discussions and arms-length negotiations with the Representative;</w:t>
      </w:r>
    </w:p>
    <w:p>
      <w:pPr>
        <w:spacing w:after="0" w:line="146" w:lineRule="exact"/>
        <w:rPr>
          <w:rFonts w:ascii="Arial" w:cs="Arial" w:eastAsia="Arial" w:hAnsi="Arial"/>
          <w:sz w:val="17"/>
          <w:szCs w:val="17"/>
          <w:color w:val="auto"/>
        </w:rPr>
      </w:pPr>
    </w:p>
    <w:p>
      <w:pPr>
        <w:ind w:firstLine="656"/>
        <w:spacing w:after="0" w:line="277" w:lineRule="auto"/>
        <w:tabs>
          <w:tab w:leader="none" w:pos="159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they are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438"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they are aware that the Initial Purchasers and their respective affiliates are engaged in a broad range of transactions which may involve interests that differ from those of the Company and the Guarantors and that none of the Initial Purchasers has any obligation to disclose such interests and transactions to the Company or the Guarantors by virtue of any fiduciary, advisory or agency relationship or otherwise;</w:t>
      </w:r>
    </w:p>
    <w:p>
      <w:pPr>
        <w:spacing w:after="0" w:line="165" w:lineRule="exact"/>
        <w:rPr>
          <w:rFonts w:ascii="Arial" w:cs="Arial" w:eastAsia="Arial" w:hAnsi="Arial"/>
          <w:sz w:val="17"/>
          <w:szCs w:val="17"/>
          <w:color w:val="auto"/>
        </w:rPr>
      </w:pPr>
    </w:p>
    <w:p>
      <w:pPr>
        <w:ind w:left="1400" w:hanging="744"/>
        <w:spacing w:after="0"/>
        <w:tabs>
          <w:tab w:leader="none" w:pos="140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Company and the Guarantors have consulted their own legal and financial advisors to the extent they deemed appropriate; and</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42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they waive, to the fullest extent permitted by law, any claims they may have against any of the Initial Purchasers for breach of fiduciary duty or alleged breach of fiduciary duty and agrees that none of the Initial Purchasers shall have any liability (whether direct or indirect, in contract, tort or otherwise) to them in respect of such a fiduciary duty claim or to any person asserting a fiduciary duty claim on their behalf or in right of them or the Company, the Guarantors or any stockholders, employees or creditors of Company or any Guarantor.</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Research Analyst Independence and Other Activities of the Initial Purchasers</w:t>
      </w:r>
      <w:r>
        <w:rPr>
          <w:rFonts w:ascii="Arial" w:cs="Arial" w:eastAsia="Arial" w:hAnsi="Arial"/>
          <w:sz w:val="17"/>
          <w:szCs w:val="17"/>
          <w:color w:val="auto"/>
        </w:rPr>
        <w:t>. The Company and the Guarantors acknowledge that the Initial Purchasers’ research analysts and research departments are required to be separate from, and not influenced by, their respective investment banking divisions and are subject to certain regulations and internal policies, and that such Initial Purchasers’ research analysts may hold views and make statements or investment recommendations and/or publish research reports with respect to the Company or the Guarantors and/or the offering that differ from the views of their respective investment banking divisions. The Company and the Guarantors hereby waive and release, to the fullest extent permitted by applicable law, any claims that the Company or the Guarantors may have against the Initial Purchasers arising from the fact that the views expressed by their research analysts and research departments may be different from or inconsistent with the views or advice communicated to the Company or the Guarantors by such Initial Purchasers’ investment banking divisions. The Company and the Guarantors also acknowledge that each of the Initial Purchasers is a full service securities firm and as such from time to time, subject to applicable securities laws, may effect transactions for its own account or the account of its customers, may make recommendations and provide other advice, and may hold long or short positions in debt or equity securities of, or derivative products related to, the companies that may be the subject of the transactions contemplated by this Agreement and the Company and the Guarantors hereby waive and release, to the fullest extent permitted by applicable law, any claims that the Company or the Guarantors may have against the Initial Purchasers with respect to any such other activities.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both"/>
        <w:ind w:firstLine="648"/>
        <w:spacing w:after="0" w:line="263"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the Guarantors and each of the Initial Purchasers hereby irrevocably waives, to the fullest extent permitted by applicable law, any and all right to trial by jury in any legal proceeding arising out of or relating to this Agreement or the transactions contemplated hereby.</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Company and the Guarantors hereby submit to the non-exclusive jurisdiction of any U.S. federal or state court located in the Borough of Manhattan, the City and County of New York in any action, suit or proceeding arising out of or relating to or based upon this Agreement or any of the transactions contemplated hereby, and the Company and the Guarantors irrevocably and unconditionally waive any objection to the laying of venue of any action, suit or proceeding in any such court arising out of or relating to this Agreement or the transactions contemplated hereby and irrevocably and unconditionally waive and agree not to plead or claim in any such court that any such action, suit or proceeding has been brought in an inconvenient forum.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9" w:lineRule="auto"/>
        <w:tabs>
          <w:tab w:leader="none" w:pos="1414"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In the event that any Initial Purchaser that is a Covered Entity (as defined below) becomes subject to a proceeding under a U.S. Special Resolution Regime (as defined below),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1" w:lineRule="exact"/>
        <w:rPr>
          <w:rFonts w:ascii="Arial" w:cs="Arial" w:eastAsia="Arial" w:hAnsi="Arial"/>
          <w:sz w:val="17"/>
          <w:szCs w:val="17"/>
          <w:color w:val="auto"/>
        </w:rPr>
      </w:pPr>
    </w:p>
    <w:p>
      <w:pPr>
        <w:jc w:val="both"/>
        <w:ind w:firstLine="656"/>
        <w:spacing w:after="0" w:line="279" w:lineRule="auto"/>
        <w:tabs>
          <w:tab w:leader="none" w:pos="152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In the event that any Initial Purchaser that is a Covered Entity or a BHC Act Affiliate (as defined below) of such Initial Purchaser becomes subject to a proceeding under a U.S. Special Resolution Regime, Default Rights (as defined below)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ind w:left="1360" w:hanging="704"/>
        <w:spacing w:after="0"/>
        <w:tabs>
          <w:tab w:leader="none" w:pos="13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For purposes of this Section 21, the following terms have the respective meanings set forth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2160" w:hanging="208"/>
        <w:spacing w:after="0"/>
        <w:tabs>
          <w:tab w:leader="none" w:pos="2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260" w:hanging="308"/>
        <w:spacing w:after="0"/>
        <w:tabs>
          <w:tab w:leader="none" w:pos="22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(12 U.S.C. §§1811-1835a) and the regulations promulgated thereunder and (ii) Title II of the Dodd-Frank Wall Street Reform and Consumer Protection Act (12 U.S.C. §§ 5381-5394) and the regulations promulgated thereunder.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firstLine="648"/>
        <w:spacing w:after="0" w:line="263"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and the Guarantors a counterpart hereof, whereupon this instrument, along with all counterparts, will become a binding agreement among the Initial Purchasers, the Company and the Guarantors in accordance with its terms.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BIOSOLUTIONS INC.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Executive Vice President, Chief Financial Officer and Treasurer</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DEVICES INC. (F/K/A ADAPT PHARMA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CANGENE BIOPHARMA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BIODEFENSE OPERATIONS LANSING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INTERNATIONAL INC.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MANUFACTURING OPERATIONS BALTIMORE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PRODUCT DEVELOPMENT GAITHERSBURG INC.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TRAVEL HEALTH INC.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Mitch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right="405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as Representative of the Initial Purchasers named in Exhibit A hereto.</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INITIAL PURCHASERS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GUARANTORS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SIGNIFICANT SUBSIDIARIES OF THE COMPANY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PRICING TERM SHEET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ISSUER FREE WRITING DOCUMENTS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8"/>
          <w:szCs w:val="18"/>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OPINION AND NEGATIVE ASSURANCE LETTER OF COMPANY COUNSEL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u w:val="single" w:color="auto"/>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OPINION OF MARYLAND COUNSEL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10.2</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XECUTION</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ERSION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AMENDED AND RESTATED CREDIT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SECOND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7, 2020, among EMERGENT BIOSOLUTIONS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(as defined in the Credit Agreement referred to below) party hereto, the Lenders party hereto (the “</w:t>
      </w:r>
      <w:r>
        <w:rPr>
          <w:rFonts w:ascii="Arial" w:cs="Arial" w:eastAsia="Arial" w:hAnsi="Arial"/>
          <w:sz w:val="18"/>
          <w:szCs w:val="18"/>
          <w:u w:val="single" w:color="auto"/>
          <w:color w:val="auto"/>
        </w:rPr>
        <w:t>Consenting Lenders</w:t>
      </w:r>
      <w:r>
        <w:rPr>
          <w:rFonts w:ascii="Arial" w:cs="Arial" w:eastAsia="Arial" w:hAnsi="Arial"/>
          <w:sz w:val="18"/>
          <w:szCs w:val="18"/>
          <w:color w:val="auto"/>
        </w:rPr>
        <w:t>”), and WELLS FARGO BANK, NATIONAL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Unless otherwise indicated, all capitalized terms used herein and not otherwise defined herein shall have the respective meanings provided such terms in the Credit Agreement referred to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Borrower, the lenders party thereto from time to time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 have entered into that certain Amended and Restated Credit Agreement, dated as of October 15, 2018 (as amended by the First Amendment to Amended and Restated Credit Agreement dated as of June 27, 2019 and as may further be amended,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Existing Credit Agreement, as amended by this Amendment,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Borrower has requested, and subject to the terms and conditions set forth herein, the Administrative Agent and the Consenting Lenders have agreed, to certain amendments to the Existing Credit Agreement as more specifically set forth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it is agreed as follows: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 to Existing Credit Agreement</w:t>
      </w:r>
      <w:r>
        <w:rPr>
          <w:rFonts w:ascii="Arial" w:cs="Arial" w:eastAsia="Arial" w:hAnsi="Arial"/>
          <w:sz w:val="18"/>
          <w:szCs w:val="18"/>
          <w:color w:val="auto"/>
        </w:rPr>
        <w:t xml:space="preserve">. Effective as of the Amendment Effective Date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Existing Credit Agreement is hereby amended as follows:</w:t>
      </w:r>
    </w:p>
    <w:p>
      <w:pPr>
        <w:spacing w:after="0" w:line="170" w:lineRule="exact"/>
        <w:rPr>
          <w:sz w:val="20"/>
          <w:szCs w:val="20"/>
          <w:color w:val="auto"/>
        </w:rPr>
      </w:pPr>
    </w:p>
    <w:p>
      <w:pPr>
        <w:ind w:left="1300" w:right="160" w:hanging="644"/>
        <w:spacing w:after="0" w:line="500" w:lineRule="auto"/>
        <w:tabs>
          <w:tab w:leader="none" w:pos="1391"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adding the following defined terms in appropriate alphabetical order: “</w:t>
      </w:r>
      <w:r>
        <w:rPr>
          <w:rFonts w:ascii="Arial" w:cs="Arial" w:eastAsia="Arial" w:hAnsi="Arial"/>
          <w:sz w:val="18"/>
          <w:szCs w:val="18"/>
          <w:u w:val="single" w:color="auto"/>
          <w:color w:val="auto"/>
        </w:rPr>
        <w:t>2028 Senior Notes</w:t>
      </w:r>
      <w:r>
        <w:rPr>
          <w:rFonts w:ascii="Arial" w:cs="Arial" w:eastAsia="Arial" w:hAnsi="Arial"/>
          <w:sz w:val="18"/>
          <w:szCs w:val="18"/>
          <w:color w:val="auto"/>
        </w:rPr>
        <w:t>” means the 3.875% Senior Notes due 2028, issued by the Borrower.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AV7909</w:t>
      </w:r>
      <w:r>
        <w:rPr>
          <w:rFonts w:ascii="Arial" w:cs="Arial" w:eastAsia="Arial" w:hAnsi="Arial"/>
          <w:sz w:val="18"/>
          <w:szCs w:val="18"/>
          <w:color w:val="auto"/>
        </w:rPr>
        <w:t>” means anthrax vaccine absorbed with CPG 7909 adjuvant.</w:t>
      </w:r>
    </w:p>
    <w:p>
      <w:pPr>
        <w:spacing w:after="0" w:line="225" w:lineRule="exact"/>
        <w:rPr>
          <w:sz w:val="20"/>
          <w:szCs w:val="20"/>
          <w:color w:val="auto"/>
        </w:rPr>
      </w:pPr>
    </w:p>
    <w:p>
      <w:pPr>
        <w:jc w:val="both"/>
        <w:ind w:left="660" w:right="6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AV7909 Contract</w:t>
      </w:r>
      <w:r>
        <w:rPr>
          <w:rFonts w:ascii="Arial" w:cs="Arial" w:eastAsia="Arial" w:hAnsi="Arial"/>
          <w:sz w:val="17"/>
          <w:szCs w:val="17"/>
          <w:color w:val="auto"/>
        </w:rPr>
        <w:t>” means the provisions relating to the manufacturing development and procurement of AV7909 set forth in that certain BARDA development and procurement contract (Contract No. HHSO100201600030C), effective September 30, 2016, between Emergent Product Development Gaithersburg Inc. and the Biomedical Advanced Research &amp; Development Administration, as the same may be amended, restated, supplemented, replaced, substituted for, renewed, or otherwise modified from time to time.</w:t>
      </w:r>
    </w:p>
    <w:p>
      <w:pPr>
        <w:spacing w:after="0" w:line="171" w:lineRule="exact"/>
        <w:rPr>
          <w:sz w:val="20"/>
          <w:szCs w:val="20"/>
          <w:color w:val="auto"/>
        </w:rPr>
      </w:pPr>
    </w:p>
    <w:p>
      <w:pPr>
        <w:jc w:val="both"/>
        <w:ind w:left="660"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AV7909 Receivables Account</w:t>
      </w:r>
      <w:r>
        <w:rPr>
          <w:rFonts w:ascii="Arial" w:cs="Arial" w:eastAsia="Arial" w:hAnsi="Arial"/>
          <w:sz w:val="18"/>
          <w:szCs w:val="18"/>
          <w:color w:val="auto"/>
        </w:rPr>
        <w:t>” means any account in which payments from the Federal Government (or any subdivision or agency thereof) on account of the AV7909 Contract are made or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8" w:name="page179"/>
    <w:bookmarkEnd w:id="178"/>
    <w:p>
      <w:pPr>
        <w:jc w:val="both"/>
        <w:ind w:left="640"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means August 7, 2020.</w:t>
      </w:r>
    </w:p>
    <w:p>
      <w:pPr>
        <w:spacing w:after="0" w:line="225" w:lineRule="exact"/>
        <w:rPr>
          <w:sz w:val="20"/>
          <w:szCs w:val="20"/>
          <w:color w:val="auto"/>
        </w:rPr>
      </w:pPr>
    </w:p>
    <w:p>
      <w:pPr>
        <w:jc w:val="both"/>
        <w:ind w:left="640" w:right="6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1" w:lineRule="exact"/>
        <w:rPr>
          <w:sz w:val="20"/>
          <w:szCs w:val="20"/>
          <w:color w:val="auto"/>
        </w:rPr>
      </w:pPr>
    </w:p>
    <w:p>
      <w:pPr>
        <w:jc w:val="both"/>
        <w:ind w:left="640"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20" w:firstLine="656"/>
        <w:spacing w:after="0" w:line="277" w:lineRule="auto"/>
        <w:tabs>
          <w:tab w:leader="none" w:pos="1373"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removing the phrase “, or any series of related transactions,” from the definition of “Acquisition”.</w:t>
      </w:r>
    </w:p>
    <w:p>
      <w:pPr>
        <w:spacing w:after="0" w:line="170" w:lineRule="exact"/>
        <w:rPr>
          <w:rFonts w:ascii="Arial" w:cs="Arial" w:eastAsia="Arial" w:hAnsi="Arial"/>
          <w:sz w:val="18"/>
          <w:szCs w:val="18"/>
          <w:color w:val="auto"/>
        </w:rPr>
      </w:pPr>
    </w:p>
    <w:p>
      <w:pPr>
        <w:ind w:left="-20" w:firstLine="656"/>
        <w:spacing w:after="0" w:line="277" w:lineRule="auto"/>
        <w:tabs>
          <w:tab w:leader="none" w:pos="143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and restating the definition of “Applicable Margin” in its entirety to read as follows:</w:t>
      </w:r>
    </w:p>
    <w:p>
      <w:pPr>
        <w:spacing w:after="0" w:line="170" w:lineRule="exact"/>
        <w:rPr>
          <w:sz w:val="20"/>
          <w:szCs w:val="20"/>
          <w:color w:val="auto"/>
        </w:rPr>
      </w:pPr>
    </w:p>
    <w:p>
      <w:pPr>
        <w:jc w:val="both"/>
        <w:ind w:left="640"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the corresponding percentages per annum as set forth below based on the Consolidated Net Leverage Ratio:</w:t>
      </w:r>
    </w:p>
    <w:p>
      <w:pPr>
        <w:spacing w:after="0" w:line="165" w:lineRule="exact"/>
        <w:rPr>
          <w:sz w:val="20"/>
          <w:szCs w:val="20"/>
          <w:color w:val="auto"/>
        </w:rPr>
      </w:pPr>
    </w:p>
    <w:tbl>
      <w:tblPr>
        <w:tblLayout w:type="fixed"/>
        <w:tblInd w:w="330" w:type="dxa"/>
        <w:tblCellMar>
          <w:top w:w="0" w:type="dxa"/>
          <w:left w:w="0" w:type="dxa"/>
          <w:bottom w:w="0" w:type="dxa"/>
          <w:right w:w="0" w:type="dxa"/>
        </w:tblCellMar>
      </w:tblPr>
      <w:tr>
        <w:trPr>
          <w:trHeight w:val="230"/>
        </w:trPr>
        <w:tc>
          <w:tcPr>
            <w:tcW w:w="106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4480" w:type="dxa"/>
            <w:vAlign w:val="bottom"/>
            <w:tcBorders>
              <w:top w:val="single" w:sz="8" w:color="auto"/>
              <w:bottom w:val="single" w:sz="8" w:color="auto"/>
              <w:right w:val="single" w:sz="8" w:color="auto"/>
            </w:tcBorders>
            <w:shd w:val="clear" w:color="auto" w:fill="D9D9D9"/>
          </w:tcPr>
          <w:p>
            <w:pPr>
              <w:ind w:left="960"/>
              <w:spacing w:after="0"/>
              <w:rPr>
                <w:sz w:val="20"/>
                <w:szCs w:val="20"/>
                <w:color w:val="auto"/>
              </w:rPr>
            </w:pPr>
            <w:r>
              <w:rPr>
                <w:rFonts w:ascii="Arial" w:cs="Arial" w:eastAsia="Arial" w:hAnsi="Arial"/>
                <w:sz w:val="18"/>
                <w:szCs w:val="18"/>
                <w:b w:val="1"/>
                <w:bCs w:val="1"/>
                <w:color w:val="auto"/>
              </w:rPr>
              <w:t>Consolidated Net Leverage Ratio</w:t>
            </w:r>
          </w:p>
        </w:tc>
        <w:tc>
          <w:tcPr>
            <w:tcW w:w="17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Commitment Fee</w:t>
            </w:r>
          </w:p>
        </w:tc>
        <w:tc>
          <w:tcPr>
            <w:tcW w:w="18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Eurocurrency Rate +</w:t>
            </w:r>
          </w:p>
        </w:tc>
        <w:tc>
          <w:tcPr>
            <w:tcW w:w="12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Base Rate +</w:t>
            </w:r>
          </w:p>
        </w:tc>
      </w:tr>
      <w:tr>
        <w:trPr>
          <w:trHeight w:val="209"/>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Less than 2.00 to 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0.150%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0.25%</w:t>
            </w:r>
          </w:p>
        </w:tc>
      </w:tr>
      <w:tr>
        <w:trPr>
          <w:trHeight w:val="195"/>
        </w:trPr>
        <w:tc>
          <w:tcPr>
            <w:tcW w:w="10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II</w:t>
            </w:r>
          </w:p>
        </w:tc>
        <w:tc>
          <w:tcPr>
            <w:tcW w:w="4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Greater than or equal to 2.00 to 1.00, but less than 2.50 to</w:t>
            </w:r>
          </w:p>
        </w:tc>
        <w:tc>
          <w:tcPr>
            <w:tcW w:w="1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0.200%</w:t>
            </w:r>
          </w:p>
        </w:tc>
        <w:tc>
          <w:tcPr>
            <w:tcW w:w="1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1.50%</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0.50%</w:t>
            </w:r>
          </w:p>
        </w:tc>
      </w:tr>
      <w:tr>
        <w:trPr>
          <w:trHeight w:val="230"/>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w:t>
            </w: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95"/>
        </w:trPr>
        <w:tc>
          <w:tcPr>
            <w:tcW w:w="10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III</w:t>
            </w:r>
          </w:p>
        </w:tc>
        <w:tc>
          <w:tcPr>
            <w:tcW w:w="4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Greater than or equal to 2.50 to 1.00, but less than 3.00 to</w:t>
            </w:r>
          </w:p>
        </w:tc>
        <w:tc>
          <w:tcPr>
            <w:tcW w:w="1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0.250%</w:t>
            </w:r>
          </w:p>
        </w:tc>
        <w:tc>
          <w:tcPr>
            <w:tcW w:w="1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1.75%</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0.75%</w:t>
            </w:r>
          </w:p>
        </w:tc>
      </w:tr>
      <w:tr>
        <w:trPr>
          <w:trHeight w:val="230"/>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w:t>
            </w: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95"/>
        </w:trPr>
        <w:tc>
          <w:tcPr>
            <w:tcW w:w="10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IV</w:t>
            </w:r>
          </w:p>
        </w:tc>
        <w:tc>
          <w:tcPr>
            <w:tcW w:w="4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Greater than or equal to 3.00 to 1.00, but less than 3.50 to</w:t>
            </w:r>
          </w:p>
        </w:tc>
        <w:tc>
          <w:tcPr>
            <w:tcW w:w="1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0.300%</w:t>
            </w:r>
          </w:p>
        </w:tc>
        <w:tc>
          <w:tcPr>
            <w:tcW w:w="1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2.00%</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1.00%</w:t>
            </w:r>
          </w:p>
        </w:tc>
      </w:tr>
      <w:tr>
        <w:trPr>
          <w:trHeight w:val="230"/>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w:t>
            </w: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210"/>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w:t>
            </w: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Greater than or equal to 3.50 to 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0.350%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1.25%</w:t>
            </w:r>
          </w:p>
        </w:tc>
      </w:tr>
    </w:tbl>
    <w:p>
      <w:pPr>
        <w:spacing w:after="0" w:line="202" w:lineRule="exact"/>
        <w:rPr>
          <w:sz w:val="20"/>
          <w:szCs w:val="20"/>
          <w:color w:val="auto"/>
        </w:rPr>
      </w:pPr>
    </w:p>
    <w:p>
      <w:pPr>
        <w:jc w:val="both"/>
        <w:ind w:left="640" w:right="640"/>
        <w:spacing w:after="0" w:line="287" w:lineRule="auto"/>
        <w:rPr>
          <w:sz w:val="20"/>
          <w:szCs w:val="20"/>
          <w:color w:val="auto"/>
        </w:rPr>
      </w:pPr>
      <w:r>
        <w:rPr>
          <w:rFonts w:ascii="Arial" w:cs="Arial" w:eastAsia="Arial" w:hAnsi="Arial"/>
          <w:sz w:val="16"/>
          <w:szCs w:val="16"/>
          <w:color w:val="auto"/>
        </w:rPr>
        <w:t xml:space="preserve">The Applicable Margin shall be determined and adjusted quarterly on the date five (5) Business Days after the day on which the Borrower provides a Compliance Certificate pursuant to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for the most recently ended fiscal quarter of the Borrower (each such date, a “</w:t>
      </w:r>
      <w:r>
        <w:rPr>
          <w:rFonts w:ascii="Arial" w:cs="Arial" w:eastAsia="Arial" w:hAnsi="Arial"/>
          <w:sz w:val="16"/>
          <w:szCs w:val="16"/>
          <w:u w:val="single" w:color="auto"/>
          <w:color w:val="auto"/>
        </w:rPr>
        <w:t>Calculation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Applicable Margin shall be based on Pricing Level I until the Calculation Date following the first full fiscal quarter of the Borrower occurring after the Second Amendment Effective Date and, thereafter the Pricing Level shall be determined by reference to the Consolidated Net Leverage Ratio as of the last day of the most recently ended fiscal quarter of the Borrower preceding the applicable Calculation Date, and (b) if the Borrower fails to provide a Compliance Certificate when due as required by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for the most recently ended fiscal quarter of the Borrower preceding the applicable Calculation Date, the Applicable Margin from the date on which such Compliance Certificate was required to have been delivered shall be based on Pricing Level V until such time as an appropriate Compliance Certificate is delivered, at which time the Pricing Level shall be determined by reference to the Consolidated Net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79" w:name="page180"/>
    <w:bookmarkEnd w:id="179"/>
    <w:p>
      <w:pPr>
        <w:jc w:val="both"/>
        <w:ind w:left="-20" w:firstLine="656"/>
        <w:spacing w:after="0" w:line="263" w:lineRule="auto"/>
        <w:tabs>
          <w:tab w:leader="none" w:pos="156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The definition of “Bail-In Action” set forth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(i) replacing the reference to “EEA Resolution Authority” with “Resolution Authority” and (ii) replacing the reference to “EEA Financial Institution with “Affected Financial Institution”.</w:t>
      </w:r>
    </w:p>
    <w:p>
      <w:pPr>
        <w:spacing w:after="0" w:line="183" w:lineRule="exact"/>
        <w:rPr>
          <w:rFonts w:ascii="Arial" w:cs="Arial" w:eastAsia="Arial" w:hAnsi="Arial"/>
          <w:sz w:val="18"/>
          <w:szCs w:val="18"/>
          <w:color w:val="auto"/>
        </w:rPr>
      </w:pPr>
    </w:p>
    <w:p>
      <w:pPr>
        <w:ind w:left="-20" w:firstLine="656"/>
        <w:spacing w:after="0" w:line="277" w:lineRule="auto"/>
        <w:tabs>
          <w:tab w:leader="none" w:pos="143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and restating the definition of “Bail-In Legislation” in its entirety to read as follows:</w:t>
      </w:r>
    </w:p>
    <w:p>
      <w:pPr>
        <w:spacing w:after="0" w:line="170" w:lineRule="exact"/>
        <w:rPr>
          <w:sz w:val="20"/>
          <w:szCs w:val="20"/>
          <w:color w:val="auto"/>
        </w:rPr>
      </w:pPr>
    </w:p>
    <w:p>
      <w:pPr>
        <w:jc w:val="both"/>
        <w:ind w:left="640" w:right="6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left="-20" w:firstLine="656"/>
        <w:spacing w:after="0" w:line="277" w:lineRule="auto"/>
        <w:tabs>
          <w:tab w:leader="none" w:pos="1361"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and restating the definition of “Incremental Facilities Limit” in its entirety to read as follows:</w:t>
      </w:r>
    </w:p>
    <w:p>
      <w:pPr>
        <w:spacing w:after="0" w:line="170" w:lineRule="exact"/>
        <w:rPr>
          <w:sz w:val="20"/>
          <w:szCs w:val="20"/>
          <w:color w:val="auto"/>
        </w:rPr>
      </w:pPr>
    </w:p>
    <w:p>
      <w:pPr>
        <w:jc w:val="both"/>
        <w:ind w:left="640" w:right="64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Facilities Limit</w:t>
      </w:r>
      <w:r>
        <w:rPr>
          <w:rFonts w:ascii="Arial" w:cs="Arial" w:eastAsia="Arial" w:hAnsi="Arial"/>
          <w:sz w:val="16"/>
          <w:szCs w:val="16"/>
          <w:color w:val="auto"/>
        </w:rPr>
        <w:t xml:space="preserve">” means, after the Second Amendment Effective Date, with respect to any proposed incurrence of additional Indebtedness under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an amount equal to the sum of (a) the amount of additional Indebtedness that would cause the Consolidated Secured Net Leverage Ratio as of the most recently ended fiscal quarter prior to the incurrence of such additional Indebtedness (or in the case of any additional Indebtedness, the proceeds of which will finance a Limited Condition Acquisition, the date determined pursuant to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for which financial statements have been delivered to the Administrative Agent hereunder, calculated on a pro forma basis after giving effect to the incurrence of such additional Indebtedness and any Limited Condition Acquisition to be consummated using the proceeds of such additional Indebtedness and assuming that any proposed Incremental Revolving Credit Increase is fully drawn at such time and after giving effect to the use of proceeds thereof (calculated without giving effect to any netting of the proceeds thereof from Consolidated Secured Indebtedness), not to exceed 2.75 to 1.00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 amount equal to (i) the greater of (x) $300,000,000 and (y) 100% of Consolidated EBITDA as of the most recently ended Measurement Period prior to the incurrence of such additional Indebtedness for which financial statements have been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w:t>
      </w:r>
    </w:p>
    <w:p>
      <w:pPr>
        <w:spacing w:after="0" w:line="4" w:lineRule="exact"/>
        <w:rPr>
          <w:sz w:val="20"/>
          <w:szCs w:val="20"/>
          <w:color w:val="auto"/>
        </w:rPr>
      </w:pPr>
    </w:p>
    <w:p>
      <w:pPr>
        <w:jc w:val="both"/>
        <w:ind w:left="640" w:right="660" w:hanging="4"/>
        <w:spacing w:after="0" w:line="287" w:lineRule="auto"/>
        <w:tabs>
          <w:tab w:leader="none" w:pos="915" w:val="left"/>
        </w:tabs>
        <w:numPr>
          <w:ilvl w:val="0"/>
          <w:numId w:val="263"/>
        </w:numPr>
        <w:rPr>
          <w:rFonts w:ascii="Arial" w:cs="Arial" w:eastAsia="Arial" w:hAnsi="Arial"/>
          <w:sz w:val="16"/>
          <w:szCs w:val="16"/>
          <w:u w:val="single" w:color="auto"/>
          <w:color w:val="auto"/>
        </w:rPr>
      </w:pPr>
      <w:r>
        <w:rPr>
          <w:rFonts w:ascii="Arial" w:cs="Arial" w:eastAsia="Arial" w:hAnsi="Arial"/>
          <w:sz w:val="16"/>
          <w:szCs w:val="16"/>
          <w:color w:val="auto"/>
        </w:rPr>
        <w:t xml:space="preserve">(or in the case of any such additional Indebtedness, the proceeds of which will finance a Limited Condition Acquisition, the date determined pursuant to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amount of all permanent reductions of the Revolving Credit Commitment pursuant to </w:t>
      </w:r>
      <w:r>
        <w:rPr>
          <w:rFonts w:ascii="Arial" w:cs="Arial" w:eastAsia="Arial" w:hAnsi="Arial"/>
          <w:sz w:val="16"/>
          <w:szCs w:val="16"/>
          <w:u w:val="single" w:color="auto"/>
          <w:color w:val="auto"/>
        </w:rPr>
        <w:t>Section 2.5(a) plus</w:t>
      </w:r>
      <w:r>
        <w:rPr>
          <w:rFonts w:ascii="Arial" w:cs="Arial" w:eastAsia="Arial" w:hAnsi="Arial"/>
          <w:sz w:val="16"/>
          <w:szCs w:val="16"/>
          <w:color w:val="auto"/>
        </w:rPr>
        <w:t xml:space="preserve"> (iii) the aggregate principal amount of all optional prepayments of the Term Loans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4.4(a) less</w:t>
      </w:r>
      <w:r>
        <w:rPr>
          <w:rFonts w:ascii="Arial" w:cs="Arial" w:eastAsia="Arial" w:hAnsi="Arial"/>
          <w:sz w:val="16"/>
          <w:szCs w:val="16"/>
          <w:color w:val="auto"/>
        </w:rPr>
        <w:t xml:space="preserve"> (iv) the total aggregate initial principal amount (as of the date of incurrence thereof) of all Incremental Loan Commitments and Incremental Loans previously incurred under this clause (b) after the Second Amendment Effective Date. Unless the Borrower otherwise notifies the Administrative Agent, if all or any portion of any Incremental Loans would be permitted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on the applicable date of incurrence, such Incremental Loans (or the relevant portion thereof) shall be deemed to have been incurred in reliance on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prior to the utilization of any amount available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0" w:name="page181"/>
    <w:bookmarkEnd w:id="180"/>
    <w:p>
      <w:pPr>
        <w:ind w:firstLine="656"/>
        <w:spacing w:after="0" w:line="277" w:lineRule="auto"/>
        <w:tabs>
          <w:tab w:leader="none" w:pos="1708"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the definition of “Material Contract” by replacing “$50,000,000” with “$100,000,000”.</w:t>
      </w:r>
    </w:p>
    <w:p>
      <w:pPr>
        <w:spacing w:after="0" w:line="170" w:lineRule="exact"/>
        <w:rPr>
          <w:rFonts w:ascii="Arial" w:cs="Arial" w:eastAsia="Arial" w:hAnsi="Arial"/>
          <w:sz w:val="18"/>
          <w:szCs w:val="18"/>
          <w:color w:val="auto"/>
        </w:rPr>
      </w:pPr>
    </w:p>
    <w:p>
      <w:pPr>
        <w:ind w:right="20" w:firstLine="656"/>
        <w:spacing w:after="0" w:line="277" w:lineRule="auto"/>
        <w:tabs>
          <w:tab w:leader="none" w:pos="1582"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the definition of “Material Government Contract” by replacing “$50,000,000” with “$100,000,000”.</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 Existing Credit Agreement is hereby amended by deleting the definitions of (i) “NuThrax”, (ii) “NuThrax Contract” and</w:t>
      </w:r>
    </w:p>
    <w:p>
      <w:pPr>
        <w:spacing w:after="0" w:line="34" w:lineRule="exact"/>
        <w:rPr>
          <w:rFonts w:ascii="Arial" w:cs="Arial" w:eastAsia="Arial" w:hAnsi="Arial"/>
          <w:sz w:val="17"/>
          <w:szCs w:val="17"/>
          <w:color w:val="auto"/>
        </w:rPr>
      </w:pPr>
    </w:p>
    <w:p>
      <w:pPr>
        <w:ind w:left="320" w:hanging="312"/>
        <w:spacing w:after="0"/>
        <w:tabs>
          <w:tab w:leader="none" w:pos="3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“NuThrax Receivables Account” in their entirety.</w:t>
      </w:r>
    </w:p>
    <w:p>
      <w:pPr>
        <w:spacing w:after="0" w:line="210" w:lineRule="exact"/>
        <w:rPr>
          <w:rFonts w:ascii="Arial" w:cs="Arial" w:eastAsia="Arial" w:hAnsi="Arial"/>
          <w:sz w:val="18"/>
          <w:szCs w:val="18"/>
          <w:color w:val="auto"/>
        </w:rPr>
      </w:pPr>
    </w:p>
    <w:p>
      <w:pPr>
        <w:ind w:firstLine="656"/>
        <w:spacing w:after="0" w:line="277" w:lineRule="auto"/>
        <w:tabs>
          <w:tab w:leader="none" w:pos="1385"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and restating the definition of “Write-Down and Conversion Powers” in its entirety to read as follows:</w:t>
      </w:r>
    </w:p>
    <w:p>
      <w:pPr>
        <w:spacing w:after="0" w:line="170" w:lineRule="exact"/>
        <w:rPr>
          <w:sz w:val="20"/>
          <w:szCs w:val="20"/>
          <w:color w:val="auto"/>
        </w:rPr>
      </w:pPr>
    </w:p>
    <w:p>
      <w:pPr>
        <w:jc w:val="both"/>
        <w:ind w:left="660" w:right="6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8" w:lineRule="exact"/>
        <w:rPr>
          <w:sz w:val="20"/>
          <w:szCs w:val="20"/>
          <w:color w:val="auto"/>
        </w:rPr>
      </w:pPr>
    </w:p>
    <w:p>
      <w:pPr>
        <w:ind w:right="20" w:firstLine="656"/>
        <w:spacing w:after="0" w:line="277" w:lineRule="auto"/>
        <w:tabs>
          <w:tab w:leader="none" w:pos="1451"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of the Existing Credit Agreement is hereby amended by replacing the term “EEA Financial Institution” in the last sentence thereof with the term “Affected Financial Institution”.</w:t>
      </w:r>
    </w:p>
    <w:p>
      <w:pPr>
        <w:spacing w:after="0" w:line="170" w:lineRule="exact"/>
        <w:rPr>
          <w:rFonts w:ascii="Arial" w:cs="Arial" w:eastAsia="Arial" w:hAnsi="Arial"/>
          <w:sz w:val="18"/>
          <w:szCs w:val="18"/>
          <w:color w:val="auto"/>
        </w:rPr>
      </w:pPr>
    </w:p>
    <w:p>
      <w:pPr>
        <w:ind w:left="1420" w:hanging="764"/>
        <w:spacing w:after="0"/>
        <w:tabs>
          <w:tab w:leader="none" w:pos="142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Section 8.2(i)</w:t>
      </w:r>
      <w:r>
        <w:rPr>
          <w:rFonts w:ascii="Arial" w:cs="Arial" w:eastAsia="Arial" w:hAnsi="Arial"/>
          <w:sz w:val="18"/>
          <w:szCs w:val="18"/>
          <w:color w:val="auto"/>
        </w:rPr>
        <w:t xml:space="preserve"> of the Existing Credit Agreement is hereby deleted in its entirety and replaced with “[Reserved];”.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Section 8.12(e)</w:t>
      </w:r>
      <w:r>
        <w:rPr>
          <w:rFonts w:ascii="Arial" w:cs="Arial" w:eastAsia="Arial" w:hAnsi="Arial"/>
          <w:sz w:val="18"/>
          <w:szCs w:val="18"/>
          <w:color w:val="auto"/>
        </w:rPr>
        <w:t xml:space="preserve"> of the Existing Credit Agreement is hereby deleted in its entirety and replaced with “[Reserved].”</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of the Existing Credit Agreement is hereby amended by replacing the phrase “date hereof” with “Second Amendment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6"/>
          <w:szCs w:val="16"/>
          <w:color w:val="auto"/>
        </w:rPr>
      </w:pPr>
    </w:p>
    <w:p>
      <w:pPr>
        <w:ind w:left="1360" w:hanging="704"/>
        <w:spacing w:after="0"/>
        <w:tabs>
          <w:tab w:leader="none" w:pos="136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Section 9.1(t)</w:t>
      </w:r>
      <w:r>
        <w:rPr>
          <w:rFonts w:ascii="Arial" w:cs="Arial" w:eastAsia="Arial" w:hAnsi="Arial"/>
          <w:sz w:val="18"/>
          <w:szCs w:val="18"/>
          <w:color w:val="auto"/>
        </w:rPr>
        <w:t xml:space="preserve"> of the Existing Credit Agreement is hereby amended by replacing “$25,000,000” with “$100,000,000”.</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Section 9.2(c)</w:t>
      </w:r>
      <w:r>
        <w:rPr>
          <w:rFonts w:ascii="Arial" w:cs="Arial" w:eastAsia="Arial" w:hAnsi="Arial"/>
          <w:sz w:val="18"/>
          <w:szCs w:val="18"/>
          <w:color w:val="auto"/>
        </w:rPr>
        <w:t xml:space="preserve"> of the Existing Credit Agreement is hereby amended and restated in its entirety to read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left="660" w:right="640" w:firstLine="648"/>
        <w:spacing w:after="0" w:line="288" w:lineRule="auto"/>
        <w:rPr>
          <w:sz w:val="20"/>
          <w:szCs w:val="20"/>
          <w:color w:val="auto"/>
        </w:rPr>
      </w:pPr>
      <w:r>
        <w:rPr>
          <w:rFonts w:ascii="Arial" w:cs="Arial" w:eastAsia="Arial" w:hAnsi="Arial"/>
          <w:sz w:val="16"/>
          <w:szCs w:val="16"/>
          <w:color w:val="auto"/>
        </w:rPr>
        <w:t xml:space="preserve">“(c) (i) Investments by the Borrower and its Subsidiaries in their respective Subsidiaries outstanding on the Second Amendment Effective Date, (ii) additional Investments by the Borrower and its Subsidiaries in Credit Parties, (iii) additional Investments by Non-Guarantor Subsidiaries in other Non-Guarantor Subsidiaries, (iv) Investments in Non-Guarantor Subsidiaries, together with any Investments made pursuant to </w:t>
      </w:r>
      <w:r>
        <w:rPr>
          <w:rFonts w:ascii="Arial" w:cs="Arial" w:eastAsia="Arial" w:hAnsi="Arial"/>
          <w:sz w:val="16"/>
          <w:szCs w:val="16"/>
          <w:u w:val="single" w:color="auto"/>
          <w:color w:val="auto"/>
        </w:rPr>
        <w:t>Section 9.2(h)</w:t>
      </w:r>
      <w:r>
        <w:rPr>
          <w:rFonts w:ascii="Arial" w:cs="Arial" w:eastAsia="Arial" w:hAnsi="Arial"/>
          <w:sz w:val="16"/>
          <w:szCs w:val="16"/>
          <w:color w:val="auto"/>
        </w:rPr>
        <w:t xml:space="preserve">, in an aggregate outstanding amount with respect to such Investments under this clause (iv) not to exceed the greater of $100,000,000 and 10.0% of Consolidated Tangible Assets as of the most recently ended Measurement Period for which financial statements have been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(v) direct or indirect Investments in Foreign Subsidiaries to fund direct and indirect Permitted Acquisitions by such Foreign Subsidiaries in an aggregate outstanding amount with respect to such Investments under this clause (v) not to exceed the greater of $100,000,000 and 10.0% of Consolidated Tangible Assets as of the most recently ended Measurement Period for which financial statements have been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in the case of a Limited Condition Acquisition, the date determined pursuant to </w:t>
      </w:r>
      <w:r>
        <w:rPr>
          <w:rFonts w:ascii="Arial" w:cs="Arial" w:eastAsia="Arial" w:hAnsi="Arial"/>
          <w:sz w:val="16"/>
          <w:szCs w:val="16"/>
          <w:u w:val="single" w:color="auto"/>
          <w:color w:val="auto"/>
        </w:rPr>
        <w:t>Section 1.14</w:t>
      </w:r>
      <w:r>
        <w:rPr>
          <w:rFonts w:ascii="Arial" w:cs="Arial" w:eastAsia="Arial" w:hAnsi="Arial"/>
          <w:sz w:val="16"/>
          <w:szCs w:val="16"/>
          <w:color w:val="auto"/>
        </w:rPr>
        <w:t>);”</w:t>
      </w:r>
    </w:p>
    <w:p>
      <w:pPr>
        <w:spacing w:after="0" w:line="168" w:lineRule="exact"/>
        <w:rPr>
          <w:sz w:val="20"/>
          <w:szCs w:val="20"/>
          <w:color w:val="auto"/>
        </w:rPr>
      </w:pPr>
    </w:p>
    <w:p>
      <w:pPr>
        <w:ind w:left="1500" w:hanging="844"/>
        <w:spacing w:after="0"/>
        <w:tabs>
          <w:tab w:leader="none" w:pos="150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Section 9.2(f)</w:t>
      </w:r>
      <w:r>
        <w:rPr>
          <w:rFonts w:ascii="Arial" w:cs="Arial" w:eastAsia="Arial" w:hAnsi="Arial"/>
          <w:sz w:val="16"/>
          <w:szCs w:val="16"/>
          <w:color w:val="auto"/>
        </w:rPr>
        <w:t xml:space="preserve"> of the Existing Credit Agreement is hereby amended by replacing the phrase “date hereof” with “Second Amendment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6"/>
          <w:szCs w:val="16"/>
          <w:color w:val="auto"/>
        </w:rPr>
      </w:pPr>
    </w:p>
    <w:p>
      <w:pPr>
        <w:ind w:left="1380" w:hanging="724"/>
        <w:spacing w:after="0"/>
        <w:tabs>
          <w:tab w:leader="none" w:pos="138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Section 9.2(h)</w:t>
      </w:r>
      <w:r>
        <w:rPr>
          <w:rFonts w:ascii="Arial" w:cs="Arial" w:eastAsia="Arial" w:hAnsi="Arial"/>
          <w:sz w:val="18"/>
          <w:szCs w:val="18"/>
          <w:color w:val="auto"/>
        </w:rPr>
        <w:t xml:space="preserve"> of the Existing Credit Agreement is hereby amended by replacing “$25,000,000” with “$100,000,000”.</w:t>
      </w:r>
    </w:p>
    <w:p>
      <w:pPr>
        <w:spacing w:after="0" w:line="225" w:lineRule="exact"/>
        <w:rPr>
          <w:rFonts w:ascii="Arial" w:cs="Arial" w:eastAsia="Arial" w:hAnsi="Arial"/>
          <w:sz w:val="18"/>
          <w:szCs w:val="18"/>
          <w:color w:val="auto"/>
        </w:rPr>
      </w:pPr>
    </w:p>
    <w:p>
      <w:pPr>
        <w:ind w:left="1480" w:hanging="824"/>
        <w:spacing w:after="0"/>
        <w:tabs>
          <w:tab w:leader="none" w:pos="148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of the Existing Credit Agreement is hereby amended by replacing the phrase “date hereof” with “Second Amendment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6"/>
          <w:szCs w:val="16"/>
          <w:color w:val="auto"/>
        </w:rPr>
      </w:pPr>
    </w:p>
    <w:p>
      <w:pPr>
        <w:jc w:val="both"/>
        <w:ind w:firstLine="656"/>
        <w:spacing w:after="0" w:line="263" w:lineRule="auto"/>
        <w:tabs>
          <w:tab w:leader="none" w:pos="1371"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the Existing Credit Agreement is hereby amended by (i) deleting the word “and” at the end of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(ii) replacing the “.” at the end of </w:t>
      </w:r>
      <w:r>
        <w:rPr>
          <w:rFonts w:ascii="Arial" w:cs="Arial" w:eastAsia="Arial" w:hAnsi="Arial"/>
          <w:sz w:val="18"/>
          <w:szCs w:val="18"/>
          <w:u w:val="single" w:color="auto"/>
          <w:color w:val="auto"/>
        </w:rPr>
        <w:t>clause (w)</w:t>
      </w:r>
      <w:r>
        <w:rPr>
          <w:rFonts w:ascii="Arial" w:cs="Arial" w:eastAsia="Arial" w:hAnsi="Arial"/>
          <w:sz w:val="18"/>
          <w:szCs w:val="18"/>
          <w:color w:val="auto"/>
        </w:rPr>
        <w:t xml:space="preserve"> with “; and” and (iii) adding a new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to read as follows and such amendment shall be deemed effective immediately prior to the incurrence of the Indebtedness of the Credit Parties under the 2028 Senior Notes:</w:t>
      </w:r>
    </w:p>
    <w:p>
      <w:pPr>
        <w:spacing w:after="0" w:line="184" w:lineRule="exact"/>
        <w:rPr>
          <w:sz w:val="20"/>
          <w:szCs w:val="20"/>
          <w:color w:val="auto"/>
        </w:rPr>
      </w:pPr>
    </w:p>
    <w:p>
      <w:pPr>
        <w:jc w:val="both"/>
        <w:ind w:left="660" w:right="660" w:firstLine="648"/>
        <w:spacing w:after="0" w:line="286" w:lineRule="auto"/>
        <w:rPr>
          <w:sz w:val="20"/>
          <w:szCs w:val="20"/>
          <w:color w:val="auto"/>
        </w:rPr>
      </w:pPr>
      <w:r>
        <w:rPr>
          <w:rFonts w:ascii="Arial" w:cs="Arial" w:eastAsia="Arial" w:hAnsi="Arial"/>
          <w:sz w:val="16"/>
          <w:szCs w:val="16"/>
          <w:color w:val="auto"/>
        </w:rPr>
        <w:t xml:space="preserve">“(x) Indebtedness of the Credit Parties under the 2028 Senior Notes in an aggregate outstanding principal amount not to exceed $450,000,000 at any time and any refinancings, refundings,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unless otherwise permitted under Section 9.3(h) at the time of such refinancing, refunding, renewal or extension, the principal amount (excluding interest paid in kind) of such Indebtedness shall not exceed the principal amount of the Indebtedness being refinanced, refunded, renewed or extended, plus accrued interest and premiums and defeasance costs, fees, commissions and expenses associated with such refinancing, refunding, renewal or extension, (ii) no obligors, other than any direct or any contingent obligor with respect to such Indebtedness or any obligor that would have been required to become an obligor with respect to the Indebtedness being refinanced, refunded, renewed or extended, shall be an obligor under such refinancing, refunding, renewal or extension, (iii) the final maturity date of such refinancing, refunding, renewal or extension, at the time of incurrence thereof, shall not be prior to the date that is 91 days after the then latest Revolving Credit Maturity Date or maturity date of any Incremental Term Loan, as applicable, and (iv) the material terms (other than fees, interest rate, rate floors, premiums, optional prepayment, redemption provisions and conversion price), taken as a whole, of any such refinancing, refunding, renewing or extending Indebtedness are not more restrictive (as determined by the Borrower in good faith) in any material respect to the Credit Parties than the terms of any agreement or instrument governing the Indebtedness, taken as a whole, being refinanced, refunded, renewed or extended and the interest rate applicable to any such refinancing, refunding, renewing or extending Indebtedness does not exceed the then-applicable market interest rate, as determined by the Borrower in good faith.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ind w:right="20" w:firstLine="656"/>
        <w:spacing w:after="0" w:line="277" w:lineRule="auto"/>
        <w:tabs>
          <w:tab w:leader="none" w:pos="142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the Existing Credit Agreement is hereby further amended by amending the last paragraph of such Section to replace the reference to “clauses (f), (g), (i), (l), (p) and (s) above” with “clauses (f), (g), (i), (l), (p)</w:t>
      </w:r>
      <w:r>
        <w:rPr>
          <w:rFonts w:ascii="Arial" w:cs="Arial" w:eastAsia="Arial" w:hAnsi="Arial"/>
          <w:sz w:val="18"/>
          <w:szCs w:val="18"/>
          <w:color w:val="0000FF"/>
        </w:rPr>
        <w:t>,</w:t>
      </w:r>
      <w:r>
        <w:rPr>
          <w:rFonts w:ascii="Arial" w:cs="Arial" w:eastAsia="Arial" w:hAnsi="Arial"/>
          <w:sz w:val="18"/>
          <w:szCs w:val="18"/>
          <w:color w:val="auto"/>
        </w:rPr>
        <w:t xml:space="preserve"> (s) and (x) above”.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The first two paragraphs of </w:t>
      </w:r>
      <w:r>
        <w:rPr>
          <w:rFonts w:ascii="Arial" w:cs="Arial" w:eastAsia="Arial" w:hAnsi="Arial"/>
          <w:sz w:val="16"/>
          <w:szCs w:val="16"/>
          <w:u w:val="single" w:color="auto"/>
          <w:color w:val="auto"/>
        </w:rPr>
        <w:t>Section 9.11(b)</w:t>
      </w:r>
      <w:r>
        <w:rPr>
          <w:rFonts w:ascii="Arial" w:cs="Arial" w:eastAsia="Arial" w:hAnsi="Arial"/>
          <w:sz w:val="16"/>
          <w:szCs w:val="16"/>
          <w:color w:val="auto"/>
        </w:rPr>
        <w:t xml:space="preserve"> of the Existing Credit Agreement are hereby amended and restated in their entirety to read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660" w:right="640" w:firstLine="648"/>
        <w:spacing w:after="0" w:line="268"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Consolidated Net Leverage Ratio</w:t>
      </w:r>
      <w:r>
        <w:rPr>
          <w:rFonts w:ascii="Arial" w:cs="Arial" w:eastAsia="Arial" w:hAnsi="Arial"/>
          <w:sz w:val="17"/>
          <w:szCs w:val="17"/>
          <w:color w:val="auto"/>
        </w:rPr>
        <w:t xml:space="preserve">. Permit the Consolidated Net Leverage Ratio as of the last day of any Measurement Period of the Borrower to be greater than 4.50 to 1.00. Notwithstanding the foregoing, in connection with any Permitted Acquisition after September 30, 2019 having aggregate consideration (including cash, Cash Equivalents and other deferred payment obligations) in excess of $75,000,000, the Borrower may, at its election, in connection with such Permitted Acquisition and upon prior written notice to the Administrative Agent, increase the required Consolidated Net Leverage Ratio pursuant to this Section to 5.00 to 1.00, which such increase shall be applicable (i) with respect to a Permitted Acquisition that is not a Limited Condition Acquisition, for the fiscal quarter in which such Permitted Acquisition is consummated and the three (3) consecutive quarterly test periods thereafter or (ii) with respect to a Permitted Acquisition that is a Limited Condition Acquisition, for purposes of determining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compliance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9.11(b)</w:t>
      </w:r>
      <w:r>
        <w:rPr>
          <w:rFonts w:ascii="Arial" w:cs="Arial" w:eastAsia="Arial" w:hAnsi="Arial"/>
          <w:sz w:val="17"/>
          <w:szCs w:val="17"/>
          <w:color w:val="auto"/>
        </w:rPr>
        <w:t xml:space="preserve"> at the time definitive purchase agreement, merger agreement or other acquisition agreement governing the Permitted Acquisition is executed, for the fiscal quarter in which such Permitted Acquisition is consummated and for the three (3) consecutive quarterly test periods after which such Permitted Acquisition is consummated (each, a “</w:t>
      </w:r>
      <w:r>
        <w:rPr>
          <w:rFonts w:ascii="Arial" w:cs="Arial" w:eastAsia="Arial" w:hAnsi="Arial"/>
          <w:sz w:val="17"/>
          <w:szCs w:val="17"/>
          <w:u w:val="single" w:color="auto"/>
          <w:color w:val="auto"/>
        </w:rPr>
        <w:t>Leverage Ratio Increase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be at least one full fiscal quarter following the cessation of each such Leverage Ratio Increase during which no Leverage Ratio Increase shall then be in effect.”</w:t>
      </w:r>
    </w:p>
    <w:p>
      <w:pPr>
        <w:spacing w:after="0" w:line="186" w:lineRule="exact"/>
        <w:rPr>
          <w:sz w:val="20"/>
          <w:szCs w:val="20"/>
          <w:color w:val="auto"/>
        </w:rPr>
      </w:pPr>
    </w:p>
    <w:p>
      <w:pPr>
        <w:ind w:right="20" w:firstLine="656"/>
        <w:spacing w:after="0" w:line="277" w:lineRule="auto"/>
        <w:tabs>
          <w:tab w:leader="none" w:pos="1361"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of the Existing Credit Agreement is hereby amended by (i) replacing the third “or” in the first sentence of such section with “,” and (ii) adding the phrase “or the 2028 Senior Notes” after the phrase “the Convertible Senior Notes”.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501"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Section 9.14(c)</w:t>
      </w:r>
      <w:r>
        <w:rPr>
          <w:rFonts w:ascii="Arial" w:cs="Arial" w:eastAsia="Arial" w:hAnsi="Arial"/>
          <w:sz w:val="17"/>
          <w:szCs w:val="17"/>
          <w:color w:val="auto"/>
        </w:rPr>
        <w:t xml:space="preserve"> of the Existing Credit Agreement is hereby amended by (i) adding the phrase “and the 2028 Senior Notes” after the phrase “Convertible Senior Notes” and (ii) adding the phrase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2028 Senior Notes such determination may be made at the time of the delivery of a notice thereof under the indenture governing the 2028 Senior Notes” immediately prior to the semi-colon.</w:t>
      </w:r>
    </w:p>
    <w:p>
      <w:pPr>
        <w:spacing w:after="0" w:line="165" w:lineRule="exact"/>
        <w:rPr>
          <w:rFonts w:ascii="Arial" w:cs="Arial" w:eastAsia="Arial" w:hAnsi="Arial"/>
          <w:sz w:val="17"/>
          <w:szCs w:val="17"/>
          <w:color w:val="auto"/>
        </w:rPr>
      </w:pPr>
    </w:p>
    <w:p>
      <w:pPr>
        <w:ind w:firstLine="656"/>
        <w:spacing w:after="0" w:line="277" w:lineRule="auto"/>
        <w:tabs>
          <w:tab w:leader="none" w:pos="142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of the Existing Credit Agreement is hereby amended by (i) deleting the word “and” at the end of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(ii) replacing the “.” at the end of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with “;” and (iii) adding new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to read as follows:</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“(g) the Borrower and its Subsidiaries may make scheduled payments of interest and payments of expenses and indemnities with respect to the 2028 Senior Notes; and</w:t>
      </w:r>
    </w:p>
    <w:p>
      <w:pPr>
        <w:spacing w:after="0" w:line="170" w:lineRule="exact"/>
        <w:rPr>
          <w:sz w:val="20"/>
          <w:szCs w:val="20"/>
          <w:color w:val="auto"/>
        </w:rPr>
      </w:pPr>
    </w:p>
    <w:p>
      <w:pPr>
        <w:jc w:val="both"/>
        <w:ind w:left="660" w:firstLine="644"/>
        <w:spacing w:after="0" w:line="263" w:lineRule="auto"/>
        <w:tabs>
          <w:tab w:leader="none" w:pos="1854"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Borrower and any of its Subsidiaries may make any payments of any Subject Indebtedness in the minimum amount necessary to ensure that such Subject Indebtedness shall not constitute an “applicable high yield discount obligation” within the meaning of Section 163(i) of the Code or any successor provision.”</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Section 10.1(n)</w:t>
      </w:r>
      <w:r>
        <w:rPr>
          <w:rFonts w:ascii="Arial" w:cs="Arial" w:eastAsia="Arial" w:hAnsi="Arial"/>
          <w:sz w:val="18"/>
          <w:szCs w:val="18"/>
          <w:color w:val="auto"/>
        </w:rPr>
        <w:t xml:space="preserve"> of the Existing Credit Agreement is hereby amended and restated in its entirety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left="640" w:right="640" w:firstLine="648"/>
        <w:spacing w:after="0" w:line="268" w:lineRule="auto"/>
        <w:rPr>
          <w:sz w:val="20"/>
          <w:szCs w:val="20"/>
          <w:color w:val="auto"/>
        </w:rPr>
      </w:pPr>
      <w:r>
        <w:rPr>
          <w:rFonts w:ascii="Arial" w:cs="Arial" w:eastAsia="Arial" w:hAnsi="Arial"/>
          <w:sz w:val="17"/>
          <w:szCs w:val="17"/>
          <w:color w:val="auto"/>
        </w:rPr>
        <w:t xml:space="preserve">“(n) </w:t>
      </w:r>
      <w:r>
        <w:rPr>
          <w:rFonts w:ascii="Arial" w:cs="Arial" w:eastAsia="Arial" w:hAnsi="Arial"/>
          <w:sz w:val="17"/>
          <w:szCs w:val="17"/>
          <w:u w:val="single" w:color="auto"/>
          <w:color w:val="auto"/>
        </w:rPr>
        <w:t>BioThrax/AV7909</w:t>
      </w:r>
      <w:r>
        <w:rPr>
          <w:rFonts w:ascii="Arial" w:cs="Arial" w:eastAsia="Arial" w:hAnsi="Arial"/>
          <w:sz w:val="17"/>
          <w:szCs w:val="17"/>
          <w:color w:val="auto"/>
        </w:rPr>
        <w:t xml:space="preserve">. The termination or expiration of, or the receipt of any notice by the Borrower or any Subsidiary to terminate, any Material Contract of the Borrower or any Subsidiary for the sale of BioThrax or AV7909 to any Governmental Authority of the Federal Government of the United States, to the extent a reasonably suitable replacement contract (in the reasonable judgment of the Borrower in good faith) with a Governmental Authority is not entered into by the Borrower or such Subsidiary within thirty (30) days after such termination or expiration of, or receipt of notice to terminate, such Material Contract or, if on the termination of such 30-day period, the parties to such Material Contract are engaging in active negotiations to extend or replace such Material Contract (as determined by the Borrower in good faith), within ninety (90) days after such termination or expiration of, or receipt of notice to terminate, such Material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AV7909 shall be deemed to be a reasonably suitable replacement for BioThrax to the extent that AV7909 has either obtained (x) full FDA approval or (y) FDA emergency use authorization pursuant to Section 564 of the FFDCA;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Event of Default under this </w:t>
      </w:r>
      <w:r>
        <w:rPr>
          <w:rFonts w:ascii="Arial" w:cs="Arial" w:eastAsia="Arial" w:hAnsi="Arial"/>
          <w:sz w:val="17"/>
          <w:szCs w:val="17"/>
          <w:u w:val="single" w:color="auto"/>
          <w:color w:val="auto"/>
        </w:rPr>
        <w:t>Section 10.1(n)</w:t>
      </w:r>
      <w:r>
        <w:rPr>
          <w:rFonts w:ascii="Arial" w:cs="Arial" w:eastAsia="Arial" w:hAnsi="Arial"/>
          <w:sz w:val="17"/>
          <w:szCs w:val="17"/>
          <w:color w:val="auto"/>
        </w:rPr>
        <w:t xml:space="preserve"> shall be deemed to have occurred to the extent that the Borrower is in compliance with the financial covenants set forth in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as of the last day of the most recently ended Measurement Period prior to such termination or expiration for which financial statements have been delivered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after giving pro forma effect, as if such termination or expiration occurred on the first day of such Measurement Period, to the loss of Consolidated EBITDA attributable to such terminated or expired Material Contract(s), including income statement items attributable to such Material Contract or the products subject thereto, as determined by the Borrower in good faith and believed by the Borrower to be reasonable; or”</w:t>
      </w:r>
    </w:p>
    <w:p>
      <w:pPr>
        <w:spacing w:after="0" w:line="180" w:lineRule="exact"/>
        <w:rPr>
          <w:sz w:val="20"/>
          <w:szCs w:val="20"/>
          <w:color w:val="auto"/>
        </w:rPr>
      </w:pPr>
    </w:p>
    <w:p>
      <w:pPr>
        <w:ind w:left="1360" w:hanging="724"/>
        <w:spacing w:after="0"/>
        <w:tabs>
          <w:tab w:leader="none" w:pos="136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Section 10.1(p)</w:t>
      </w:r>
      <w:r>
        <w:rPr>
          <w:rFonts w:ascii="Arial" w:cs="Arial" w:eastAsia="Arial" w:hAnsi="Arial"/>
          <w:sz w:val="18"/>
          <w:szCs w:val="18"/>
          <w:color w:val="auto"/>
        </w:rPr>
        <w:t xml:space="preserve"> of the Existing Credit Agreement is hereby deleted in its entirety and replaced with “[Reserved].”</w:t>
      </w:r>
    </w:p>
    <w:p>
      <w:pPr>
        <w:spacing w:after="0" w:line="225" w:lineRule="exact"/>
        <w:rPr>
          <w:rFonts w:ascii="Arial" w:cs="Arial" w:eastAsia="Arial" w:hAnsi="Arial"/>
          <w:sz w:val="18"/>
          <w:szCs w:val="18"/>
          <w:color w:val="auto"/>
        </w:rPr>
      </w:pPr>
    </w:p>
    <w:p>
      <w:pPr>
        <w:ind w:left="-20" w:firstLine="656"/>
        <w:spacing w:after="0" w:line="277" w:lineRule="auto"/>
        <w:tabs>
          <w:tab w:leader="none" w:pos="1333"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of the Existing Credit Agreement is hereby amended by amending and restating the Administrative Agent’s “With copies to” address to read as follows: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2030 Main Street, 8th Floor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MAC: E2231-081</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Irvine, CA 92614</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of: Sara Barton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 No.: (949) 358-6116</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No.: (949) 251-6000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sara.r.barton@wellsfargo.com</w:t>
      </w:r>
    </w:p>
    <w:p>
      <w:pPr>
        <w:spacing w:after="0" w:line="211" w:lineRule="exact"/>
        <w:rPr>
          <w:sz w:val="20"/>
          <w:szCs w:val="20"/>
          <w:color w:val="auto"/>
        </w:rPr>
      </w:pPr>
    </w:p>
    <w:p>
      <w:pPr>
        <w:jc w:val="both"/>
        <w:ind w:left="-20" w:firstLine="656"/>
        <w:spacing w:after="0" w:line="263" w:lineRule="auto"/>
        <w:tabs>
          <w:tab w:leader="none" w:pos="1506"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Section 12.23</w:t>
      </w:r>
      <w:r>
        <w:rPr>
          <w:rFonts w:ascii="Arial" w:cs="Arial" w:eastAsia="Arial" w:hAnsi="Arial"/>
          <w:sz w:val="18"/>
          <w:szCs w:val="18"/>
          <w:color w:val="auto"/>
        </w:rPr>
        <w:t xml:space="preserve"> of the Existing Credit Agreement is hereby amended and restated in its entirety to read as follows and in connection therewith, the table of contents is hereby amended to replace the reference to “SECTION 12.23 Acknowledgement and Consent to Bail-In of EEA Financial Institutions” with “SECTION 12.23 Acknowledgement and Consent to Bail-In of Affected Financial Institutions”:</w:t>
      </w:r>
    </w:p>
    <w:p>
      <w:pPr>
        <w:spacing w:after="0" w:line="184" w:lineRule="exact"/>
        <w:rPr>
          <w:sz w:val="20"/>
          <w:szCs w:val="20"/>
          <w:color w:val="auto"/>
        </w:rPr>
      </w:pPr>
    </w:p>
    <w:p>
      <w:pPr>
        <w:jc w:val="both"/>
        <w:ind w:left="640" w:right="660" w:firstLine="648"/>
        <w:spacing w:after="0" w:line="257" w:lineRule="auto"/>
        <w:rPr>
          <w:sz w:val="20"/>
          <w:szCs w:val="20"/>
          <w:color w:val="auto"/>
        </w:rPr>
      </w:pPr>
      <w:r>
        <w:rPr>
          <w:rFonts w:ascii="Arial" w:cs="Arial" w:eastAsia="Arial" w:hAnsi="Arial"/>
          <w:sz w:val="18"/>
          <w:szCs w:val="18"/>
          <w:color w:val="auto"/>
        </w:rPr>
        <w:t xml:space="preserve">“SECTION 12.23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4" w:name="page185"/>
    <w:bookmarkEnd w:id="184"/>
    <w:p>
      <w:pPr>
        <w:ind w:left="660" w:right="660" w:firstLine="644"/>
        <w:spacing w:after="0" w:line="308" w:lineRule="auto"/>
        <w:tabs>
          <w:tab w:leader="none" w:pos="243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6" w:lineRule="exact"/>
        <w:rPr>
          <w:rFonts w:ascii="Arial" w:cs="Arial" w:eastAsia="Arial" w:hAnsi="Arial"/>
          <w:sz w:val="17"/>
          <w:szCs w:val="17"/>
          <w:color w:val="auto"/>
        </w:rPr>
      </w:pPr>
    </w:p>
    <w:p>
      <w:pPr>
        <w:ind w:left="2240" w:hanging="936"/>
        <w:spacing w:after="0"/>
        <w:tabs>
          <w:tab w:leader="none" w:pos="22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880" w:hanging="928"/>
        <w:spacing w:after="0"/>
        <w:tabs>
          <w:tab w:leader="none" w:pos="2880" w:val="left"/>
        </w:tabs>
        <w:numPr>
          <w:ilvl w:val="2"/>
          <w:numId w:val="27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1300" w:right="660" w:firstLine="652"/>
        <w:spacing w:after="0" w:line="259" w:lineRule="auto"/>
        <w:tabs>
          <w:tab w:leader="none" w:pos="3018" w:val="left"/>
        </w:tabs>
        <w:numPr>
          <w:ilvl w:val="2"/>
          <w:numId w:val="27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right="660" w:firstLine="652"/>
        <w:spacing w:after="0" w:line="277" w:lineRule="auto"/>
        <w:tabs>
          <w:tab w:leader="none" w:pos="3154" w:val="left"/>
        </w:tabs>
        <w:numPr>
          <w:ilvl w:val="2"/>
          <w:numId w:val="27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62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Existing Credit Agreement is hereby further amended by (i) replacing all remaining references therein to “</w:t>
      </w:r>
      <w:r>
        <w:rPr>
          <w:rFonts w:ascii="Arial" w:cs="Arial" w:eastAsia="Arial" w:hAnsi="Arial"/>
          <w:sz w:val="18"/>
          <w:szCs w:val="18"/>
          <w:u w:val="single" w:color="auto"/>
          <w:color w:val="auto"/>
        </w:rPr>
        <w:t>NuThrax</w:t>
      </w:r>
      <w:r>
        <w:rPr>
          <w:rFonts w:ascii="Arial" w:cs="Arial" w:eastAsia="Arial" w:hAnsi="Arial"/>
          <w:sz w:val="18"/>
          <w:szCs w:val="18"/>
          <w:color w:val="auto"/>
        </w:rPr>
        <w:t>” with “</w:t>
      </w:r>
      <w:r>
        <w:rPr>
          <w:rFonts w:ascii="Arial" w:cs="Arial" w:eastAsia="Arial" w:hAnsi="Arial"/>
          <w:sz w:val="18"/>
          <w:szCs w:val="18"/>
          <w:u w:val="single" w:color="auto"/>
          <w:color w:val="auto"/>
        </w:rPr>
        <w:t>AV7909</w:t>
      </w:r>
      <w:r>
        <w:rPr>
          <w:rFonts w:ascii="Arial" w:cs="Arial" w:eastAsia="Arial" w:hAnsi="Arial"/>
          <w:sz w:val="18"/>
          <w:szCs w:val="18"/>
          <w:color w:val="auto"/>
        </w:rPr>
        <w:t>”, (ii) replacing all remaining references therein to “</w:t>
      </w:r>
      <w:r>
        <w:rPr>
          <w:rFonts w:ascii="Arial" w:cs="Arial" w:eastAsia="Arial" w:hAnsi="Arial"/>
          <w:sz w:val="18"/>
          <w:szCs w:val="18"/>
          <w:u w:val="single" w:color="auto"/>
          <w:color w:val="auto"/>
        </w:rPr>
        <w:t>NuThrax Contract</w:t>
      </w:r>
      <w:r>
        <w:rPr>
          <w:rFonts w:ascii="Arial" w:cs="Arial" w:eastAsia="Arial" w:hAnsi="Arial"/>
          <w:sz w:val="18"/>
          <w:szCs w:val="18"/>
          <w:color w:val="auto"/>
        </w:rPr>
        <w:t>” with “</w:t>
      </w:r>
      <w:r>
        <w:rPr>
          <w:rFonts w:ascii="Arial" w:cs="Arial" w:eastAsia="Arial" w:hAnsi="Arial"/>
          <w:sz w:val="18"/>
          <w:szCs w:val="18"/>
          <w:u w:val="single" w:color="auto"/>
          <w:color w:val="auto"/>
        </w:rPr>
        <w:t>AV7909 Contract</w:t>
      </w:r>
      <w:r>
        <w:rPr>
          <w:rFonts w:ascii="Arial" w:cs="Arial" w:eastAsia="Arial" w:hAnsi="Arial"/>
          <w:sz w:val="18"/>
          <w:szCs w:val="18"/>
          <w:color w:val="auto"/>
        </w:rPr>
        <w:t>” and (iii) replacing all remaining references therein to “</w:t>
      </w:r>
      <w:r>
        <w:rPr>
          <w:rFonts w:ascii="Arial" w:cs="Arial" w:eastAsia="Arial" w:hAnsi="Arial"/>
          <w:sz w:val="18"/>
          <w:szCs w:val="18"/>
          <w:u w:val="single" w:color="auto"/>
          <w:color w:val="auto"/>
        </w:rPr>
        <w:t>NuThrax Receivables Account</w:t>
      </w:r>
      <w:r>
        <w:rPr>
          <w:rFonts w:ascii="Arial" w:cs="Arial" w:eastAsia="Arial" w:hAnsi="Arial"/>
          <w:sz w:val="18"/>
          <w:szCs w:val="18"/>
          <w:color w:val="auto"/>
        </w:rPr>
        <w:t>” with “</w:t>
      </w:r>
      <w:r>
        <w:rPr>
          <w:rFonts w:ascii="Arial" w:cs="Arial" w:eastAsia="Arial" w:hAnsi="Arial"/>
          <w:sz w:val="18"/>
          <w:szCs w:val="18"/>
          <w:u w:val="single" w:color="auto"/>
          <w:color w:val="auto"/>
        </w:rPr>
        <w:t>AV7909 Receivables Account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656"/>
        <w:spacing w:after="0" w:line="277" w:lineRule="auto"/>
        <w:tabs>
          <w:tab w:leader="none" w:pos="1467"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Schedules 7.8(b)</w:t>
      </w:r>
      <w:r>
        <w:rPr>
          <w:rFonts w:ascii="Arial" w:cs="Arial" w:eastAsia="Arial" w:hAnsi="Arial"/>
          <w:sz w:val="18"/>
          <w:szCs w:val="18"/>
          <w:color w:val="auto"/>
        </w:rPr>
        <w:t xml:space="preserve">, </w:t>
      </w:r>
      <w:r>
        <w:rPr>
          <w:rFonts w:ascii="Arial" w:cs="Arial" w:eastAsia="Arial" w:hAnsi="Arial"/>
          <w:sz w:val="18"/>
          <w:szCs w:val="18"/>
          <w:u w:val="single" w:color="auto"/>
          <w:color w:val="auto"/>
        </w:rPr>
        <w:t>7.8(d)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to the Existing Credit Agreement are hereby amended and restated in their entirety with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7.8(b)</w:t>
      </w:r>
      <w:r>
        <w:rPr>
          <w:rFonts w:ascii="Arial" w:cs="Arial" w:eastAsia="Arial" w:hAnsi="Arial"/>
          <w:sz w:val="18"/>
          <w:szCs w:val="18"/>
          <w:color w:val="auto"/>
        </w:rPr>
        <w:t xml:space="preserve">, </w:t>
      </w:r>
      <w:r>
        <w:rPr>
          <w:rFonts w:ascii="Arial" w:cs="Arial" w:eastAsia="Arial" w:hAnsi="Arial"/>
          <w:sz w:val="18"/>
          <w:szCs w:val="18"/>
          <w:u w:val="single" w:color="auto"/>
          <w:color w:val="auto"/>
        </w:rPr>
        <w:t>7.8(d)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of Effectiveness of Amendment</w:t>
      </w:r>
      <w:r>
        <w:rPr>
          <w:rFonts w:ascii="Arial" w:cs="Arial" w:eastAsia="Arial" w:hAnsi="Arial"/>
          <w:sz w:val="18"/>
          <w:szCs w:val="18"/>
          <w:color w:val="auto"/>
        </w:rPr>
        <w:t xml:space="preserve">. This Amendment, and the amendments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shall become effective on the date when the following conditions shall have been satisfied or waived (such date,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170" w:lineRule="exact"/>
        <w:rPr>
          <w:sz w:val="20"/>
          <w:szCs w:val="20"/>
          <w:color w:val="auto"/>
        </w:rPr>
      </w:pPr>
    </w:p>
    <w:p>
      <w:pPr>
        <w:ind w:firstLine="656"/>
        <w:spacing w:after="0" w:line="277" w:lineRule="auto"/>
        <w:tabs>
          <w:tab w:leader="none" w:pos="138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Administrative Agent shall have received this Amendment, duly executed by a Responsible Officer of the Borrower, the Guarantors existing as of the Amendment Effective Date and the Required Lenders;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Administrative Agent shall have received evidence of the substantially contemporaneous funding of the 2028 Senior Notes; and</w:t>
      </w:r>
    </w:p>
    <w:p>
      <w:pPr>
        <w:spacing w:after="0" w:line="236" w:lineRule="exact"/>
        <w:rPr>
          <w:rFonts w:ascii="Arial" w:cs="Arial" w:eastAsia="Arial" w:hAnsi="Arial"/>
          <w:sz w:val="17"/>
          <w:szCs w:val="17"/>
          <w:color w:val="auto"/>
        </w:rPr>
      </w:pPr>
    </w:p>
    <w:p>
      <w:pPr>
        <w:ind w:right="20" w:firstLine="656"/>
        <w:spacing w:after="0" w:line="277" w:lineRule="auto"/>
        <w:tabs>
          <w:tab w:leader="none" w:pos="153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and Wells Fargo Securities, LLC all fees with respect to this Amendment previously agreed to between the Borrower and Wells Fargo Securities, LLC.</w:t>
      </w:r>
    </w:p>
    <w:p>
      <w:pPr>
        <w:spacing w:after="0" w:line="170"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the Administrative Agent and the Lenders to enter into this Amendment, each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Credit Party represents and warrants to the Administrative Agent and the Lenders on and as of the Amendment Effective Date that, in each case: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both"/>
        <w:ind w:firstLine="656"/>
        <w:spacing w:after="0" w:line="275" w:lineRule="auto"/>
        <w:tabs>
          <w:tab w:leader="none" w:pos="135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each Credit Party set forth in the Credit Agreement and in each other Loan Document to which it is a party are true and correct in all material respects on and as of the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76" w:lineRule="exact"/>
        <w:rPr>
          <w:rFonts w:ascii="Arial" w:cs="Arial" w:eastAsia="Arial" w:hAnsi="Arial"/>
          <w:sz w:val="17"/>
          <w:szCs w:val="17"/>
          <w:color w:val="auto"/>
        </w:rPr>
      </w:pPr>
    </w:p>
    <w:p>
      <w:pPr>
        <w:ind w:left="1360" w:hanging="704"/>
        <w:spacing w:after="0"/>
        <w:tabs>
          <w:tab w:leader="none" w:pos="13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4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it has all requisite power and authority and has taken all necessary corporate and other action to authorize the execution, delivery and performance of this Amendment and each other document executed in connection herewith to which it is a party in accordance with their respective terms and the transactions contemplated hereby; and</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48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this Amendment has been duly executed and delivered by the duly authorized officers of each Credit Party, and each such document constitutes the legal, valid and binding obligation of each such Credit Party, enforceable in accordance with its terms, subject to applicable bankruptcy, insolvency, reorganization, moratorium or other laws affecting creditors’ rights generally and subject to general principals of equity.</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Reference to and Effect on the Credit Agreement and the Loan Documents</w:t>
      </w:r>
      <w:r>
        <w:rPr>
          <w:rFonts w:ascii="Arial" w:cs="Arial" w:eastAsia="Arial" w:hAnsi="Arial"/>
          <w:sz w:val="16"/>
          <w:szCs w:val="16"/>
          <w:color w:val="auto"/>
        </w:rPr>
        <w:t>. Except as expressly provided herein, the Existing Credit Agreement and the other Loan Documents shall remain unmodified and in full force and effect. This Amendment shall not be deemed (a) to be a waiver of, or consent to, or a modification or amendment of, any other term or condition of the Existing Credit Agreement or any other Loan Document other than as expressly set forth herein, (b) to prejudice any right or rights which the Administrative Agent or the Lenders may now have or may have in the future under or in connection with the Existing Credit Agreement or the other Loan Documents or any of the instruments or agreements referred to therein, as the same may be amended, restated, supplemented or modified from time to time, or (c) to be a commitment or any other undertaking or expression of any willingness to engage in any further discussion with the Borrower, any of its Subsidiaries or any other Person with respect to any other waiver, amendment, modification or any other change to the Existing Credit Agreement or the Loan Documents or any rights or remedies arising in favor of the Lenders or the Administrative Agent, or any of them, under or with respect to any such documents. References in the Credit Agreement to “this Agreement” (and indirect references such as “hereunder”, “hereby”, “herein”, “hereof” or other words of like import) and in any Loan Document to the “Credit Agreement” shall be deemed to be references to the Existing Credit Agreement as modified hereby.</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Credit Party agrees to, to the extent required by the Loan Documents, make, execute and deliver all such additional and further acts, things, deeds, instruments and documents as the Administrative Agent may reasonably require for the purposes of implementing or effectuating the provisions of this Amendment and the other Loan Documents.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Acknowledgement and Reaffirmation</w:t>
      </w:r>
      <w:r>
        <w:rPr>
          <w:rFonts w:ascii="Arial" w:cs="Arial" w:eastAsia="Arial" w:hAnsi="Arial"/>
          <w:sz w:val="17"/>
          <w:szCs w:val="17"/>
          <w:color w:val="auto"/>
        </w:rPr>
        <w:t>. Each Credit Party (a) consents to this Amendment and agrees that the transactions contemplated by this Amendment shall not limit or diminish the obligations of such Person under, or release such Person from any obligations under, any of the Loan Documents to which it is a party (as amended pursuant to this Amendment), (b) confirms and reaffirms its obligations under each of the Loan Documents to which it is a party (as amended pursuant to this Amendment) and (c) agrees that each of the Loan Documents to which it is a party (as amended pursuant to this Amendment) remains in full force and effect and is hereby ratified and confirmed.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firstLine="648"/>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hereby reconfirms its obligations pursuant to </w:t>
      </w:r>
      <w:r>
        <w:rPr>
          <w:rFonts w:ascii="Arial" w:cs="Arial" w:eastAsia="Arial" w:hAnsi="Arial"/>
          <w:sz w:val="18"/>
          <w:szCs w:val="18"/>
          <w:u w:val="single" w:color="auto"/>
          <w:color w:val="auto"/>
        </w:rPr>
        <w:t>Section 12.3(a)</w:t>
      </w:r>
      <w:r>
        <w:rPr>
          <w:rFonts w:ascii="Arial" w:cs="Arial" w:eastAsia="Arial" w:hAnsi="Arial"/>
          <w:sz w:val="18"/>
          <w:szCs w:val="18"/>
          <w:color w:val="auto"/>
        </w:rPr>
        <w:t xml:space="preserve"> of the Credit Agreement to pay and reimburse the Administrative Agent in accordance with the terms thereof.</w:t>
      </w:r>
    </w:p>
    <w:p>
      <w:pPr>
        <w:spacing w:after="0" w:line="170"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LAWS OF THE STATE OF NEW YORK, INCLUDING SECTIONS 5-1401 AND 5-1402 OF THE NEW YORK GENERAL OBLIGATIONS LAW.</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the different parties hereto on separate counterparts, each of which counterparts when executed and delivered shall be an original, but all of which shall together constitute one and the same instrument. Delivery by facsimile or electronic transmission of an executed counterpart of a signature page to this Amendment shall be effective as delivery of an original executed counterpart of this Amendment.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is the entire agreement, and supersedes any prior agreements and contemporaneous oral agreements, of the parties concerning its subject matter. This Amendment is a Loan Document and is subject to the terms and conditions of the Credit Agreement.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Amendment shall be binding on and inure to the benefit of the parties hereto and their successors and permitted assigns.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their duly authorized officers to execute and deliver this Amendment as of the date first above written.</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EMERGENT BIOSOLUTIONS INC., as Borrower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6"/>
          <w:szCs w:val="16"/>
          <w:color w:val="auto"/>
        </w:rPr>
        <w:t>Title:</w:t>
        <w:tab/>
        <w:t>Executive Vice President, Chief Financial Officer and Treasurer</w:t>
      </w: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CANGENE BIOPHARMA LLC, as Guarantor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EMERGENT BIODEFENSE OPERATIONS LANSING LLC, as Guarantor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EMERGENT MANUFACTURING OPERATIONS BALTIMORE LLC, as</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Executive Manager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EMERGENT PRODUCT DEVELOPMENT GAITHERSBURG INC., as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Second Amendment to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ind w:left="4480"/>
        <w:spacing w:after="0"/>
        <w:rPr>
          <w:sz w:val="20"/>
          <w:szCs w:val="20"/>
          <w:color w:val="auto"/>
        </w:rPr>
      </w:pPr>
      <w:r>
        <w:rPr>
          <w:rFonts w:ascii="Arial" w:cs="Arial" w:eastAsia="Arial" w:hAnsi="Arial"/>
          <w:sz w:val="18"/>
          <w:szCs w:val="18"/>
          <w:color w:val="auto"/>
        </w:rPr>
        <w:t>EMERGENT INTERNATIONAL INC., as Guarantor</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-130175</wp:posOffset>
            </wp:positionV>
            <wp:extent cx="33604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4820"/>
        <w:spacing w:after="0"/>
        <w:tabs>
          <w:tab w:leader="none" w:pos="538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EMERGENT TRAVEL HEALTH INC., as Guarantor</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-130175</wp:posOffset>
            </wp:positionV>
            <wp:extent cx="33604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tabs>
          <w:tab w:leader="none" w:pos="5380" w:val="left"/>
        </w:tabs>
        <w:rPr>
          <w:sz w:val="20"/>
          <w:szCs w:val="20"/>
          <w:color w:val="auto"/>
        </w:rPr>
      </w:pPr>
      <w:r>
        <w:rPr>
          <w:rFonts w:ascii="Arial" w:cs="Arial" w:eastAsia="Arial" w:hAnsi="Arial"/>
          <w:sz w:val="18"/>
          <w:szCs w:val="18"/>
          <w:color w:val="auto"/>
        </w:rPr>
        <w:t>Title:</w:t>
        <w:tab/>
        <w:t>Chief Financial Officer and Treasurer</w:t>
      </w:r>
    </w:p>
    <w:p>
      <w:pPr>
        <w:spacing w:after="0" w:line="211" w:lineRule="exact"/>
        <w:rPr>
          <w:sz w:val="20"/>
          <w:szCs w:val="20"/>
          <w:color w:val="auto"/>
        </w:rPr>
      </w:pPr>
    </w:p>
    <w:p>
      <w:pPr>
        <w:ind w:left="4480"/>
        <w:spacing w:after="0" w:line="277" w:lineRule="auto"/>
        <w:rPr>
          <w:sz w:val="20"/>
          <w:szCs w:val="20"/>
          <w:color w:val="auto"/>
        </w:rPr>
      </w:pPr>
      <w:r>
        <w:rPr>
          <w:rFonts w:ascii="Arial" w:cs="Arial" w:eastAsia="Arial" w:hAnsi="Arial"/>
          <w:sz w:val="18"/>
          <w:szCs w:val="18"/>
          <w:color w:val="auto"/>
        </w:rPr>
        <w:t>EMERGENT DEVICES INC. (FORMERLY KNOWN AS ADAPT PHARMA INC.), as Guarantor</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-130175</wp:posOffset>
            </wp:positionV>
            <wp:extent cx="33604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tabs>
          <w:tab w:leader="none" w:pos="538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80"/>
          </w:cols>
          <w:pgMar w:left="1440" w:top="908" w:right="1079" w:bottom="1440" w:gutter="0" w:footer="0" w:header="0"/>
        </w:sectPr>
      </w:pPr>
    </w:p>
    <w:bookmarkStart w:id="189" w:name="page190"/>
    <w:bookmarkEnd w:id="189"/>
    <w:p>
      <w:pPr>
        <w:ind w:left="4520"/>
        <w:spacing w:after="0" w:line="277" w:lineRule="auto"/>
        <w:rPr>
          <w:sz w:val="20"/>
          <w:szCs w:val="20"/>
          <w:color w:val="auto"/>
        </w:rPr>
      </w:pPr>
      <w:r>
        <w:rPr>
          <w:rFonts w:ascii="Arial" w:cs="Arial" w:eastAsia="Arial" w:hAnsi="Arial"/>
          <w:sz w:val="18"/>
          <w:szCs w:val="18"/>
          <w:color w:val="auto"/>
        </w:rPr>
        <w:t>WELLS FARGO BANK, NATIONAL ASSOCIATION, as Administrative Agent, Swingline Lender, Issuing Lender and Lender</w:t>
      </w: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Sara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Sara Barton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00"/>
          </w:cols>
          <w:pgMar w:left="1440" w:top="1124" w:right="559" w:bottom="1440" w:gutter="0" w:footer="0" w:header="0"/>
        </w:sectPr>
      </w:pPr>
    </w:p>
    <w:bookmarkStart w:id="190" w:name="page191"/>
    <w:bookmarkEnd w:id="190"/>
    <w:p>
      <w:pPr>
        <w:ind w:left="4520"/>
        <w:spacing w:after="0"/>
        <w:rPr>
          <w:sz w:val="20"/>
          <w:szCs w:val="20"/>
          <w:color w:val="auto"/>
        </w:rPr>
      </w:pPr>
      <w:r>
        <w:rPr>
          <w:rFonts w:ascii="Arial" w:cs="Arial" w:eastAsia="Arial" w:hAnsi="Arial"/>
          <w:sz w:val="17"/>
          <w:szCs w:val="17"/>
          <w:color w:val="auto"/>
        </w:rPr>
        <w:t>JPMORGAN CHASE BANK, N.A., as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Ling 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1" w:name="page192"/>
    <w:bookmarkEnd w:id="191"/>
    <w:p>
      <w:pPr>
        <w:ind w:left="4520"/>
        <w:spacing w:after="0"/>
        <w:rPr>
          <w:sz w:val="20"/>
          <w:szCs w:val="20"/>
          <w:color w:val="auto"/>
        </w:rPr>
      </w:pPr>
      <w:r>
        <w:rPr>
          <w:rFonts w:ascii="Arial" w:cs="Arial" w:eastAsia="Arial" w:hAnsi="Arial"/>
          <w:sz w:val="17"/>
          <w:szCs w:val="17"/>
          <w:color w:val="auto"/>
        </w:rPr>
        <w:t>PNC BANK, NATIONAL ASSOCIATION, as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Eric 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Eric H. Williams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2" w:name="page193"/>
    <w:bookmarkEnd w:id="192"/>
    <w:p>
      <w:pPr>
        <w:ind w:left="4520"/>
        <w:spacing w:after="0"/>
        <w:rPr>
          <w:sz w:val="20"/>
          <w:szCs w:val="20"/>
          <w:color w:val="auto"/>
        </w:rPr>
      </w:pPr>
      <w:r>
        <w:rPr>
          <w:rFonts w:ascii="Arial" w:cs="Arial" w:eastAsia="Arial" w:hAnsi="Arial"/>
          <w:sz w:val="17"/>
          <w:szCs w:val="17"/>
          <w:color w:val="auto"/>
        </w:rPr>
        <w:t>ROYAL BANK OF CANADA, as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Steven T.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Steven T. Bachman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3" w:name="page194"/>
    <w:bookmarkEnd w:id="193"/>
    <w:p>
      <w:pPr>
        <w:ind w:left="4180"/>
        <w:spacing w:after="0"/>
        <w:rPr>
          <w:sz w:val="20"/>
          <w:szCs w:val="20"/>
          <w:color w:val="auto"/>
        </w:rPr>
      </w:pPr>
      <w:r>
        <w:rPr>
          <w:rFonts w:ascii="Arial" w:cs="Arial" w:eastAsia="Arial" w:hAnsi="Arial"/>
          <w:sz w:val="17"/>
          <w:szCs w:val="17"/>
          <w:color w:val="auto"/>
        </w:rPr>
        <w:t>BMO HARRIS BANK, N.A., as Lender</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Eric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Eric Oppenheimer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340" w:right="1440" w:bottom="1440" w:gutter="0" w:footer="0" w:header="0"/>
        </w:sectPr>
      </w:pPr>
    </w:p>
    <w:bookmarkStart w:id="194" w:name="page195"/>
    <w:bookmarkEnd w:id="194"/>
    <w:p>
      <w:pPr>
        <w:ind w:left="4180"/>
        <w:spacing w:after="0"/>
        <w:rPr>
          <w:sz w:val="20"/>
          <w:szCs w:val="20"/>
          <w:color w:val="auto"/>
        </w:rPr>
      </w:pPr>
      <w:r>
        <w:rPr>
          <w:rFonts w:ascii="Arial" w:cs="Arial" w:eastAsia="Arial" w:hAnsi="Arial"/>
          <w:sz w:val="18"/>
          <w:szCs w:val="18"/>
          <w:color w:val="auto"/>
        </w:rPr>
        <w:t>CAPITAL ONE, N.A., as Lender</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Peter 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Peter Itz</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Title: Duly Authorized Signatory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5" w:name="page196"/>
    <w:bookmarkEnd w:id="195"/>
    <w:p>
      <w:pPr>
        <w:ind w:left="4180"/>
        <w:spacing w:after="0"/>
        <w:rPr>
          <w:sz w:val="20"/>
          <w:szCs w:val="20"/>
          <w:color w:val="auto"/>
        </w:rPr>
      </w:pPr>
      <w:r>
        <w:rPr>
          <w:rFonts w:ascii="Arial" w:cs="Arial" w:eastAsia="Arial" w:hAnsi="Arial"/>
          <w:sz w:val="17"/>
          <w:szCs w:val="17"/>
          <w:color w:val="auto"/>
        </w:rPr>
        <w:t>CITIZENS BANK, N.A., as Lender</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Mark Guyeski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Mark Guyeski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6" w:name="page197"/>
    <w:bookmarkEnd w:id="196"/>
    <w:p>
      <w:pPr>
        <w:ind w:left="4180"/>
        <w:spacing w:after="0"/>
        <w:rPr>
          <w:sz w:val="20"/>
          <w:szCs w:val="20"/>
          <w:color w:val="auto"/>
        </w:rPr>
      </w:pPr>
      <w:r>
        <w:rPr>
          <w:rFonts w:ascii="Arial" w:cs="Arial" w:eastAsia="Arial" w:hAnsi="Arial"/>
          <w:sz w:val="17"/>
          <w:szCs w:val="17"/>
          <w:color w:val="auto"/>
        </w:rPr>
        <w:t>MUFG UNION BANK, N.A., as Lender</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Teuta Ghilaga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Teuta Ghilaga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7" w:name="page198"/>
    <w:bookmarkEnd w:id="197"/>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REGIONS BANK, as Lender</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Ned Spitzer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Ned Spitzer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8" w:name="page199"/>
    <w:bookmarkEnd w:id="198"/>
    <w:p>
      <w:pPr>
        <w:ind w:left="4180"/>
        <w:spacing w:after="0"/>
        <w:rPr>
          <w:sz w:val="20"/>
          <w:szCs w:val="20"/>
          <w:color w:val="auto"/>
        </w:rPr>
      </w:pPr>
      <w:r>
        <w:rPr>
          <w:rFonts w:ascii="Arial" w:cs="Arial" w:eastAsia="Arial" w:hAnsi="Arial"/>
          <w:sz w:val="16"/>
          <w:szCs w:val="16"/>
          <w:color w:val="auto"/>
        </w:rPr>
        <w:t>TRUIST BANK (successor by merger to SunTrust Bank), as Lender</w:t>
      </w:r>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Matthew J.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Matthew J. Davis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00"/>
          </w:cols>
          <w:pgMar w:left="1440" w:top="908" w:right="1359" w:bottom="1440" w:gutter="0" w:footer="0" w:header="0"/>
        </w:sectPr>
      </w:pPr>
    </w:p>
    <w:bookmarkStart w:id="199" w:name="page200"/>
    <w:bookmarkEnd w:id="199"/>
    <w:p>
      <w:pPr>
        <w:ind w:left="4180"/>
        <w:spacing w:after="0"/>
        <w:rPr>
          <w:sz w:val="20"/>
          <w:szCs w:val="20"/>
          <w:color w:val="auto"/>
        </w:rPr>
      </w:pPr>
      <w:r>
        <w:rPr>
          <w:rFonts w:ascii="Arial" w:cs="Arial" w:eastAsia="Arial" w:hAnsi="Arial"/>
          <w:sz w:val="17"/>
          <w:szCs w:val="17"/>
          <w:color w:val="auto"/>
        </w:rPr>
        <w:t>THE HUNTINGTON NATIONAL BANK, as Lender</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Joseph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Joseph A Miller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0" w:name="page201"/>
    <w:bookmarkEnd w:id="200"/>
    <w:p>
      <w:pPr>
        <w:ind w:left="4180"/>
        <w:spacing w:after="0"/>
        <w:rPr>
          <w:sz w:val="20"/>
          <w:szCs w:val="20"/>
          <w:color w:val="auto"/>
        </w:rPr>
      </w:pPr>
      <w:r>
        <w:rPr>
          <w:rFonts w:ascii="Arial" w:cs="Arial" w:eastAsia="Arial" w:hAnsi="Arial"/>
          <w:sz w:val="17"/>
          <w:szCs w:val="17"/>
          <w:color w:val="auto"/>
        </w:rPr>
        <w:t>BANK OF AMERICA, N.A., as Lender</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H. Hope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H. Hope Walker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1" w:name="page202"/>
    <w:bookmarkEnd w:id="201"/>
    <w:p>
      <w:pPr>
        <w:spacing w:after="0" w:line="333"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BANK OF THE WEST, as a Lender</w:t>
      </w: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Michael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Michael Weinert</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Caroline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Caroline Smith</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2" w:name="page203"/>
    <w:bookmarkEnd w:id="202"/>
    <w:p>
      <w:pPr>
        <w:ind w:left="4240"/>
        <w:spacing w:after="0"/>
        <w:rPr>
          <w:sz w:val="20"/>
          <w:szCs w:val="20"/>
          <w:color w:val="auto"/>
        </w:rPr>
      </w:pPr>
      <w:r>
        <w:rPr>
          <w:rFonts w:ascii="Arial" w:cs="Arial" w:eastAsia="Arial" w:hAnsi="Arial"/>
          <w:sz w:val="18"/>
          <w:szCs w:val="18"/>
          <w:color w:val="auto"/>
        </w:rPr>
        <w:t>DNB CAPITAL LLC, as a Lender</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Ahelia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Ahelia Singh</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Magdalena Brzostowska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Name: Magdalena Brzostowska</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3" w:name="page204"/>
    <w:bookmarkEnd w:id="203"/>
    <w:p>
      <w:pPr>
        <w:ind w:left="4240"/>
        <w:spacing w:after="0"/>
        <w:rPr>
          <w:sz w:val="20"/>
          <w:szCs w:val="20"/>
          <w:color w:val="auto"/>
        </w:rPr>
      </w:pPr>
      <w:r>
        <w:rPr>
          <w:rFonts w:ascii="Arial" w:cs="Arial" w:eastAsia="Arial" w:hAnsi="Arial"/>
          <w:sz w:val="17"/>
          <w:szCs w:val="17"/>
          <w:color w:val="auto"/>
        </w:rPr>
        <w:t>FIRST NATIONAL BANK, as a Lender</w:t>
      </w: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Douglas 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Douglas T. Brown</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4" w:name="page205"/>
    <w:bookmarkEnd w:id="204"/>
    <w:p>
      <w:pPr>
        <w:ind w:left="4240"/>
        <w:spacing w:after="0"/>
        <w:rPr>
          <w:sz w:val="20"/>
          <w:szCs w:val="20"/>
          <w:color w:val="auto"/>
        </w:rPr>
      </w:pPr>
      <w:r>
        <w:rPr>
          <w:rFonts w:ascii="Arial" w:cs="Arial" w:eastAsia="Arial" w:hAnsi="Arial"/>
          <w:sz w:val="17"/>
          <w:szCs w:val="17"/>
          <w:color w:val="auto"/>
        </w:rPr>
        <w:t>FIFTH THIRD BANK, as a Lender</w:t>
      </w: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Ellie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Ellie Robertson</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5" w:name="page206"/>
    <w:bookmarkEnd w:id="205"/>
    <w:p>
      <w:pPr>
        <w:ind w:left="4500"/>
        <w:spacing w:after="0"/>
        <w:rPr>
          <w:sz w:val="20"/>
          <w:szCs w:val="20"/>
          <w:color w:val="auto"/>
        </w:rPr>
      </w:pPr>
      <w:r>
        <w:rPr>
          <w:rFonts w:ascii="Arial" w:cs="Arial" w:eastAsia="Arial" w:hAnsi="Arial"/>
          <w:sz w:val="17"/>
          <w:szCs w:val="17"/>
          <w:color w:val="auto"/>
        </w:rPr>
        <w:t>HSBC BANK USA, N.A., as a Lender</w:t>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Robert J Levins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Name:Robert J Levins #21435</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SVP Team Lead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340" w:right="1440" w:bottom="1440" w:gutter="0" w:footer="0" w:header="0"/>
        </w:sectPr>
      </w:pPr>
    </w:p>
    <w:bookmarkStart w:id="206" w:name="page207"/>
    <w:bookmarkEnd w:id="206"/>
    <w:p>
      <w:pPr>
        <w:ind w:left="4500"/>
        <w:spacing w:after="0"/>
        <w:rPr>
          <w:sz w:val="20"/>
          <w:szCs w:val="20"/>
          <w:color w:val="auto"/>
        </w:rPr>
      </w:pPr>
      <w:r>
        <w:rPr>
          <w:rFonts w:ascii="Arial" w:cs="Arial" w:eastAsia="Arial" w:hAnsi="Arial"/>
          <w:sz w:val="17"/>
          <w:szCs w:val="17"/>
          <w:color w:val="auto"/>
        </w:rPr>
        <w:t>MORGAN STANLEY BANK, as a Lender</w:t>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Graham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Name:Graham Robertson</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7" w:name="page208"/>
    <w:bookmarkEnd w:id="207"/>
    <w:p>
      <w:pPr>
        <w:ind w:left="4500"/>
        <w:spacing w:after="0"/>
        <w:rPr>
          <w:sz w:val="20"/>
          <w:szCs w:val="20"/>
          <w:color w:val="auto"/>
        </w:rPr>
      </w:pPr>
      <w:r>
        <w:rPr>
          <w:rFonts w:ascii="Arial" w:cs="Arial" w:eastAsia="Arial" w:hAnsi="Arial"/>
          <w:sz w:val="18"/>
          <w:szCs w:val="18"/>
          <w:color w:val="auto"/>
        </w:rPr>
        <w:t>TD BANK, N.A., as a Lender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Shivani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Name:Shivani Agarwal</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Title: Senior Vice President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8" w:name="page209"/>
    <w:bookmarkEnd w:id="208"/>
    <w:p>
      <w:pPr>
        <w:ind w:left="4500"/>
        <w:spacing w:after="0"/>
        <w:rPr>
          <w:sz w:val="20"/>
          <w:szCs w:val="20"/>
          <w:color w:val="auto"/>
        </w:rPr>
      </w:pPr>
      <w:r>
        <w:rPr>
          <w:rFonts w:ascii="Arial" w:cs="Arial" w:eastAsia="Arial" w:hAnsi="Arial"/>
          <w:sz w:val="17"/>
          <w:szCs w:val="17"/>
          <w:color w:val="auto"/>
        </w:rPr>
        <w:t>U.S. BANK NATIONAL ASSOCIATION, as a Lender</w:t>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Tom Priedeman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Name:Tom Priedeman</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9" w:name="page210"/>
    <w:bookmarkEnd w:id="209"/>
    <w:p>
      <w:pPr>
        <w:ind w:left="4500"/>
        <w:spacing w:after="0"/>
        <w:rPr>
          <w:sz w:val="20"/>
          <w:szCs w:val="20"/>
          <w:color w:val="auto"/>
        </w:rPr>
      </w:pPr>
      <w:r>
        <w:rPr>
          <w:rFonts w:ascii="Arial" w:cs="Arial" w:eastAsia="Arial" w:hAnsi="Arial"/>
          <w:sz w:val="18"/>
          <w:szCs w:val="18"/>
          <w:color w:val="auto"/>
        </w:rPr>
        <w:t>M&amp;T BANK, as a Lender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Neil Ganessingh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Name:Neil Ganessingh</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165735</wp:posOffset>
            </wp:positionV>
            <wp:extent cx="1808480" cy="797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0848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Announces Successful Completion of Offering of 3.875% Senior Unsecured Notes Due 2028</w:t>
      </w:r>
    </w:p>
    <w:p>
      <w:pPr>
        <w:spacing w:after="0" w:line="225" w:lineRule="exact"/>
        <w:rPr>
          <w:sz w:val="20"/>
          <w:szCs w:val="20"/>
          <w:color w:val="auto"/>
        </w:rPr>
      </w:pPr>
    </w:p>
    <w:p>
      <w:pPr>
        <w:ind w:right="620"/>
        <w:spacing w:after="0" w:line="347" w:lineRule="auto"/>
        <w:rPr>
          <w:sz w:val="20"/>
          <w:szCs w:val="20"/>
          <w:color w:val="auto"/>
        </w:rPr>
      </w:pPr>
      <w:r>
        <w:rPr>
          <w:rFonts w:ascii="Arial" w:cs="Arial" w:eastAsia="Arial" w:hAnsi="Arial"/>
          <w:sz w:val="16"/>
          <w:szCs w:val="16"/>
          <w:b w:val="1"/>
          <w:bCs w:val="1"/>
          <w:color w:val="auto"/>
        </w:rPr>
        <w:t>GAITHERSBURG, Md., August 7, 2020</w:t>
      </w:r>
      <w:r>
        <w:rPr>
          <w:rFonts w:ascii="Arial" w:cs="Arial" w:eastAsia="Arial" w:hAnsi="Arial"/>
          <w:sz w:val="16"/>
          <w:szCs w:val="16"/>
          <w:color w:val="auto"/>
        </w:rPr>
        <w:t>—Emergent BioSolutions Inc. (NYSE:EBS) (the “Company”) announced today that it has completed its</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announced offering of $450 million in aggregate principal amount of its 3.875% Senior Unsecured Notes due 2028 (the “Notes”).</w:t>
      </w:r>
    </w:p>
    <w:p>
      <w:pPr>
        <w:spacing w:after="0" w:line="12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Notes are fully and unconditionally guaranteed on a senior unsecured basis by all of the Company’s direct and indirect subsidiaries that guarantee debt under its credit facilities. The Company has used the net proceeds of the offering to repay the $353 million outstanding under its $600 million revolving credit facility with the remainder to be used for general corporate purposes.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Notes were offered in the United States to qualified institutional buyers pursuant to Rule 144A under the Securities Act of 1933, as amended (the “Securities Act”), and outside the United States pursuant to Regulation S under the Securities Act. The Notes were not registered under the Securities Act and may not be offered or sold in the United States except pursuant to an exemption from the registration requirements of the Securities Act and applicable state securities laws.</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press release is neither an offer to sell nor the solicitation of an offer to buy the Notes or any other securities, and there shall not be any offer to sell, solicitation of an offer to buy or sale of the Notes in any jurisdiction in which, or to any person to whom, such an offer, solicitation or sale is unlawful. Any offers of the Notes will be made only by means of an offering memorandum.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Emergent BioSolutions is a global life sciences company whose mission is to protect and enhance life. Through our specialty products and contract development and manufacturing services, we are dedicated to providing solutions that address public health threats. Through social responsibility, we aim to build healthier and safer communities. We aspire to deliver peace of mind to our patients and customers so they can focus on what’s most important in their lives. In working together, we envision protecting or enhancing 1 billion lives by 2030.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This press release includes forward-looking statements within the meaning of the Private Securities Litigation Reform Act of 1995. Any statements, other than statements of historical fact, including statements regarding the intended use of proceeds, are forward-looking statements. We generally identify forward-looking statements by using words like "will," "believes," "expects," "anticipates," "intends," "plans," "forecasts," "estimates" and similar expressions.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1" w:name="page212"/>
    <w:bookmarkEnd w:id="211"/>
    <w:p>
      <w:pPr>
        <w:spacing w:after="0" w:line="296" w:lineRule="auto"/>
        <w:rPr>
          <w:sz w:val="20"/>
          <w:szCs w:val="20"/>
          <w:color w:val="auto"/>
        </w:rPr>
      </w:pPr>
      <w:r>
        <w:rPr>
          <w:rFonts w:ascii="Arial" w:cs="Arial" w:eastAsia="Arial" w:hAnsi="Arial"/>
          <w:sz w:val="16"/>
          <w:szCs w:val="16"/>
          <w:color w:val="auto"/>
        </w:rPr>
        <w:t>There are a number of important factors that could cause our actual results to differ materially from those indicated by such forward-looking statements. In addition, new factors that could cause actual results to differ from our expectations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Investors should consider this cautionary statement as well as the risk factors identified in our periodic reports filed with the Securities and Exchange Commission when evaluating our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Robert G. Burrows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240-631-3280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BurrowsR@ebsi.com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Miko B. Neri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Global Communications &amp; Public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240-631-3392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NeriM@ebsi.com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99DD7"/>
    <w:multiLevelType w:val="hybridMultilevel"/>
    <w:lvl w:ilvl="0">
      <w:lvlJc w:val="left"/>
      <w:lvlText w:val="☐"/>
      <w:numFmt w:val="bullet"/>
      <w:start w:val="1"/>
    </w:lvl>
  </w:abstractNum>
  <w:abstractNum w:abstractNumId="1">
    <w:nsid w:val="2A31B62D"/>
    <w:multiLevelType w:val="hybridMultilevel"/>
    <w:lvl w:ilvl="0">
      <w:lvlJc w:val="left"/>
      <w:lvlText w:val="(%1)"/>
      <w:numFmt w:val="lowerLetter"/>
      <w:start w:val="4"/>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1)"/>
      <w:numFmt w:val="decimal"/>
      <w:start w:val="1"/>
    </w:lvl>
  </w:abstractNum>
  <w:abstractNum w:abstractNumId="4">
    <w:nsid w:val="754342"/>
    <w:multiLevelType w:val="hybridMultilevel"/>
    <w:lvl w:ilvl="0">
      <w:lvlJc w:val="left"/>
      <w:lvlText w:val="(%1)"/>
      <w:numFmt w:val="decimal"/>
      <w:start w:val="1"/>
    </w:lvl>
  </w:abstractNum>
  <w:abstractNum w:abstractNumId="5">
    <w:nsid w:val="69E7F3E5"/>
    <w:multiLevelType w:val="hybridMultilevel"/>
    <w:lvl w:ilvl="0">
      <w:lvlJc w:val="left"/>
      <w:lvlText w:val="(%1)"/>
      <w:numFmt w:val="decimal"/>
      <w:start w:val="1"/>
    </w:lvl>
  </w:abstractNum>
  <w:abstractNum w:abstractNumId="6">
    <w:nsid w:val="2A6DE806"/>
    <w:multiLevelType w:val="hybridMultilevel"/>
    <w:lvl w:ilvl="0">
      <w:lvlJc w:val="left"/>
      <w:lvlText w:val="(%1)"/>
      <w:numFmt w:val="decimal"/>
      <w:start w:val="2"/>
    </w:lvl>
  </w:abstractNum>
  <w:abstractNum w:abstractNumId="7">
    <w:nsid w:val="1816F8C4"/>
    <w:multiLevelType w:val="hybridMultilevel"/>
    <w:lvl w:ilvl="0">
      <w:lvlJc w:val="left"/>
      <w:lvlText w:val="(%1)"/>
      <w:numFmt w:val="decimal"/>
      <w:start w:val="1"/>
    </w:lvl>
  </w:abstractNum>
  <w:abstractNum w:abstractNumId="8">
    <w:nsid w:val="37DF2233"/>
    <w:multiLevelType w:val="hybridMultilevel"/>
    <w:lvl w:ilvl="0">
      <w:lvlJc w:val="left"/>
      <w:lvlText w:val="(%1)"/>
      <w:numFmt w:val="decimal"/>
      <w:start w:val="2"/>
    </w:lvl>
  </w:abstractNum>
  <w:abstractNum w:abstractNumId="9">
    <w:nsid w:val="7AB49DAF"/>
    <w:multiLevelType w:val="hybridMultilevel"/>
    <w:lvl w:ilvl="0">
      <w:lvlJc w:val="left"/>
      <w:lvlText w:val="(%1)"/>
      <w:numFmt w:val="decimal"/>
      <w:start w:val="16"/>
    </w:lvl>
  </w:abstractNum>
  <w:abstractNum w:abstractNumId="10">
    <w:nsid w:val="759F82CD"/>
    <w:multiLevelType w:val="hybridMultilevel"/>
    <w:lvl w:ilvl="0">
      <w:lvlJc w:val="left"/>
      <w:lvlText w:val="(%1)"/>
      <w:numFmt w:val="decimal"/>
      <w:start w:val="1"/>
    </w:lvl>
  </w:abstractNum>
  <w:abstractNum w:abstractNumId="11">
    <w:nsid w:val="61E74EA3"/>
    <w:multiLevelType w:val="hybridMultilevel"/>
    <w:lvl w:ilvl="0">
      <w:lvlJc w:val="left"/>
      <w:lvlText w:val="(%1)"/>
      <w:numFmt w:val="decimal"/>
      <w:start w:val="1"/>
    </w:lvl>
  </w:abstractNum>
  <w:abstractNum w:abstractNumId="12">
    <w:nsid w:val="597B4D84"/>
    <w:multiLevelType w:val="hybridMultilevel"/>
    <w:lvl w:ilvl="0">
      <w:lvlJc w:val="left"/>
      <w:lvlText w:val="(%1)"/>
      <w:numFmt w:val="decimal"/>
      <w:start w:val="1"/>
    </w:lvl>
  </w:abstractNum>
  <w:abstractNum w:abstractNumId="13">
    <w:nsid w:val="F819E7F"/>
    <w:multiLevelType w:val="hybridMultilevel"/>
    <w:lvl w:ilvl="0">
      <w:lvlJc w:val="left"/>
      <w:lvlText w:val="%1"/>
      <w:numFmt w:val="lowerRoman"/>
      <w:start w:val="1"/>
    </w:lvl>
    <w:lvl w:ilvl="1">
      <w:lvlJc w:val="left"/>
      <w:lvlText w:val="(%2)"/>
      <w:numFmt w:val="decimal"/>
      <w:start w:val="1"/>
    </w:lvl>
  </w:abstractNum>
  <w:abstractNum w:abstractNumId="14">
    <w:nsid w:val="57C7D42D"/>
    <w:multiLevelType w:val="hybridMultilevel"/>
    <w:lvl w:ilvl="0">
      <w:lvlJc w:val="left"/>
      <w:lvlText w:val="(%1)"/>
      <w:numFmt w:val="lowerRoman"/>
      <w:start w:val="1"/>
    </w:lvl>
    <w:lvl w:ilvl="1">
      <w:lvlJc w:val="left"/>
      <w:lvlText w:val="%2"/>
      <w:numFmt w:val="decimal"/>
      <w:start w:val="1"/>
    </w:lvl>
  </w:abstractNum>
  <w:abstractNum w:abstractNumId="15">
    <w:nsid w:val="312167AD"/>
    <w:multiLevelType w:val="hybridMultilevel"/>
    <w:lvl w:ilvl="0">
      <w:lvlJc w:val="left"/>
      <w:lvlText w:val="(%1)"/>
      <w:numFmt w:val="decimal"/>
      <w:start w:val="1"/>
    </w:lvl>
  </w:abstractNum>
  <w:abstractNum w:abstractNumId="16">
    <w:nsid w:val="631B64D4"/>
    <w:multiLevelType w:val="hybridMultilevel"/>
    <w:lvl w:ilvl="0">
      <w:lvlJc w:val="left"/>
      <w:lvlText w:val="(%1)"/>
      <w:numFmt w:val="lowerRoman"/>
      <w:start w:val="1"/>
    </w:lvl>
  </w:abstractNum>
  <w:abstractNum w:abstractNumId="17">
    <w:nsid w:val="78B5E776"/>
    <w:multiLevelType w:val="hybridMultilevel"/>
    <w:lvl w:ilvl="0">
      <w:lvlJc w:val="left"/>
      <w:lvlText w:val="(%1)"/>
      <w:numFmt w:val="lowerRoman"/>
      <w:start w:val="7"/>
    </w:lvl>
  </w:abstractNum>
  <w:abstractNum w:abstractNumId="18">
    <w:nsid w:val="75486E47"/>
    <w:multiLevelType w:val="hybridMultilevel"/>
    <w:lvl w:ilvl="0">
      <w:lvlJc w:val="left"/>
      <w:lvlText w:val="(%1)"/>
      <w:numFmt w:val="decimal"/>
      <w:start w:val="3"/>
    </w:lvl>
  </w:abstractNum>
  <w:abstractNum w:abstractNumId="19">
    <w:nsid w:val="6E534CDE"/>
    <w:multiLevelType w:val="hybridMultilevel"/>
    <w:lvl w:ilvl="0">
      <w:lvlJc w:val="left"/>
      <w:lvlText w:val="(%1)"/>
      <w:numFmt w:val="lowerRoman"/>
      <w:start w:val="1"/>
    </w:lvl>
  </w:abstractNum>
  <w:abstractNum w:abstractNumId="20">
    <w:nsid w:val="1A0DDE32"/>
    <w:multiLevelType w:val="hybridMultilevel"/>
    <w:lvl w:ilvl="0">
      <w:lvlJc w:val="left"/>
      <w:lvlText w:val="(%1)"/>
      <w:numFmt w:val="lowerLetter"/>
      <w:start w:val="1"/>
    </w:lvl>
  </w:abstractNum>
  <w:abstractNum w:abstractNumId="21">
    <w:nsid w:val="65968C1C"/>
    <w:multiLevelType w:val="hybridMultilevel"/>
    <w:lvl w:ilvl="0">
      <w:lvlJc w:val="left"/>
      <w:lvlText w:val="(%1)"/>
      <w:numFmt w:val="decimal"/>
      <w:start w:val="1"/>
    </w:lvl>
  </w:abstractNum>
  <w:abstractNum w:abstractNumId="22">
    <w:nsid w:val="46263DEC"/>
    <w:multiLevelType w:val="hybridMultilevel"/>
    <w:lvl w:ilvl="0">
      <w:lvlJc w:val="left"/>
      <w:lvlText w:val="(%1)"/>
      <w:numFmt w:val="decimal"/>
      <w:start w:val="6"/>
    </w:lvl>
  </w:abstractNum>
  <w:abstractNum w:abstractNumId="23">
    <w:nsid w:val="260D8C4A"/>
    <w:multiLevelType w:val="hybridMultilevel"/>
    <w:lvl w:ilvl="0">
      <w:lvlJc w:val="left"/>
      <w:lvlText w:val="(%1)"/>
      <w:numFmt w:val="decimal"/>
      <w:start w:val="1"/>
    </w:lvl>
  </w:abstractNum>
  <w:abstractNum w:abstractNumId="24">
    <w:nsid w:val="73D4D3C4"/>
    <w:multiLevelType w:val="hybridMultilevel"/>
    <w:lvl w:ilvl="0">
      <w:lvlJc w:val="left"/>
      <w:lvlText w:val="(%1)"/>
      <w:numFmt w:val="decimal"/>
      <w:start w:val="1"/>
    </w:lvl>
  </w:abstractNum>
  <w:abstractNum w:abstractNumId="25">
    <w:nsid w:val="746F2E30"/>
    <w:multiLevelType w:val="hybridMultilevel"/>
    <w:lvl w:ilvl="0">
      <w:lvlJc w:val="left"/>
      <w:lvlText w:val="(%1)"/>
      <w:numFmt w:val="lowerLetter"/>
      <w:start w:val="1"/>
    </w:lvl>
  </w:abstractNum>
  <w:abstractNum w:abstractNumId="26">
    <w:nsid w:val="6FDE8AF6"/>
    <w:multiLevelType w:val="hybridMultilevel"/>
    <w:lvl w:ilvl="0">
      <w:lvlJc w:val="left"/>
      <w:lvlText w:val="(%1)"/>
      <w:numFmt w:val="lowerLetter"/>
      <w:start w:val="4"/>
    </w:lvl>
  </w:abstractNum>
  <w:abstractNum w:abstractNumId="27">
    <w:nsid w:val="3FC32E20"/>
    <w:multiLevelType w:val="hybridMultilevel"/>
    <w:lvl w:ilvl="0">
      <w:lvlJc w:val="left"/>
      <w:lvlText w:val="(%1)"/>
      <w:numFmt w:val="lowerRoman"/>
      <w:start w:val="2"/>
    </w:lvl>
  </w:abstractNum>
  <w:abstractNum w:abstractNumId="28">
    <w:nsid w:val="49C0E823"/>
    <w:multiLevelType w:val="hybridMultilevel"/>
    <w:lvl w:ilvl="0">
      <w:lvlJc w:val="left"/>
      <w:lvlText w:val="(%1)"/>
      <w:numFmt w:val="decimal"/>
      <w:start w:val="1"/>
    </w:lvl>
  </w:abstractNum>
  <w:abstractNum w:abstractNumId="29">
    <w:nsid w:val="14D53685"/>
    <w:multiLevelType w:val="hybridMultilevel"/>
    <w:lvl w:ilvl="0">
      <w:lvlJc w:val="left"/>
      <w:lvlText w:val="(%1)"/>
      <w:numFmt w:val="decimal"/>
      <w:start w:val="1"/>
    </w:lvl>
    <w:lvl w:ilvl="1">
      <w:lvlJc w:val="left"/>
      <w:lvlText w:val="(%2)"/>
      <w:numFmt w:val="lowerLetter"/>
      <w:start w:val="1"/>
    </w:lvl>
  </w:abstractNum>
  <w:abstractNum w:abstractNumId="30">
    <w:nsid w:val="230F856C"/>
    <w:multiLevelType w:val="hybridMultilevel"/>
    <w:lvl w:ilvl="0">
      <w:lvlJc w:val="left"/>
      <w:lvlText w:val="%1"/>
      <w:numFmt w:val="lowerRoman"/>
      <w:start w:val="1"/>
    </w:lvl>
    <w:lvl w:ilvl="1">
      <w:lvlJc w:val="left"/>
      <w:lvlText w:val="(%2)"/>
      <w:numFmt w:val="decimal"/>
      <w:start w:val="8"/>
    </w:lvl>
  </w:abstractNum>
  <w:abstractNum w:abstractNumId="31">
    <w:nsid w:val="6EAA85FB"/>
    <w:multiLevelType w:val="hybridMultilevel"/>
    <w:lvl w:ilvl="0">
      <w:lvlJc w:val="left"/>
      <w:lvlText w:val="(%1)"/>
      <w:numFmt w:val="lowerRoman"/>
      <w:start w:val="4"/>
    </w:lvl>
    <w:lvl w:ilvl="1">
      <w:lvlJc w:val="left"/>
      <w:lvlText w:val="(%2)"/>
      <w:numFmt w:val="decimal"/>
      <w:start w:val="14"/>
    </w:lvl>
  </w:abstractNum>
  <w:abstractNum w:abstractNumId="32">
    <w:nsid w:val="3F06ECB2"/>
    <w:multiLevelType w:val="hybridMultilevel"/>
    <w:lvl w:ilvl="0">
      <w:lvlJc w:val="left"/>
      <w:lvlText w:val="(%1)"/>
      <w:numFmt w:val="decimal"/>
      <w:start w:val="1"/>
    </w:lvl>
  </w:abstractNum>
  <w:abstractNum w:abstractNumId="33">
    <w:nsid w:val="3B594807"/>
    <w:multiLevelType w:val="hybridMultilevel"/>
    <w:lvl w:ilvl="0">
      <w:lvlJc w:val="left"/>
      <w:lvlText w:val="(%1)"/>
      <w:numFmt w:val="decimal"/>
      <w:start w:val="3"/>
    </w:lvl>
    <w:lvl w:ilvl="1">
      <w:lvlJc w:val="left"/>
      <w:lvlText w:val="(%2)"/>
      <w:numFmt w:val="lowerLetter"/>
      <w:start w:val="1"/>
    </w:lvl>
  </w:abstractNum>
  <w:abstractNum w:abstractNumId="34">
    <w:nsid w:val="6CAA2304"/>
    <w:multiLevelType w:val="hybridMultilevel"/>
    <w:lvl w:ilvl="0">
      <w:lvlJc w:val="left"/>
      <w:lvlText w:val="%1"/>
      <w:numFmt w:val="decimal"/>
      <w:start w:val="1"/>
    </w:lvl>
    <w:lvl w:ilvl="1">
      <w:lvlJc w:val="left"/>
      <w:lvlText w:val="(%2)"/>
      <w:numFmt w:val="lowerLetter"/>
      <w:start w:val="2"/>
    </w:lvl>
  </w:abstractNum>
  <w:abstractNum w:abstractNumId="35">
    <w:nsid w:val="3F7C2FF4"/>
    <w:multiLevelType w:val="hybridMultilevel"/>
    <w:lvl w:ilvl="0">
      <w:lvlJc w:val="left"/>
      <w:lvlText w:val="(%1)"/>
      <w:numFmt w:val="decimal"/>
      <w:start w:val="14"/>
    </w:lvl>
    <w:lvl w:ilvl="1">
      <w:lvlJc w:val="left"/>
      <w:lvlText w:val="%2"/>
      <w:numFmt w:val="lowerLetter"/>
      <w:start w:val="1"/>
    </w:lvl>
  </w:abstractNum>
  <w:abstractNum w:abstractNumId="36">
    <w:nsid w:val="25413BEC"/>
    <w:multiLevelType w:val="hybridMultilevel"/>
    <w:lvl w:ilvl="0">
      <w:lvlJc w:val="left"/>
      <w:lvlText w:val="(%1)"/>
      <w:numFmt w:val="decimal"/>
      <w:start w:val="25"/>
    </w:lvl>
  </w:abstractNum>
  <w:abstractNum w:abstractNumId="37">
    <w:nsid w:val="17180B0B"/>
    <w:multiLevelType w:val="hybridMultilevel"/>
    <w:lvl w:ilvl="0">
      <w:lvlJc w:val="left"/>
      <w:lvlText w:val="(%1)"/>
      <w:numFmt w:val="decimal"/>
      <w:start w:val="39"/>
    </w:lvl>
  </w:abstractNum>
  <w:abstractNum w:abstractNumId="38">
    <w:nsid w:val="579328B9"/>
    <w:multiLevelType w:val="hybridMultilevel"/>
    <w:lvl w:ilvl="0">
      <w:lvlJc w:val="left"/>
      <w:lvlText w:val="(%1)"/>
      <w:numFmt w:val="decimal"/>
      <w:start w:val="1"/>
    </w:lvl>
  </w:abstractNum>
  <w:abstractNum w:abstractNumId="39">
    <w:nsid w:val="5D205E20"/>
    <w:multiLevelType w:val="hybridMultilevel"/>
    <w:lvl w:ilvl="0">
      <w:lvlJc w:val="left"/>
      <w:lvlText w:val="(%1)"/>
      <w:numFmt w:val="lowerRoman"/>
      <w:start w:val="10"/>
    </w:lvl>
  </w:abstractNum>
  <w:abstractNum w:abstractNumId="40">
    <w:nsid w:val="11CCA8BA"/>
    <w:multiLevelType w:val="hybridMultilevel"/>
    <w:lvl w:ilvl="0">
      <w:lvlJc w:val="left"/>
      <w:lvlText w:val="(%1)"/>
      <w:numFmt w:val="decimal"/>
      <w:start w:val="1"/>
    </w:lvl>
  </w:abstractNum>
  <w:abstractNum w:abstractNumId="41">
    <w:nsid w:val="4D32AB86"/>
    <w:multiLevelType w:val="hybridMultilevel"/>
    <w:lvl w:ilvl="0">
      <w:lvlJc w:val="left"/>
      <w:lvlText w:val="(%1)"/>
      <w:numFmt w:val="decimal"/>
      <w:start w:val="1"/>
    </w:lvl>
  </w:abstractNum>
  <w:abstractNum w:abstractNumId="42">
    <w:nsid w:val="3F07ACC3"/>
    <w:multiLevelType w:val="hybridMultilevel"/>
    <w:lvl w:ilvl="0">
      <w:lvlJc w:val="left"/>
      <w:lvlText w:val="(%1)"/>
      <w:numFmt w:val="decimal"/>
      <w:start w:val="4"/>
    </w:lvl>
  </w:abstractNum>
  <w:abstractNum w:abstractNumId="43">
    <w:nsid w:val="6B47F63E"/>
    <w:multiLevelType w:val="hybridMultilevel"/>
    <w:lvl w:ilvl="0">
      <w:lvlJc w:val="left"/>
      <w:lvlText w:val="(%1)"/>
      <w:numFmt w:val="decimal"/>
      <w:start w:val="1"/>
    </w:lvl>
  </w:abstractNum>
  <w:abstractNum w:abstractNumId="44">
    <w:nsid w:val="5CB44A05"/>
    <w:multiLevelType w:val="hybridMultilevel"/>
    <w:lvl w:ilvl="0">
      <w:lvlJc w:val="left"/>
      <w:lvlText w:val="(%1)"/>
      <w:numFmt w:val="lowerLetter"/>
      <w:start w:val="1"/>
    </w:lvl>
  </w:abstractNum>
  <w:abstractNum w:abstractNumId="45">
    <w:nsid w:val="16CF80F1"/>
    <w:multiLevelType w:val="hybridMultilevel"/>
    <w:lvl w:ilvl="0">
      <w:lvlJc w:val="left"/>
      <w:lvlText w:val="%1"/>
      <w:numFmt w:val="upperLetter"/>
      <w:start w:val="1"/>
    </w:lvl>
    <w:lvl w:ilvl="1">
      <w:lvlJc w:val="left"/>
      <w:lvlText w:val="(%2)"/>
      <w:numFmt w:val="lowerLetter"/>
      <w:start w:val="1"/>
    </w:lvl>
  </w:abstractNum>
  <w:abstractNum w:abstractNumId="46">
    <w:nsid w:val="1C695DEC"/>
    <w:multiLevelType w:val="hybridMultilevel"/>
    <w:lvl w:ilvl="0">
      <w:lvlJc w:val="left"/>
      <w:lvlText w:val="(%1)"/>
      <w:numFmt w:val="upperLetter"/>
      <w:start w:val="2"/>
    </w:lvl>
    <w:lvl w:ilvl="1">
      <w:lvlJc w:val="left"/>
      <w:lvlText w:val="%2"/>
      <w:numFmt w:val="lowerLetter"/>
      <w:start w:val="1"/>
    </w:lvl>
  </w:abstractNum>
  <w:abstractNum w:abstractNumId="47">
    <w:nsid w:val="3FCFAED9"/>
    <w:multiLevelType w:val="hybridMultilevel"/>
    <w:lvl w:ilvl="0">
      <w:lvlJc w:val="left"/>
      <w:lvlText w:val="(%1)"/>
      <w:numFmt w:val="lowerLetter"/>
      <w:start w:val="3"/>
    </w:lvl>
  </w:abstractNum>
  <w:abstractNum w:abstractNumId="48">
    <w:nsid w:val="F856867"/>
    <w:multiLevelType w:val="hybridMultilevel"/>
    <w:lvl w:ilvl="0">
      <w:lvlJc w:val="left"/>
      <w:lvlText w:val="(%1)"/>
      <w:numFmt w:val="decimal"/>
      <w:start w:val="1"/>
    </w:lvl>
  </w:abstractNum>
  <w:abstractNum w:abstractNumId="49">
    <w:nsid w:val="11B1CC33"/>
    <w:multiLevelType w:val="hybridMultilevel"/>
    <w:lvl w:ilvl="0">
      <w:lvlJc w:val="left"/>
      <w:lvlText w:val="(%1)"/>
      <w:numFmt w:val="lowerLetter"/>
      <w:start w:val="4"/>
    </w:lvl>
  </w:abstractNum>
  <w:abstractNum w:abstractNumId="50">
    <w:nsid w:val="2E22FBB7"/>
    <w:multiLevelType w:val="hybridMultilevel"/>
    <w:lvl w:ilvl="0">
      <w:lvlJc w:val="left"/>
      <w:lvlText w:val="(%1)"/>
      <w:numFmt w:val="lowerLetter"/>
      <w:start w:val="1"/>
    </w:lvl>
  </w:abstractNum>
  <w:abstractNum w:abstractNumId="51">
    <w:nsid w:val="29934699"/>
    <w:multiLevelType w:val="hybridMultilevel"/>
    <w:lvl w:ilvl="0">
      <w:lvlJc w:val="left"/>
      <w:lvlText w:val="(%1)"/>
      <w:numFmt w:val="lowerLetter"/>
      <w:start w:val="2"/>
    </w:lvl>
  </w:abstractNum>
  <w:abstractNum w:abstractNumId="52">
    <w:nsid w:val="77485850"/>
    <w:multiLevelType w:val="hybridMultilevel"/>
    <w:lvl w:ilvl="0">
      <w:lvlJc w:val="left"/>
      <w:lvlText w:val="(%1)"/>
      <w:numFmt w:val="lowerLetter"/>
      <w:start w:val="1"/>
    </w:lvl>
    <w:lvl w:ilvl="1">
      <w:lvlJc w:val="left"/>
      <w:lvlText w:val="(%2)"/>
      <w:numFmt w:val="decimal"/>
      <w:start w:val="1"/>
    </w:lvl>
  </w:abstractNum>
  <w:abstractNum w:abstractNumId="53">
    <w:nsid w:val="744939A3"/>
    <w:multiLevelType w:val="hybridMultilevel"/>
    <w:lvl w:ilvl="0">
      <w:lvlJc w:val="left"/>
      <w:lvlText w:val="(%1)"/>
      <w:numFmt w:val="decimal"/>
      <w:start w:val="2"/>
    </w:lvl>
  </w:abstractNum>
  <w:abstractNum w:abstractNumId="54">
    <w:nsid w:val="4FA0D2E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55">
    <w:nsid w:val="6B1D2C14"/>
    <w:multiLevelType w:val="hybridMultilevel"/>
    <w:lvl w:ilvl="0">
      <w:lvlJc w:val="left"/>
      <w:lvlText w:val="(%1)"/>
      <w:numFmt w:val="upperLetter"/>
      <w:start w:val="2"/>
    </w:lvl>
    <w:lvl w:ilvl="1">
      <w:lvlJc w:val="left"/>
      <w:lvlText w:val="(%2)"/>
      <w:numFmt w:val="lowerRoman"/>
      <w:start w:val="1"/>
    </w:lvl>
  </w:abstractNum>
  <w:abstractNum w:abstractNumId="56">
    <w:nsid w:val="68B867D3"/>
    <w:multiLevelType w:val="hybridMultilevel"/>
    <w:lvl w:ilvl="0">
      <w:lvlJc w:val="left"/>
      <w:lvlText w:val="(%1)"/>
      <w:numFmt w:val="decimal"/>
      <w:start w:val="3"/>
    </w:lvl>
    <w:lvl w:ilvl="1">
      <w:lvlJc w:val="left"/>
      <w:lvlText w:val="(%2)"/>
      <w:numFmt w:val="upperLetter"/>
      <w:start w:val="1"/>
    </w:lvl>
  </w:abstractNum>
  <w:abstractNum w:abstractNumId="57">
    <w:nsid w:val="3F7F5DD9"/>
    <w:multiLevelType w:val="hybridMultilevel"/>
    <w:lvl w:ilvl="0">
      <w:lvlJc w:val="left"/>
      <w:lvlText w:val="(%1)"/>
      <w:numFmt w:val="decimal"/>
      <w:start w:val="3"/>
    </w:lvl>
    <w:lvl w:ilvl="1">
      <w:lvlJc w:val="left"/>
      <w:lvlText w:val="%2"/>
      <w:numFmt w:val="upperLetter"/>
      <w:start w:val="1"/>
    </w:lvl>
  </w:abstractNum>
  <w:abstractNum w:abstractNumId="58">
    <w:nsid w:val="2AE05A34"/>
    <w:multiLevelType w:val="hybridMultilevel"/>
    <w:lvl w:ilvl="0">
      <w:lvlJc w:val="left"/>
      <w:lvlText w:val="(%1)"/>
      <w:numFmt w:val="decimal"/>
      <w:start w:val="4"/>
    </w:lvl>
    <w:lvl w:ilvl="1">
      <w:lvlJc w:val="left"/>
      <w:lvlText w:val="(%2)"/>
      <w:numFmt w:val="upperLetter"/>
      <w:start w:val="1"/>
    </w:lvl>
  </w:abstractNum>
  <w:abstractNum w:abstractNumId="59">
    <w:nsid w:val="32794FF7"/>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60">
    <w:nsid w:val="5454945E"/>
    <w:multiLevelType w:val="hybridMultilevel"/>
    <w:lvl w:ilvl="0">
      <w:lvlJc w:val="left"/>
      <w:lvlText w:val="(%1)"/>
      <w:numFmt w:val="decimal"/>
      <w:start w:val="2"/>
    </w:lvl>
    <w:lvl w:ilvl="1">
      <w:lvlJc w:val="left"/>
      <w:lvlText w:val="(%2)"/>
      <w:numFmt w:val="upperLetter"/>
      <w:start w:val="1"/>
    </w:lvl>
  </w:abstractNum>
  <w:abstractNum w:abstractNumId="61">
    <w:nsid w:val="4DEFDFA0"/>
    <w:multiLevelType w:val="hybridMultilevel"/>
    <w:lvl w:ilvl="0">
      <w:lvlJc w:val="left"/>
      <w:lvlText w:val="%1"/>
      <w:numFmt w:val="decimal"/>
      <w:start w:val="1"/>
    </w:lvl>
    <w:lvl w:ilvl="1">
      <w:lvlJc w:val="left"/>
      <w:lvlText w:val="(%2)"/>
      <w:numFmt w:val="decimal"/>
      <w:start w:val="3"/>
    </w:lvl>
  </w:abstractNum>
  <w:abstractNum w:abstractNumId="62">
    <w:nsid w:val="2123D5F2"/>
    <w:multiLevelType w:val="hybridMultilevel"/>
    <w:lvl w:ilvl="0">
      <w:lvlJc w:val="left"/>
      <w:lvlText w:val="(%1)"/>
      <w:numFmt w:val="decimal"/>
      <w:start w:val="3"/>
    </w:lvl>
    <w:lvl w:ilvl="1">
      <w:lvlJc w:val="left"/>
      <w:lvlText w:val="%2"/>
      <w:numFmt w:val="decimal"/>
      <w:start w:val="1"/>
    </w:lvl>
  </w:abstractNum>
  <w:abstractNum w:abstractNumId="63">
    <w:nsid w:val="135B8110"/>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64">
    <w:nsid w:val="94927A8"/>
    <w:multiLevelType w:val="hybridMultilevel"/>
    <w:lvl w:ilvl="0">
      <w:lvlJc w:val="left"/>
      <w:lvlText w:val="%1"/>
      <w:numFmt w:val="decimal"/>
      <w:start w:val="1"/>
    </w:lvl>
    <w:lvl w:ilvl="1">
      <w:lvlJc w:val="left"/>
      <w:lvlText w:val="(%2)"/>
      <w:numFmt w:val="upperLetter"/>
      <w:start w:val="2"/>
    </w:lvl>
  </w:abstractNum>
  <w:abstractNum w:abstractNumId="65">
    <w:nsid w:val="DCDF8F6"/>
    <w:multiLevelType w:val="hybridMultilevel"/>
    <w:lvl w:ilvl="0">
      <w:lvlJc w:val="left"/>
      <w:lvlText w:val="(%1)"/>
      <w:numFmt w:val="decimal"/>
      <w:start w:val="3"/>
    </w:lvl>
    <w:lvl w:ilvl="1">
      <w:lvlJc w:val="left"/>
      <w:lvlText w:val="(%2)"/>
      <w:numFmt w:val="upperLetter"/>
      <w:start w:val="5"/>
    </w:lvl>
  </w:abstractNum>
  <w:abstractNum w:abstractNumId="66">
    <w:nsid w:val="52D7B105"/>
    <w:multiLevelType w:val="hybridMultilevel"/>
    <w:lvl w:ilvl="0">
      <w:lvlJc w:val="left"/>
      <w:lvlText w:val="(%1)"/>
      <w:numFmt w:val="decimal"/>
      <w:start w:val="3"/>
    </w:lvl>
    <w:lvl w:ilvl="1">
      <w:lvlJc w:val="left"/>
      <w:lvlText w:val="(%2)"/>
      <w:numFmt w:val="upperLetter"/>
      <w:start w:val="6"/>
    </w:lvl>
  </w:abstractNum>
  <w:abstractNum w:abstractNumId="67">
    <w:nsid w:val="2E8A6394"/>
    <w:multiLevelType w:val="hybridMultilevel"/>
    <w:lvl w:ilvl="0">
      <w:lvlJc w:val="left"/>
      <w:lvlText w:val="(%1)"/>
      <w:numFmt w:val="upperLetter"/>
      <w:start w:val="1"/>
    </w:lvl>
  </w:abstractNum>
  <w:abstractNum w:abstractNumId="68">
    <w:nsid w:val="24E60401"/>
    <w:multiLevelType w:val="hybridMultilevel"/>
    <w:lvl w:ilvl="0">
      <w:lvlJc w:val="left"/>
      <w:lvlText w:val="(%1)"/>
      <w:numFmt w:val="decimal"/>
      <w:start w:val="2"/>
    </w:lvl>
    <w:lvl w:ilvl="1">
      <w:lvlJc w:val="left"/>
      <w:lvlText w:val="(%2)"/>
      <w:numFmt w:val="upperLetter"/>
      <w:start w:val="1"/>
    </w:lvl>
  </w:abstractNum>
  <w:abstractNum w:abstractNumId="69">
    <w:nsid w:val="2A6AD9BE"/>
    <w:multiLevelType w:val="hybridMultilevel"/>
    <w:lvl w:ilvl="0">
      <w:lvlJc w:val="left"/>
      <w:lvlText w:val="(%1)"/>
      <w:numFmt w:val="decimal"/>
      <w:start w:val="3"/>
    </w:lvl>
  </w:abstractNum>
  <w:abstractNum w:abstractNumId="70">
    <w:nsid w:val="BAAC1B4"/>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71">
    <w:nsid w:val="36B2ACBC"/>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72">
    <w:nsid w:val="779D8544"/>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73">
    <w:nsid w:val="4AB26E78"/>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74">
    <w:nsid w:val="21FAA2FA"/>
    <w:multiLevelType w:val="hybridMultilevel"/>
    <w:lvl w:ilvl="0">
      <w:lvlJc w:val="left"/>
      <w:lvlText w:val="(%1)"/>
      <w:numFmt w:val="lowerLetter"/>
      <w:start w:val="4"/>
    </w:lvl>
    <w:lvl w:ilvl="1">
      <w:lvlJc w:val="left"/>
      <w:lvlText w:val="%2"/>
      <w:numFmt w:val="upperLetter"/>
      <w:start w:val="1"/>
    </w:lvl>
    <w:lvl w:ilvl="2">
      <w:lvlJc w:val="left"/>
      <w:lvlText w:val="(%3)"/>
      <w:numFmt w:val="decimal"/>
      <w:start w:val="2"/>
    </w:lvl>
  </w:abstractNum>
  <w:abstractNum w:abstractNumId="75">
    <w:nsid w:val="5451CF49"/>
    <w:multiLevelType w:val="hybridMultilevel"/>
    <w:lvl w:ilvl="0">
      <w:lvlJc w:val="left"/>
      <w:lvlText w:val="(%1)"/>
      <w:numFmt w:val="decimal"/>
      <w:start w:val="3"/>
    </w:lvl>
  </w:abstractNum>
  <w:abstractNum w:abstractNumId="76">
    <w:nsid w:val="6181EF69"/>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77">
    <w:nsid w:val="3E6400E6"/>
    <w:multiLevelType w:val="hybridMultilevel"/>
    <w:lvl w:ilvl="0">
      <w:lvlJc w:val="left"/>
      <w:lvlText w:val="(%1)"/>
      <w:numFmt w:val="decimal"/>
      <w:start w:val="7"/>
    </w:lvl>
  </w:abstractNum>
  <w:abstractNum w:abstractNumId="78">
    <w:nsid w:val="14217E23"/>
    <w:multiLevelType w:val="hybridMultilevel"/>
    <w:lvl w:ilvl="0">
      <w:lvlJc w:val="left"/>
      <w:lvlText w:val="(%1)"/>
      <w:numFmt w:val="decimal"/>
      <w:start w:val="1"/>
    </w:lvl>
  </w:abstractNum>
  <w:abstractNum w:abstractNumId="79">
    <w:nsid w:val="710757D0"/>
    <w:multiLevelType w:val="hybridMultilevel"/>
    <w:lvl w:ilvl="0">
      <w:lvlJc w:val="left"/>
      <w:lvlText w:val="(%1)"/>
      <w:numFmt w:val="decimal"/>
      <w:start w:val="1"/>
    </w:lvl>
  </w:abstractNum>
  <w:abstractNum w:abstractNumId="80">
    <w:nsid w:val="5015CD1A"/>
    <w:multiLevelType w:val="hybridMultilevel"/>
    <w:lvl w:ilvl="0">
      <w:lvlJc w:val="left"/>
      <w:lvlText w:val="(%1)"/>
      <w:numFmt w:val="decimal"/>
      <w:start w:val="5"/>
    </w:lvl>
  </w:abstractNum>
  <w:abstractNum w:abstractNumId="81">
    <w:nsid w:val="424479DA"/>
    <w:multiLevelType w:val="hybridMultilevel"/>
    <w:lvl w:ilvl="0">
      <w:lvlJc w:val="left"/>
      <w:lvlText w:val="(%1)"/>
      <w:numFmt w:val="lowerLetter"/>
      <w:start w:val="1"/>
    </w:lvl>
    <w:lvl w:ilvl="1">
      <w:lvlJc w:val="left"/>
      <w:lvlText w:val="(%2)"/>
      <w:numFmt w:val="decimal"/>
      <w:start w:val="1"/>
    </w:lvl>
  </w:abstractNum>
  <w:abstractNum w:abstractNumId="82">
    <w:nsid w:val="1A9A9E69"/>
    <w:multiLevelType w:val="hybridMultilevel"/>
    <w:lvl w:ilvl="0">
      <w:lvlJc w:val="left"/>
      <w:lvlText w:val="(%1)"/>
      <w:numFmt w:val="lowerLetter"/>
      <w:start w:val="6"/>
    </w:lvl>
  </w:abstractNum>
  <w:abstractNum w:abstractNumId="83">
    <w:nsid w:val="475E256A"/>
    <w:multiLevelType w:val="hybridMultilevel"/>
    <w:lvl w:ilvl="0">
      <w:lvlJc w:val="left"/>
      <w:lvlText w:val="(%1)"/>
      <w:numFmt w:val="decimal"/>
      <w:start w:val="1"/>
    </w:lvl>
  </w:abstractNum>
  <w:abstractNum w:abstractNumId="84">
    <w:nsid w:val="368DB37E"/>
    <w:multiLevelType w:val="hybridMultilevel"/>
    <w:lvl w:ilvl="0">
      <w:lvlJc w:val="left"/>
      <w:lvlText w:val="(%1)"/>
      <w:numFmt w:val="decimal"/>
      <w:start w:val="8"/>
    </w:lvl>
  </w:abstractNum>
  <w:abstractNum w:abstractNumId="85">
    <w:nsid w:val="6A3B714C"/>
    <w:multiLevelType w:val="hybridMultilevel"/>
    <w:lvl w:ilvl="0">
      <w:lvlJc w:val="left"/>
      <w:lvlText w:val="(%1)"/>
      <w:numFmt w:val="lowerLetter"/>
      <w:start w:val="1"/>
    </w:lvl>
    <w:lvl w:ilvl="1">
      <w:lvlJc w:val="left"/>
      <w:lvlText w:val="(%2)"/>
      <w:numFmt w:val="decimal"/>
      <w:start w:val="1"/>
    </w:lvl>
  </w:abstractNum>
  <w:abstractNum w:abstractNumId="86">
    <w:nsid w:val="327B517E"/>
    <w:multiLevelType w:val="hybridMultilevel"/>
    <w:lvl w:ilvl="0">
      <w:lvlJc w:val="left"/>
      <w:lvlText w:val="%1"/>
      <w:numFmt w:val="lowerLetter"/>
      <w:start w:val="1"/>
    </w:lvl>
    <w:lvl w:ilvl="1">
      <w:lvlJc w:val="left"/>
      <w:lvlText w:val="(%2)"/>
      <w:numFmt w:val="lowerLetter"/>
      <w:start w:val="2"/>
    </w:lvl>
  </w:abstractNum>
  <w:abstractNum w:abstractNumId="87">
    <w:nsid w:val="1F461B51"/>
    <w:multiLevelType w:val="hybridMultilevel"/>
    <w:lvl w:ilvl="0">
      <w:lvlJc w:val="left"/>
      <w:lvlText w:val="(%1)"/>
      <w:numFmt w:val="lowerLetter"/>
      <w:start w:val="1"/>
    </w:lvl>
    <w:lvl w:ilvl="1">
      <w:lvlJc w:val="left"/>
      <w:lvlText w:val="(%2)"/>
      <w:numFmt w:val="lowerLetter"/>
      <w:start w:val="4"/>
    </w:lvl>
  </w:abstractNum>
  <w:abstractNum w:abstractNumId="88">
    <w:nsid w:val="29BACF25"/>
    <w:multiLevelType w:val="hybridMultilevel"/>
    <w:lvl w:ilvl="0">
      <w:lvlJc w:val="left"/>
      <w:lvlText w:val="(%1)"/>
      <w:numFmt w:val="lowerLetter"/>
      <w:start w:val="5"/>
    </w:lvl>
  </w:abstractNum>
  <w:abstractNum w:abstractNumId="89">
    <w:nsid w:val="5D5BABB3"/>
    <w:multiLevelType w:val="hybridMultilevel"/>
    <w:lvl w:ilvl="0">
      <w:lvlJc w:val="left"/>
      <w:lvlText w:val="(%1)"/>
      <w:numFmt w:val="lowerLetter"/>
      <w:start w:val="1"/>
    </w:lvl>
  </w:abstractNum>
  <w:abstractNum w:abstractNumId="90">
    <w:nsid w:val="51BF6B48"/>
    <w:multiLevelType w:val="hybridMultilevel"/>
    <w:lvl w:ilvl="0">
      <w:lvlJc w:val="left"/>
      <w:lvlText w:val="(%1)"/>
      <w:numFmt w:val="lowerLetter"/>
      <w:start w:val="1"/>
    </w:lvl>
    <w:lvl w:ilvl="1">
      <w:lvlJc w:val="left"/>
      <w:lvlText w:val="(%2)"/>
      <w:numFmt w:val="decimal"/>
      <w:start w:val="1"/>
    </w:lvl>
  </w:abstractNum>
  <w:abstractNum w:abstractNumId="91">
    <w:nsid w:val="7E0F6384"/>
    <w:multiLevelType w:val="hybridMultilevel"/>
    <w:lvl w:ilvl="0">
      <w:lvlJc w:val="left"/>
      <w:lvlText w:val="(%1)"/>
      <w:numFmt w:val="decimal"/>
      <w:start w:val="1"/>
    </w:lvl>
    <w:lvl w:ilvl="1">
      <w:lvlJc w:val="left"/>
      <w:lvlText w:val="(%2)"/>
      <w:numFmt w:val="upperLetter"/>
      <w:start w:val="1"/>
    </w:lvl>
  </w:abstractNum>
  <w:abstractNum w:abstractNumId="92">
    <w:nsid w:val="2B4B8B5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93">
    <w:nsid w:val="72E3413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94">
    <w:nsid w:val="116AE494"/>
    <w:multiLevelType w:val="hybridMultilevel"/>
    <w:lvl w:ilvl="0">
      <w:lvlJc w:val="left"/>
      <w:lvlText w:val="(%1)"/>
      <w:numFmt w:val="decimal"/>
      <w:start w:val="6"/>
    </w:lvl>
  </w:abstractNum>
  <w:abstractNum w:abstractNumId="95">
    <w:nsid w:val="3494B2FB"/>
    <w:multiLevelType w:val="hybridMultilevel"/>
    <w:lvl w:ilvl="0">
      <w:lvlJc w:val="left"/>
      <w:lvlText w:val="%1"/>
      <w:numFmt w:val="lowerRoman"/>
      <w:start w:val="1"/>
    </w:lvl>
    <w:lvl w:ilvl="1">
      <w:lvlJc w:val="left"/>
      <w:lvlText w:val="(%2)"/>
      <w:numFmt w:val="decimal"/>
      <w:start w:val="15"/>
    </w:lvl>
  </w:abstractNum>
  <w:abstractNum w:abstractNumId="96">
    <w:nsid w:val="B13A31"/>
    <w:multiLevelType w:val="hybridMultilevel"/>
    <w:lvl w:ilvl="0">
      <w:lvlJc w:val="left"/>
      <w:lvlText w:val="(%1)"/>
      <w:numFmt w:val="lowerRoman"/>
      <w:start w:val="1"/>
    </w:lvl>
    <w:lvl w:ilvl="1">
      <w:lvlJc w:val="left"/>
      <w:lvlText w:val="%2"/>
      <w:numFmt w:val="decimal"/>
      <w:start w:val="1"/>
    </w:lvl>
  </w:abstractNum>
  <w:abstractNum w:abstractNumId="97">
    <w:nsid w:val="64429599"/>
    <w:multiLevelType w:val="hybridMultilevel"/>
    <w:lvl w:ilvl="0">
      <w:lvlJc w:val="left"/>
      <w:lvlText w:val="(%1)"/>
      <w:numFmt w:val="lowerLetter"/>
      <w:start w:val="3"/>
    </w:lvl>
  </w:abstractNum>
  <w:abstractNum w:abstractNumId="98">
    <w:nsid w:val="631F1690"/>
    <w:multiLevelType w:val="hybridMultilevel"/>
    <w:lvl w:ilvl="0">
      <w:lvlJc w:val="left"/>
      <w:lvlText w:val="(%1)"/>
      <w:numFmt w:val="lowerLetter"/>
      <w:start w:val="1"/>
    </w:lvl>
    <w:lvl w:ilvl="1">
      <w:lvlJc w:val="left"/>
      <w:lvlText w:val="(%2)"/>
      <w:numFmt w:val="decimal"/>
      <w:start w:val="1"/>
    </w:lvl>
  </w:abstractNum>
  <w:abstractNum w:abstractNumId="99">
    <w:nsid w:val="25973E32"/>
    <w:multiLevelType w:val="hybridMultilevel"/>
    <w:lvl w:ilvl="0">
      <w:lvlJc w:val="left"/>
      <w:lvlText w:val="(%1)"/>
      <w:numFmt w:val="decimal"/>
      <w:start w:val="2"/>
    </w:lvl>
  </w:abstractNum>
  <w:abstractNum w:abstractNumId="100">
    <w:nsid w:val="EAD6F57"/>
    <w:multiLevelType w:val="hybridMultilevel"/>
    <w:lvl w:ilvl="0">
      <w:lvlJc w:val="left"/>
      <w:lvlText w:val="(%1)"/>
      <w:numFmt w:val="decimal"/>
      <w:start w:val="11"/>
    </w:lvl>
  </w:abstractNum>
  <w:abstractNum w:abstractNumId="101">
    <w:nsid w:val="6EC9D844"/>
    <w:multiLevelType w:val="hybridMultilevel"/>
    <w:lvl w:ilvl="0">
      <w:lvlJc w:val="left"/>
      <w:lvlText w:val="(%1)"/>
      <w:numFmt w:val="decimal"/>
      <w:start w:val="14"/>
    </w:lvl>
  </w:abstractNum>
  <w:abstractNum w:abstractNumId="102">
    <w:nsid w:val="5C49EAEE"/>
    <w:multiLevelType w:val="hybridMultilevel"/>
    <w:lvl w:ilvl="0">
      <w:lvlJc w:val="left"/>
      <w:lvlText w:val="(%1)"/>
      <w:numFmt w:val="lowerLetter"/>
      <w:start w:val="1"/>
    </w:lvl>
    <w:lvl w:ilvl="1">
      <w:lvlJc w:val="left"/>
      <w:lvlText w:val="(%2)"/>
      <w:numFmt w:val="decimal"/>
      <w:start w:val="1"/>
    </w:lvl>
  </w:abstractNum>
  <w:abstractNum w:abstractNumId="103">
    <w:nsid w:val="64AF49B"/>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04">
    <w:nsid w:val="397C46BC"/>
    <w:multiLevelType w:val="hybridMultilevel"/>
    <w:lvl w:ilvl="0">
      <w:lvlJc w:val="left"/>
      <w:lvlText w:val="(%1)"/>
      <w:numFmt w:val="lowerLetter"/>
      <w:start w:val="25"/>
    </w:lvl>
    <w:lvl w:ilvl="1">
      <w:lvlJc w:val="left"/>
      <w:lvlText w:val="(%2)"/>
      <w:numFmt w:val="decimal"/>
      <w:start w:val="4"/>
    </w:lvl>
    <w:lvl w:ilvl="2">
      <w:lvlJc w:val="left"/>
      <w:lvlText w:val="(%3)"/>
      <w:numFmt w:val="upperLetter"/>
      <w:start w:val="1"/>
    </w:lvl>
  </w:abstractNum>
  <w:abstractNum w:abstractNumId="105">
    <w:nsid w:val="7E448DE9"/>
    <w:multiLevelType w:val="hybridMultilevel"/>
    <w:lvl w:ilvl="0">
      <w:lvlJc w:val="left"/>
      <w:lvlText w:val="%1"/>
      <w:numFmt w:val="upperLetter"/>
      <w:start w:val="1"/>
    </w:lvl>
    <w:lvl w:ilvl="1">
      <w:lvlJc w:val="left"/>
      <w:lvlText w:val="(%2)"/>
      <w:numFmt w:val="decimal"/>
      <w:start w:val="7"/>
    </w:lvl>
  </w:abstractNum>
  <w:abstractNum w:abstractNumId="106">
    <w:nsid w:val="5A9CC3E5"/>
    <w:multiLevelType w:val="hybridMultilevel"/>
    <w:lvl w:ilvl="0">
      <w:lvlJc w:val="left"/>
      <w:lvlText w:val="(%1)"/>
      <w:numFmt w:val="upperLetter"/>
      <w:start w:val="1"/>
    </w:lvl>
    <w:lvl w:ilvl="1">
      <w:lvlJc w:val="left"/>
      <w:lvlText w:val="%2"/>
      <w:numFmt w:val="decimal"/>
      <w:start w:val="1"/>
    </w:lvl>
  </w:abstractNum>
  <w:abstractNum w:abstractNumId="107">
    <w:nsid w:val="1AFE3625"/>
    <w:multiLevelType w:val="hybridMultilevel"/>
    <w:lvl w:ilvl="0">
      <w:lvlJc w:val="left"/>
      <w:lvlText w:val="(%1)"/>
      <w:numFmt w:val="decimal"/>
      <w:start w:val="16"/>
    </w:lvl>
  </w:abstractNum>
  <w:abstractNum w:abstractNumId="108">
    <w:nsid w:val="3CA88ECF"/>
    <w:multiLevelType w:val="hybridMultilevel"/>
    <w:lvl w:ilvl="0">
      <w:lvlJc w:val="left"/>
      <w:lvlText w:val="%1"/>
      <w:numFmt w:val="decimal"/>
      <w:start w:val="1"/>
    </w:lvl>
    <w:lvl w:ilvl="1">
      <w:lvlJc w:val="left"/>
      <w:lvlText w:val="%2"/>
      <w:numFmt w:val="lowerLetter"/>
      <w:start w:val="1"/>
    </w:lvl>
    <w:lvl w:ilvl="2">
      <w:lvlJc w:val="left"/>
      <w:lvlText w:val="(%3)"/>
      <w:numFmt w:val="decimal"/>
      <w:start w:val="24"/>
    </w:lvl>
  </w:abstractNum>
  <w:abstractNum w:abstractNumId="109">
    <w:nsid w:val="6EBE4208"/>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10">
    <w:nsid w:val="C058DF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11">
    <w:nsid w:val="CBE5BE9"/>
    <w:multiLevelType w:val="hybridMultilevel"/>
    <w:lvl w:ilvl="0">
      <w:lvlJc w:val="left"/>
      <w:lvlText w:val="(%1)"/>
      <w:numFmt w:val="decimal"/>
      <w:start w:val="3"/>
    </w:lvl>
    <w:lvl w:ilvl="1">
      <w:lvlJc w:val="left"/>
      <w:lvlText w:val="(%2)"/>
      <w:numFmt w:val="lowerLetter"/>
      <w:start w:val="4"/>
    </w:lvl>
    <w:lvl w:ilvl="2">
      <w:lvlJc w:val="left"/>
      <w:lvlText w:val="(%3)"/>
      <w:numFmt w:val="decimal"/>
      <w:start w:val="1"/>
    </w:lvl>
  </w:abstractNum>
  <w:abstractNum w:abstractNumId="112">
    <w:nsid w:val="3102BBE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13">
    <w:nsid w:val="26A02C5E"/>
    <w:multiLevelType w:val="hybridMultilevel"/>
    <w:lvl w:ilvl="0">
      <w:lvlJc w:val="left"/>
      <w:lvlText w:val="%1"/>
      <w:numFmt w:val="lowerLetter"/>
      <w:start w:val="1"/>
    </w:lvl>
    <w:lvl w:ilvl="1">
      <w:lvlJc w:val="left"/>
      <w:lvlText w:val="(%2)"/>
      <w:numFmt w:val="lowerLetter"/>
      <w:start w:val="6"/>
    </w:lvl>
    <w:lvl w:ilvl="2">
      <w:lvlJc w:val="left"/>
      <w:lvlText w:val="%3"/>
      <w:numFmt w:val="decimal"/>
      <w:start w:val="1"/>
    </w:lvl>
  </w:abstractNum>
  <w:abstractNum w:abstractNumId="114">
    <w:nsid w:val="541C8153"/>
    <w:multiLevelType w:val="hybridMultilevel"/>
    <w:lvl w:ilvl="0">
      <w:lvlJc w:val="left"/>
      <w:lvlText w:val="(%1)"/>
      <w:numFmt w:val="lowerLetter"/>
      <w:start w:val="9"/>
    </w:lvl>
    <w:lvl w:ilvl="1">
      <w:lvlJc w:val="left"/>
      <w:lvlText w:val="(%2)"/>
      <w:numFmt w:val="lowerLetter"/>
      <w:start w:val="7"/>
    </w:lvl>
    <w:lvl w:ilvl="2">
      <w:lvlJc w:val="left"/>
      <w:lvlText w:val="%3"/>
      <w:numFmt w:val="decimal"/>
      <w:start w:val="1"/>
    </w:lvl>
  </w:abstractNum>
  <w:abstractNum w:abstractNumId="115">
    <w:nsid w:val="67906F60"/>
    <w:multiLevelType w:val="hybridMultilevel"/>
    <w:lvl w:ilvl="0">
      <w:lvlJc w:val="left"/>
      <w:lvlText w:val="(%1)"/>
      <w:numFmt w:val="lowerLetter"/>
      <w:start w:val="25"/>
    </w:lvl>
    <w:lvl w:ilvl="1">
      <w:lvlJc w:val="left"/>
      <w:lvlText w:val="%2"/>
      <w:numFmt w:val="lowerLetter"/>
      <w:start w:val="1"/>
    </w:lvl>
    <w:lvl w:ilvl="2">
      <w:lvlJc w:val="left"/>
      <w:lvlText w:val="%3"/>
      <w:numFmt w:val="decimal"/>
      <w:start w:val="1"/>
    </w:lvl>
  </w:abstractNum>
  <w:abstractNum w:abstractNumId="116">
    <w:nsid w:val="10DB9DAA"/>
    <w:multiLevelType w:val="hybridMultilevel"/>
    <w:lvl w:ilvl="0">
      <w:lvlJc w:val="left"/>
      <w:lvlText w:val="(%1)"/>
      <w:numFmt w:val="lowerLetter"/>
      <w:start w:val="1"/>
    </w:lvl>
    <w:lvl w:ilvl="1">
      <w:lvlJc w:val="left"/>
      <w:lvlText w:val="(%2)"/>
      <w:numFmt w:val="decimal"/>
      <w:start w:val="1"/>
    </w:lvl>
  </w:abstractNum>
  <w:abstractNum w:abstractNumId="117">
    <w:nsid w:val="697D2D2"/>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18">
    <w:nsid w:val="6D68AB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9">
    <w:nsid w:val="3A966CD0"/>
    <w:multiLevelType w:val="hybridMultilevel"/>
    <w:lvl w:ilvl="0">
      <w:lvlJc w:val="left"/>
      <w:lvlText w:val="(%1)"/>
      <w:numFmt w:val="lowerLetter"/>
      <w:start w:val="3"/>
    </w:lvl>
  </w:abstractNum>
  <w:abstractNum w:abstractNumId="120">
    <w:nsid w:val="63F37E85"/>
    <w:multiLevelType w:val="hybridMultilevel"/>
    <w:lvl w:ilvl="0">
      <w:lvlJc w:val="left"/>
      <w:lvlText w:val="(%1)"/>
      <w:numFmt w:val="lowerLetter"/>
      <w:start w:val="5"/>
    </w:lvl>
  </w:abstractNum>
  <w:abstractNum w:abstractNumId="121">
    <w:nsid w:val="5895F5FA"/>
    <w:multiLevelType w:val="hybridMultilevel"/>
    <w:lvl w:ilvl="0">
      <w:lvlJc w:val="left"/>
      <w:lvlText w:val="(%1)"/>
      <w:numFmt w:val="lowerLetter"/>
      <w:start w:val="1"/>
    </w:lvl>
  </w:abstractNum>
  <w:abstractNum w:abstractNumId="122">
    <w:nsid w:val="38A5D054"/>
    <w:multiLevelType w:val="hybridMultilevel"/>
    <w:lvl w:ilvl="0">
      <w:lvlJc w:val="left"/>
      <w:lvlText w:val="%1"/>
      <w:numFmt w:val="lowerLetter"/>
      <w:start w:val="1"/>
    </w:lvl>
    <w:lvl w:ilvl="1">
      <w:lvlJc w:val="left"/>
      <w:lvlText w:val="(%2)"/>
      <w:numFmt w:val="decimal"/>
      <w:start w:val="1"/>
    </w:lvl>
  </w:abstractNum>
  <w:abstractNum w:abstractNumId="123">
    <w:nsid w:val="F3F09D8"/>
    <w:multiLevelType w:val="hybridMultilevel"/>
    <w:lvl w:ilvl="0">
      <w:lvlJc w:val="left"/>
      <w:lvlText w:val="(%1)"/>
      <w:numFmt w:val="lowerLetter"/>
      <w:start w:val="2"/>
    </w:lvl>
    <w:lvl w:ilvl="1">
      <w:lvlJc w:val="left"/>
      <w:lvlText w:val="%2"/>
      <w:numFmt w:val="decimal"/>
      <w:start w:val="1"/>
    </w:lvl>
  </w:abstractNum>
  <w:abstractNum w:abstractNumId="124">
    <w:nsid w:val="4B793735"/>
    <w:multiLevelType w:val="hybridMultilevel"/>
    <w:lvl w:ilvl="0">
      <w:lvlJc w:val="left"/>
      <w:lvlText w:val="(%1)"/>
      <w:numFmt w:val="decimal"/>
      <w:start w:val="1"/>
    </w:lvl>
  </w:abstractNum>
  <w:abstractNum w:abstractNumId="125">
    <w:nsid w:val="4A10B4E8"/>
    <w:multiLevelType w:val="hybridMultilevel"/>
    <w:lvl w:ilvl="0">
      <w:lvlJc w:val="left"/>
      <w:lvlText w:val="(%1)"/>
      <w:numFmt w:val="decimal"/>
      <w:start w:val="10"/>
    </w:lvl>
  </w:abstractNum>
  <w:abstractNum w:abstractNumId="126">
    <w:nsid w:val="43D3BCD4"/>
    <w:multiLevelType w:val="hybridMultilevel"/>
    <w:lvl w:ilvl="0">
      <w:lvlJc w:val="left"/>
      <w:lvlText w:val="(%1)"/>
      <w:numFmt w:val="lowerLetter"/>
      <w:start w:val="1"/>
    </w:lvl>
    <w:lvl w:ilvl="1">
      <w:lvlJc w:val="left"/>
      <w:lvlText w:val="(%2)"/>
      <w:numFmt w:val="decimal"/>
      <w:start w:val="1"/>
    </w:lvl>
  </w:abstractNum>
  <w:abstractNum w:abstractNumId="127">
    <w:nsid w:val="4C2A7166"/>
    <w:multiLevelType w:val="hybridMultilevel"/>
    <w:lvl w:ilvl="0">
      <w:lvlJc w:val="left"/>
      <w:lvlText w:val="(%1)"/>
      <w:numFmt w:val="decimal"/>
      <w:start w:val="1"/>
    </w:lvl>
  </w:abstractNum>
  <w:abstractNum w:abstractNumId="128">
    <w:nsid w:val="2E534A82"/>
    <w:multiLevelType w:val="hybridMultilevel"/>
    <w:lvl w:ilvl="0">
      <w:lvlJc w:val="left"/>
      <w:lvlText w:val="(%1)"/>
      <w:numFmt w:val="lowerLetter"/>
      <w:start w:val="1"/>
    </w:lvl>
    <w:lvl w:ilvl="1">
      <w:lvlJc w:val="left"/>
      <w:lvlText w:val="(%2)"/>
      <w:numFmt w:val="decimal"/>
      <w:start w:val="1"/>
    </w:lvl>
  </w:abstractNum>
  <w:abstractNum w:abstractNumId="129">
    <w:nsid w:val="26F2D364"/>
    <w:multiLevelType w:val="hybridMultilevel"/>
    <w:lvl w:ilvl="0">
      <w:lvlJc w:val="left"/>
      <w:lvlText w:val="(%1)"/>
      <w:numFmt w:val="decimal"/>
      <w:start w:val="7"/>
    </w:lvl>
  </w:abstractNum>
  <w:abstractNum w:abstractNumId="130">
    <w:nsid w:val="71C1AF98"/>
    <w:multiLevelType w:val="hybridMultilevel"/>
    <w:lvl w:ilvl="0">
      <w:lvlJc w:val="left"/>
      <w:lvlText w:val="(%1)"/>
      <w:numFmt w:val="lowerLetter"/>
      <w:start w:val="2"/>
    </w:lvl>
    <w:lvl w:ilvl="1">
      <w:lvlJc w:val="left"/>
      <w:lvlText w:val="(%2)"/>
      <w:numFmt w:val="decimal"/>
      <w:start w:val="1"/>
    </w:lvl>
  </w:abstractNum>
  <w:abstractNum w:abstractNumId="131">
    <w:nsid w:val="3D00B9D9"/>
    <w:multiLevelType w:val="hybridMultilevel"/>
    <w:lvl w:ilvl="0">
      <w:lvlJc w:val="left"/>
      <w:lvlText w:val="(%1)"/>
      <w:numFmt w:val="lowerLetter"/>
      <w:start w:val="3"/>
    </w:lvl>
  </w:abstractNum>
  <w:abstractNum w:abstractNumId="132">
    <w:nsid w:val="15BCABA8"/>
    <w:multiLevelType w:val="hybridMultilevel"/>
    <w:lvl w:ilvl="0">
      <w:lvlJc w:val="left"/>
      <w:lvlText w:val="(%1)"/>
      <w:numFmt w:val="lowerLetter"/>
      <w:start w:val="1"/>
    </w:lvl>
  </w:abstractNum>
  <w:abstractNum w:abstractNumId="133">
    <w:nsid w:val="4E0B9A87"/>
    <w:multiLevelType w:val="hybridMultilevel"/>
    <w:lvl w:ilvl="0">
      <w:lvlJc w:val="left"/>
      <w:lvlText w:val="(%1)"/>
      <w:numFmt w:val="decimal"/>
      <w:start w:val="2"/>
    </w:lvl>
  </w:abstractNum>
  <w:abstractNum w:abstractNumId="134">
    <w:nsid w:val="434BAE75"/>
    <w:multiLevelType w:val="hybridMultilevel"/>
    <w:lvl w:ilvl="0">
      <w:lvlJc w:val="left"/>
      <w:lvlText w:val="(%1)"/>
      <w:numFmt w:val="decimal"/>
      <w:start w:val="1"/>
    </w:lvl>
  </w:abstractNum>
  <w:abstractNum w:abstractNumId="135">
    <w:nsid w:val="4F38F265"/>
    <w:multiLevelType w:val="hybridMultilevel"/>
    <w:lvl w:ilvl="0">
      <w:lvlJc w:val="left"/>
      <w:lvlText w:val="%1"/>
      <w:numFmt w:val="upperLetter"/>
      <w:start w:val="1"/>
    </w:lvl>
    <w:lvl w:ilvl="1">
      <w:lvlJc w:val="left"/>
      <w:lvlText w:val="(%2)"/>
      <w:numFmt w:val="decimal"/>
      <w:start w:val="2"/>
    </w:lvl>
  </w:abstractNum>
  <w:abstractNum w:abstractNumId="136">
    <w:nsid w:val="4C502870"/>
    <w:multiLevelType w:val="hybridMultilevel"/>
    <w:lvl w:ilvl="0">
      <w:lvlJc w:val="left"/>
      <w:lvlText w:val="(%1)"/>
      <w:numFmt w:val="upperLetter"/>
      <w:start w:val="1"/>
    </w:lvl>
    <w:lvl w:ilvl="1">
      <w:lvlJc w:val="left"/>
      <w:lvlText w:val="(%2)"/>
      <w:numFmt w:val="decimal"/>
      <w:start w:val="5"/>
    </w:lvl>
  </w:abstractNum>
  <w:abstractNum w:abstractNumId="137">
    <w:nsid w:val="1DE8725A"/>
    <w:multiLevelType w:val="hybridMultilevel"/>
    <w:lvl w:ilvl="0">
      <w:lvlJc w:val="left"/>
      <w:lvlText w:val="(%1)"/>
      <w:numFmt w:val="decimal"/>
      <w:start w:val="1"/>
    </w:lvl>
  </w:abstractNum>
  <w:abstractNum w:abstractNumId="138">
    <w:nsid w:val="6A37288A"/>
    <w:multiLevelType w:val="hybridMultilevel"/>
    <w:lvl w:ilvl="0">
      <w:lvlJc w:val="left"/>
      <w:lvlText w:val="(%1)"/>
      <w:numFmt w:val="lowerLetter"/>
      <w:start w:val="1"/>
    </w:lvl>
  </w:abstractNum>
  <w:abstractNum w:abstractNumId="139">
    <w:nsid w:val="8F8B73F"/>
    <w:multiLevelType w:val="hybridMultilevel"/>
    <w:lvl w:ilvl="0">
      <w:lvlJc w:val="left"/>
      <w:lvlText w:val="(%1)"/>
      <w:numFmt w:val="decimal"/>
      <w:start w:val="1"/>
    </w:lvl>
  </w:abstractNum>
  <w:abstractNum w:abstractNumId="140">
    <w:nsid w:val="CA6B462"/>
    <w:multiLevelType w:val="hybridMultilevel"/>
    <w:lvl w:ilvl="0">
      <w:lvlJc w:val="left"/>
      <w:lvlText w:val="(%1)"/>
      <w:numFmt w:val="decimal"/>
      <w:start w:val="2"/>
    </w:lvl>
  </w:abstractNum>
  <w:abstractNum w:abstractNumId="141">
    <w:nsid w:val="763CB680"/>
    <w:multiLevelType w:val="hybridMultilevel"/>
    <w:lvl w:ilvl="0">
      <w:lvlJc w:val="left"/>
      <w:lvlText w:val="(%1)"/>
      <w:numFmt w:val="decimal"/>
      <w:start w:val="3"/>
    </w:lvl>
    <w:lvl w:ilvl="1">
      <w:lvlJc w:val="left"/>
      <w:lvlText w:val="(%2)"/>
      <w:numFmt w:val="upperLetter"/>
      <w:start w:val="1"/>
    </w:lvl>
  </w:abstractNum>
  <w:abstractNum w:abstractNumId="142">
    <w:nsid w:val="15B71329"/>
    <w:multiLevelType w:val="hybridMultilevel"/>
    <w:lvl w:ilvl="0">
      <w:lvlJc w:val="left"/>
      <w:lvlText w:val="%1"/>
      <w:numFmt w:val="decimal"/>
      <w:start w:val="1"/>
    </w:lvl>
    <w:lvl w:ilvl="1">
      <w:lvlJc w:val="left"/>
      <w:lvlText w:val="(%2)"/>
      <w:numFmt w:val="upperLetter"/>
      <w:start w:val="3"/>
    </w:lvl>
  </w:abstractNum>
  <w:abstractNum w:abstractNumId="143">
    <w:nsid w:val="3DA97044"/>
    <w:multiLevelType w:val="hybridMultilevel"/>
    <w:lvl w:ilvl="0">
      <w:lvlJc w:val="left"/>
      <w:lvlText w:val="(%1)"/>
      <w:numFmt w:val="decimal"/>
      <w:start w:val="10"/>
    </w:lvl>
    <w:lvl w:ilvl="1">
      <w:lvlJc w:val="left"/>
      <w:lvlText w:val="(%2)"/>
      <w:numFmt w:val="upperLetter"/>
      <w:start w:val="1"/>
    </w:lvl>
  </w:abstractNum>
  <w:abstractNum w:abstractNumId="144">
    <w:nsid w:val="1CDCE2DE"/>
    <w:multiLevelType w:val="hybridMultilevel"/>
    <w:lvl w:ilvl="0">
      <w:lvlJc w:val="left"/>
      <w:lvlText w:val="(%1)"/>
      <w:numFmt w:val="lowerLetter"/>
      <w:start w:val="2"/>
    </w:lvl>
  </w:abstractNum>
  <w:abstractNum w:abstractNumId="145">
    <w:nsid w:val="69D3947C"/>
    <w:multiLevelType w:val="hybridMultilevel"/>
    <w:lvl w:ilvl="0">
      <w:lvlJc w:val="left"/>
      <w:lvlText w:val="(%1)"/>
      <w:numFmt w:val="lowerLetter"/>
      <w:start w:val="3"/>
    </w:lvl>
  </w:abstractNum>
  <w:abstractNum w:abstractNumId="146">
    <w:nsid w:val="2539DFA5"/>
    <w:multiLevelType w:val="hybridMultilevel"/>
    <w:lvl w:ilvl="0">
      <w:lvlJc w:val="left"/>
      <w:lvlText w:val="(%1)"/>
      <w:numFmt w:val="decimal"/>
      <w:start w:val="1"/>
    </w:lvl>
  </w:abstractNum>
  <w:abstractNum w:abstractNumId="147">
    <w:nsid w:val="2DB88089"/>
    <w:multiLevelType w:val="hybridMultilevel"/>
    <w:lvl w:ilvl="0">
      <w:lvlJc w:val="left"/>
      <w:lvlText w:val="(%1)"/>
      <w:numFmt w:val="decimal"/>
      <w:start w:val="1"/>
    </w:lvl>
  </w:abstractNum>
  <w:abstractNum w:abstractNumId="148">
    <w:nsid w:val="706B674E"/>
    <w:multiLevelType w:val="hybridMultilevel"/>
    <w:lvl w:ilvl="0">
      <w:lvlJc w:val="left"/>
      <w:lvlText w:val="(%1)"/>
      <w:numFmt w:val="decimal"/>
      <w:start w:val="2"/>
    </w:lvl>
  </w:abstractNum>
  <w:abstractNum w:abstractNumId="149">
    <w:nsid w:val="2C106A57"/>
    <w:multiLevelType w:val="hybridMultilevel"/>
    <w:lvl w:ilvl="0">
      <w:lvlJc w:val="left"/>
      <w:lvlText w:val="(%1)"/>
      <w:numFmt w:val="lowerLetter"/>
      <w:start w:val="1"/>
    </w:lvl>
    <w:lvl w:ilvl="1">
      <w:lvlJc w:val="left"/>
      <w:lvlText w:val="(%2)"/>
      <w:numFmt w:val="decimal"/>
      <w:start w:val="1"/>
    </w:lvl>
  </w:abstractNum>
  <w:abstractNum w:abstractNumId="150">
    <w:nsid w:val="684EED59"/>
    <w:multiLevelType w:val="hybridMultilevel"/>
    <w:lvl w:ilvl="0">
      <w:lvlJc w:val="left"/>
      <w:lvlText w:val="%1"/>
      <w:numFmt w:val="lowerLetter"/>
      <w:start w:val="1"/>
    </w:lvl>
    <w:lvl w:ilvl="1">
      <w:lvlJc w:val="left"/>
      <w:lvlText w:val="(%2)"/>
      <w:numFmt w:val="decimal"/>
      <w:start w:val="1"/>
    </w:lvl>
  </w:abstractNum>
  <w:abstractNum w:abstractNumId="151">
    <w:nsid w:val="545EE5D3"/>
    <w:multiLevelType w:val="hybridMultilevel"/>
    <w:lvl w:ilvl="0">
      <w:lvlJc w:val="left"/>
      <w:lvlText w:val="(%1)"/>
      <w:numFmt w:val="lowerLetter"/>
      <w:start w:val="4"/>
    </w:lvl>
    <w:lvl w:ilvl="1">
      <w:lvlJc w:val="left"/>
      <w:lvlText w:val="%2"/>
      <w:numFmt w:val="decimal"/>
      <w:start w:val="1"/>
    </w:lvl>
  </w:abstractNum>
  <w:abstractNum w:abstractNumId="152">
    <w:nsid w:val="4A66051"/>
    <w:multiLevelType w:val="hybridMultilevel"/>
    <w:lvl w:ilvl="0">
      <w:lvlJc w:val="left"/>
      <w:lvlText w:val="(%1)"/>
      <w:numFmt w:val="lowerLetter"/>
      <w:start w:val="1"/>
    </w:lvl>
  </w:abstractNum>
  <w:abstractNum w:abstractNumId="153">
    <w:nsid w:val="20F4BDAD"/>
    <w:multiLevelType w:val="hybridMultilevel"/>
    <w:lvl w:ilvl="0">
      <w:lvlJc w:val="left"/>
      <w:lvlText w:val="(%1)"/>
      <w:numFmt w:val="lowerLetter"/>
      <w:start w:val="8"/>
    </w:lvl>
  </w:abstractNum>
  <w:abstractNum w:abstractNumId="154">
    <w:nsid w:val="639DEFAC"/>
    <w:multiLevelType w:val="hybridMultilevel"/>
    <w:lvl w:ilvl="0">
      <w:lvlJc w:val="left"/>
      <w:lvlText w:val="(%1)"/>
      <w:numFmt w:val="lowerLetter"/>
      <w:start w:val="1"/>
    </w:lvl>
  </w:abstractNum>
  <w:abstractNum w:abstractNumId="155">
    <w:nsid w:val="501F9786"/>
    <w:multiLevelType w:val="hybridMultilevel"/>
    <w:lvl w:ilvl="0">
      <w:lvlJc w:val="left"/>
      <w:lvlText w:val="(%1)"/>
      <w:numFmt w:val="lowerLetter"/>
      <w:start w:val="1"/>
    </w:lvl>
  </w:abstractNum>
  <w:abstractNum w:abstractNumId="156">
    <w:nsid w:val="6B057295"/>
    <w:multiLevelType w:val="hybridMultilevel"/>
    <w:lvl w:ilvl="0">
      <w:lvlJc w:val="left"/>
      <w:lvlText w:val="%1"/>
      <w:numFmt w:val="lowerLetter"/>
      <w:start w:val="1"/>
    </w:lvl>
    <w:lvl w:ilvl="1">
      <w:lvlJc w:val="left"/>
      <w:lvlText w:val="(%2)"/>
      <w:numFmt w:val="decimal"/>
      <w:start w:val="1"/>
    </w:lvl>
  </w:abstractNum>
  <w:abstractNum w:abstractNumId="157">
    <w:nsid w:val="2771AC80"/>
    <w:multiLevelType w:val="hybridMultilevel"/>
    <w:lvl w:ilvl="0">
      <w:lvlJc w:val="left"/>
      <w:lvlText w:val="(%1)"/>
      <w:numFmt w:val="lowerLetter"/>
      <w:start w:val="3"/>
    </w:lvl>
    <w:lvl w:ilvl="1">
      <w:lvlJc w:val="left"/>
      <w:lvlText w:val="%2"/>
      <w:numFmt w:val="decimal"/>
      <w:start w:val="1"/>
    </w:lvl>
  </w:abstractNum>
  <w:abstractNum w:abstractNumId="158">
    <w:nsid w:val="1C4A08EC"/>
    <w:multiLevelType w:val="hybridMultilevel"/>
    <w:lvl w:ilvl="0">
      <w:lvlJc w:val="left"/>
      <w:lvlText w:val="(%1)"/>
      <w:numFmt w:val="decimal"/>
      <w:start w:val="1"/>
    </w:lvl>
  </w:abstractNum>
  <w:abstractNum w:abstractNumId="159">
    <w:nsid w:val="1958BD17"/>
    <w:multiLevelType w:val="hybridMultilevel"/>
    <w:lvl w:ilvl="0">
      <w:lvlJc w:val="left"/>
      <w:lvlText w:val="(%1)"/>
      <w:numFmt w:val="decimal"/>
      <w:start w:val="1"/>
    </w:lvl>
  </w:abstractNum>
  <w:abstractNum w:abstractNumId="160">
    <w:nsid w:val="4E647FE4"/>
    <w:multiLevelType w:val="hybridMultilevel"/>
    <w:lvl w:ilvl="0">
      <w:lvlJc w:val="left"/>
      <w:lvlText w:val="(%1)"/>
      <w:numFmt w:val="lowerLetter"/>
      <w:start w:val="1"/>
    </w:lvl>
  </w:abstractNum>
  <w:abstractNum w:abstractNumId="161">
    <w:nsid w:val="E0BB885"/>
    <w:multiLevelType w:val="hybridMultilevel"/>
    <w:lvl w:ilvl="0">
      <w:lvlJc w:val="left"/>
      <w:lvlText w:val="(%1)"/>
      <w:numFmt w:val="lowerLetter"/>
      <w:start w:val="3"/>
    </w:lvl>
  </w:abstractNum>
  <w:abstractNum w:abstractNumId="162">
    <w:nsid w:val="565976F1"/>
    <w:multiLevelType w:val="hybridMultilevel"/>
    <w:lvl w:ilvl="0">
      <w:lvlJc w:val="left"/>
      <w:lvlText w:val="(%1)"/>
      <w:numFmt w:val="decimal"/>
      <w:start w:val="1"/>
    </w:lvl>
  </w:abstractNum>
  <w:abstractNum w:abstractNumId="163">
    <w:nsid w:val="64212B8C"/>
    <w:multiLevelType w:val="hybridMultilevel"/>
    <w:lvl w:ilvl="0">
      <w:lvlJc w:val="left"/>
      <w:lvlText w:val="(%1)"/>
      <w:numFmt w:val="decimal"/>
      <w:start w:val="6"/>
    </w:lvl>
  </w:abstractNum>
  <w:abstractNum w:abstractNumId="164">
    <w:nsid w:val="5C17530C"/>
    <w:multiLevelType w:val="hybridMultilevel"/>
    <w:lvl w:ilvl="0">
      <w:lvlJc w:val="left"/>
      <w:lvlText w:val="(%1)"/>
      <w:numFmt w:val="decimal"/>
      <w:start w:val="7"/>
    </w:lvl>
  </w:abstractNum>
  <w:abstractNum w:abstractNumId="165">
    <w:nsid w:val="19A52566"/>
    <w:multiLevelType w:val="hybridMultilevel"/>
    <w:lvl w:ilvl="0">
      <w:lvlJc w:val="left"/>
      <w:lvlText w:val="(%1)"/>
      <w:numFmt w:val="decimal"/>
      <w:start w:val="1"/>
    </w:lvl>
  </w:abstractNum>
  <w:abstractNum w:abstractNumId="166">
    <w:nsid w:val="335A1DF1"/>
    <w:multiLevelType w:val="hybridMultilevel"/>
    <w:lvl w:ilvl="0">
      <w:lvlJc w:val="left"/>
      <w:lvlText w:val="(%1)"/>
      <w:numFmt w:val="lowerLetter"/>
      <w:start w:val="1"/>
    </w:lvl>
    <w:lvl w:ilvl="1">
      <w:lvlJc w:val="left"/>
      <w:lvlText w:val="(%2)"/>
      <w:numFmt w:val="decimal"/>
      <w:start w:val="1"/>
    </w:lvl>
  </w:abstractNum>
  <w:abstractNum w:abstractNumId="167">
    <w:nsid w:val="28677B7C"/>
    <w:multiLevelType w:val="hybridMultilevel"/>
    <w:lvl w:ilvl="0">
      <w:lvlJc w:val="left"/>
      <w:lvlText w:val="(%1)"/>
      <w:numFmt w:val="lowerLetter"/>
      <w:start w:val="2"/>
    </w:lvl>
  </w:abstractNum>
  <w:abstractNum w:abstractNumId="168">
    <w:nsid w:val="378D97C0"/>
    <w:multiLevelType w:val="hybridMultilevel"/>
    <w:lvl w:ilvl="0">
      <w:lvlJc w:val="left"/>
      <w:lvlText w:val="(%1)"/>
      <w:numFmt w:val="lowerLetter"/>
      <w:start w:val="4"/>
    </w:lvl>
  </w:abstractNum>
  <w:abstractNum w:abstractNumId="169">
    <w:nsid w:val="1D91467C"/>
    <w:multiLevelType w:val="hybridMultilevel"/>
    <w:lvl w:ilvl="0">
      <w:lvlJc w:val="left"/>
      <w:lvlText w:val="(%1)"/>
      <w:numFmt w:val="decimal"/>
      <w:start w:val="1"/>
    </w:lvl>
    <w:lvl w:ilvl="1">
      <w:lvlJc w:val="left"/>
      <w:lvlText w:val="(%2)"/>
      <w:numFmt w:val="lowerLetter"/>
      <w:start w:val="1"/>
    </w:lvl>
  </w:abstractNum>
  <w:abstractNum w:abstractNumId="170">
    <w:nsid w:val="316032BB"/>
    <w:multiLevelType w:val="hybridMultilevel"/>
    <w:lvl w:ilvl="0">
      <w:lvlJc w:val="left"/>
      <w:lvlText w:val="(%1)"/>
      <w:numFmt w:val="lowerLetter"/>
      <w:start w:val="2"/>
    </w:lvl>
  </w:abstractNum>
  <w:abstractNum w:abstractNumId="171">
    <w:nsid w:val="44344C22"/>
    <w:multiLevelType w:val="hybridMultilevel"/>
    <w:lvl w:ilvl="0">
      <w:lvlJc w:val="left"/>
      <w:lvlText w:val="(%1)"/>
      <w:numFmt w:val="lowerLetter"/>
      <w:start w:val="1"/>
    </w:lvl>
  </w:abstractNum>
  <w:abstractNum w:abstractNumId="172">
    <w:nsid w:val="13CDFCFC"/>
    <w:multiLevelType w:val="hybridMultilevel"/>
    <w:lvl w:ilvl="0">
      <w:lvlJc w:val="left"/>
      <w:lvlText w:val="(%1)"/>
      <w:numFmt w:val="lowerLetter"/>
      <w:start w:val="5"/>
    </w:lvl>
  </w:abstractNum>
  <w:abstractNum w:abstractNumId="173">
    <w:nsid w:val="471745E4"/>
    <w:multiLevelType w:val="hybridMultilevel"/>
    <w:lvl w:ilvl="0">
      <w:lvlJc w:val="left"/>
      <w:lvlText w:val="(%1)"/>
      <w:numFmt w:val="decimal"/>
      <w:start w:val="1"/>
    </w:lvl>
    <w:lvl w:ilvl="1">
      <w:lvlJc w:val="left"/>
      <w:lvlText w:val="(%2)"/>
      <w:numFmt w:val="lowerLetter"/>
      <w:start w:val="1"/>
    </w:lvl>
  </w:abstractNum>
  <w:abstractNum w:abstractNumId="174">
    <w:nsid w:val="1DDBC66"/>
    <w:multiLevelType w:val="hybridMultilevel"/>
    <w:lvl w:ilvl="0">
      <w:lvlJc w:val="left"/>
      <w:lvlText w:val="(%1)"/>
      <w:numFmt w:val="decimal"/>
      <w:start w:val="1"/>
    </w:lvl>
  </w:abstractNum>
  <w:abstractNum w:abstractNumId="175">
    <w:nsid w:val="30AADFDA"/>
    <w:multiLevelType w:val="hybridMultilevel"/>
    <w:lvl w:ilvl="0">
      <w:lvlJc w:val="left"/>
      <w:lvlText w:val="(%1)"/>
      <w:numFmt w:val="decimal"/>
      <w:start w:val="1"/>
    </w:lvl>
  </w:abstractNum>
  <w:abstractNum w:abstractNumId="176">
    <w:nsid w:val="30EADA61"/>
    <w:multiLevelType w:val="hybridMultilevel"/>
    <w:lvl w:ilvl="0">
      <w:lvlJc w:val="left"/>
      <w:lvlText w:val="(%1)"/>
      <w:numFmt w:val="decimal"/>
      <w:start w:val="1"/>
    </w:lvl>
  </w:abstractNum>
  <w:abstractNum w:abstractNumId="177">
    <w:nsid w:val="27179C0B"/>
    <w:multiLevelType w:val="hybridMultilevel"/>
    <w:lvl w:ilvl="0">
      <w:lvlJc w:val="left"/>
      <w:lvlText w:val="1"/>
      <w:numFmt w:val="bullet"/>
      <w:start w:val="1"/>
    </w:lvl>
  </w:abstractNum>
  <w:abstractNum w:abstractNumId="178">
    <w:nsid w:val="5E636063"/>
    <w:multiLevelType w:val="hybridMultilevel"/>
    <w:lvl w:ilvl="0">
      <w:lvlJc w:val="left"/>
      <w:lvlText w:val="2"/>
      <w:numFmt w:val="bullet"/>
      <w:start w:val="1"/>
    </w:lvl>
  </w:abstractNum>
  <w:abstractNum w:abstractNumId="179">
    <w:nsid w:val="215641AF"/>
    <w:multiLevelType w:val="hybridMultilevel"/>
    <w:lvl w:ilvl="0">
      <w:lvlJc w:val="left"/>
      <w:lvlText w:val="3"/>
      <w:numFmt w:val="bullet"/>
      <w:start w:val="1"/>
    </w:lvl>
  </w:abstractNum>
  <w:abstractNum w:abstractNumId="180">
    <w:nsid w:val="53280662"/>
    <w:multiLevelType w:val="hybridMultilevel"/>
    <w:lvl w:ilvl="0">
      <w:lvlJc w:val="left"/>
      <w:lvlText w:val="4"/>
      <w:numFmt w:val="bullet"/>
      <w:start w:val="1"/>
    </w:lvl>
  </w:abstractNum>
  <w:abstractNum w:abstractNumId="181">
    <w:nsid w:val="46B24DBC"/>
    <w:multiLevelType w:val="hybridMultilevel"/>
    <w:lvl w:ilvl="0">
      <w:lvlJc w:val="left"/>
      <w:lvlText w:val="5"/>
      <w:numFmt w:val="bullet"/>
      <w:start w:val="1"/>
    </w:lvl>
  </w:abstractNum>
  <w:abstractNum w:abstractNumId="182">
    <w:nsid w:val="75B52783"/>
    <w:multiLevelType w:val="hybridMultilevel"/>
    <w:lvl w:ilvl="0">
      <w:lvlJc w:val="left"/>
      <w:lvlText w:val="(%1)"/>
      <w:numFmt w:val="decimal"/>
      <w:start w:val="1"/>
    </w:lvl>
  </w:abstractNum>
  <w:abstractNum w:abstractNumId="183">
    <w:nsid w:val="57CE66B4"/>
    <w:multiLevelType w:val="hybridMultilevel"/>
    <w:lvl w:ilvl="0">
      <w:lvlJc w:val="left"/>
      <w:lvlText w:val="(%1)"/>
      <w:numFmt w:val="decimal"/>
      <w:start w:val="2"/>
    </w:lvl>
  </w:abstractNum>
  <w:abstractNum w:abstractNumId="184">
    <w:nsid w:val="67A70B69"/>
    <w:multiLevelType w:val="hybridMultilevel"/>
    <w:lvl w:ilvl="0">
      <w:lvlJc w:val="left"/>
      <w:lvlText w:val="(%1)"/>
      <w:numFmt w:val="lowerLetter"/>
      <w:start w:val="1"/>
    </w:lvl>
  </w:abstractNum>
  <w:abstractNum w:abstractNumId="185">
    <w:nsid w:val="5953172F"/>
    <w:multiLevelType w:val="hybridMultilevel"/>
    <w:lvl w:ilvl="0">
      <w:lvlJc w:val="left"/>
      <w:lvlText w:val="6"/>
      <w:numFmt w:val="bullet"/>
      <w:start w:val="1"/>
    </w:lvl>
  </w:abstractNum>
  <w:abstractNum w:abstractNumId="186">
    <w:nsid w:val="27EDFE3A"/>
    <w:multiLevelType w:val="hybridMultilevel"/>
    <w:lvl w:ilvl="0">
      <w:lvlJc w:val="left"/>
      <w:lvlText w:val="7"/>
      <w:numFmt w:val="bullet"/>
      <w:start w:val="1"/>
    </w:lvl>
  </w:abstractNum>
  <w:abstractNum w:abstractNumId="187">
    <w:nsid w:val="52AC7DFF"/>
    <w:multiLevelType w:val="hybridMultilevel"/>
    <w:lvl w:ilvl="0">
      <w:lvlJc w:val="left"/>
      <w:lvlText w:val="(%1)"/>
      <w:numFmt w:val="lowerLetter"/>
      <w:start w:val="2"/>
    </w:lvl>
  </w:abstractNum>
  <w:abstractNum w:abstractNumId="188">
    <w:nsid w:val="C4C3AF"/>
    <w:multiLevelType w:val="hybridMultilevel"/>
    <w:lvl w:ilvl="0">
      <w:lvlJc w:val="left"/>
      <w:lvlText w:val="(%1)"/>
      <w:numFmt w:val="decimal"/>
      <w:start w:val="6"/>
    </w:lvl>
  </w:abstractNum>
  <w:abstractNum w:abstractNumId="189">
    <w:nsid w:val="44380727"/>
    <w:multiLevelType w:val="hybridMultilevel"/>
    <w:lvl w:ilvl="0">
      <w:lvlJc w:val="left"/>
      <w:lvlText w:val="(%1)"/>
      <w:numFmt w:val="decimal"/>
      <w:start w:val="8"/>
    </w:lvl>
  </w:abstractNum>
  <w:abstractNum w:abstractNumId="190">
    <w:nsid w:val="6C053B16"/>
    <w:multiLevelType w:val="hybridMultilevel"/>
    <w:lvl w:ilvl="0">
      <w:lvlJc w:val="left"/>
      <w:lvlText w:val="%1"/>
      <w:numFmt w:val="lowerRoman"/>
      <w:start w:val="1"/>
    </w:lvl>
    <w:lvl w:ilvl="1">
      <w:lvlJc w:val="left"/>
      <w:lvlText w:val="(%2)"/>
      <w:numFmt w:val="decimal"/>
      <w:start w:val="12"/>
    </w:lvl>
  </w:abstractNum>
  <w:abstractNum w:abstractNumId="191">
    <w:nsid w:val="4F294393"/>
    <w:multiLevelType w:val="hybridMultilevel"/>
    <w:lvl w:ilvl="0">
      <w:lvlJc w:val="left"/>
      <w:lvlText w:val="(%1)"/>
      <w:numFmt w:val="lowerRoman"/>
      <w:start w:val="5"/>
    </w:lvl>
    <w:lvl w:ilvl="1">
      <w:lvlJc w:val="left"/>
      <w:lvlText w:val="%2"/>
      <w:numFmt w:val="decimal"/>
      <w:start w:val="1"/>
    </w:lvl>
  </w:abstractNum>
  <w:abstractNum w:abstractNumId="192">
    <w:nsid w:val="5243BFAC"/>
    <w:multiLevelType w:val="hybridMultilevel"/>
    <w:lvl w:ilvl="0">
      <w:lvlJc w:val="left"/>
      <w:lvlText w:val="(%1)"/>
      <w:numFmt w:val="decimal"/>
      <w:start w:val="13"/>
    </w:lvl>
  </w:abstractNum>
  <w:abstractNum w:abstractNumId="193">
    <w:nsid w:val="425EB207"/>
    <w:multiLevelType w:val="hybridMultilevel"/>
    <w:lvl w:ilvl="0">
      <w:lvlJc w:val="left"/>
      <w:lvlText w:val="8"/>
      <w:numFmt w:val="bullet"/>
      <w:start w:val="1"/>
    </w:lvl>
  </w:abstractNum>
  <w:abstractNum w:abstractNumId="194">
    <w:nsid w:val="334A6F1F"/>
    <w:multiLevelType w:val="hybridMultilevel"/>
    <w:lvl w:ilvl="0">
      <w:lvlJc w:val="left"/>
      <w:lvlText w:val="☐"/>
      <w:numFmt w:val="bullet"/>
      <w:start w:val="1"/>
    </w:lvl>
  </w:abstractNum>
  <w:abstractNum w:abstractNumId="195">
    <w:nsid w:val="2E5B12B8"/>
    <w:multiLevelType w:val="hybridMultilevel"/>
    <w:lvl w:ilvl="0">
      <w:lvlJc w:val="left"/>
      <w:lvlText w:val="1"/>
      <w:numFmt w:val="bullet"/>
      <w:start w:val="1"/>
    </w:lvl>
  </w:abstractNum>
  <w:abstractNum w:abstractNumId="196">
    <w:nsid w:val="5C03D76D"/>
    <w:multiLevelType w:val="hybridMultilevel"/>
    <w:lvl w:ilvl="0">
      <w:lvlJc w:val="left"/>
      <w:lvlText w:val="%1"/>
      <w:numFmt w:val="decimal"/>
      <w:start w:val="10"/>
    </w:lvl>
  </w:abstractNum>
  <w:abstractNum w:abstractNumId="197">
    <w:nsid w:val="66A48D11"/>
    <w:multiLevelType w:val="hybridMultilevel"/>
    <w:lvl w:ilvl="0">
      <w:lvlJc w:val="left"/>
      <w:lvlText w:val="%1"/>
      <w:numFmt w:val="lowerRoman"/>
      <w:start w:val="1"/>
    </w:lvl>
    <w:lvl w:ilvl="1">
      <w:lvlJc w:val="left"/>
      <w:lvlText w:val="%2."/>
      <w:numFmt w:val="decimal"/>
      <w:start w:val="1"/>
    </w:lvl>
  </w:abstractNum>
  <w:abstractNum w:abstractNumId="198">
    <w:nsid w:val="56C28E34"/>
    <w:multiLevelType w:val="hybridMultilevel"/>
    <w:lvl w:ilvl="0">
      <w:lvlJc w:val="left"/>
      <w:lvlText w:val="(%1)"/>
      <w:numFmt w:val="lowerRoman"/>
      <w:start w:val="3"/>
    </w:lvl>
    <w:lvl w:ilvl="1">
      <w:lvlJc w:val="left"/>
      <w:lvlText w:val="%2"/>
      <w:numFmt w:val="decimal"/>
      <w:start w:val="1"/>
    </w:lvl>
  </w:abstractNum>
  <w:abstractNum w:abstractNumId="199">
    <w:nsid w:val="13916F2D"/>
    <w:multiLevelType w:val="hybridMultilevel"/>
    <w:lvl w:ilvl="0">
      <w:lvlJc w:val="left"/>
      <w:lvlText w:val="%1."/>
      <w:numFmt w:val="decimal"/>
      <w:start w:val="3"/>
    </w:lvl>
    <w:lvl w:ilvl="1">
      <w:lvlJc w:val="left"/>
      <w:lvlText w:val="(%2)"/>
      <w:numFmt w:val="lowerLetter"/>
      <w:start w:val="1"/>
    </w:lvl>
  </w:abstractNum>
  <w:abstractNum w:abstractNumId="200">
    <w:nsid w:val="435D38D"/>
    <w:multiLevelType w:val="hybridMultilevel"/>
    <w:lvl w:ilvl="0">
      <w:lvlJc w:val="left"/>
      <w:lvlText w:val="(%1)"/>
      <w:numFmt w:val="lowerLetter"/>
      <w:start w:val="3"/>
    </w:lvl>
  </w:abstractNum>
  <w:abstractNum w:abstractNumId="201">
    <w:nsid w:val="822C0EF"/>
    <w:multiLevelType w:val="hybridMultilevel"/>
    <w:lvl w:ilvl="0">
      <w:lvlJc w:val="left"/>
      <w:lvlText w:val="%1."/>
      <w:numFmt w:val="decimal"/>
      <w:start w:val="1"/>
    </w:lvl>
  </w:abstractNum>
  <w:abstractNum w:abstractNumId="202">
    <w:nsid w:val="57C5BB4F"/>
    <w:multiLevelType w:val="hybridMultilevel"/>
    <w:lvl w:ilvl="0">
      <w:lvlJc w:val="left"/>
      <w:lvlText w:val="(%1)"/>
      <w:numFmt w:val="lowerLetter"/>
      <w:start w:val="1"/>
    </w:lvl>
  </w:abstractNum>
  <w:abstractNum w:abstractNumId="203">
    <w:nsid w:val="1803D089"/>
    <w:multiLevelType w:val="hybridMultilevel"/>
    <w:lvl w:ilvl="0">
      <w:lvlJc w:val="left"/>
      <w:lvlText w:val="%1"/>
      <w:numFmt w:val="decimal"/>
      <w:start w:val="1"/>
    </w:lvl>
    <w:lvl w:ilvl="1">
      <w:lvlJc w:val="left"/>
      <w:lvlText w:val="(%2)"/>
      <w:numFmt w:val="lowerLetter"/>
      <w:start w:val="2"/>
    </w:lvl>
  </w:abstractNum>
  <w:abstractNum w:abstractNumId="204">
    <w:nsid w:val="4F3A06D4"/>
    <w:multiLevelType w:val="hybridMultilevel"/>
    <w:lvl w:ilvl="0">
      <w:lvlJc w:val="left"/>
      <w:lvlText w:val="%1."/>
      <w:numFmt w:val="decimal"/>
      <w:start w:val="2"/>
    </w:lvl>
    <w:lvl w:ilvl="1">
      <w:lvlJc w:val="left"/>
      <w:lvlText w:val="%2"/>
      <w:numFmt w:val="lowerLetter"/>
      <w:start w:val="1"/>
    </w:lvl>
  </w:abstractNum>
  <w:abstractNum w:abstractNumId="205">
    <w:nsid w:val="59A377B6"/>
    <w:multiLevelType w:val="hybridMultilevel"/>
    <w:lvl w:ilvl="0">
      <w:lvlJc w:val="left"/>
      <w:lvlText w:val="(%1)"/>
      <w:numFmt w:val="lowerLetter"/>
      <w:start w:val="1"/>
    </w:lvl>
  </w:abstractNum>
  <w:abstractNum w:abstractNumId="206">
    <w:nsid w:val="48AEB063"/>
    <w:multiLevelType w:val="hybridMultilevel"/>
    <w:lvl w:ilvl="0">
      <w:lvlJc w:val="left"/>
      <w:lvlText w:val="(%1)"/>
      <w:numFmt w:val="lowerLetter"/>
      <w:start w:val="2"/>
    </w:lvl>
  </w:abstractNum>
  <w:abstractNum w:abstractNumId="207">
    <w:nsid w:val="24E135"/>
    <w:multiLevelType w:val="hybridMultilevel"/>
    <w:lvl w:ilvl="0">
      <w:lvlJc w:val="left"/>
      <w:lvlText w:val="%1."/>
      <w:numFmt w:val="decimal"/>
      <w:start w:val="1"/>
    </w:lvl>
    <w:lvl w:ilvl="1">
      <w:lvlJc w:val="left"/>
      <w:lvlText w:val="(%2)"/>
      <w:numFmt w:val="lowerLetter"/>
      <w:start w:val="1"/>
    </w:lvl>
  </w:abstractNum>
  <w:abstractNum w:abstractNumId="208">
    <w:nsid w:val="BB13C1"/>
    <w:multiLevelType w:val="hybridMultilevel"/>
    <w:lvl w:ilvl="0">
      <w:lvlJc w:val="left"/>
      <w:lvlText w:val="%1"/>
      <w:numFmt w:val="decimal"/>
      <w:start w:val="1"/>
    </w:lvl>
    <w:lvl w:ilvl="1">
      <w:lvlJc w:val="left"/>
      <w:lvlText w:val="(%2)"/>
      <w:numFmt w:val="lowerLetter"/>
      <w:start w:val="4"/>
    </w:lvl>
  </w:abstractNum>
  <w:abstractNum w:abstractNumId="209">
    <w:nsid w:val="271210C7"/>
    <w:multiLevelType w:val="hybridMultilevel"/>
    <w:lvl w:ilvl="0">
      <w:lvlJc w:val="left"/>
      <w:lvlText w:val="%1."/>
      <w:numFmt w:val="decimal"/>
      <w:start w:val="2"/>
    </w:lvl>
    <w:lvl w:ilvl="1">
      <w:lvlJc w:val="left"/>
      <w:lvlText w:val="(%2)"/>
      <w:numFmt w:val="lowerLetter"/>
      <w:start w:val="1"/>
    </w:lvl>
  </w:abstractNum>
  <w:abstractNum w:abstractNumId="210">
    <w:nsid w:val="217B22E4"/>
    <w:multiLevelType w:val="hybridMultilevel"/>
    <w:lvl w:ilvl="0">
      <w:lvlJc w:val="left"/>
      <w:lvlText w:val="(%1)"/>
      <w:numFmt w:val="lowerLetter"/>
      <w:start w:val="1"/>
    </w:lvl>
  </w:abstractNum>
  <w:abstractNum w:abstractNumId="211">
    <w:nsid w:val="53E31A24"/>
    <w:multiLevelType w:val="hybridMultilevel"/>
    <w:lvl w:ilvl="0">
      <w:lvlJc w:val="left"/>
      <w:lvlText w:val="%1."/>
      <w:numFmt w:val="decimal"/>
      <w:start w:val="1"/>
    </w:lvl>
  </w:abstractNum>
  <w:abstractNum w:abstractNumId="212">
    <w:nsid w:val="6DC45E83"/>
    <w:multiLevelType w:val="hybridMultilevel"/>
    <w:lvl w:ilvl="0">
      <w:lvlJc w:val="left"/>
      <w:lvlText w:val="%1."/>
      <w:numFmt w:val="decimal"/>
      <w:start w:val="4"/>
    </w:lvl>
  </w:abstractNum>
  <w:abstractNum w:abstractNumId="213">
    <w:nsid w:val="17304A67"/>
    <w:multiLevelType w:val="hybridMultilevel"/>
    <w:lvl w:ilvl="0">
      <w:lvlJc w:val="left"/>
      <w:lvlText w:val="%1."/>
      <w:numFmt w:val="decimal"/>
      <w:start w:val="1"/>
    </w:lvl>
  </w:abstractNum>
  <w:abstractNum w:abstractNumId="214">
    <w:nsid w:val="2BB180D8"/>
    <w:multiLevelType w:val="hybridMultilevel"/>
    <w:lvl w:ilvl="0">
      <w:lvlJc w:val="left"/>
      <w:lvlText w:val="%1."/>
      <w:numFmt w:val="decimal"/>
      <w:start w:val="6"/>
    </w:lvl>
  </w:abstractNum>
  <w:abstractNum w:abstractNumId="215">
    <w:nsid w:val="556B69ED"/>
    <w:multiLevelType w:val="hybridMultilevel"/>
    <w:lvl w:ilvl="0">
      <w:lvlJc w:val="left"/>
      <w:lvlText w:val="(%1)"/>
      <w:numFmt w:val="lowerLetter"/>
      <w:start w:val="1"/>
    </w:lvl>
    <w:lvl w:ilvl="1">
      <w:lvlJc w:val="left"/>
      <w:lvlText w:val="(%2)"/>
      <w:numFmt w:val="decimal"/>
      <w:start w:val="1"/>
    </w:lvl>
  </w:abstractNum>
  <w:abstractNum w:abstractNumId="216">
    <w:nsid w:val="70836196"/>
    <w:multiLevelType w:val="hybridMultilevel"/>
    <w:lvl w:ilvl="0">
      <w:lvlJc w:val="left"/>
      <w:lvlText w:val="(%1)"/>
      <w:numFmt w:val="decimal"/>
      <w:start w:val="4"/>
    </w:lvl>
  </w:abstractNum>
  <w:abstractNum w:abstractNumId="217">
    <w:nsid w:val="539F7F12"/>
    <w:multiLevelType w:val="hybridMultilevel"/>
    <w:lvl w:ilvl="0">
      <w:lvlJc w:val="left"/>
      <w:lvlText w:val="(%1)"/>
      <w:numFmt w:val="decimal"/>
      <w:start w:val="8"/>
    </w:lvl>
  </w:abstractNum>
  <w:abstractNum w:abstractNumId="218">
    <w:nsid w:val="2817E7EC"/>
    <w:multiLevelType w:val="hybridMultilevel"/>
    <w:lvl w:ilvl="0">
      <w:lvlJc w:val="left"/>
      <w:lvlText w:val="(%1)"/>
      <w:numFmt w:val="decimal"/>
      <w:start w:val="11"/>
    </w:lvl>
  </w:abstractNum>
  <w:abstractNum w:abstractNumId="219">
    <w:nsid w:val="71482545"/>
    <w:multiLevelType w:val="hybridMultilevel"/>
    <w:lvl w:ilvl="0">
      <w:lvlJc w:val="left"/>
      <w:lvlText w:val="(%1)"/>
      <w:numFmt w:val="decimal"/>
      <w:start w:val="15"/>
    </w:lvl>
  </w:abstractNum>
  <w:abstractNum w:abstractNumId="220">
    <w:nsid w:val="17D78639"/>
    <w:multiLevelType w:val="hybridMultilevel"/>
    <w:lvl w:ilvl="0">
      <w:lvlJc w:val="left"/>
      <w:lvlText w:val="(%1)"/>
      <w:numFmt w:val="decimal"/>
      <w:start w:val="22"/>
    </w:lvl>
  </w:abstractNum>
  <w:abstractNum w:abstractNumId="221">
    <w:nsid w:val="141D2302"/>
    <w:multiLevelType w:val="hybridMultilevel"/>
    <w:lvl w:ilvl="0">
      <w:lvlJc w:val="left"/>
      <w:lvlText w:val="(%1)"/>
      <w:numFmt w:val="decimal"/>
      <w:start w:val="25"/>
    </w:lvl>
  </w:abstractNum>
  <w:abstractNum w:abstractNumId="222">
    <w:nsid w:val="407168D8"/>
    <w:multiLevelType w:val="hybridMultilevel"/>
    <w:lvl w:ilvl="0">
      <w:lvlJc w:val="left"/>
      <w:lvlText w:val="(%1)"/>
      <w:numFmt w:val="decimal"/>
      <w:start w:val="29"/>
    </w:lvl>
  </w:abstractNum>
  <w:abstractNum w:abstractNumId="223">
    <w:nsid w:val="6A1B45E5"/>
    <w:multiLevelType w:val="hybridMultilevel"/>
    <w:lvl w:ilvl="0">
      <w:lvlJc w:val="left"/>
      <w:lvlText w:val="(%1)"/>
      <w:numFmt w:val="decimal"/>
      <w:start w:val="31"/>
    </w:lvl>
  </w:abstractNum>
  <w:abstractNum w:abstractNumId="224">
    <w:nsid w:val="567BD50A"/>
    <w:multiLevelType w:val="hybridMultilevel"/>
    <w:lvl w:ilvl="0">
      <w:lvlJc w:val="left"/>
      <w:lvlText w:val="(%1)"/>
      <w:numFmt w:val="decimal"/>
      <w:start w:val="33"/>
    </w:lvl>
  </w:abstractNum>
  <w:abstractNum w:abstractNumId="225">
    <w:nsid w:val="73BBD7F8"/>
    <w:multiLevelType w:val="hybridMultilevel"/>
    <w:lvl w:ilvl="0">
      <w:lvlJc w:val="left"/>
      <w:lvlText w:val="(%1)"/>
      <w:numFmt w:val="decimal"/>
      <w:start w:val="36"/>
    </w:lvl>
  </w:abstractNum>
  <w:abstractNum w:abstractNumId="226">
    <w:nsid w:val="1876589D"/>
    <w:multiLevelType w:val="hybridMultilevel"/>
    <w:lvl w:ilvl="0">
      <w:lvlJc w:val="left"/>
      <w:lvlText w:val="(%1)"/>
      <w:numFmt w:val="decimal"/>
      <w:start w:val="39"/>
    </w:lvl>
  </w:abstractNum>
  <w:abstractNum w:abstractNumId="227">
    <w:nsid w:val="327FAC77"/>
    <w:multiLevelType w:val="hybridMultilevel"/>
    <w:lvl w:ilvl="0">
      <w:lvlJc w:val="left"/>
      <w:lvlText w:val="(%1)"/>
      <w:numFmt w:val="decimal"/>
      <w:start w:val="43"/>
    </w:lvl>
  </w:abstractNum>
  <w:abstractNum w:abstractNumId="228">
    <w:nsid w:val="5A606509"/>
    <w:multiLevelType w:val="hybridMultilevel"/>
    <w:lvl w:ilvl="0">
      <w:lvlJc w:val="left"/>
      <w:lvlText w:val="(%1)"/>
      <w:numFmt w:val="decimal"/>
      <w:start w:val="46"/>
    </w:lvl>
  </w:abstractNum>
  <w:abstractNum w:abstractNumId="229">
    <w:nsid w:val="6F38E6D1"/>
    <w:multiLevelType w:val="hybridMultilevel"/>
    <w:lvl w:ilvl="0">
      <w:lvlJc w:val="left"/>
      <w:lvlText w:val="(%1)"/>
      <w:numFmt w:val="decimal"/>
      <w:start w:val="48"/>
    </w:lvl>
  </w:abstractNum>
  <w:abstractNum w:abstractNumId="230">
    <w:nsid w:val="46111BA5"/>
    <w:multiLevelType w:val="hybridMultilevel"/>
    <w:lvl w:ilvl="0">
      <w:lvlJc w:val="left"/>
      <w:lvlText w:val="(%1)"/>
      <w:numFmt w:val="lowerLetter"/>
      <w:start w:val="2"/>
    </w:lvl>
  </w:abstractNum>
  <w:abstractNum w:abstractNumId="231">
    <w:nsid w:val="5E963896"/>
    <w:multiLevelType w:val="hybridMultilevel"/>
    <w:lvl w:ilvl="0">
      <w:lvlJc w:val="left"/>
      <w:lvlText w:val="(%1)"/>
      <w:numFmt w:val="lowerLetter"/>
      <w:start w:val="1"/>
    </w:lvl>
  </w:abstractNum>
  <w:abstractNum w:abstractNumId="232">
    <w:nsid w:val="775BA7C1"/>
    <w:multiLevelType w:val="hybridMultilevel"/>
    <w:lvl w:ilvl="0">
      <w:lvlJc w:val="left"/>
      <w:lvlText w:val="(%1)"/>
      <w:numFmt w:val="lowerLetter"/>
      <w:start w:val="3"/>
    </w:lvl>
  </w:abstractNum>
  <w:abstractNum w:abstractNumId="233">
    <w:nsid w:val="1DD6D6F4"/>
    <w:multiLevelType w:val="hybridMultilevel"/>
    <w:lvl w:ilvl="0">
      <w:lvlJc w:val="left"/>
      <w:lvlText w:val="(%1)"/>
      <w:numFmt w:val="lowerLetter"/>
      <w:start w:val="4"/>
    </w:lvl>
  </w:abstractNum>
  <w:abstractNum w:abstractNumId="234">
    <w:nsid w:val="769A091F"/>
    <w:multiLevelType w:val="hybridMultilevel"/>
    <w:lvl w:ilvl="0">
      <w:lvlJc w:val="left"/>
      <w:lvlText w:val="(%1)"/>
      <w:numFmt w:val="lowerRoman"/>
      <w:start w:val="2"/>
    </w:lvl>
    <w:lvl w:ilvl="1">
      <w:lvlJc w:val="left"/>
      <w:lvlText w:val="(%2)"/>
      <w:numFmt w:val="upperLetter"/>
      <w:start w:val="1"/>
    </w:lvl>
  </w:abstractNum>
  <w:abstractNum w:abstractNumId="235">
    <w:nsid w:val="4695AE95"/>
    <w:multiLevelType w:val="hybridMultilevel"/>
    <w:lvl w:ilvl="0">
      <w:lvlJc w:val="left"/>
      <w:lvlText w:val="(%1)"/>
      <w:numFmt w:val="lowerRoman"/>
      <w:start w:val="3"/>
    </w:lvl>
  </w:abstractNum>
  <w:abstractNum w:abstractNumId="236">
    <w:nsid w:val="777A4EAA"/>
    <w:multiLevelType w:val="hybridMultilevel"/>
    <w:lvl w:ilvl="0">
      <w:lvlJc w:val="left"/>
      <w:lvlText w:val="(%1)"/>
      <w:numFmt w:val="lowerLetter"/>
      <w:start w:val="1"/>
    </w:lvl>
  </w:abstractNum>
  <w:abstractNum w:abstractNumId="237">
    <w:nsid w:val="3F48B982"/>
    <w:multiLevelType w:val="hybridMultilevel"/>
    <w:lvl w:ilvl="0">
      <w:lvlJc w:val="left"/>
      <w:lvlText w:val="(%1)"/>
      <w:numFmt w:val="lowerLetter"/>
      <w:start w:val="3"/>
    </w:lvl>
  </w:abstractNum>
  <w:abstractNum w:abstractNumId="238">
    <w:nsid w:val="46BA8FCA"/>
    <w:multiLevelType w:val="hybridMultilevel"/>
    <w:lvl w:ilvl="0">
      <w:lvlJc w:val="left"/>
      <w:lvlText w:val="(%1)"/>
      <w:numFmt w:val="lowerLetter"/>
      <w:start w:val="5"/>
    </w:lvl>
  </w:abstractNum>
  <w:abstractNum w:abstractNumId="239">
    <w:nsid w:val="7835626C"/>
    <w:multiLevelType w:val="hybridMultilevel"/>
    <w:lvl w:ilvl="0">
      <w:lvlJc w:val="left"/>
      <w:lvlText w:val="(%1)"/>
      <w:numFmt w:val="lowerLetter"/>
      <w:start w:val="9"/>
    </w:lvl>
  </w:abstractNum>
  <w:abstractNum w:abstractNumId="240">
    <w:nsid w:val="665ACA49"/>
    <w:multiLevelType w:val="hybridMultilevel"/>
    <w:lvl w:ilvl="0">
      <w:lvlJc w:val="left"/>
      <w:lvlText w:val="(%1)"/>
      <w:numFmt w:val="lowerLetter"/>
      <w:start w:val="16"/>
    </w:lvl>
  </w:abstractNum>
  <w:abstractNum w:abstractNumId="241">
    <w:nsid w:val="6835B2AE"/>
    <w:multiLevelType w:val="hybridMultilevel"/>
    <w:lvl w:ilvl="0">
      <w:lvlJc w:val="left"/>
      <w:lvlText w:val="(%1)"/>
      <w:numFmt w:val="lowerLetter"/>
      <w:start w:val="1"/>
    </w:lvl>
  </w:abstractNum>
  <w:abstractNum w:abstractNumId="242">
    <w:nsid w:val="4C187C90"/>
    <w:multiLevelType w:val="hybridMultilevel"/>
    <w:lvl w:ilvl="0">
      <w:lvlJc w:val="left"/>
      <w:lvlText w:val="(%1)"/>
      <w:numFmt w:val="lowerLetter"/>
      <w:start w:val="2"/>
    </w:lvl>
  </w:abstractNum>
  <w:abstractNum w:abstractNumId="243">
    <w:nsid w:val="541F28CD"/>
    <w:multiLevelType w:val="hybridMultilevel"/>
    <w:lvl w:ilvl="0">
      <w:lvlJc w:val="left"/>
      <w:lvlText w:val="(%1)"/>
      <w:numFmt w:val="lowerLetter"/>
      <w:start w:val="1"/>
    </w:lvl>
  </w:abstractNum>
  <w:abstractNum w:abstractNumId="244">
    <w:nsid w:val="7F65FD16"/>
    <w:multiLevelType w:val="hybridMultilevel"/>
    <w:lvl w:ilvl="0">
      <w:lvlJc w:val="left"/>
      <w:lvlText w:val="(%1)"/>
      <w:numFmt w:val="lowerLetter"/>
      <w:start w:val="4"/>
    </w:lvl>
  </w:abstractNum>
  <w:abstractNum w:abstractNumId="245">
    <w:nsid w:val="77C9FD68"/>
    <w:multiLevelType w:val="hybridMultilevel"/>
    <w:lvl w:ilvl="0">
      <w:lvlJc w:val="left"/>
      <w:lvlText w:val="(%1)"/>
      <w:numFmt w:val="lowerLetter"/>
      <w:start w:val="9"/>
    </w:lvl>
  </w:abstractNum>
  <w:abstractNum w:abstractNumId="246">
    <w:nsid w:val="298A92BA"/>
    <w:multiLevelType w:val="hybridMultilevel"/>
    <w:lvl w:ilvl="0">
      <w:lvlJc w:val="left"/>
      <w:lvlText w:val="(%1)"/>
      <w:numFmt w:val="lowerLetter"/>
      <w:start w:val="1"/>
    </w:lvl>
    <w:lvl w:ilvl="1">
      <w:lvlJc w:val="left"/>
      <w:lvlText w:val="(%2)"/>
      <w:numFmt w:val="lowerRoman"/>
      <w:start w:val="1"/>
    </w:lvl>
  </w:abstractNum>
  <w:abstractNum w:abstractNumId="247">
    <w:nsid w:val="6FE95EAC"/>
    <w:multiLevelType w:val="hybridMultilevel"/>
    <w:lvl w:ilvl="0">
      <w:lvlJc w:val="left"/>
      <w:lvlText w:val="%1"/>
      <w:numFmt w:val="lowerRoman"/>
      <w:start w:val="1"/>
    </w:lvl>
    <w:lvl w:ilvl="1">
      <w:lvlJc w:val="left"/>
      <w:lvlText w:val="(%2)"/>
      <w:numFmt w:val="lowerRoman"/>
      <w:start w:val="3"/>
    </w:lvl>
  </w:abstractNum>
  <w:abstractNum w:abstractNumId="248">
    <w:nsid w:val="4B697C7A"/>
    <w:multiLevelType w:val="hybridMultilevel"/>
    <w:lvl w:ilvl="0">
      <w:lvlJc w:val="left"/>
      <w:lvlText w:val="(%1)"/>
      <w:numFmt w:val="lowerRoman"/>
      <w:start w:val="1"/>
    </w:lvl>
    <w:lvl w:ilvl="1">
      <w:lvlJc w:val="left"/>
      <w:lvlText w:val="%2"/>
      <w:numFmt w:val="lowerRoman"/>
      <w:start w:val="1"/>
    </w:lvl>
  </w:abstractNum>
  <w:abstractNum w:abstractNumId="249">
    <w:nsid w:val="51A27AA6"/>
    <w:multiLevelType w:val="hybridMultilevel"/>
    <w:lvl w:ilvl="0">
      <w:lvlJc w:val="left"/>
      <w:lvlText w:val="(%1)"/>
      <w:numFmt w:val="lowerLetter"/>
      <w:start w:val="2"/>
    </w:lvl>
  </w:abstractNum>
  <w:abstractNum w:abstractNumId="250">
    <w:nsid w:val="613183F2"/>
    <w:multiLevelType w:val="hybridMultilevel"/>
    <w:lvl w:ilvl="0">
      <w:lvlJc w:val="left"/>
      <w:lvlText w:val="(%1)"/>
      <w:numFmt w:val="lowerLetter"/>
      <w:start w:val="3"/>
    </w:lvl>
  </w:abstractNum>
  <w:abstractNum w:abstractNumId="251">
    <w:nsid w:val="634102B4"/>
    <w:multiLevelType w:val="hybridMultilevel"/>
    <w:lvl w:ilvl="0">
      <w:lvlJc w:val="left"/>
      <w:lvlText w:val="(%1)"/>
      <w:numFmt w:val="lowerLetter"/>
      <w:start w:val="1"/>
    </w:lvl>
  </w:abstractNum>
  <w:abstractNum w:abstractNumId="252">
    <w:nsid w:val="65BF9DA8"/>
    <w:multiLevelType w:val="hybridMultilevel"/>
    <w:lvl w:ilvl="0">
      <w:lvlJc w:val="left"/>
      <w:lvlText w:val="(%1)"/>
      <w:numFmt w:val="lowerLetter"/>
      <w:start w:val="2"/>
    </w:lvl>
  </w:abstractNum>
  <w:abstractNum w:abstractNumId="253">
    <w:nsid w:val="21A2ECCA"/>
    <w:multiLevelType w:val="hybridMultilevel"/>
    <w:lvl w:ilvl="0">
      <w:lvlJc w:val="left"/>
      <w:lvlText w:val="(%1)"/>
      <w:numFmt w:val="lowerRoman"/>
      <w:start w:val="1"/>
    </w:lvl>
  </w:abstractNum>
  <w:abstractNum w:abstractNumId="254">
    <w:nsid w:val="4D5C4899"/>
    <w:multiLevelType w:val="hybridMultilevel"/>
    <w:lvl w:ilvl="0">
      <w:lvlJc w:val="left"/>
      <w:lvlText w:val="(%1)"/>
      <w:numFmt w:val="lowerLetter"/>
      <w:start w:val="1"/>
    </w:lvl>
  </w:abstractNum>
  <w:abstractNum w:abstractNumId="255">
    <w:nsid w:val="3C3B72B2"/>
    <w:multiLevelType w:val="hybridMultilevel"/>
    <w:lvl w:ilvl="0">
      <w:lvlJc w:val="left"/>
      <w:lvlText w:val="(%1)"/>
      <w:numFmt w:val="lowerLetter"/>
      <w:start w:val="1"/>
    </w:lvl>
  </w:abstractNum>
  <w:abstractNum w:abstractNumId="256">
    <w:nsid w:val="155EC4C2"/>
    <w:multiLevelType w:val="hybridMultilevel"/>
    <w:lvl w:ilvl="0">
      <w:lvlJc w:val="left"/>
      <w:lvlText w:val="(%1)"/>
      <w:numFmt w:val="lowerLetter"/>
      <w:start w:val="3"/>
    </w:lvl>
  </w:abstractNum>
  <w:abstractNum w:abstractNumId="257">
    <w:nsid w:val="65D2A137"/>
    <w:multiLevelType w:val="hybridMultilevel"/>
    <w:lvl w:ilvl="0">
      <w:lvlJc w:val="left"/>
      <w:lvlText w:val="(%1)"/>
      <w:numFmt w:val="lowerRoman"/>
      <w:start w:val="1"/>
    </w:lvl>
  </w:abstractNum>
  <w:abstractNum w:abstractNumId="258">
    <w:nsid w:val="6EBB1F2A"/>
    <w:multiLevelType w:val="hybridMultilevel"/>
    <w:lvl w:ilvl="0">
      <w:lvlJc w:val="left"/>
      <w:lvlText w:val="(%1)"/>
      <w:numFmt w:val="lowerLetter"/>
      <w:start w:val="1"/>
    </w:lvl>
  </w:abstractNum>
  <w:abstractNum w:abstractNumId="259">
    <w:nsid w:val="6FBF29CB"/>
    <w:multiLevelType w:val="hybridMultilevel"/>
    <w:lvl w:ilvl="0">
      <w:lvlJc w:val="left"/>
      <w:lvlText w:val="(%1)"/>
      <w:numFmt w:val="lowerLetter"/>
      <w:start w:val="2"/>
    </w:lvl>
  </w:abstractNum>
  <w:abstractNum w:abstractNumId="260">
    <w:nsid w:val="550B8808"/>
    <w:multiLevelType w:val="hybridMultilevel"/>
    <w:lvl w:ilvl="0">
      <w:lvlJc w:val="left"/>
      <w:lvlText w:val="(%1)"/>
      <w:numFmt w:val="lowerLetter"/>
      <w:start w:val="4"/>
    </w:lvl>
  </w:abstractNum>
  <w:abstractNum w:abstractNumId="261">
    <w:nsid w:val="34CC3ACF"/>
    <w:multiLevelType w:val="hybridMultilevel"/>
    <w:lvl w:ilvl="0">
      <w:lvlJc w:val="left"/>
      <w:lvlText w:val="(%1)"/>
      <w:numFmt w:val="lowerLetter"/>
      <w:start w:val="6"/>
    </w:lvl>
  </w:abstractNum>
  <w:abstractNum w:abstractNumId="262">
    <w:nsid w:val="4E556261"/>
    <w:multiLevelType w:val="hybridMultilevel"/>
    <w:lvl w:ilvl="0">
      <w:lvlJc w:val="left"/>
      <w:lvlText w:val="(%1)"/>
      <w:numFmt w:val="lowerLetter"/>
      <w:start w:val="2"/>
    </w:lvl>
  </w:abstractNum>
  <w:abstractNum w:abstractNumId="263">
    <w:nsid w:val="4C672FC9"/>
    <w:multiLevelType w:val="hybridMultilevel"/>
    <w:lvl w:ilvl="0">
      <w:lvlJc w:val="left"/>
      <w:lvlText w:val="%1"/>
      <w:numFmt w:val="lowerLetter"/>
      <w:start w:val="1"/>
    </w:lvl>
    <w:lvl w:ilvl="1">
      <w:lvlJc w:val="left"/>
      <w:lvlText w:val="(%2)"/>
      <w:numFmt w:val="lowerLetter"/>
      <w:start w:val="7"/>
    </w:lvl>
  </w:abstractNum>
  <w:abstractNum w:abstractNumId="264">
    <w:nsid w:val="52A311C3"/>
    <w:multiLevelType w:val="hybridMultilevel"/>
    <w:lvl w:ilvl="0">
      <w:lvlJc w:val="left"/>
      <w:lvlText w:val="(%1)"/>
      <w:numFmt w:val="lowerLetter"/>
      <w:start w:val="61"/>
    </w:lvl>
    <w:lvl w:ilvl="1">
      <w:lvlJc w:val="left"/>
      <w:lvlText w:val="(%2)"/>
      <w:numFmt w:val="lowerLetter"/>
      <w:start w:val="10"/>
    </w:lvl>
  </w:abstractNum>
  <w:abstractNum w:abstractNumId="265">
    <w:nsid w:val="44EF6B80"/>
    <w:multiLevelType w:val="hybridMultilevel"/>
    <w:lvl w:ilvl="0">
      <w:lvlJc w:val="left"/>
      <w:lvlText w:val="(%1)"/>
      <w:numFmt w:val="lowerLetter"/>
      <w:start w:val="11"/>
    </w:lvl>
  </w:abstractNum>
  <w:abstractNum w:abstractNumId="266">
    <w:nsid w:val="12FCDE5E"/>
    <w:multiLevelType w:val="hybridMultilevel"/>
    <w:lvl w:ilvl="0">
      <w:lvlJc w:val="left"/>
      <w:lvlText w:val="(%1)"/>
      <w:numFmt w:val="lowerLetter"/>
      <w:start w:val="17"/>
    </w:lvl>
  </w:abstractNum>
  <w:abstractNum w:abstractNumId="267">
    <w:nsid w:val="4A1D606E"/>
    <w:multiLevelType w:val="hybridMultilevel"/>
    <w:lvl w:ilvl="0">
      <w:lvlJc w:val="left"/>
      <w:lvlText w:val="(%1)"/>
      <w:numFmt w:val="lowerLetter"/>
      <w:start w:val="21"/>
    </w:lvl>
  </w:abstractNum>
  <w:abstractNum w:abstractNumId="268">
    <w:nsid w:val="4382503"/>
    <w:multiLevelType w:val="hybridMultilevel"/>
    <w:lvl w:ilvl="0">
      <w:lvlJc w:val="left"/>
      <w:lvlText w:val="(%1)"/>
      <w:numFmt w:val="lowerLetter"/>
      <w:start w:val="23"/>
    </w:lvl>
  </w:abstractNum>
  <w:abstractNum w:abstractNumId="269">
    <w:nsid w:val="59B76E28"/>
    <w:multiLevelType w:val="hybridMultilevel"/>
    <w:lvl w:ilvl="0">
      <w:lvlJc w:val="left"/>
      <w:lvlText w:val="%1"/>
      <w:numFmt w:val="lowerLetter"/>
      <w:start w:val="1"/>
    </w:lvl>
    <w:lvl w:ilvl="1">
      <w:lvlJc w:val="left"/>
      <w:lvlText w:val="(%2)"/>
      <w:numFmt w:val="lowerLetter"/>
      <w:start w:val="8"/>
    </w:lvl>
  </w:abstractNum>
  <w:abstractNum w:abstractNumId="270">
    <w:nsid w:val="4252C2DA"/>
    <w:multiLevelType w:val="hybridMultilevel"/>
    <w:lvl w:ilvl="0">
      <w:lvlJc w:val="left"/>
      <w:lvlText w:val="(%1)"/>
      <w:numFmt w:val="lowerLetter"/>
      <w:start w:val="26"/>
    </w:lvl>
    <w:lvl w:ilvl="1">
      <w:lvlJc w:val="left"/>
      <w:lvlText w:val="%2"/>
      <w:numFmt w:val="lowerLetter"/>
      <w:start w:val="1"/>
    </w:lvl>
  </w:abstractNum>
  <w:abstractNum w:abstractNumId="271">
    <w:nsid w:val="6A92EF4C"/>
    <w:multiLevelType w:val="hybridMultilevel"/>
    <w:lvl w:ilvl="0">
      <w:lvlJc w:val="left"/>
      <w:lvlText w:val="(%1)"/>
      <w:numFmt w:val="lowerLetter"/>
      <w:start w:val="27"/>
    </w:lvl>
  </w:abstractNum>
  <w:abstractNum w:abstractNumId="272">
    <w:nsid w:val="41ED20D7"/>
    <w:multiLevelType w:val="hybridMultilevel"/>
    <w:lvl w:ilvl="0">
      <w:lvlJc w:val="left"/>
      <w:lvlText w:val="(%1)"/>
      <w:numFmt w:val="lowerLetter"/>
      <w:start w:val="29"/>
    </w:lvl>
  </w:abstractNum>
  <w:abstractNum w:abstractNumId="273">
    <w:nsid w:val="E6B3F6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74">
    <w:nsid w:val="3EB21819"/>
    <w:multiLevelType w:val="hybridMultilevel"/>
    <w:lvl w:ilvl="0">
      <w:lvlJc w:val="left"/>
      <w:lvlText w:val="(%1)"/>
      <w:numFmt w:val="lowerLetter"/>
      <w:start w:val="30"/>
    </w:lvl>
    <w:lvl w:ilvl="1">
      <w:lvlJc w:val="left"/>
      <w:lvlText w:val="%2"/>
      <w:numFmt w:val="lowerLetter"/>
      <w:start w:val="1"/>
    </w:lvl>
    <w:lvl w:ilvl="2">
      <w:lvlJc w:val="left"/>
      <w:lvlText w:val="%3"/>
      <w:numFmt w:val="lowerRoman"/>
      <w:start w:val="1"/>
    </w:lvl>
  </w:abstractNum>
  <w:abstractNum w:abstractNumId="275">
    <w:nsid w:val="41531DED"/>
    <w:multiLevelType w:val="hybridMultilevel"/>
    <w:lvl w:ilvl="0">
      <w:lvlJc w:val="left"/>
      <w:lvlText w:val="(%1)"/>
      <w:numFmt w:val="lowerLetter"/>
      <w:start w:val="1"/>
    </w:lvl>
  </w:abstractNum>
  <w:abstractNum w:abstractNumId="276">
    <w:nsid w:val="6353CD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2020-08-07T15:35:32Z</dcterms:created>
  <dcterms:modified xsi:type="dcterms:W3CDTF">2020-08-07T15:35:32Z</dcterms:modified>
</cp:coreProperties>
</file>